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3198" w14:textId="261CD453" w:rsidR="00DB42D8" w:rsidRPr="001B18CE" w:rsidRDefault="00DB42D8" w:rsidP="00DB42D8">
      <w:pPr>
        <w:pStyle w:val="TPHeading1"/>
      </w:pPr>
      <w:bookmarkStart w:id="0" w:name="_Toc23559331"/>
      <w:r w:rsidRPr="001B18CE">
        <w:t>Portfolio Additional Estimates</w:t>
      </w:r>
      <w:bookmarkEnd w:id="0"/>
      <w:r w:rsidRPr="001B18CE">
        <w:t xml:space="preserve"> Statements 202</w:t>
      </w:r>
      <w:r w:rsidR="003A0E4C">
        <w:t>3–</w:t>
      </w:r>
      <w:r w:rsidRPr="001B18CE">
        <w:t>2</w:t>
      </w:r>
      <w:r>
        <w:t>4</w:t>
      </w:r>
    </w:p>
    <w:p w14:paraId="31F42935" w14:textId="265ED81B" w:rsidR="00DB42D8" w:rsidRPr="001B18CE" w:rsidRDefault="00926D43" w:rsidP="00DB42D8">
      <w:pPr>
        <w:pStyle w:val="TPHeading2"/>
      </w:pPr>
      <w:r w:rsidRPr="00F51B52">
        <w:t xml:space="preserve">Health and aged care </w:t>
      </w:r>
      <w:r w:rsidRPr="008F6DE9">
        <w:t>portfolio</w:t>
      </w:r>
    </w:p>
    <w:p w14:paraId="1DEA1B5B" w14:textId="77777777" w:rsidR="00DB42D8" w:rsidRPr="00925624" w:rsidRDefault="00DB42D8" w:rsidP="00DB42D8">
      <w:pPr>
        <w:pStyle w:val="TPHeading3"/>
      </w:pPr>
      <w:r w:rsidRPr="00925624">
        <w:t xml:space="preserve">Explanations of </w:t>
      </w:r>
      <w:r w:rsidRPr="00055E5F">
        <w:t>Additional</w:t>
      </w:r>
      <w:r w:rsidRPr="00925624">
        <w:t xml:space="preserve"> Estimates 202</w:t>
      </w:r>
      <w:r>
        <w:t>3</w:t>
      </w:r>
      <w:r w:rsidR="008F4D64">
        <w:t>–</w:t>
      </w:r>
      <w:r w:rsidRPr="00925624">
        <w:t>2</w:t>
      </w:r>
      <w:r>
        <w:t>4</w:t>
      </w:r>
    </w:p>
    <w:p w14:paraId="39284707" w14:textId="77777777" w:rsidR="00DB42D8" w:rsidRPr="00E92357" w:rsidRDefault="00DB42D8" w:rsidP="00E92357"/>
    <w:p w14:paraId="5939B0A2" w14:textId="77777777" w:rsidR="00DB42D8" w:rsidRDefault="00DB42D8" w:rsidP="00DB42D8">
      <w:pPr>
        <w:pStyle w:val="OverviewParagraph"/>
        <w:rPr>
          <w:rFonts w:ascii="Arial" w:hAnsi="Arial"/>
        </w:rPr>
        <w:sectPr w:rsidR="00DB42D8" w:rsidSect="00DB42D8">
          <w:headerReference w:type="even" r:id="rId15"/>
          <w:headerReference w:type="default" r:id="rId16"/>
          <w:footerReference w:type="even" r:id="rId17"/>
          <w:footerReference w:type="default" r:id="rId18"/>
          <w:type w:val="oddPage"/>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153A0F92" w14:textId="616BF5F7" w:rsidR="00DB42D8" w:rsidRPr="003A0E4C" w:rsidRDefault="00DB42D8" w:rsidP="00DB42D8">
      <w:pPr>
        <w:rPr>
          <w:sz w:val="20"/>
        </w:rPr>
      </w:pPr>
      <w:r w:rsidRPr="003A0E4C">
        <w:rPr>
          <w:sz w:val="20"/>
        </w:rPr>
        <w:lastRenderedPageBreak/>
        <w:t>© Commonwealth of Australia 2024</w:t>
      </w:r>
    </w:p>
    <w:p w14:paraId="6F7409E9" w14:textId="1351CD25" w:rsidR="00DB42D8" w:rsidRPr="003A0E4C" w:rsidRDefault="00DB42D8" w:rsidP="00072EF6">
      <w:pPr>
        <w:spacing w:before="0" w:after="0"/>
        <w:rPr>
          <w:sz w:val="20"/>
        </w:rPr>
      </w:pPr>
      <w:r w:rsidRPr="003A0E4C">
        <w:rPr>
          <w:sz w:val="20"/>
        </w:rPr>
        <w:t>ISBN</w:t>
      </w:r>
      <w:r w:rsidR="004E4C2E" w:rsidRPr="003A0E4C">
        <w:rPr>
          <w:sz w:val="20"/>
        </w:rPr>
        <w:t>:</w:t>
      </w:r>
      <w:r w:rsidR="00B03C38" w:rsidRPr="003A0E4C">
        <w:rPr>
          <w:sz w:val="20"/>
        </w:rPr>
        <w:t xml:space="preserve"> 978-1-74186-087-0</w:t>
      </w:r>
    </w:p>
    <w:p w14:paraId="3BB1AB3E" w14:textId="77777777" w:rsidR="00172CCC" w:rsidRPr="003A0E4C" w:rsidRDefault="00172CCC" w:rsidP="00072EF6">
      <w:pPr>
        <w:spacing w:before="0" w:after="0"/>
        <w:rPr>
          <w:sz w:val="20"/>
        </w:rPr>
      </w:pPr>
      <w:r w:rsidRPr="003A0E4C">
        <w:rPr>
          <w:sz w:val="20"/>
        </w:rPr>
        <w:t xml:space="preserve">Online ISBN: 978-1-74186-086-3 </w:t>
      </w:r>
    </w:p>
    <w:p w14:paraId="4437B106" w14:textId="3596DD0E" w:rsidR="00172CCC" w:rsidRPr="003A0E4C" w:rsidRDefault="00172CCC" w:rsidP="00072EF6">
      <w:pPr>
        <w:spacing w:before="0" w:after="0"/>
        <w:rPr>
          <w:sz w:val="20"/>
        </w:rPr>
      </w:pPr>
      <w:r w:rsidRPr="003A0E4C">
        <w:rPr>
          <w:sz w:val="20"/>
        </w:rPr>
        <w:t xml:space="preserve">Publications Number: DT0004096 </w:t>
      </w:r>
    </w:p>
    <w:p w14:paraId="51AD207C" w14:textId="2865161B" w:rsidR="00DB42D8" w:rsidRPr="003A0E4C" w:rsidRDefault="00DB42D8" w:rsidP="00DB42D8">
      <w:pPr>
        <w:tabs>
          <w:tab w:val="left" w:pos="1650"/>
        </w:tabs>
        <w:spacing w:before="100" w:beforeAutospacing="1" w:after="100" w:afterAutospacing="1"/>
        <w:rPr>
          <w:rStyle w:val="A5"/>
          <w:rFonts w:ascii="Calibri" w:hAnsi="Calibri"/>
        </w:rPr>
      </w:pPr>
      <w:r w:rsidRPr="003A0E4C">
        <w:rPr>
          <w:sz w:val="20"/>
        </w:rPr>
        <w:t>This publication is available for your use under a</w:t>
      </w:r>
      <w:r w:rsidRPr="003A0E4C">
        <w:rPr>
          <w:rStyle w:val="A5"/>
          <w:rFonts w:ascii="Calibri" w:hAnsi="Calibri" w:cs="Calibri"/>
        </w:rPr>
        <w:t xml:space="preserve"> </w:t>
      </w:r>
      <w:hyperlink r:id="rId19" w:history="1">
        <w:r w:rsidRPr="003A0E4C">
          <w:rPr>
            <w:rStyle w:val="Hyperlink"/>
            <w:sz w:val="20"/>
          </w:rPr>
          <w:t>Creative Commons BY Attribution 3.0 Australia</w:t>
        </w:r>
      </w:hyperlink>
      <w:r w:rsidRPr="003A0E4C">
        <w:rPr>
          <w:rStyle w:val="A5"/>
          <w:rFonts w:ascii="Calibri" w:hAnsi="Calibri" w:cs="Calibri"/>
        </w:rPr>
        <w:t xml:space="preserve"> </w:t>
      </w:r>
      <w:r w:rsidRPr="003A0E4C">
        <w:rPr>
          <w:sz w:val="20"/>
        </w:rPr>
        <w:t xml:space="preserve">licence, with the exception of the Commonwealth Coat of Arms, the </w:t>
      </w:r>
      <w:r w:rsidR="00926D43" w:rsidRPr="003A0E4C">
        <w:rPr>
          <w:sz w:val="20"/>
        </w:rPr>
        <w:t xml:space="preserve">Department of Health and Aged Care </w:t>
      </w:r>
      <w:r w:rsidRPr="003A0E4C">
        <w:rPr>
          <w:sz w:val="20"/>
        </w:rPr>
        <w:t>logo, photographs, images, signatures and</w:t>
      </w:r>
      <w:r w:rsidR="008F6DE9" w:rsidRPr="003A0E4C">
        <w:rPr>
          <w:sz w:val="20"/>
        </w:rPr>
        <w:t xml:space="preserve"> where otherwise stated. </w:t>
      </w:r>
      <w:r w:rsidRPr="003A0E4C">
        <w:rPr>
          <w:sz w:val="20"/>
        </w:rPr>
        <w:t>The full licence terms are available from</w:t>
      </w:r>
      <w:r w:rsidRPr="003A0E4C">
        <w:rPr>
          <w:rStyle w:val="A5"/>
          <w:rFonts w:ascii="Calibri" w:hAnsi="Calibri" w:cs="Calibri"/>
        </w:rPr>
        <w:t xml:space="preserve"> </w:t>
      </w:r>
      <w:hyperlink r:id="rId20" w:history="1">
        <w:r w:rsidRPr="003A0E4C">
          <w:rPr>
            <w:rStyle w:val="Hyperlink"/>
            <w:sz w:val="20"/>
          </w:rPr>
          <w:t>http://creativecommons.org/licenses/by/3.0/au/legalcode</w:t>
        </w:r>
      </w:hyperlink>
      <w:r w:rsidR="00B12D27" w:rsidRPr="003A0E4C">
        <w:rPr>
          <w:rStyle w:val="Hyperlink"/>
          <w:sz w:val="20"/>
        </w:rPr>
        <w:t>.</w:t>
      </w:r>
      <w:r w:rsidRPr="003A0E4C">
        <w:rPr>
          <w:color w:val="000000"/>
          <w:sz w:val="20"/>
        </w:rPr>
        <w:t xml:space="preserve"> </w:t>
      </w:r>
    </w:p>
    <w:p w14:paraId="79C4242A" w14:textId="77777777" w:rsidR="00DB42D8" w:rsidRPr="005B7E04" w:rsidRDefault="00DB42D8" w:rsidP="00DB42D8">
      <w:pPr>
        <w:tabs>
          <w:tab w:val="left" w:pos="1650"/>
        </w:tabs>
        <w:spacing w:before="100" w:beforeAutospacing="1" w:after="100" w:afterAutospacing="1" w:line="240" w:lineRule="auto"/>
        <w:rPr>
          <w:rFonts w:cs="Calibri"/>
          <w:sz w:val="20"/>
        </w:rPr>
      </w:pPr>
      <w:r w:rsidRPr="005B7E04">
        <w:rPr>
          <w:rFonts w:cs="Calibri"/>
          <w:noProof/>
          <w:color w:val="000000"/>
          <w:sz w:val="20"/>
        </w:rPr>
        <w:drawing>
          <wp:inline distT="0" distB="0" distL="0" distR="0" wp14:anchorId="230A2C86" wp14:editId="585AE712">
            <wp:extent cx="812165" cy="284257"/>
            <wp:effectExtent l="0" t="0" r="698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12165" cy="284257"/>
                    </a:xfrm>
                    <a:prstGeom prst="rect">
                      <a:avLst/>
                    </a:prstGeom>
                    <a:noFill/>
                    <a:ln>
                      <a:noFill/>
                    </a:ln>
                  </pic:spPr>
                </pic:pic>
              </a:graphicData>
            </a:graphic>
          </wp:inline>
        </w:drawing>
      </w:r>
    </w:p>
    <w:p w14:paraId="74AC4768" w14:textId="630ADB32" w:rsidR="00DB42D8" w:rsidRPr="003A0E4C" w:rsidRDefault="00DB42D8" w:rsidP="00DB42D8">
      <w:pPr>
        <w:tabs>
          <w:tab w:val="left" w:pos="1650"/>
        </w:tabs>
        <w:spacing w:before="100" w:beforeAutospacing="1" w:after="100" w:afterAutospacing="1"/>
        <w:rPr>
          <w:sz w:val="20"/>
        </w:rPr>
      </w:pPr>
      <w:r w:rsidRPr="003A0E4C">
        <w:rPr>
          <w:sz w:val="20"/>
        </w:rPr>
        <w:t xml:space="preserve">Use of </w:t>
      </w:r>
      <w:r w:rsidR="00926D43" w:rsidRPr="003A0E4C">
        <w:rPr>
          <w:sz w:val="20"/>
        </w:rPr>
        <w:t xml:space="preserve">the Department of Health and Aged Care </w:t>
      </w:r>
      <w:r w:rsidRPr="003A0E4C">
        <w:rPr>
          <w:sz w:val="20"/>
        </w:rPr>
        <w:t>material under a</w:t>
      </w:r>
      <w:r w:rsidRPr="003A0E4C">
        <w:rPr>
          <w:rFonts w:cs="Calibri"/>
          <w:color w:val="000000"/>
          <w:sz w:val="20"/>
        </w:rPr>
        <w:t xml:space="preserve"> </w:t>
      </w:r>
      <w:hyperlink r:id="rId22" w:history="1">
        <w:r w:rsidRPr="003A0E4C">
          <w:rPr>
            <w:rStyle w:val="Hyperlink"/>
            <w:sz w:val="20"/>
          </w:rPr>
          <w:t>Creative Commons BY Attribution 3.0 Australia</w:t>
        </w:r>
      </w:hyperlink>
      <w:r w:rsidRPr="003A0E4C">
        <w:rPr>
          <w:rStyle w:val="Hyperlink"/>
          <w:sz w:val="20"/>
          <w:u w:val="none"/>
        </w:rPr>
        <w:t xml:space="preserve"> </w:t>
      </w:r>
      <w:r w:rsidRPr="003A0E4C">
        <w:rPr>
          <w:sz w:val="20"/>
        </w:rPr>
        <w:t xml:space="preserve">licence requires you to attribute the work (but not in any way that suggests that the </w:t>
      </w:r>
      <w:r w:rsidR="00926D43" w:rsidRPr="003A0E4C">
        <w:rPr>
          <w:sz w:val="20"/>
        </w:rPr>
        <w:t xml:space="preserve">Department of Health and Aged Care </w:t>
      </w:r>
      <w:r w:rsidRPr="003A0E4C">
        <w:rPr>
          <w:sz w:val="20"/>
        </w:rPr>
        <w:t xml:space="preserve">endorses you or your use of the work). </w:t>
      </w:r>
    </w:p>
    <w:p w14:paraId="103C4D35" w14:textId="6BBD48F2" w:rsidR="00DB42D8" w:rsidRPr="003A0E4C" w:rsidRDefault="00926D43" w:rsidP="006451CB">
      <w:pPr>
        <w:spacing w:after="80"/>
        <w:rPr>
          <w:b/>
          <w:bCs/>
          <w:i/>
          <w:sz w:val="20"/>
        </w:rPr>
      </w:pPr>
      <w:r w:rsidRPr="00DF3C0F">
        <w:rPr>
          <w:rStyle w:val="Strong"/>
        </w:rPr>
        <w:t>The Department of Health and Aged Care</w:t>
      </w:r>
      <w:r w:rsidR="00DB42D8" w:rsidRPr="003A0E4C">
        <w:rPr>
          <w:b/>
          <w:bCs/>
          <w:i/>
          <w:sz w:val="20"/>
        </w:rPr>
        <w:t xml:space="preserve"> material used 'as </w:t>
      </w:r>
      <w:proofErr w:type="gramStart"/>
      <w:r w:rsidR="00DB42D8" w:rsidRPr="003A0E4C">
        <w:rPr>
          <w:b/>
          <w:bCs/>
          <w:i/>
          <w:sz w:val="20"/>
        </w:rPr>
        <w:t>supplied'</w:t>
      </w:r>
      <w:proofErr w:type="gramEnd"/>
    </w:p>
    <w:p w14:paraId="38406B78" w14:textId="3270FC4E" w:rsidR="00DB42D8" w:rsidRPr="003A0E4C" w:rsidRDefault="00DB42D8" w:rsidP="006451CB">
      <w:pPr>
        <w:spacing w:before="0"/>
        <w:rPr>
          <w:sz w:val="20"/>
        </w:rPr>
      </w:pPr>
      <w:r w:rsidRPr="003A0E4C">
        <w:rPr>
          <w:sz w:val="20"/>
        </w:rPr>
        <w:t xml:space="preserve">Provided you have not modified or transformed </w:t>
      </w:r>
      <w:r w:rsidR="008F6DE9" w:rsidRPr="003A0E4C">
        <w:rPr>
          <w:sz w:val="20"/>
        </w:rPr>
        <w:t xml:space="preserve">the Department of Health and Aged Care’s (the department) </w:t>
      </w:r>
      <w:r w:rsidRPr="003A0E4C">
        <w:rPr>
          <w:sz w:val="20"/>
        </w:rPr>
        <w:t xml:space="preserve">material in any way including, for example, by changing the text; calculating percentage changes; graphing or charting data; or deriving new statistics from published statistics – then </w:t>
      </w:r>
      <w:r w:rsidR="008F6DE9" w:rsidRPr="003A0E4C">
        <w:rPr>
          <w:sz w:val="20"/>
        </w:rPr>
        <w:t xml:space="preserve">the department </w:t>
      </w:r>
      <w:r w:rsidRPr="003A0E4C">
        <w:rPr>
          <w:sz w:val="20"/>
        </w:rPr>
        <w:t xml:space="preserve">prefers the following attribution: </w:t>
      </w:r>
      <w:r w:rsidRPr="003A0E4C">
        <w:rPr>
          <w:i/>
          <w:sz w:val="20"/>
        </w:rPr>
        <w:t xml:space="preserve">Source: The </w:t>
      </w:r>
      <w:r w:rsidRPr="003A0E4C">
        <w:rPr>
          <w:i/>
          <w:iCs/>
          <w:sz w:val="20"/>
        </w:rPr>
        <w:t>Australian Government </w:t>
      </w:r>
      <w:r w:rsidR="004C2521" w:rsidRPr="003A0E4C">
        <w:rPr>
          <w:i/>
          <w:sz w:val="20"/>
        </w:rPr>
        <w:t>Department of Health and Aged Care</w:t>
      </w:r>
      <w:r w:rsidR="009B6CBD" w:rsidRPr="003A0E4C">
        <w:rPr>
          <w:i/>
          <w:sz w:val="20"/>
        </w:rPr>
        <w:t>.</w:t>
      </w:r>
      <w:r w:rsidR="004C2521" w:rsidRPr="003A0E4C">
        <w:rPr>
          <w:i/>
          <w:iCs/>
          <w:sz w:val="20"/>
        </w:rPr>
        <w:t xml:space="preserve"> </w:t>
      </w:r>
    </w:p>
    <w:p w14:paraId="1A67B509" w14:textId="77777777" w:rsidR="00DB42D8" w:rsidRPr="00DF3C0F" w:rsidRDefault="00DB42D8" w:rsidP="00DF3C0F">
      <w:pPr>
        <w:rPr>
          <w:rStyle w:val="Strong"/>
        </w:rPr>
      </w:pPr>
      <w:r w:rsidRPr="00DF3C0F">
        <w:rPr>
          <w:rStyle w:val="Strong"/>
        </w:rPr>
        <w:t>Derivative material</w:t>
      </w:r>
    </w:p>
    <w:p w14:paraId="5D7B7A26" w14:textId="2A591BF7" w:rsidR="00DB42D8" w:rsidRPr="003A0E4C" w:rsidRDefault="00DB42D8" w:rsidP="006451CB">
      <w:pPr>
        <w:spacing w:before="0" w:after="0"/>
        <w:rPr>
          <w:sz w:val="20"/>
        </w:rPr>
      </w:pPr>
      <w:r w:rsidRPr="003A0E4C">
        <w:rPr>
          <w:sz w:val="20"/>
        </w:rPr>
        <w:t>If you have modified or transformed</w:t>
      </w:r>
      <w:r w:rsidR="00FE599C" w:rsidRPr="003A0E4C">
        <w:rPr>
          <w:sz w:val="20"/>
        </w:rPr>
        <w:t xml:space="preserve"> the department’s</w:t>
      </w:r>
      <w:r w:rsidR="00F51B52" w:rsidRPr="003A0E4C">
        <w:rPr>
          <w:sz w:val="20"/>
        </w:rPr>
        <w:t xml:space="preserve"> </w:t>
      </w:r>
      <w:proofErr w:type="gramStart"/>
      <w:r w:rsidRPr="003A0E4C">
        <w:rPr>
          <w:sz w:val="20"/>
        </w:rPr>
        <w:t>material, or</w:t>
      </w:r>
      <w:proofErr w:type="gramEnd"/>
      <w:r w:rsidRPr="003A0E4C">
        <w:rPr>
          <w:sz w:val="20"/>
        </w:rPr>
        <w:t xml:space="preserve"> derived new material from those of the </w:t>
      </w:r>
      <w:r w:rsidR="00FE599C" w:rsidRPr="003A0E4C">
        <w:rPr>
          <w:sz w:val="20"/>
        </w:rPr>
        <w:t>department</w:t>
      </w:r>
      <w:r w:rsidRPr="003A0E4C">
        <w:rPr>
          <w:sz w:val="20"/>
        </w:rPr>
        <w:t xml:space="preserve"> in any way, </w:t>
      </w:r>
      <w:r w:rsidR="00FE599C" w:rsidRPr="003A0E4C">
        <w:rPr>
          <w:sz w:val="20"/>
        </w:rPr>
        <w:t>then the department</w:t>
      </w:r>
      <w:r w:rsidRPr="003A0E4C">
        <w:rPr>
          <w:sz w:val="20"/>
        </w:rPr>
        <w:t xml:space="preserve"> prefers the following attribution: </w:t>
      </w:r>
      <w:r w:rsidRPr="003A0E4C">
        <w:rPr>
          <w:i/>
          <w:sz w:val="20"/>
        </w:rPr>
        <w:t xml:space="preserve">Based on The Australian Government </w:t>
      </w:r>
      <w:r w:rsidR="004C2521" w:rsidRPr="003A0E4C">
        <w:rPr>
          <w:i/>
          <w:sz w:val="20"/>
        </w:rPr>
        <w:t>Department of Health and Aged Care</w:t>
      </w:r>
      <w:r w:rsidR="00F51B52" w:rsidRPr="003A0E4C">
        <w:rPr>
          <w:i/>
          <w:sz w:val="20"/>
        </w:rPr>
        <w:t xml:space="preserve"> </w:t>
      </w:r>
      <w:r w:rsidRPr="003A0E4C">
        <w:rPr>
          <w:i/>
          <w:sz w:val="20"/>
        </w:rPr>
        <w:t>data</w:t>
      </w:r>
      <w:r w:rsidR="009B6CBD" w:rsidRPr="003A0E4C">
        <w:rPr>
          <w:i/>
          <w:sz w:val="20"/>
        </w:rPr>
        <w:t>.</w:t>
      </w:r>
      <w:r w:rsidRPr="003A0E4C">
        <w:rPr>
          <w:strike/>
          <w:sz w:val="20"/>
        </w:rPr>
        <w:t xml:space="preserve"> </w:t>
      </w:r>
    </w:p>
    <w:p w14:paraId="6509FB63" w14:textId="77777777" w:rsidR="00DB42D8" w:rsidRPr="00DF3C0F" w:rsidRDefault="00DB42D8" w:rsidP="00DF3C0F">
      <w:pPr>
        <w:rPr>
          <w:rStyle w:val="Strong"/>
        </w:rPr>
      </w:pPr>
      <w:r w:rsidRPr="00DF3C0F">
        <w:rPr>
          <w:rStyle w:val="Strong"/>
        </w:rPr>
        <w:t>Use of the Coat of Arms</w:t>
      </w:r>
    </w:p>
    <w:p w14:paraId="4AFE0145" w14:textId="77777777" w:rsidR="00DB42D8" w:rsidRPr="003A0E4C" w:rsidRDefault="00DB42D8" w:rsidP="006451CB">
      <w:pPr>
        <w:spacing w:before="0"/>
        <w:rPr>
          <w:sz w:val="20"/>
        </w:rPr>
      </w:pPr>
      <w:r w:rsidRPr="003A0E4C">
        <w:rPr>
          <w:sz w:val="20"/>
        </w:rPr>
        <w:t xml:space="preserve">The terms under which the Coat of Arms can be used are set out on the Department of the Prime Minister and Cabinet website (see </w:t>
      </w:r>
      <w:hyperlink r:id="rId23" w:history="1">
        <w:r w:rsidRPr="003A0E4C">
          <w:rPr>
            <w:rStyle w:val="Hyperlink"/>
            <w:sz w:val="20"/>
          </w:rPr>
          <w:t>www.pmc.gov.au/honours-and-symbols/commonwealth-coat-arms</w:t>
        </w:r>
      </w:hyperlink>
      <w:r w:rsidRPr="003A0E4C">
        <w:rPr>
          <w:sz w:val="20"/>
        </w:rPr>
        <w:t>)</w:t>
      </w:r>
    </w:p>
    <w:p w14:paraId="3F51E13B" w14:textId="77777777" w:rsidR="008F7289" w:rsidRPr="00DF3C0F" w:rsidRDefault="00DB42D8" w:rsidP="00DF3C0F">
      <w:pPr>
        <w:rPr>
          <w:rStyle w:val="Strong"/>
        </w:rPr>
      </w:pPr>
      <w:r w:rsidRPr="00DF3C0F">
        <w:rPr>
          <w:rStyle w:val="Strong"/>
        </w:rPr>
        <w:t>Other Uses</w:t>
      </w:r>
    </w:p>
    <w:p w14:paraId="0CDED853" w14:textId="2E92584A" w:rsidR="00DB42D8" w:rsidRPr="004E4C2E" w:rsidRDefault="00DB42D8" w:rsidP="008F7289">
      <w:pPr>
        <w:spacing w:before="0" w:after="80"/>
        <w:rPr>
          <w:sz w:val="20"/>
        </w:rPr>
      </w:pPr>
      <w:r w:rsidRPr="003A0E4C">
        <w:rPr>
          <w:sz w:val="20"/>
        </w:rPr>
        <w:t>Inquiries regarding this licence and any other use of</w:t>
      </w:r>
      <w:r w:rsidR="004E4C2E" w:rsidRPr="003A0E4C">
        <w:rPr>
          <w:sz w:val="20"/>
        </w:rPr>
        <w:t xml:space="preserve"> this document should be </w:t>
      </w:r>
      <w:r w:rsidR="00543616" w:rsidRPr="003A0E4C">
        <w:rPr>
          <w:sz w:val="20"/>
        </w:rPr>
        <w:t>addressed to the Branch Manager, Communication and Change Branch, Department of Health and Aged Care, GPO Box 98</w:t>
      </w:r>
      <w:r w:rsidR="006451CB">
        <w:rPr>
          <w:sz w:val="20"/>
        </w:rPr>
        <w:t>48, Canberra ACT 2601, or via e</w:t>
      </w:r>
      <w:r w:rsidR="00543616" w:rsidRPr="003A0E4C">
        <w:rPr>
          <w:sz w:val="20"/>
        </w:rPr>
        <w:t xml:space="preserve">mail to corporatecomms@health.gov.au </w:t>
      </w:r>
      <w:r w:rsidRPr="005B7E04">
        <w:rPr>
          <w:sz w:val="20"/>
        </w:rPr>
        <w:br w:type="page"/>
      </w:r>
    </w:p>
    <w:p w14:paraId="66462057" w14:textId="4E94020E" w:rsidR="00DB42D8" w:rsidRDefault="00DB42D8" w:rsidP="00DB42D8"/>
    <w:bookmarkEnd w:id="1"/>
    <w:bookmarkEnd w:id="2"/>
    <w:bookmarkEnd w:id="3"/>
    <w:p w14:paraId="2B53992D" w14:textId="0D6B3F72" w:rsidR="00DB42D8" w:rsidRDefault="00620FDF" w:rsidP="00DB42D8">
      <w:pPr>
        <w:sectPr w:rsidR="00DB42D8" w:rsidSect="008F07DB">
          <w:headerReference w:type="even" r:id="rId24"/>
          <w:headerReference w:type="default" r:id="rId25"/>
          <w:headerReference w:type="first" r:id="rId26"/>
          <w:footerReference w:type="first" r:id="rId27"/>
          <w:pgSz w:w="11907" w:h="16840" w:code="9"/>
          <w:pgMar w:top="2835" w:right="2098" w:bottom="2466" w:left="2098" w:header="1814" w:footer="1814" w:gutter="0"/>
          <w:pgNumType w:fmt="lowerRoman"/>
          <w:cols w:space="720"/>
          <w:titlePg/>
        </w:sectPr>
      </w:pPr>
      <w:r>
        <w:rPr>
          <w:noProof/>
        </w:rPr>
        <w:drawing>
          <wp:anchor distT="0" distB="0" distL="114300" distR="114300" simplePos="0" relativeHeight="251658240" behindDoc="0" locked="0" layoutInCell="1" allowOverlap="1" wp14:anchorId="5CAD1F98" wp14:editId="6C75F489">
            <wp:simplePos x="0" y="0"/>
            <wp:positionH relativeFrom="column">
              <wp:posOffset>-5706</wp:posOffset>
            </wp:positionH>
            <wp:positionV relativeFrom="paragraph">
              <wp:posOffset>-305140</wp:posOffset>
            </wp:positionV>
            <wp:extent cx="4896485" cy="692023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96485" cy="6920230"/>
                    </a:xfrm>
                    <a:prstGeom prst="rect">
                      <a:avLst/>
                    </a:prstGeom>
                  </pic:spPr>
                </pic:pic>
              </a:graphicData>
            </a:graphic>
            <wp14:sizeRelH relativeFrom="page">
              <wp14:pctWidth>0</wp14:pctWidth>
            </wp14:sizeRelH>
            <wp14:sizeRelV relativeFrom="page">
              <wp14:pctHeight>0</wp14:pctHeight>
            </wp14:sizeRelV>
          </wp:anchor>
        </w:drawing>
      </w:r>
    </w:p>
    <w:p w14:paraId="41281895" w14:textId="77777777" w:rsidR="00DB42D8" w:rsidRPr="00DF3C0F" w:rsidRDefault="00DB42D8" w:rsidP="00DF3C0F">
      <w:pPr>
        <w:rPr>
          <w:rStyle w:val="Strong"/>
        </w:rPr>
      </w:pPr>
      <w:r w:rsidRPr="00DF3C0F">
        <w:rPr>
          <w:rStyle w:val="Strong"/>
        </w:rPr>
        <w:lastRenderedPageBreak/>
        <w:t xml:space="preserve">Abbreviations and conventions </w:t>
      </w:r>
    </w:p>
    <w:p w14:paraId="3A43DFAD" w14:textId="77777777" w:rsidR="00DB42D8" w:rsidRPr="00EF3025" w:rsidRDefault="00DB42D8" w:rsidP="00DB42D8">
      <w:pPr>
        <w:tabs>
          <w:tab w:val="left" w:pos="567"/>
        </w:tabs>
        <w:rPr>
          <w:sz w:val="20"/>
        </w:rPr>
      </w:pPr>
      <w:r w:rsidRPr="00EF3025">
        <w:rPr>
          <w:sz w:val="20"/>
        </w:rPr>
        <w:t>The following notations may be used:</w:t>
      </w:r>
    </w:p>
    <w:p w14:paraId="58E8B7A1" w14:textId="77777777" w:rsidR="00DB42D8" w:rsidRPr="00EF3025" w:rsidRDefault="00DB42D8" w:rsidP="00DB42D8">
      <w:pPr>
        <w:tabs>
          <w:tab w:val="left" w:pos="567"/>
          <w:tab w:val="left" w:pos="1701"/>
        </w:tabs>
        <w:spacing w:after="60"/>
        <w:ind w:left="567"/>
        <w:rPr>
          <w:sz w:val="20"/>
        </w:rPr>
      </w:pPr>
      <w:r w:rsidRPr="00EF3025">
        <w:rPr>
          <w:sz w:val="20"/>
        </w:rPr>
        <w:t>NEC/</w:t>
      </w:r>
      <w:proofErr w:type="spellStart"/>
      <w:r w:rsidRPr="00EF3025">
        <w:rPr>
          <w:sz w:val="20"/>
        </w:rPr>
        <w:t>nec</w:t>
      </w:r>
      <w:proofErr w:type="spellEnd"/>
      <w:r w:rsidRPr="00EF3025">
        <w:rPr>
          <w:sz w:val="20"/>
        </w:rPr>
        <w:tab/>
        <w:t xml:space="preserve">not elsewhere </w:t>
      </w:r>
      <w:proofErr w:type="gramStart"/>
      <w:r w:rsidRPr="00EF3025">
        <w:rPr>
          <w:sz w:val="20"/>
        </w:rPr>
        <w:t>classified</w:t>
      </w:r>
      <w:proofErr w:type="gramEnd"/>
    </w:p>
    <w:p w14:paraId="72D975C6" w14:textId="77777777" w:rsidR="00DB42D8" w:rsidRPr="00EF3025" w:rsidRDefault="00DB42D8" w:rsidP="00DB42D8">
      <w:pPr>
        <w:tabs>
          <w:tab w:val="left" w:pos="567"/>
          <w:tab w:val="left" w:pos="1701"/>
        </w:tabs>
        <w:spacing w:after="60"/>
        <w:ind w:left="567"/>
        <w:rPr>
          <w:sz w:val="20"/>
        </w:rPr>
      </w:pPr>
      <w:r w:rsidRPr="00EF3025">
        <w:rPr>
          <w:sz w:val="20"/>
        </w:rPr>
        <w:noBreakHyphen/>
      </w:r>
      <w:r w:rsidRPr="00EF3025">
        <w:rPr>
          <w:sz w:val="20"/>
        </w:rPr>
        <w:tab/>
        <w:t>nil</w:t>
      </w:r>
    </w:p>
    <w:p w14:paraId="1B88286A" w14:textId="77777777" w:rsidR="00DB42D8" w:rsidRPr="00EF3025" w:rsidRDefault="00DB42D8" w:rsidP="00DB42D8">
      <w:pPr>
        <w:tabs>
          <w:tab w:val="left" w:pos="567"/>
          <w:tab w:val="left" w:pos="1701"/>
        </w:tabs>
        <w:spacing w:after="60"/>
        <w:ind w:left="567"/>
        <w:rPr>
          <w:sz w:val="20"/>
        </w:rPr>
      </w:pPr>
      <w:r w:rsidRPr="00EF3025">
        <w:rPr>
          <w:sz w:val="20"/>
        </w:rPr>
        <w:t>..</w:t>
      </w:r>
      <w:r w:rsidRPr="00EF3025">
        <w:rPr>
          <w:sz w:val="20"/>
        </w:rPr>
        <w:tab/>
        <w:t xml:space="preserve">not zero, but rounded to </w:t>
      </w:r>
      <w:proofErr w:type="gramStart"/>
      <w:r w:rsidRPr="00EF3025">
        <w:rPr>
          <w:sz w:val="20"/>
        </w:rPr>
        <w:t>zero</w:t>
      </w:r>
      <w:proofErr w:type="gramEnd"/>
    </w:p>
    <w:p w14:paraId="51832B2C" w14:textId="3A28A935" w:rsidR="00DB42D8" w:rsidRPr="00EF3025" w:rsidRDefault="00A00D41" w:rsidP="00DB42D8">
      <w:pPr>
        <w:tabs>
          <w:tab w:val="left" w:pos="567"/>
          <w:tab w:val="left" w:pos="1701"/>
        </w:tabs>
        <w:spacing w:after="60"/>
        <w:ind w:left="567"/>
        <w:rPr>
          <w:sz w:val="20"/>
        </w:rPr>
      </w:pPr>
      <w:r>
        <w:rPr>
          <w:sz w:val="20"/>
        </w:rPr>
        <w:t>N/A</w:t>
      </w:r>
      <w:r w:rsidR="00DB42D8" w:rsidRPr="00EF3025">
        <w:rPr>
          <w:sz w:val="20"/>
        </w:rPr>
        <w:tab/>
        <w:t>not applicable (unless otherwise specified)</w:t>
      </w:r>
    </w:p>
    <w:p w14:paraId="301C0775" w14:textId="77777777" w:rsidR="00DB42D8" w:rsidRPr="00EF3025" w:rsidRDefault="00DB42D8" w:rsidP="00DB42D8">
      <w:pPr>
        <w:tabs>
          <w:tab w:val="left" w:pos="567"/>
          <w:tab w:val="left" w:pos="1701"/>
        </w:tabs>
        <w:spacing w:after="60"/>
        <w:ind w:left="567"/>
        <w:rPr>
          <w:sz w:val="20"/>
        </w:rPr>
      </w:pPr>
      <w:proofErr w:type="spellStart"/>
      <w:r w:rsidRPr="00EF3025">
        <w:rPr>
          <w:sz w:val="20"/>
        </w:rPr>
        <w:t>nfp</w:t>
      </w:r>
      <w:proofErr w:type="spellEnd"/>
      <w:r w:rsidRPr="00EF3025">
        <w:rPr>
          <w:sz w:val="20"/>
        </w:rPr>
        <w:tab/>
        <w:t>not for publication</w:t>
      </w:r>
    </w:p>
    <w:p w14:paraId="3E56F07E" w14:textId="15A474CB" w:rsidR="00DB42D8" w:rsidRDefault="00DB42D8" w:rsidP="00DB42D8">
      <w:pPr>
        <w:tabs>
          <w:tab w:val="left" w:pos="567"/>
          <w:tab w:val="left" w:pos="1701"/>
        </w:tabs>
        <w:spacing w:after="60"/>
        <w:ind w:left="567"/>
        <w:rPr>
          <w:sz w:val="20"/>
        </w:rPr>
      </w:pPr>
      <w:r w:rsidRPr="00EF3025">
        <w:rPr>
          <w:sz w:val="20"/>
        </w:rPr>
        <w:t>$m</w:t>
      </w:r>
      <w:r w:rsidRPr="00EF3025">
        <w:rPr>
          <w:sz w:val="20"/>
        </w:rPr>
        <w:tab/>
        <w:t>$ million</w:t>
      </w:r>
    </w:p>
    <w:p w14:paraId="61214A90" w14:textId="495D269C" w:rsidR="00A00D41" w:rsidRPr="00EF3025" w:rsidRDefault="00A00D41" w:rsidP="00DB42D8">
      <w:pPr>
        <w:tabs>
          <w:tab w:val="left" w:pos="567"/>
          <w:tab w:val="left" w:pos="1701"/>
        </w:tabs>
        <w:spacing w:after="60"/>
        <w:ind w:left="567"/>
        <w:rPr>
          <w:sz w:val="20"/>
        </w:rPr>
      </w:pPr>
      <w:r>
        <w:rPr>
          <w:sz w:val="20"/>
        </w:rPr>
        <w:t>$b</w:t>
      </w:r>
      <w:r>
        <w:rPr>
          <w:sz w:val="20"/>
        </w:rPr>
        <w:tab/>
        <w:t>$ billion</w:t>
      </w:r>
    </w:p>
    <w:p w14:paraId="2854D536" w14:textId="77777777" w:rsidR="00DB42D8" w:rsidRPr="00EF3025" w:rsidRDefault="00DB42D8" w:rsidP="00DB42D8">
      <w:pPr>
        <w:rPr>
          <w:sz w:val="20"/>
        </w:rPr>
      </w:pPr>
      <w:r w:rsidRPr="00EF3025">
        <w:rPr>
          <w:sz w:val="20"/>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59843E60" w14:textId="77777777" w:rsidR="00DB42D8" w:rsidRPr="00DF3C0F" w:rsidRDefault="00DB42D8" w:rsidP="00DF3C0F">
      <w:pPr>
        <w:rPr>
          <w:rStyle w:val="Strong"/>
        </w:rPr>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DF3C0F">
        <w:rPr>
          <w:rStyle w:val="Strong"/>
        </w:rPr>
        <w:t>Enquiries</w:t>
      </w:r>
      <w:bookmarkEnd w:id="4"/>
      <w:bookmarkEnd w:id="5"/>
      <w:bookmarkEnd w:id="6"/>
      <w:bookmarkEnd w:id="7"/>
      <w:bookmarkEnd w:id="8"/>
      <w:bookmarkEnd w:id="9"/>
      <w:bookmarkEnd w:id="10"/>
    </w:p>
    <w:p w14:paraId="4159C6D6" w14:textId="00F7D98F" w:rsidR="00DB42D8" w:rsidRPr="003A0E4C" w:rsidRDefault="00DB42D8" w:rsidP="00DB42D8">
      <w:pPr>
        <w:rPr>
          <w:sz w:val="20"/>
        </w:rPr>
      </w:pPr>
      <w:r w:rsidRPr="003A0E4C">
        <w:rPr>
          <w:sz w:val="20"/>
        </w:rPr>
        <w:t>Should you have any enquiries regarding this publication please contact</w:t>
      </w:r>
      <w:r w:rsidR="003D407D" w:rsidRPr="003A0E4C">
        <w:rPr>
          <w:color w:val="000000" w:themeColor="text1"/>
          <w:sz w:val="20"/>
        </w:rPr>
        <w:t xml:space="preserve"> the </w:t>
      </w:r>
      <w:r w:rsidR="009B6CBD" w:rsidRPr="003A0E4C">
        <w:rPr>
          <w:color w:val="000000" w:themeColor="text1"/>
          <w:sz w:val="20"/>
        </w:rPr>
        <w:t xml:space="preserve">Performance Reporting Section </w:t>
      </w:r>
      <w:r w:rsidR="003D407D" w:rsidRPr="003A0E4C">
        <w:rPr>
          <w:color w:val="000000" w:themeColor="text1"/>
          <w:sz w:val="20"/>
        </w:rPr>
        <w:t xml:space="preserve">Director, Department of </w:t>
      </w:r>
      <w:proofErr w:type="gramStart"/>
      <w:r w:rsidR="003D407D" w:rsidRPr="003A0E4C">
        <w:rPr>
          <w:color w:val="000000" w:themeColor="text1"/>
          <w:sz w:val="20"/>
        </w:rPr>
        <w:t>Health</w:t>
      </w:r>
      <w:proofErr w:type="gramEnd"/>
      <w:r w:rsidR="003D407D" w:rsidRPr="003A0E4C">
        <w:rPr>
          <w:color w:val="000000" w:themeColor="text1"/>
          <w:sz w:val="20"/>
        </w:rPr>
        <w:t xml:space="preserve"> and Aged Care on</w:t>
      </w:r>
      <w:r w:rsidR="003D407D" w:rsidRPr="003A0E4C">
        <w:rPr>
          <w:color w:val="000000" w:themeColor="text1"/>
          <w:sz w:val="20"/>
        </w:rPr>
        <w:br/>
        <w:t>(02) 6289 7181.</w:t>
      </w:r>
    </w:p>
    <w:p w14:paraId="2C2DD10A" w14:textId="0C972B62" w:rsidR="00DB42D8" w:rsidRPr="003A0E4C" w:rsidRDefault="00DB42D8" w:rsidP="00DB42D8">
      <w:pPr>
        <w:rPr>
          <w:sz w:val="20"/>
        </w:rPr>
      </w:pPr>
      <w:r w:rsidRPr="003A0E4C">
        <w:rPr>
          <w:sz w:val="20"/>
        </w:rPr>
        <w:t xml:space="preserve">Links to Portfolio Budget Statements (including Portfolio Additional Estimates Statements and Portfolio Supplementary Additional Estimates Statements) can be located on the Australian Government Budget website at </w:t>
      </w:r>
      <w:hyperlink r:id="rId29" w:history="1">
        <w:r w:rsidRPr="003A0E4C">
          <w:rPr>
            <w:rStyle w:val="Hyperlink"/>
            <w:sz w:val="20"/>
          </w:rPr>
          <w:t>www.budget.gov.au</w:t>
        </w:r>
      </w:hyperlink>
    </w:p>
    <w:p w14:paraId="695CFD28" w14:textId="5259218D" w:rsidR="00461016" w:rsidRPr="003A0E4C" w:rsidRDefault="00461016" w:rsidP="00461016">
      <w:pPr>
        <w:sectPr w:rsidR="00461016" w:rsidRPr="003A0E4C" w:rsidSect="008F07DB">
          <w:headerReference w:type="even" r:id="rId30"/>
          <w:headerReference w:type="default" r:id="rId31"/>
          <w:footerReference w:type="even" r:id="rId32"/>
          <w:footerReference w:type="default" r:id="rId33"/>
          <w:headerReference w:type="first" r:id="rId34"/>
          <w:footerReference w:type="first" r:id="rId35"/>
          <w:pgSz w:w="11907" w:h="16840" w:code="9"/>
          <w:pgMar w:top="2835" w:right="2098" w:bottom="2466" w:left="2098" w:header="1814" w:footer="1814" w:gutter="0"/>
          <w:pgNumType w:fmt="lowerRoman"/>
          <w:cols w:space="720"/>
          <w:titlePg/>
        </w:sectPr>
      </w:pPr>
    </w:p>
    <w:p w14:paraId="03473C55" w14:textId="67429454" w:rsidR="00DB42D8" w:rsidRPr="00EE330C" w:rsidRDefault="00DB42D8" w:rsidP="00DB42D8">
      <w:pPr>
        <w:pStyle w:val="PartHeading-NoTOC"/>
        <w:rPr>
          <w:szCs w:val="52"/>
        </w:rPr>
      </w:pPr>
      <w:bookmarkStart w:id="11" w:name="_Toc112211948"/>
      <w:bookmarkStart w:id="12" w:name="_Toc112212042"/>
      <w:bookmarkStart w:id="13" w:name="_Toc112137860"/>
      <w:bookmarkStart w:id="14" w:name="_Toc112224367"/>
      <w:bookmarkStart w:id="15" w:name="_Toc210646443"/>
      <w:bookmarkStart w:id="16" w:name="_Toc210698422"/>
      <w:r w:rsidRPr="005E5C4A">
        <w:rPr>
          <w:szCs w:val="52"/>
        </w:rPr>
        <w:lastRenderedPageBreak/>
        <w:t>User guide</w:t>
      </w:r>
      <w:r w:rsidRPr="005E5C4A">
        <w:rPr>
          <w:szCs w:val="52"/>
        </w:rPr>
        <w:br/>
        <w:t>to the</w:t>
      </w:r>
      <w:r w:rsidRPr="00EE330C">
        <w:rPr>
          <w:szCs w:val="52"/>
        </w:rPr>
        <w:br/>
        <w:t>Portfolio Additional</w:t>
      </w:r>
      <w:r w:rsidRPr="00EE330C">
        <w:rPr>
          <w:szCs w:val="52"/>
        </w:rPr>
        <w:br/>
        <w:t>Estimate</w:t>
      </w:r>
      <w:r w:rsidR="00A00D41">
        <w:rPr>
          <w:szCs w:val="52"/>
        </w:rPr>
        <w:t>s</w:t>
      </w:r>
      <w:r w:rsidRPr="00EE330C">
        <w:rPr>
          <w:szCs w:val="52"/>
        </w:rPr>
        <w:t xml:space="preserve"> Statements</w:t>
      </w:r>
    </w:p>
    <w:p w14:paraId="73799557" w14:textId="77777777" w:rsidR="00BA6C8E" w:rsidRDefault="00BA6C8E" w:rsidP="00DB42D8">
      <w:pPr>
        <w:pStyle w:val="Heading1-NoTOC"/>
        <w:sectPr w:rsidR="00BA6C8E" w:rsidSect="008F07DB">
          <w:footerReference w:type="even" r:id="rId36"/>
          <w:footerReference w:type="default" r:id="rId37"/>
          <w:headerReference w:type="first" r:id="rId38"/>
          <w:footerReference w:type="first" r:id="rId39"/>
          <w:type w:val="oddPage"/>
          <w:pgSz w:w="11907" w:h="16840" w:code="9"/>
          <w:pgMar w:top="2835" w:right="2098" w:bottom="2466" w:left="2098" w:header="1814" w:footer="1814" w:gutter="0"/>
          <w:cols w:space="720"/>
          <w:titlePg/>
        </w:sectPr>
      </w:pPr>
    </w:p>
    <w:p w14:paraId="25D0DC27" w14:textId="56E3928A" w:rsidR="00DB42D8" w:rsidRDefault="00DB42D8" w:rsidP="00DB42D8">
      <w:pPr>
        <w:pStyle w:val="Heading1-NoTOC"/>
      </w:pPr>
      <w:r>
        <w:lastRenderedPageBreak/>
        <w:t>User Guide</w:t>
      </w:r>
      <w:bookmarkEnd w:id="11"/>
      <w:bookmarkEnd w:id="12"/>
      <w:bookmarkEnd w:id="13"/>
      <w:bookmarkEnd w:id="14"/>
      <w:bookmarkEnd w:id="15"/>
      <w:bookmarkEnd w:id="16"/>
    </w:p>
    <w:p w14:paraId="589A8581" w14:textId="45E428F3" w:rsidR="00DB42D8" w:rsidRPr="00EF3025" w:rsidRDefault="00DB42D8" w:rsidP="00DB42D8">
      <w:pPr>
        <w:tabs>
          <w:tab w:val="right" w:pos="7088"/>
        </w:tabs>
        <w:rPr>
          <w:sz w:val="20"/>
        </w:rPr>
      </w:pPr>
      <w:r w:rsidRPr="00EF3025">
        <w:rPr>
          <w:sz w:val="20"/>
        </w:rPr>
        <w:t>The purpose of the 2023</w:t>
      </w:r>
      <w:r w:rsidR="003A0E4C">
        <w:rPr>
          <w:sz w:val="20"/>
        </w:rPr>
        <w:t>–</w:t>
      </w:r>
      <w:r w:rsidRPr="00EF3025">
        <w:rPr>
          <w:sz w:val="20"/>
        </w:rPr>
        <w:t>24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EF3025">
        <w:rPr>
          <w:sz w:val="20"/>
        </w:rPr>
        <w:noBreakHyphen/>
        <w:t>financial planned performance of programs supporting those outcomes.</w:t>
      </w:r>
    </w:p>
    <w:p w14:paraId="3B008EB0" w14:textId="77777777" w:rsidR="00DB42D8" w:rsidRPr="00EF3025" w:rsidRDefault="00DB42D8" w:rsidP="00DB42D8">
      <w:pPr>
        <w:tabs>
          <w:tab w:val="right" w:pos="7088"/>
        </w:tabs>
        <w:rPr>
          <w:sz w:val="20"/>
        </w:rPr>
      </w:pPr>
      <w:r w:rsidRPr="00EF3025">
        <w:rPr>
          <w:sz w:val="20"/>
        </w:rPr>
        <w:t>The PAES facilitate understanding of the proposed appropriations in Appropriation Bills (Nos. 3 and 4)</w:t>
      </w:r>
      <w:r w:rsidRPr="00EF3025">
        <w:rPr>
          <w:i/>
          <w:sz w:val="20"/>
        </w:rPr>
        <w:t xml:space="preserve"> </w:t>
      </w:r>
      <w:r w:rsidRPr="00EF3025">
        <w:rPr>
          <w:sz w:val="20"/>
        </w:rPr>
        <w:t>and Appropriation (Parliamentary Departments) Bill (No. 2</w:t>
      </w:r>
      <w:r w:rsidRPr="00EF3025">
        <w:rPr>
          <w:i/>
          <w:sz w:val="20"/>
        </w:rPr>
        <w:t xml:space="preserve">) </w:t>
      </w:r>
      <w:r w:rsidRPr="00EF3025">
        <w:rPr>
          <w:sz w:val="20"/>
        </w:rPr>
        <w:br/>
      </w:r>
      <w:r w:rsidRPr="00AD1CC3">
        <w:rPr>
          <w:sz w:val="20"/>
        </w:rPr>
        <w:t>2023</w:t>
      </w:r>
      <w:r w:rsidR="005E55CA" w:rsidRPr="00AD1CC3">
        <w:rPr>
          <w:sz w:val="20"/>
        </w:rPr>
        <w:t>–</w:t>
      </w:r>
      <w:r w:rsidRPr="00AD1CC3">
        <w:rPr>
          <w:sz w:val="20"/>
        </w:rPr>
        <w:t>2024</w:t>
      </w:r>
      <w:r w:rsidRPr="00EF3025">
        <w:rPr>
          <w:sz w:val="20"/>
        </w:rPr>
        <w:t xml:space="preserve">. In this sense, the PAES is declared by the Additional Estimates Appropriation Bills to be a ‘relevant document’ to the interpretation of the Bills according to section 15AB of the </w:t>
      </w:r>
      <w:r w:rsidRPr="00EF3025">
        <w:rPr>
          <w:i/>
          <w:sz w:val="20"/>
        </w:rPr>
        <w:t>Acts Interpretation Act 1901</w:t>
      </w:r>
      <w:r w:rsidRPr="00EF3025">
        <w:rPr>
          <w:sz w:val="20"/>
        </w:rPr>
        <w:t>.</w:t>
      </w:r>
    </w:p>
    <w:p w14:paraId="1F6ED433" w14:textId="77777777" w:rsidR="00DB42D8" w:rsidRPr="004C0BD7" w:rsidRDefault="00DB42D8" w:rsidP="00DB42D8">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9CF6F55" w14:textId="77777777" w:rsidR="00DB42D8" w:rsidRPr="00352426" w:rsidRDefault="00DB42D8" w:rsidP="00DB42D8">
      <w:pPr>
        <w:tabs>
          <w:tab w:val="right" w:pos="7088"/>
        </w:tabs>
        <w:rPr>
          <w:sz w:val="20"/>
        </w:rPr>
      </w:pPr>
      <w:r w:rsidRPr="00352426">
        <w:rPr>
          <w:sz w:val="20"/>
        </w:rP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DB42D8" w:rsidRPr="00352426" w14:paraId="5D463E73" w14:textId="77777777" w:rsidTr="008F07DB">
        <w:trPr>
          <w:cantSplit/>
          <w:jc w:val="center"/>
        </w:trPr>
        <w:tc>
          <w:tcPr>
            <w:tcW w:w="7711" w:type="dxa"/>
            <w:gridSpan w:val="2"/>
            <w:shd w:val="clear" w:color="auto" w:fill="E6E6E6"/>
          </w:tcPr>
          <w:p w14:paraId="25EF02AC" w14:textId="77777777" w:rsidR="00DB42D8" w:rsidRPr="00352426" w:rsidRDefault="00DB42D8" w:rsidP="008F07DB">
            <w:pPr>
              <w:pStyle w:val="TableHeading2ndLevelWord"/>
              <w:spacing w:before="74" w:after="74"/>
              <w:rPr>
                <w:rFonts w:ascii="Book Antiqua" w:hAnsi="Book Antiqua"/>
                <w:sz w:val="20"/>
              </w:rPr>
            </w:pPr>
            <w:r w:rsidRPr="00352426">
              <w:rPr>
                <w:rFonts w:ascii="Book Antiqua" w:hAnsi="Book Antiqua"/>
                <w:sz w:val="20"/>
              </w:rPr>
              <w:t>User guide</w:t>
            </w:r>
          </w:p>
        </w:tc>
      </w:tr>
      <w:tr w:rsidR="00DB42D8" w:rsidRPr="00352426" w14:paraId="475BDFB7" w14:textId="77777777" w:rsidTr="008F07DB">
        <w:trPr>
          <w:cantSplit/>
          <w:jc w:val="center"/>
        </w:trPr>
        <w:tc>
          <w:tcPr>
            <w:tcW w:w="7711" w:type="dxa"/>
            <w:gridSpan w:val="2"/>
          </w:tcPr>
          <w:p w14:paraId="6AD6A3EE"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Provides a brief introduction explaining the purpose of the PAES.</w:t>
            </w:r>
          </w:p>
        </w:tc>
      </w:tr>
      <w:tr w:rsidR="00DB42D8" w:rsidRPr="00352426" w14:paraId="12E9B88B" w14:textId="77777777" w:rsidTr="008F07DB">
        <w:trPr>
          <w:cantSplit/>
          <w:jc w:val="center"/>
        </w:trPr>
        <w:tc>
          <w:tcPr>
            <w:tcW w:w="2268" w:type="dxa"/>
            <w:shd w:val="clear" w:color="auto" w:fill="E6E6E6"/>
          </w:tcPr>
          <w:p w14:paraId="2AA24BDE" w14:textId="77777777" w:rsidR="00DB42D8" w:rsidRPr="00352426" w:rsidRDefault="00DB42D8" w:rsidP="008F07DB">
            <w:pPr>
              <w:pStyle w:val="TableHeading2ndLevelWord"/>
              <w:spacing w:before="74" w:after="74"/>
              <w:rPr>
                <w:rFonts w:ascii="Book Antiqua" w:hAnsi="Book Antiqua"/>
                <w:sz w:val="20"/>
              </w:rPr>
            </w:pPr>
            <w:r w:rsidRPr="00352426">
              <w:rPr>
                <w:rFonts w:ascii="Book Antiqua" w:hAnsi="Book Antiqua"/>
                <w:sz w:val="20"/>
              </w:rPr>
              <w:t>Portfolio overview</w:t>
            </w:r>
          </w:p>
        </w:tc>
        <w:tc>
          <w:tcPr>
            <w:tcW w:w="5443" w:type="dxa"/>
            <w:shd w:val="clear" w:color="auto" w:fill="E6E6E6"/>
          </w:tcPr>
          <w:p w14:paraId="2F455C11" w14:textId="77777777" w:rsidR="00DB42D8" w:rsidRPr="00352426" w:rsidRDefault="00DB42D8" w:rsidP="00AD1CC3">
            <w:pPr>
              <w:spacing w:before="74" w:after="74"/>
              <w:rPr>
                <w:sz w:val="20"/>
              </w:rPr>
            </w:pPr>
          </w:p>
        </w:tc>
      </w:tr>
      <w:tr w:rsidR="00DB42D8" w:rsidRPr="00352426" w14:paraId="1EEEC331" w14:textId="77777777" w:rsidTr="008F07DB">
        <w:trPr>
          <w:cantSplit/>
          <w:jc w:val="center"/>
        </w:trPr>
        <w:tc>
          <w:tcPr>
            <w:tcW w:w="7711" w:type="dxa"/>
            <w:gridSpan w:val="2"/>
          </w:tcPr>
          <w:p w14:paraId="2B596119"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Provides an overview of the portfolio, including a chart that outlines the outcomes for entities in the portfolio.</w:t>
            </w:r>
          </w:p>
        </w:tc>
      </w:tr>
      <w:tr w:rsidR="00DB42D8" w:rsidRPr="00352426" w14:paraId="799A5680" w14:textId="77777777" w:rsidTr="008F07DB">
        <w:trPr>
          <w:cantSplit/>
          <w:jc w:val="center"/>
        </w:trPr>
        <w:tc>
          <w:tcPr>
            <w:tcW w:w="7711" w:type="dxa"/>
            <w:gridSpan w:val="2"/>
            <w:shd w:val="clear" w:color="auto" w:fill="E6E6E6"/>
          </w:tcPr>
          <w:p w14:paraId="48C2F0BD" w14:textId="77777777" w:rsidR="00DB42D8" w:rsidRPr="00352426" w:rsidRDefault="00DB42D8" w:rsidP="008F07DB">
            <w:pPr>
              <w:pStyle w:val="TableHeading2ndLevelWord"/>
              <w:spacing w:before="74" w:after="74"/>
              <w:rPr>
                <w:rFonts w:ascii="Book Antiqua" w:hAnsi="Book Antiqua"/>
                <w:sz w:val="20"/>
              </w:rPr>
            </w:pPr>
            <w:r w:rsidRPr="00352426">
              <w:rPr>
                <w:rFonts w:ascii="Book Antiqua" w:hAnsi="Book Antiqua"/>
                <w:sz w:val="20"/>
              </w:rPr>
              <w:t>Entity Additional Estimates Statements</w:t>
            </w:r>
          </w:p>
        </w:tc>
      </w:tr>
      <w:tr w:rsidR="00DB42D8" w:rsidRPr="00352426" w14:paraId="53D09645" w14:textId="77777777" w:rsidTr="008F07DB">
        <w:trPr>
          <w:cantSplit/>
          <w:jc w:val="center"/>
        </w:trPr>
        <w:tc>
          <w:tcPr>
            <w:tcW w:w="7711" w:type="dxa"/>
            <w:gridSpan w:val="2"/>
            <w:tcBorders>
              <w:bottom w:val="single" w:sz="2" w:space="0" w:color="999999"/>
            </w:tcBorders>
          </w:tcPr>
          <w:p w14:paraId="30F57685"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A statement (under the name of the entity) for each entity affected by Additional Estimates.</w:t>
            </w:r>
          </w:p>
        </w:tc>
      </w:tr>
      <w:tr w:rsidR="00DB42D8" w:rsidRPr="00352426" w14:paraId="12D54F66" w14:textId="77777777" w:rsidTr="008F07DB">
        <w:trPr>
          <w:cantSplit/>
          <w:jc w:val="center"/>
        </w:trPr>
        <w:tc>
          <w:tcPr>
            <w:tcW w:w="2268" w:type="dxa"/>
            <w:tcBorders>
              <w:top w:val="single" w:sz="2" w:space="0" w:color="999999"/>
              <w:bottom w:val="single" w:sz="2" w:space="0" w:color="999999"/>
            </w:tcBorders>
          </w:tcPr>
          <w:p w14:paraId="0421B9A0" w14:textId="77777777" w:rsidR="00DB42D8" w:rsidRPr="00352426" w:rsidRDefault="00DB42D8" w:rsidP="008F07DB">
            <w:pPr>
              <w:pStyle w:val="TableSideHeading"/>
              <w:spacing w:before="62" w:after="62"/>
              <w:rPr>
                <w:rFonts w:ascii="Book Antiqua" w:hAnsi="Book Antiqua"/>
                <w:sz w:val="20"/>
              </w:rPr>
            </w:pPr>
            <w:r w:rsidRPr="00352426">
              <w:rPr>
                <w:rFonts w:ascii="Book Antiqua" w:hAnsi="Book Antiqua"/>
                <w:sz w:val="20"/>
              </w:rPr>
              <w:t>Section 1: Entity overview and resources</w:t>
            </w:r>
          </w:p>
        </w:tc>
        <w:tc>
          <w:tcPr>
            <w:tcW w:w="5443" w:type="dxa"/>
            <w:tcBorders>
              <w:top w:val="single" w:sz="2" w:space="0" w:color="999999"/>
              <w:bottom w:val="single" w:sz="2" w:space="0" w:color="999999"/>
            </w:tcBorders>
          </w:tcPr>
          <w:p w14:paraId="1CDAD976" w14:textId="17B3490F"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 xml:space="preserve">This section details the changes in total resources available to an entity, the impact of any measures since Budget, and impact of Appropriation Bills </w:t>
            </w:r>
            <w:r w:rsidR="00B70E9C">
              <w:rPr>
                <w:rFonts w:ascii="Book Antiqua" w:hAnsi="Book Antiqua"/>
                <w:sz w:val="20"/>
              </w:rPr>
              <w:t>(</w:t>
            </w:r>
            <w:r w:rsidRPr="00352426">
              <w:rPr>
                <w:rFonts w:ascii="Book Antiqua" w:hAnsi="Book Antiqua"/>
                <w:sz w:val="20"/>
              </w:rPr>
              <w:t>Nos. 3 and 4</w:t>
            </w:r>
            <w:r w:rsidR="00B70E9C">
              <w:rPr>
                <w:rFonts w:ascii="Book Antiqua" w:hAnsi="Book Antiqua"/>
                <w:sz w:val="20"/>
              </w:rPr>
              <w:t>)</w:t>
            </w:r>
            <w:r w:rsidRPr="00352426">
              <w:rPr>
                <w:rFonts w:ascii="Book Antiqua" w:hAnsi="Book Antiqua"/>
                <w:sz w:val="20"/>
              </w:rPr>
              <w:t>.</w:t>
            </w:r>
          </w:p>
        </w:tc>
      </w:tr>
      <w:tr w:rsidR="00DB42D8" w:rsidRPr="00352426" w14:paraId="27CCA169" w14:textId="77777777" w:rsidTr="008F07DB">
        <w:trPr>
          <w:cantSplit/>
          <w:jc w:val="center"/>
        </w:trPr>
        <w:tc>
          <w:tcPr>
            <w:tcW w:w="2268" w:type="dxa"/>
            <w:tcBorders>
              <w:top w:val="single" w:sz="2" w:space="0" w:color="999999"/>
              <w:bottom w:val="single" w:sz="2" w:space="0" w:color="999999"/>
            </w:tcBorders>
          </w:tcPr>
          <w:p w14:paraId="1C53B321" w14:textId="77777777" w:rsidR="00DB42D8" w:rsidRPr="00352426" w:rsidRDefault="00DB42D8" w:rsidP="008F07DB">
            <w:pPr>
              <w:pStyle w:val="TableSideHeading"/>
              <w:spacing w:before="62" w:after="62"/>
              <w:rPr>
                <w:rFonts w:ascii="Book Antiqua" w:hAnsi="Book Antiqua"/>
                <w:sz w:val="20"/>
              </w:rPr>
            </w:pPr>
            <w:r w:rsidRPr="00352426">
              <w:rPr>
                <w:rFonts w:ascii="Book Antiqua" w:hAnsi="Book Antiqua"/>
                <w:sz w:val="20"/>
              </w:rPr>
              <w:t>Section 2: Revisions to outcomes and planned performance</w:t>
            </w:r>
          </w:p>
        </w:tc>
        <w:tc>
          <w:tcPr>
            <w:tcW w:w="5443" w:type="dxa"/>
            <w:tcBorders>
              <w:top w:val="single" w:sz="2" w:space="0" w:color="999999"/>
              <w:bottom w:val="single" w:sz="2" w:space="0" w:color="999999"/>
            </w:tcBorders>
          </w:tcPr>
          <w:p w14:paraId="520BBFDF"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 xml:space="preserve">This section details </w:t>
            </w:r>
            <w:r w:rsidRPr="00352426">
              <w:rPr>
                <w:rFonts w:ascii="Book Antiqua" w:hAnsi="Book Antiqua"/>
                <w:b/>
                <w:sz w:val="20"/>
              </w:rPr>
              <w:t>changes</w:t>
            </w:r>
            <w:r w:rsidRPr="00352426">
              <w:rPr>
                <w:rFonts w:ascii="Book Antiqua" w:hAnsi="Book Antiqua"/>
                <w:sz w:val="20"/>
              </w:rPr>
              <w:t xml:space="preserve"> to Government outcomes and/or </w:t>
            </w:r>
            <w:r w:rsidRPr="00352426">
              <w:rPr>
                <w:rFonts w:ascii="Book Antiqua" w:hAnsi="Book Antiqua"/>
                <w:b/>
                <w:sz w:val="20"/>
              </w:rPr>
              <w:t>changes</w:t>
            </w:r>
            <w:r w:rsidRPr="00352426">
              <w:rPr>
                <w:rFonts w:ascii="Book Antiqua" w:hAnsi="Book Antiqua"/>
                <w:sz w:val="20"/>
              </w:rPr>
              <w:t xml:space="preserve"> to the planned performance of entity programs.</w:t>
            </w:r>
          </w:p>
        </w:tc>
      </w:tr>
      <w:tr w:rsidR="00DB42D8" w:rsidRPr="00352426" w14:paraId="7559E17E" w14:textId="77777777" w:rsidTr="008F07DB">
        <w:trPr>
          <w:cantSplit/>
          <w:jc w:val="center"/>
        </w:trPr>
        <w:tc>
          <w:tcPr>
            <w:tcW w:w="2268" w:type="dxa"/>
            <w:tcBorders>
              <w:top w:val="single" w:sz="2" w:space="0" w:color="999999"/>
            </w:tcBorders>
          </w:tcPr>
          <w:p w14:paraId="7058F2FD" w14:textId="77777777" w:rsidR="00DB42D8" w:rsidRPr="00352426" w:rsidRDefault="00DB42D8" w:rsidP="008F07DB">
            <w:pPr>
              <w:pStyle w:val="TableSideHeading"/>
              <w:spacing w:before="62" w:after="62"/>
              <w:rPr>
                <w:rFonts w:ascii="Book Antiqua" w:hAnsi="Book Antiqua"/>
                <w:sz w:val="20"/>
              </w:rPr>
            </w:pPr>
            <w:r w:rsidRPr="00352426">
              <w:rPr>
                <w:rFonts w:ascii="Book Antiqua" w:hAnsi="Book Antiqua"/>
                <w:sz w:val="20"/>
              </w:rPr>
              <w:t>Section 3: Special account flows and budgeted financial statements</w:t>
            </w:r>
          </w:p>
        </w:tc>
        <w:tc>
          <w:tcPr>
            <w:tcW w:w="5443" w:type="dxa"/>
            <w:tcBorders>
              <w:top w:val="single" w:sz="2" w:space="0" w:color="999999"/>
            </w:tcBorders>
          </w:tcPr>
          <w:p w14:paraId="1F6EB671"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This section contains updated explanatory tables on special account flows and staffing levels and revisions to the budgeted financial statements.</w:t>
            </w:r>
          </w:p>
        </w:tc>
      </w:tr>
      <w:tr w:rsidR="00DB42D8" w:rsidRPr="00352426" w14:paraId="0D2F61EA" w14:textId="77777777" w:rsidTr="008F07DB">
        <w:trPr>
          <w:cantSplit/>
          <w:jc w:val="center"/>
        </w:trPr>
        <w:tc>
          <w:tcPr>
            <w:tcW w:w="7711" w:type="dxa"/>
            <w:gridSpan w:val="2"/>
            <w:shd w:val="clear" w:color="auto" w:fill="E7E6E6"/>
          </w:tcPr>
          <w:p w14:paraId="142C93D0" w14:textId="77777777" w:rsidR="00DB42D8" w:rsidRPr="00352426" w:rsidRDefault="00DB42D8" w:rsidP="008F07DB">
            <w:pPr>
              <w:pStyle w:val="TableHeading2ndLevelWord"/>
              <w:spacing w:before="74" w:after="74"/>
              <w:rPr>
                <w:rFonts w:ascii="Book Antiqua" w:hAnsi="Book Antiqua"/>
                <w:b w:val="0"/>
                <w:sz w:val="20"/>
              </w:rPr>
            </w:pPr>
            <w:r w:rsidRPr="00352426">
              <w:rPr>
                <w:rFonts w:ascii="Book Antiqua" w:hAnsi="Book Antiqua"/>
                <w:sz w:val="20"/>
              </w:rPr>
              <w:t>Portfolio glossary</w:t>
            </w:r>
          </w:p>
        </w:tc>
      </w:tr>
      <w:tr w:rsidR="00DB42D8" w:rsidRPr="00352426" w14:paraId="486FCC0D" w14:textId="77777777" w:rsidTr="008F07DB">
        <w:trPr>
          <w:cantSplit/>
          <w:jc w:val="center"/>
        </w:trPr>
        <w:tc>
          <w:tcPr>
            <w:tcW w:w="7711" w:type="dxa"/>
            <w:gridSpan w:val="2"/>
          </w:tcPr>
          <w:p w14:paraId="6DCC0F31" w14:textId="77777777" w:rsidR="00DB42D8" w:rsidRPr="00352426" w:rsidRDefault="00DB42D8" w:rsidP="008F07DB">
            <w:pPr>
              <w:pStyle w:val="Tabletextjustified"/>
              <w:spacing w:before="62" w:after="62"/>
              <w:rPr>
                <w:rFonts w:ascii="Book Antiqua" w:hAnsi="Book Antiqua"/>
                <w:sz w:val="20"/>
              </w:rPr>
            </w:pPr>
            <w:r w:rsidRPr="00352426">
              <w:rPr>
                <w:rFonts w:ascii="Book Antiqua" w:hAnsi="Book Antiqua"/>
                <w:sz w:val="20"/>
              </w:rPr>
              <w:t>Explains key terms relevant to the Portfolio.</w:t>
            </w:r>
          </w:p>
        </w:tc>
      </w:tr>
    </w:tbl>
    <w:p w14:paraId="24DB619B" w14:textId="77777777" w:rsidR="00BA6C8E" w:rsidRDefault="00BA6C8E" w:rsidP="00DB42D8">
      <w:pPr>
        <w:sectPr w:rsidR="00BA6C8E" w:rsidSect="00BA6C8E">
          <w:headerReference w:type="default" r:id="rId40"/>
          <w:headerReference w:type="first" r:id="rId41"/>
          <w:footerReference w:type="first" r:id="rId42"/>
          <w:pgSz w:w="11907" w:h="16840" w:code="9"/>
          <w:pgMar w:top="2835" w:right="2098" w:bottom="2466" w:left="2098" w:header="1814" w:footer="1814" w:gutter="0"/>
          <w:cols w:space="720"/>
          <w:titlePg/>
        </w:sectPr>
      </w:pPr>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5ABC7069" w14:textId="77777777" w:rsidR="00DB42D8" w:rsidRDefault="00DB42D8" w:rsidP="00DB42D8">
      <w:pPr>
        <w:pStyle w:val="ContentsHeading"/>
        <w:rPr>
          <w:snapToGrid w:val="0"/>
        </w:rPr>
      </w:pPr>
      <w:r w:rsidRPr="00F045E6">
        <w:lastRenderedPageBreak/>
        <w:br w:type="page"/>
      </w:r>
      <w:bookmarkEnd w:id="43"/>
      <w:bookmarkEnd w:id="44"/>
      <w:bookmarkEnd w:id="45"/>
      <w:bookmarkEnd w:id="46"/>
      <w:bookmarkEnd w:id="47"/>
      <w:bookmarkEnd w:id="48"/>
      <w:bookmarkEnd w:id="49"/>
      <w:bookmarkEnd w:id="50"/>
      <w:bookmarkEnd w:id="51"/>
      <w:bookmarkEnd w:id="52"/>
      <w:bookmarkEnd w:id="53"/>
      <w:bookmarkEnd w:id="54"/>
      <w:bookmarkEnd w:id="55"/>
      <w:r>
        <w:lastRenderedPageBreak/>
        <w:t>C</w:t>
      </w:r>
      <w:r>
        <w:rPr>
          <w:snapToGrid w:val="0"/>
        </w:rPr>
        <w:t>ontents</w:t>
      </w:r>
    </w:p>
    <w:bookmarkStart w:id="56" w:name="_Toc449255752"/>
    <w:bookmarkStart w:id="57" w:name="_Toc460918631"/>
    <w:bookmarkStart w:id="58" w:name="_Toc490972395"/>
    <w:p w14:paraId="5573F4AC" w14:textId="136A9F2B" w:rsidR="000C71E4" w:rsidRDefault="009E7256">
      <w:pPr>
        <w:pStyle w:val="TOC1"/>
        <w:rPr>
          <w:rFonts w:asciiTheme="minorHAnsi" w:eastAsiaTheme="minorEastAsia" w:hAnsiTheme="minorHAnsi" w:cstheme="minorBidi"/>
          <w:b w:val="0"/>
          <w:noProof/>
          <w:sz w:val="22"/>
          <w:szCs w:val="22"/>
        </w:rPr>
      </w:pPr>
      <w:r>
        <w:fldChar w:fldCharType="begin"/>
      </w:r>
      <w:r>
        <w:instrText xml:space="preserve"> TOC \f m \h \z </w:instrText>
      </w:r>
      <w:r>
        <w:fldChar w:fldCharType="separate"/>
      </w:r>
      <w:hyperlink w:anchor="_Toc157520016" w:history="1">
        <w:r w:rsidR="000C71E4" w:rsidRPr="00BA1996">
          <w:rPr>
            <w:rStyle w:val="Hyperlink"/>
            <w:noProof/>
          </w:rPr>
          <w:t>Portfolio Overview</w:t>
        </w:r>
        <w:r w:rsidR="000C71E4">
          <w:rPr>
            <w:noProof/>
            <w:webHidden/>
          </w:rPr>
          <w:tab/>
        </w:r>
        <w:r w:rsidR="000C71E4">
          <w:rPr>
            <w:noProof/>
            <w:webHidden/>
          </w:rPr>
          <w:fldChar w:fldCharType="begin"/>
        </w:r>
        <w:r w:rsidR="000C71E4">
          <w:rPr>
            <w:noProof/>
            <w:webHidden/>
          </w:rPr>
          <w:instrText xml:space="preserve"> PAGEREF _Toc157520016 \h </w:instrText>
        </w:r>
        <w:r w:rsidR="000C71E4">
          <w:rPr>
            <w:noProof/>
            <w:webHidden/>
          </w:rPr>
        </w:r>
        <w:r w:rsidR="000C71E4">
          <w:rPr>
            <w:noProof/>
            <w:webHidden/>
          </w:rPr>
          <w:fldChar w:fldCharType="separate"/>
        </w:r>
        <w:r w:rsidR="00C14889">
          <w:rPr>
            <w:noProof/>
            <w:webHidden/>
          </w:rPr>
          <w:t>11</w:t>
        </w:r>
        <w:r w:rsidR="000C71E4">
          <w:rPr>
            <w:noProof/>
            <w:webHidden/>
          </w:rPr>
          <w:fldChar w:fldCharType="end"/>
        </w:r>
      </w:hyperlink>
    </w:p>
    <w:p w14:paraId="5C7E41A0" w14:textId="4DD2880A" w:rsidR="000C71E4" w:rsidRDefault="00000000">
      <w:pPr>
        <w:pStyle w:val="TOC1"/>
        <w:rPr>
          <w:rFonts w:asciiTheme="minorHAnsi" w:eastAsiaTheme="minorEastAsia" w:hAnsiTheme="minorHAnsi" w:cstheme="minorBidi"/>
          <w:b w:val="0"/>
          <w:noProof/>
          <w:sz w:val="22"/>
          <w:szCs w:val="22"/>
        </w:rPr>
      </w:pPr>
      <w:hyperlink w:anchor="_Toc157520017" w:history="1">
        <w:r w:rsidR="000C71E4" w:rsidRPr="00BA1996">
          <w:rPr>
            <w:rStyle w:val="Hyperlink"/>
            <w:noProof/>
          </w:rPr>
          <w:t>Entity Additional Estimates Statements</w:t>
        </w:r>
        <w:r w:rsidR="000C71E4">
          <w:rPr>
            <w:noProof/>
            <w:webHidden/>
          </w:rPr>
          <w:tab/>
        </w:r>
        <w:r w:rsidR="000C71E4">
          <w:rPr>
            <w:noProof/>
            <w:webHidden/>
          </w:rPr>
          <w:fldChar w:fldCharType="begin"/>
        </w:r>
        <w:r w:rsidR="000C71E4">
          <w:rPr>
            <w:noProof/>
            <w:webHidden/>
          </w:rPr>
          <w:instrText xml:space="preserve"> PAGEREF _Toc157520017 \h </w:instrText>
        </w:r>
        <w:r w:rsidR="000C71E4">
          <w:rPr>
            <w:noProof/>
            <w:webHidden/>
          </w:rPr>
        </w:r>
        <w:r w:rsidR="000C71E4">
          <w:rPr>
            <w:noProof/>
            <w:webHidden/>
          </w:rPr>
          <w:fldChar w:fldCharType="separate"/>
        </w:r>
        <w:r w:rsidR="00C14889">
          <w:rPr>
            <w:noProof/>
            <w:webHidden/>
          </w:rPr>
          <w:t>19</w:t>
        </w:r>
        <w:r w:rsidR="000C71E4">
          <w:rPr>
            <w:noProof/>
            <w:webHidden/>
          </w:rPr>
          <w:fldChar w:fldCharType="end"/>
        </w:r>
      </w:hyperlink>
    </w:p>
    <w:p w14:paraId="72A87A7A" w14:textId="20B9D195" w:rsidR="000C71E4" w:rsidRDefault="00000000">
      <w:pPr>
        <w:pStyle w:val="TOC2"/>
        <w:rPr>
          <w:rFonts w:asciiTheme="minorHAnsi" w:eastAsiaTheme="minorEastAsia" w:hAnsiTheme="minorHAnsi" w:cstheme="minorBidi"/>
          <w:noProof/>
          <w:sz w:val="22"/>
          <w:szCs w:val="22"/>
        </w:rPr>
      </w:pPr>
      <w:hyperlink w:anchor="_Toc157520018" w:history="1">
        <w:r w:rsidR="000C71E4" w:rsidRPr="00BA1996">
          <w:rPr>
            <w:rStyle w:val="Hyperlink"/>
            <w:noProof/>
          </w:rPr>
          <w:t>Department of Health and Aged Care</w:t>
        </w:r>
        <w:r w:rsidR="000C71E4">
          <w:rPr>
            <w:noProof/>
            <w:webHidden/>
          </w:rPr>
          <w:tab/>
        </w:r>
        <w:r w:rsidR="00477769">
          <w:rPr>
            <w:noProof/>
            <w:webHidden/>
          </w:rPr>
          <w:t>2</w:t>
        </w:r>
      </w:hyperlink>
      <w:r w:rsidR="00B80E6A">
        <w:rPr>
          <w:noProof/>
        </w:rPr>
        <w:t>1</w:t>
      </w:r>
    </w:p>
    <w:p w14:paraId="446F94FA" w14:textId="13AA14D4" w:rsidR="000C71E4" w:rsidRDefault="00000000">
      <w:pPr>
        <w:pStyle w:val="TOC2"/>
        <w:rPr>
          <w:rFonts w:asciiTheme="minorHAnsi" w:eastAsiaTheme="minorEastAsia" w:hAnsiTheme="minorHAnsi" w:cstheme="minorBidi"/>
          <w:noProof/>
          <w:sz w:val="22"/>
          <w:szCs w:val="22"/>
        </w:rPr>
      </w:pPr>
      <w:hyperlink w:anchor="_Toc157520019" w:history="1">
        <w:r w:rsidR="000C71E4" w:rsidRPr="00BA1996">
          <w:rPr>
            <w:rStyle w:val="Hyperlink"/>
            <w:noProof/>
          </w:rPr>
          <w:t>Aged Care Quality and Safety Commission</w:t>
        </w:r>
        <w:r w:rsidR="000C71E4">
          <w:rPr>
            <w:noProof/>
            <w:webHidden/>
          </w:rPr>
          <w:tab/>
        </w:r>
        <w:r w:rsidR="00477769">
          <w:rPr>
            <w:noProof/>
            <w:webHidden/>
          </w:rPr>
          <w:t>8</w:t>
        </w:r>
      </w:hyperlink>
      <w:r w:rsidR="00B80E6A">
        <w:rPr>
          <w:noProof/>
        </w:rPr>
        <w:t>5</w:t>
      </w:r>
    </w:p>
    <w:p w14:paraId="07B32200" w14:textId="2A487CBB" w:rsidR="000C71E4" w:rsidRDefault="00000000">
      <w:pPr>
        <w:pStyle w:val="TOC2"/>
        <w:rPr>
          <w:rFonts w:asciiTheme="minorHAnsi" w:eastAsiaTheme="minorEastAsia" w:hAnsiTheme="minorHAnsi" w:cstheme="minorBidi"/>
          <w:noProof/>
          <w:sz w:val="22"/>
          <w:szCs w:val="22"/>
        </w:rPr>
      </w:pPr>
      <w:hyperlink w:anchor="_Toc157520020" w:history="1">
        <w:r w:rsidR="000C71E4" w:rsidRPr="00BA1996">
          <w:rPr>
            <w:rStyle w:val="Hyperlink"/>
            <w:noProof/>
          </w:rPr>
          <w:t>Australian Institute of</w:t>
        </w:r>
        <w:r w:rsidR="006451CB">
          <w:rPr>
            <w:rStyle w:val="Hyperlink"/>
            <w:noProof/>
          </w:rPr>
          <w:t xml:space="preserve"> </w:t>
        </w:r>
        <w:r w:rsidR="000C71E4" w:rsidRPr="00BA1996">
          <w:rPr>
            <w:rStyle w:val="Hyperlink"/>
            <w:noProof/>
          </w:rPr>
          <w:t>Health and Welfare</w:t>
        </w:r>
        <w:r w:rsidR="000C71E4">
          <w:rPr>
            <w:noProof/>
            <w:webHidden/>
          </w:rPr>
          <w:tab/>
        </w:r>
        <w:r w:rsidR="000C71E4">
          <w:rPr>
            <w:noProof/>
            <w:webHidden/>
          </w:rPr>
          <w:fldChar w:fldCharType="begin"/>
        </w:r>
        <w:r w:rsidR="000C71E4">
          <w:rPr>
            <w:noProof/>
            <w:webHidden/>
          </w:rPr>
          <w:instrText xml:space="preserve"> PAGEREF _Toc157520020 \h </w:instrText>
        </w:r>
        <w:r w:rsidR="000C71E4">
          <w:rPr>
            <w:noProof/>
            <w:webHidden/>
          </w:rPr>
        </w:r>
        <w:r w:rsidR="000C71E4">
          <w:rPr>
            <w:noProof/>
            <w:webHidden/>
          </w:rPr>
          <w:fldChar w:fldCharType="separate"/>
        </w:r>
        <w:r w:rsidR="00C14889">
          <w:rPr>
            <w:noProof/>
            <w:webHidden/>
          </w:rPr>
          <w:t>99</w:t>
        </w:r>
        <w:r w:rsidR="000C71E4">
          <w:rPr>
            <w:noProof/>
            <w:webHidden/>
          </w:rPr>
          <w:fldChar w:fldCharType="end"/>
        </w:r>
      </w:hyperlink>
    </w:p>
    <w:p w14:paraId="7E2C120B" w14:textId="2746E5E3" w:rsidR="000C71E4" w:rsidRDefault="00000000">
      <w:pPr>
        <w:pStyle w:val="TOC2"/>
        <w:rPr>
          <w:rFonts w:asciiTheme="minorHAnsi" w:eastAsiaTheme="minorEastAsia" w:hAnsiTheme="minorHAnsi" w:cstheme="minorBidi"/>
          <w:noProof/>
          <w:sz w:val="22"/>
          <w:szCs w:val="22"/>
        </w:rPr>
      </w:pPr>
      <w:hyperlink w:anchor="_Toc157520021" w:history="1">
        <w:r w:rsidR="000C71E4" w:rsidRPr="00BA1996">
          <w:rPr>
            <w:rStyle w:val="Hyperlink"/>
            <w:noProof/>
          </w:rPr>
          <w:t>Organ and Tissue Authority</w:t>
        </w:r>
        <w:r w:rsidR="000C71E4">
          <w:rPr>
            <w:noProof/>
            <w:webHidden/>
          </w:rPr>
          <w:tab/>
        </w:r>
        <w:r w:rsidR="00477769">
          <w:rPr>
            <w:noProof/>
            <w:webHidden/>
          </w:rPr>
          <w:t>11</w:t>
        </w:r>
      </w:hyperlink>
      <w:r w:rsidR="006451CB">
        <w:rPr>
          <w:noProof/>
        </w:rPr>
        <w:t>5</w:t>
      </w:r>
    </w:p>
    <w:p w14:paraId="7BBD2B1A" w14:textId="451D4A99" w:rsidR="000C71E4" w:rsidRDefault="00000000">
      <w:pPr>
        <w:pStyle w:val="TOC2"/>
        <w:rPr>
          <w:rFonts w:asciiTheme="minorHAnsi" w:eastAsiaTheme="minorEastAsia" w:hAnsiTheme="minorHAnsi" w:cstheme="minorBidi"/>
          <w:noProof/>
          <w:sz w:val="22"/>
          <w:szCs w:val="22"/>
        </w:rPr>
      </w:pPr>
      <w:hyperlink w:anchor="_Toc157520022" w:history="1">
        <w:r w:rsidR="000C71E4" w:rsidRPr="00BA1996">
          <w:rPr>
            <w:rStyle w:val="Hyperlink"/>
            <w:noProof/>
          </w:rPr>
          <w:t>Professional Services Review</w:t>
        </w:r>
        <w:r w:rsidR="000C71E4">
          <w:rPr>
            <w:noProof/>
            <w:webHidden/>
          </w:rPr>
          <w:tab/>
        </w:r>
        <w:r w:rsidR="00477769">
          <w:rPr>
            <w:noProof/>
            <w:webHidden/>
          </w:rPr>
          <w:t>13</w:t>
        </w:r>
      </w:hyperlink>
      <w:r w:rsidR="006451CB">
        <w:rPr>
          <w:noProof/>
        </w:rPr>
        <w:t>3</w:t>
      </w:r>
    </w:p>
    <w:p w14:paraId="232B6F12" w14:textId="248DB24D" w:rsidR="000C71E4" w:rsidRDefault="00000000">
      <w:pPr>
        <w:pStyle w:val="TOC2"/>
        <w:rPr>
          <w:rFonts w:asciiTheme="minorHAnsi" w:eastAsiaTheme="minorEastAsia" w:hAnsiTheme="minorHAnsi" w:cstheme="minorBidi"/>
          <w:noProof/>
          <w:sz w:val="22"/>
          <w:szCs w:val="22"/>
        </w:rPr>
      </w:pPr>
      <w:hyperlink w:anchor="_Toc157520023" w:history="1">
        <w:r w:rsidR="000C71E4" w:rsidRPr="00BA1996">
          <w:rPr>
            <w:rStyle w:val="Hyperlink"/>
            <w:noProof/>
          </w:rPr>
          <w:t>Sport Integrity Australia</w:t>
        </w:r>
        <w:r w:rsidR="000C71E4">
          <w:rPr>
            <w:noProof/>
            <w:webHidden/>
          </w:rPr>
          <w:tab/>
        </w:r>
        <w:r w:rsidR="00477769">
          <w:rPr>
            <w:noProof/>
            <w:webHidden/>
          </w:rPr>
          <w:t>14</w:t>
        </w:r>
      </w:hyperlink>
      <w:r w:rsidR="006451CB">
        <w:rPr>
          <w:noProof/>
        </w:rPr>
        <w:t>7</w:t>
      </w:r>
    </w:p>
    <w:p w14:paraId="5450CB4C" w14:textId="57A6B865" w:rsidR="000C71E4" w:rsidRDefault="00000000">
      <w:pPr>
        <w:pStyle w:val="TOC1"/>
        <w:rPr>
          <w:rFonts w:asciiTheme="minorHAnsi" w:eastAsiaTheme="minorEastAsia" w:hAnsiTheme="minorHAnsi" w:cstheme="minorBidi"/>
          <w:b w:val="0"/>
          <w:noProof/>
          <w:sz w:val="22"/>
          <w:szCs w:val="22"/>
        </w:rPr>
      </w:pPr>
      <w:hyperlink w:anchor="_Toc157520024" w:history="1">
        <w:r w:rsidR="000C71E4" w:rsidRPr="00BA1996">
          <w:rPr>
            <w:rStyle w:val="Hyperlink"/>
            <w:noProof/>
          </w:rPr>
          <w:t>Portfolio Glossary</w:t>
        </w:r>
        <w:r w:rsidR="000C71E4">
          <w:rPr>
            <w:noProof/>
            <w:webHidden/>
          </w:rPr>
          <w:tab/>
        </w:r>
        <w:r w:rsidR="000C71E4">
          <w:rPr>
            <w:noProof/>
            <w:webHidden/>
          </w:rPr>
          <w:fldChar w:fldCharType="begin"/>
        </w:r>
        <w:r w:rsidR="000C71E4">
          <w:rPr>
            <w:noProof/>
            <w:webHidden/>
          </w:rPr>
          <w:instrText xml:space="preserve"> PAGEREF _Toc157520024 \h </w:instrText>
        </w:r>
        <w:r w:rsidR="000C71E4">
          <w:rPr>
            <w:noProof/>
            <w:webHidden/>
          </w:rPr>
        </w:r>
        <w:r w:rsidR="000C71E4">
          <w:rPr>
            <w:noProof/>
            <w:webHidden/>
          </w:rPr>
          <w:fldChar w:fldCharType="separate"/>
        </w:r>
        <w:r w:rsidR="00C14889">
          <w:rPr>
            <w:noProof/>
            <w:webHidden/>
          </w:rPr>
          <w:t>165</w:t>
        </w:r>
        <w:r w:rsidR="000C71E4">
          <w:rPr>
            <w:noProof/>
            <w:webHidden/>
          </w:rPr>
          <w:fldChar w:fldCharType="end"/>
        </w:r>
      </w:hyperlink>
    </w:p>
    <w:p w14:paraId="62AB6C3B" w14:textId="165646C8" w:rsidR="00AC7C2A" w:rsidRDefault="009E7256" w:rsidP="00DB42D8">
      <w:r>
        <w:fldChar w:fldCharType="end"/>
      </w:r>
    </w:p>
    <w:p w14:paraId="690C792E" w14:textId="77305682" w:rsidR="00F3285A" w:rsidRDefault="00AC7C2A" w:rsidP="00DB42D8">
      <w:r>
        <w:br w:type="column"/>
      </w:r>
    </w:p>
    <w:p w14:paraId="79658C79" w14:textId="77777777" w:rsidR="00BA6C8E" w:rsidRDefault="00BA6C8E">
      <w:pPr>
        <w:spacing w:before="0" w:after="0" w:line="240" w:lineRule="auto"/>
        <w:sectPr w:rsidR="00BA6C8E" w:rsidSect="00BA6C8E">
          <w:headerReference w:type="even" r:id="rId43"/>
          <w:headerReference w:type="default" r:id="rId44"/>
          <w:footerReference w:type="even" r:id="rId45"/>
          <w:footerReference w:type="default" r:id="rId46"/>
          <w:headerReference w:type="first" r:id="rId47"/>
          <w:footerReference w:type="first" r:id="rId48"/>
          <w:pgSz w:w="11907" w:h="16840" w:code="9"/>
          <w:pgMar w:top="2835" w:right="2098" w:bottom="2466" w:left="2098" w:header="1814" w:footer="1814" w:gutter="0"/>
          <w:cols w:space="720"/>
          <w:titlePg/>
        </w:sectPr>
      </w:pPr>
    </w:p>
    <w:bookmarkStart w:id="59" w:name="_Toc155859218"/>
    <w:bookmarkEnd w:id="56"/>
    <w:bookmarkEnd w:id="57"/>
    <w:bookmarkEnd w:id="58"/>
    <w:p w14:paraId="417D36B3" w14:textId="22CBBE45" w:rsidR="008E013B" w:rsidRDefault="003B48D4" w:rsidP="00B70E9C">
      <w:pPr>
        <w:pStyle w:val="TableContents1Main"/>
        <w:jc w:val="center"/>
      </w:pPr>
      <w:r>
        <w:lastRenderedPageBreak/>
        <w:fldChar w:fldCharType="begin"/>
      </w:r>
      <w:r>
        <w:instrText xml:space="preserve"> </w:instrText>
      </w:r>
      <w:proofErr w:type="gramStart"/>
      <w:r>
        <w:instrText>TC  "</w:instrText>
      </w:r>
      <w:bookmarkStart w:id="60" w:name="_Toc157520016"/>
      <w:proofErr w:type="gramEnd"/>
      <w:r>
        <w:instrText>Portfolio Overview</w:instrText>
      </w:r>
      <w:bookmarkEnd w:id="60"/>
      <w:r>
        <w:instrText xml:space="preserve">" \f m \l 1 </w:instrText>
      </w:r>
      <w:r>
        <w:fldChar w:fldCharType="end"/>
      </w:r>
      <w:r w:rsidR="0015192D">
        <w:t>Portfolio o</w:t>
      </w:r>
      <w:r w:rsidR="00DB42D8" w:rsidRPr="002226FB">
        <w:t>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59"/>
    </w:p>
    <w:p w14:paraId="028F155A" w14:textId="713C6FE9" w:rsidR="00DB42D8" w:rsidRPr="00B351A2" w:rsidRDefault="008E013B" w:rsidP="00D91F05">
      <w:pPr>
        <w:pStyle w:val="TableContents1Main"/>
        <w:rPr>
          <w:rFonts w:ascii="Book Antiqua" w:hAnsi="Book Antiqua"/>
        </w:rPr>
      </w:pPr>
      <w:r>
        <w:br w:type="column"/>
      </w:r>
      <w:r w:rsidR="00DB42D8">
        <w:lastRenderedPageBreak/>
        <w:t>Portfolio</w:t>
      </w:r>
      <w:bookmarkEnd w:id="61"/>
      <w:r w:rsidR="00DB42D8">
        <w:t xml:space="preserve"> </w:t>
      </w:r>
      <w:bookmarkStart w:id="91" w:name="_Toc436626775"/>
      <w:r w:rsidR="00DB42D8">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443F6A8" w14:textId="79565426" w:rsidR="00884013" w:rsidRPr="00884013" w:rsidRDefault="00884013" w:rsidP="00884013">
      <w:pPr>
        <w:pStyle w:val="ExampleText"/>
        <w:rPr>
          <w:i w:val="0"/>
          <w:color w:val="000000" w:themeColor="text1"/>
          <w:sz w:val="20"/>
        </w:rPr>
      </w:pPr>
      <w:r w:rsidRPr="00884013">
        <w:rPr>
          <w:i w:val="0"/>
          <w:color w:val="000000" w:themeColor="text1"/>
          <w:sz w:val="20"/>
        </w:rPr>
        <w:t xml:space="preserve">The Health </w:t>
      </w:r>
      <w:r>
        <w:rPr>
          <w:i w:val="0"/>
          <w:color w:val="000000" w:themeColor="text1"/>
          <w:sz w:val="20"/>
        </w:rPr>
        <w:t>and Aged Care</w:t>
      </w:r>
      <w:r w:rsidR="00194DFF">
        <w:rPr>
          <w:i w:val="0"/>
          <w:color w:val="000000" w:themeColor="text1"/>
          <w:sz w:val="20"/>
        </w:rPr>
        <w:t xml:space="preserve"> </w:t>
      </w:r>
      <w:r w:rsidRPr="00884013">
        <w:rPr>
          <w:i w:val="0"/>
          <w:color w:val="000000" w:themeColor="text1"/>
          <w:sz w:val="20"/>
        </w:rPr>
        <w:t>Portfolio includes the Department of Health</w:t>
      </w:r>
      <w:r w:rsidR="00194DFF">
        <w:rPr>
          <w:i w:val="0"/>
          <w:color w:val="000000" w:themeColor="text1"/>
          <w:sz w:val="20"/>
        </w:rPr>
        <w:t xml:space="preserve"> and Aged </w:t>
      </w:r>
      <w:r w:rsidR="00194DFF" w:rsidRPr="00F8342C">
        <w:rPr>
          <w:i w:val="0"/>
          <w:color w:val="000000" w:themeColor="text1"/>
          <w:sz w:val="20"/>
        </w:rPr>
        <w:t>Care</w:t>
      </w:r>
      <w:r w:rsidRPr="00F8342C">
        <w:rPr>
          <w:i w:val="0"/>
          <w:color w:val="000000" w:themeColor="text1"/>
          <w:sz w:val="20"/>
        </w:rPr>
        <w:t>, 1</w:t>
      </w:r>
      <w:r w:rsidR="002131C6" w:rsidRPr="00F8342C">
        <w:rPr>
          <w:i w:val="0"/>
          <w:color w:val="000000" w:themeColor="text1"/>
          <w:sz w:val="20"/>
        </w:rPr>
        <w:t>8</w:t>
      </w:r>
      <w:r w:rsidRPr="00F8342C">
        <w:rPr>
          <w:i w:val="0"/>
          <w:color w:val="000000" w:themeColor="text1"/>
          <w:sz w:val="20"/>
        </w:rPr>
        <w:t xml:space="preserve"> Portfolio entities and</w:t>
      </w:r>
      <w:r w:rsidRPr="00884013">
        <w:rPr>
          <w:i w:val="0"/>
          <w:color w:val="000000" w:themeColor="text1"/>
          <w:sz w:val="20"/>
        </w:rPr>
        <w:t xml:space="preserve"> </w:t>
      </w:r>
      <w:r w:rsidRPr="002D572C">
        <w:rPr>
          <w:i w:val="0"/>
          <w:color w:val="000000" w:themeColor="text1"/>
          <w:sz w:val="20"/>
        </w:rPr>
        <w:t xml:space="preserve">7 </w:t>
      </w:r>
      <w:r w:rsidRPr="00884013">
        <w:rPr>
          <w:i w:val="0"/>
          <w:color w:val="000000" w:themeColor="text1"/>
          <w:sz w:val="20"/>
        </w:rPr>
        <w:t>statutory office holders. These entities help us deliver the Australian Government’s</w:t>
      </w:r>
      <w:r>
        <w:rPr>
          <w:i w:val="0"/>
          <w:color w:val="000000" w:themeColor="text1"/>
          <w:sz w:val="20"/>
        </w:rPr>
        <w:t xml:space="preserve"> </w:t>
      </w:r>
      <w:r w:rsidRPr="00884013">
        <w:rPr>
          <w:i w:val="0"/>
          <w:color w:val="000000" w:themeColor="text1"/>
          <w:sz w:val="20"/>
        </w:rPr>
        <w:t>health policies and programs.</w:t>
      </w:r>
    </w:p>
    <w:p w14:paraId="230CE9F7" w14:textId="3E989645" w:rsidR="00884013" w:rsidRPr="00884013" w:rsidRDefault="00884013" w:rsidP="00884013">
      <w:pPr>
        <w:pStyle w:val="ExampleText"/>
        <w:rPr>
          <w:i w:val="0"/>
          <w:color w:val="000000" w:themeColor="text1"/>
          <w:sz w:val="20"/>
        </w:rPr>
      </w:pPr>
      <w:r w:rsidRPr="00884013">
        <w:rPr>
          <w:i w:val="0"/>
          <w:color w:val="000000" w:themeColor="text1"/>
          <w:sz w:val="20"/>
        </w:rPr>
        <w:t>With our partners, we support the Government to lead and shape Australia’s health</w:t>
      </w:r>
      <w:r>
        <w:rPr>
          <w:i w:val="0"/>
          <w:color w:val="000000" w:themeColor="text1"/>
          <w:sz w:val="20"/>
        </w:rPr>
        <w:t xml:space="preserve"> </w:t>
      </w:r>
      <w:r w:rsidRPr="00884013">
        <w:rPr>
          <w:i w:val="0"/>
          <w:color w:val="000000" w:themeColor="text1"/>
          <w:sz w:val="20"/>
        </w:rPr>
        <w:t>and aged care system and sporting outcomes through evidence-based policy, well</w:t>
      </w:r>
      <w:r>
        <w:rPr>
          <w:i w:val="0"/>
          <w:color w:val="000000" w:themeColor="text1"/>
          <w:sz w:val="20"/>
        </w:rPr>
        <w:t xml:space="preserve"> </w:t>
      </w:r>
      <w:r w:rsidRPr="00884013">
        <w:rPr>
          <w:i w:val="0"/>
          <w:color w:val="000000" w:themeColor="text1"/>
          <w:sz w:val="20"/>
        </w:rPr>
        <w:t>targeted programs, and best practice regulation.</w:t>
      </w:r>
    </w:p>
    <w:p w14:paraId="41E36A03" w14:textId="53FD19BD" w:rsidR="00884013" w:rsidRPr="00884013" w:rsidRDefault="00884013" w:rsidP="00884013">
      <w:pPr>
        <w:pStyle w:val="ExampleText"/>
        <w:rPr>
          <w:i w:val="0"/>
          <w:color w:val="000000" w:themeColor="text1"/>
          <w:sz w:val="20"/>
        </w:rPr>
      </w:pPr>
      <w:r w:rsidRPr="00884013">
        <w:rPr>
          <w:i w:val="0"/>
          <w:color w:val="000000" w:themeColor="text1"/>
          <w:sz w:val="20"/>
        </w:rPr>
        <w:t>The Health</w:t>
      </w:r>
      <w:r w:rsidR="00194DFF">
        <w:rPr>
          <w:i w:val="0"/>
          <w:color w:val="000000" w:themeColor="text1"/>
          <w:sz w:val="20"/>
        </w:rPr>
        <w:t xml:space="preserve"> and Aged Care</w:t>
      </w:r>
      <w:r w:rsidRPr="00884013">
        <w:rPr>
          <w:i w:val="0"/>
          <w:color w:val="000000" w:themeColor="text1"/>
          <w:sz w:val="20"/>
        </w:rPr>
        <w:t xml:space="preserve"> Portfolio works towards achieving better health and wellbeing for all</w:t>
      </w:r>
      <w:r>
        <w:rPr>
          <w:i w:val="0"/>
          <w:color w:val="000000" w:themeColor="text1"/>
          <w:sz w:val="20"/>
        </w:rPr>
        <w:t xml:space="preserve"> </w:t>
      </w:r>
      <w:r w:rsidRPr="00884013">
        <w:rPr>
          <w:i w:val="0"/>
          <w:color w:val="000000" w:themeColor="text1"/>
          <w:sz w:val="20"/>
        </w:rPr>
        <w:t>Australians, now and for future generations.</w:t>
      </w:r>
    </w:p>
    <w:p w14:paraId="1917C3D6" w14:textId="77777777" w:rsidR="00884013" w:rsidRPr="00884013" w:rsidRDefault="00884013" w:rsidP="00884013">
      <w:pPr>
        <w:pStyle w:val="ExampleText"/>
        <w:rPr>
          <w:b/>
          <w:i w:val="0"/>
          <w:color w:val="000000" w:themeColor="text1"/>
          <w:sz w:val="20"/>
        </w:rPr>
      </w:pPr>
      <w:r w:rsidRPr="00884013">
        <w:rPr>
          <w:b/>
          <w:i w:val="0"/>
          <w:color w:val="000000" w:themeColor="text1"/>
          <w:sz w:val="20"/>
        </w:rPr>
        <w:t>Portfolio Structure</w:t>
      </w:r>
    </w:p>
    <w:p w14:paraId="7B6001B3" w14:textId="65183093" w:rsidR="00884013" w:rsidRDefault="00884013" w:rsidP="00884013">
      <w:pPr>
        <w:pStyle w:val="ExampleText"/>
      </w:pPr>
      <w:r w:rsidRPr="00884013">
        <w:rPr>
          <w:i w:val="0"/>
          <w:color w:val="000000" w:themeColor="text1"/>
          <w:sz w:val="20"/>
        </w:rPr>
        <w:t xml:space="preserve">Minister and Portfolio responsibilities, and a list of </w:t>
      </w:r>
      <w:r w:rsidRPr="00F8342C">
        <w:rPr>
          <w:i w:val="0"/>
          <w:color w:val="000000" w:themeColor="text1"/>
          <w:sz w:val="20"/>
        </w:rPr>
        <w:t>the 1</w:t>
      </w:r>
      <w:r w:rsidR="002131C6" w:rsidRPr="00F8342C">
        <w:rPr>
          <w:i w:val="0"/>
          <w:color w:val="000000" w:themeColor="text1"/>
          <w:sz w:val="20"/>
        </w:rPr>
        <w:t>8</w:t>
      </w:r>
      <w:r w:rsidRPr="00F8342C">
        <w:rPr>
          <w:i w:val="0"/>
          <w:color w:val="000000" w:themeColor="text1"/>
          <w:sz w:val="20"/>
        </w:rPr>
        <w:t xml:space="preserve"> Portfolio entities and </w:t>
      </w:r>
      <w:r w:rsidR="002131C6" w:rsidRPr="00F8342C">
        <w:rPr>
          <w:i w:val="0"/>
          <w:color w:val="000000" w:themeColor="text1"/>
          <w:sz w:val="20"/>
        </w:rPr>
        <w:t>7</w:t>
      </w:r>
      <w:r w:rsidRPr="00F8342C">
        <w:rPr>
          <w:i w:val="0"/>
          <w:color w:val="000000" w:themeColor="text1"/>
          <w:sz w:val="20"/>
        </w:rPr>
        <w:t xml:space="preserve"> statutory office holders currently within the Health </w:t>
      </w:r>
      <w:r w:rsidR="002131C6" w:rsidRPr="00F8342C">
        <w:rPr>
          <w:i w:val="0"/>
          <w:color w:val="000000" w:themeColor="text1"/>
          <w:sz w:val="20"/>
        </w:rPr>
        <w:t>and Aged</w:t>
      </w:r>
      <w:r w:rsidR="002131C6">
        <w:rPr>
          <w:i w:val="0"/>
          <w:color w:val="000000" w:themeColor="text1"/>
          <w:sz w:val="20"/>
        </w:rPr>
        <w:t xml:space="preserve"> Care </w:t>
      </w:r>
      <w:r w:rsidRPr="00884013">
        <w:rPr>
          <w:i w:val="0"/>
          <w:color w:val="000000" w:themeColor="text1"/>
          <w:sz w:val="20"/>
        </w:rPr>
        <w:t>Portfolio, can be found in</w:t>
      </w:r>
      <w:r>
        <w:rPr>
          <w:i w:val="0"/>
          <w:color w:val="000000" w:themeColor="text1"/>
          <w:sz w:val="20"/>
        </w:rPr>
        <w:t xml:space="preserve"> </w:t>
      </w:r>
      <w:r w:rsidRPr="00884013">
        <w:rPr>
          <w:i w:val="0"/>
          <w:color w:val="000000" w:themeColor="text1"/>
          <w:sz w:val="20"/>
        </w:rPr>
        <w:t>Figure 1: Health</w:t>
      </w:r>
      <w:r w:rsidR="00194DFF">
        <w:rPr>
          <w:i w:val="0"/>
          <w:color w:val="000000" w:themeColor="text1"/>
          <w:sz w:val="20"/>
        </w:rPr>
        <w:t xml:space="preserve"> and Aged Care</w:t>
      </w:r>
      <w:r w:rsidRPr="00884013">
        <w:rPr>
          <w:i w:val="0"/>
          <w:color w:val="000000" w:themeColor="text1"/>
          <w:sz w:val="20"/>
        </w:rPr>
        <w:t xml:space="preserve"> Portfolio Structure and Outcomes.</w:t>
      </w:r>
    </w:p>
    <w:p w14:paraId="606E4507" w14:textId="54AA9E57" w:rsidR="002406B1" w:rsidRPr="00CC6D00" w:rsidRDefault="00DB42D8" w:rsidP="002406B1">
      <w:pPr>
        <w:spacing w:after="120"/>
        <w:rPr>
          <w:sz w:val="20"/>
        </w:rPr>
      </w:pPr>
      <w:r w:rsidRPr="00352426">
        <w:rPr>
          <w:sz w:val="20"/>
        </w:rPr>
        <w:t>A full</w:t>
      </w:r>
      <w:r w:rsidR="005607E0">
        <w:rPr>
          <w:sz w:val="20"/>
        </w:rPr>
        <w:t xml:space="preserve"> outline of the department’s portfolio o</w:t>
      </w:r>
      <w:r w:rsidRPr="00352426">
        <w:rPr>
          <w:sz w:val="20"/>
        </w:rPr>
        <w:t xml:space="preserve">verview can be found in the </w:t>
      </w:r>
      <w:r w:rsidR="002406B1" w:rsidRPr="00C82B16">
        <w:rPr>
          <w:i/>
          <w:sz w:val="20"/>
        </w:rPr>
        <w:t>Health and Aged Care Portfolio Budget Statements 2023–24</w:t>
      </w:r>
      <w:r w:rsidR="002406B1" w:rsidRPr="00CC6D00">
        <w:rPr>
          <w:sz w:val="20"/>
        </w:rPr>
        <w:t>.</w:t>
      </w:r>
      <w:r w:rsidR="002406B1">
        <w:rPr>
          <w:sz w:val="20"/>
        </w:rPr>
        <w:t xml:space="preserve"> </w:t>
      </w:r>
    </w:p>
    <w:p w14:paraId="1D5BCF5C" w14:textId="7878EFAE" w:rsidR="00DB42D8" w:rsidRDefault="00DB42D8" w:rsidP="0030776B">
      <w:pPr>
        <w:pStyle w:val="FigureHeading"/>
        <w:spacing w:after="120"/>
      </w:pPr>
      <w:r>
        <w:lastRenderedPageBreak/>
        <w:t xml:space="preserve">Figure 1: </w:t>
      </w:r>
      <w:r w:rsidR="006D64FD" w:rsidRPr="0015177F">
        <w:t>Health and Aged Care</w:t>
      </w:r>
      <w:r w:rsidR="006D64FD" w:rsidRPr="00D0781F">
        <w:t xml:space="preserve"> </w:t>
      </w:r>
      <w:r w:rsidRPr="00D0781F">
        <w:t>portfolio</w:t>
      </w:r>
      <w:r>
        <w:t xml:space="preserve"> structure and outcomes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Figure 1: Portfolio Structure and Outcomes"/>
        <w:tblDescription w:val="Table showing the portfolio responsibilities of Department of Health Ministers"/>
      </w:tblPr>
      <w:tblGrid>
        <w:gridCol w:w="1541"/>
        <w:gridCol w:w="1540"/>
        <w:gridCol w:w="1540"/>
        <w:gridCol w:w="1540"/>
        <w:gridCol w:w="1540"/>
      </w:tblGrid>
      <w:tr w:rsidR="006D64FD" w:rsidRPr="003C42CB" w14:paraId="474B3E9C" w14:textId="77777777" w:rsidTr="006D64FD">
        <w:trPr>
          <w:trHeight w:val="2059"/>
          <w:tblHeader/>
          <w:jc w:val="center"/>
        </w:trPr>
        <w:tc>
          <w:tcPr>
            <w:tcW w:w="1541" w:type="dxa"/>
            <w:tcBorders>
              <w:right w:val="single" w:sz="4" w:space="0" w:color="auto"/>
            </w:tcBorders>
            <w:shd w:val="clear" w:color="auto" w:fill="auto"/>
            <w:tcMar>
              <w:left w:w="85" w:type="dxa"/>
              <w:right w:w="85" w:type="dxa"/>
            </w:tcMar>
          </w:tcPr>
          <w:p w14:paraId="622A9D2D" w14:textId="29B78B98" w:rsidR="006D64FD" w:rsidRPr="003C42CB" w:rsidRDefault="006D64FD" w:rsidP="0030776B">
            <w:pPr>
              <w:spacing w:before="0" w:after="0" w:line="276" w:lineRule="auto"/>
              <w:contextualSpacing/>
              <w:jc w:val="center"/>
              <w:rPr>
                <w:rFonts w:ascii="Arial" w:hAnsi="Arial" w:cs="Arial"/>
                <w:b/>
                <w:sz w:val="16"/>
                <w:szCs w:val="16"/>
              </w:rPr>
            </w:pPr>
            <w:r w:rsidRPr="003C42CB">
              <w:rPr>
                <w:rFonts w:ascii="Arial" w:hAnsi="Arial" w:cs="Arial"/>
                <w:b/>
                <w:sz w:val="16"/>
                <w:szCs w:val="16"/>
              </w:rPr>
              <w:t xml:space="preserve">The Hon </w:t>
            </w:r>
            <w:r w:rsidRPr="003C42CB">
              <w:rPr>
                <w:rFonts w:ascii="Arial" w:hAnsi="Arial" w:cs="Arial"/>
                <w:b/>
                <w:sz w:val="16"/>
                <w:szCs w:val="16"/>
              </w:rPr>
              <w:br/>
              <w:t>Mark Butler MP</w:t>
            </w:r>
          </w:p>
          <w:p w14:paraId="17DCA430" w14:textId="77777777" w:rsidR="006D64FD" w:rsidRDefault="006D64FD" w:rsidP="0030776B">
            <w:pPr>
              <w:spacing w:before="0" w:after="148" w:line="276" w:lineRule="auto"/>
              <w:contextualSpacing/>
              <w:jc w:val="center"/>
              <w:rPr>
                <w:rFonts w:ascii="Arial" w:hAnsi="Arial" w:cs="Arial"/>
                <w:sz w:val="16"/>
                <w:szCs w:val="16"/>
              </w:rPr>
            </w:pPr>
            <w:r w:rsidRPr="003C42CB">
              <w:rPr>
                <w:rFonts w:ascii="Arial" w:hAnsi="Arial" w:cs="Arial"/>
                <w:sz w:val="16"/>
                <w:szCs w:val="16"/>
              </w:rPr>
              <w:t>Minister for Health and Aged Care</w:t>
            </w:r>
          </w:p>
          <w:p w14:paraId="06937AF1" w14:textId="77777777" w:rsidR="006D64FD" w:rsidRPr="003C42CB" w:rsidRDefault="006D64FD" w:rsidP="0030776B">
            <w:pPr>
              <w:spacing w:before="0" w:after="148" w:line="276" w:lineRule="auto"/>
              <w:contextualSpacing/>
              <w:jc w:val="center"/>
              <w:rPr>
                <w:rFonts w:ascii="Arial" w:hAnsi="Arial" w:cs="Arial"/>
                <w:sz w:val="16"/>
                <w:szCs w:val="16"/>
              </w:rPr>
            </w:pPr>
            <w:r>
              <w:rPr>
                <w:rFonts w:ascii="Arial" w:hAnsi="Arial" w:cs="Arial"/>
                <w:sz w:val="16"/>
                <w:szCs w:val="16"/>
              </w:rPr>
              <w:t>Deputy Leader of the House</w:t>
            </w:r>
          </w:p>
        </w:tc>
        <w:tc>
          <w:tcPr>
            <w:tcW w:w="1540" w:type="dxa"/>
            <w:tcBorders>
              <w:top w:val="single" w:sz="4" w:space="0" w:color="auto"/>
              <w:left w:val="single" w:sz="4" w:space="0" w:color="auto"/>
              <w:bottom w:val="nil"/>
              <w:right w:val="single" w:sz="4" w:space="0" w:color="auto"/>
            </w:tcBorders>
            <w:shd w:val="clear" w:color="auto" w:fill="auto"/>
          </w:tcPr>
          <w:p w14:paraId="62E01730" w14:textId="01730576" w:rsidR="006D64FD" w:rsidRPr="003C42CB" w:rsidRDefault="006D64FD" w:rsidP="0030776B">
            <w:pPr>
              <w:spacing w:before="0" w:after="62" w:afterAutospacing="1" w:line="276" w:lineRule="auto"/>
              <w:contextualSpacing/>
              <w:jc w:val="center"/>
              <w:rPr>
                <w:rFonts w:ascii="Arial" w:hAnsi="Arial" w:cs="Arial"/>
                <w:b/>
                <w:sz w:val="16"/>
                <w:szCs w:val="16"/>
              </w:rPr>
            </w:pPr>
            <w:r w:rsidRPr="003C42CB">
              <w:rPr>
                <w:rFonts w:ascii="Arial" w:hAnsi="Arial" w:cs="Arial"/>
                <w:b/>
                <w:sz w:val="16"/>
                <w:szCs w:val="16"/>
              </w:rPr>
              <w:t>The Hon</w:t>
            </w:r>
            <w:r w:rsidRPr="003C42CB">
              <w:rPr>
                <w:rFonts w:ascii="Arial" w:hAnsi="Arial" w:cs="Arial"/>
                <w:b/>
                <w:sz w:val="16"/>
                <w:szCs w:val="16"/>
              </w:rPr>
              <w:br/>
              <w:t>Anika Wells MP</w:t>
            </w:r>
          </w:p>
          <w:p w14:paraId="49E669A6" w14:textId="77777777" w:rsidR="006D64FD" w:rsidRPr="003C42CB" w:rsidRDefault="006D64FD" w:rsidP="0030776B">
            <w:pPr>
              <w:spacing w:before="0" w:after="62" w:afterAutospacing="1" w:line="276" w:lineRule="auto"/>
              <w:contextualSpacing/>
              <w:jc w:val="center"/>
              <w:rPr>
                <w:rFonts w:ascii="Arial" w:hAnsi="Arial" w:cs="Arial"/>
                <w:sz w:val="16"/>
                <w:szCs w:val="16"/>
              </w:rPr>
            </w:pPr>
            <w:r w:rsidRPr="003C42CB">
              <w:rPr>
                <w:rFonts w:ascii="Arial" w:hAnsi="Arial" w:cs="Arial"/>
                <w:sz w:val="16"/>
                <w:szCs w:val="16"/>
              </w:rPr>
              <w:t xml:space="preserve">Minister </w:t>
            </w:r>
            <w:r>
              <w:rPr>
                <w:rFonts w:ascii="Arial" w:hAnsi="Arial" w:cs="Arial"/>
                <w:sz w:val="16"/>
                <w:szCs w:val="16"/>
              </w:rPr>
              <w:t xml:space="preserve">for </w:t>
            </w:r>
            <w:r w:rsidRPr="003C42CB">
              <w:rPr>
                <w:rFonts w:ascii="Arial" w:hAnsi="Arial" w:cs="Arial"/>
                <w:sz w:val="16"/>
                <w:szCs w:val="16"/>
              </w:rPr>
              <w:t>Aged Care</w:t>
            </w:r>
          </w:p>
          <w:p w14:paraId="276FDDA6" w14:textId="77777777" w:rsidR="006D64FD" w:rsidRPr="003C42CB" w:rsidRDefault="006D64FD" w:rsidP="0030776B">
            <w:pPr>
              <w:spacing w:before="0" w:after="62" w:afterAutospacing="1" w:line="276" w:lineRule="auto"/>
              <w:contextualSpacing/>
              <w:jc w:val="center"/>
              <w:rPr>
                <w:rFonts w:ascii="Arial" w:hAnsi="Arial" w:cs="Arial"/>
                <w:sz w:val="16"/>
                <w:szCs w:val="16"/>
              </w:rPr>
            </w:pPr>
            <w:r w:rsidRPr="003C42CB">
              <w:rPr>
                <w:rFonts w:ascii="Arial" w:hAnsi="Arial" w:cs="Arial"/>
                <w:sz w:val="16"/>
                <w:szCs w:val="16"/>
              </w:rPr>
              <w:t>Minister for Sport</w:t>
            </w:r>
          </w:p>
        </w:tc>
        <w:tc>
          <w:tcPr>
            <w:tcW w:w="1540" w:type="dxa"/>
            <w:tcBorders>
              <w:left w:val="single" w:sz="4" w:space="0" w:color="auto"/>
            </w:tcBorders>
            <w:tcMar>
              <w:left w:w="85" w:type="dxa"/>
              <w:right w:w="85" w:type="dxa"/>
            </w:tcMar>
          </w:tcPr>
          <w:p w14:paraId="0996E2B4" w14:textId="34A53F08" w:rsidR="006D64FD" w:rsidRPr="003C42CB" w:rsidRDefault="006D64FD" w:rsidP="0030776B">
            <w:pPr>
              <w:spacing w:before="148" w:after="62" w:afterAutospacing="1" w:line="276" w:lineRule="auto"/>
              <w:contextualSpacing/>
              <w:jc w:val="center"/>
              <w:rPr>
                <w:rFonts w:ascii="Arial" w:hAnsi="Arial" w:cs="Arial"/>
                <w:b/>
                <w:sz w:val="16"/>
                <w:szCs w:val="16"/>
              </w:rPr>
            </w:pPr>
            <w:r w:rsidRPr="003C42CB">
              <w:rPr>
                <w:rFonts w:ascii="Arial" w:hAnsi="Arial" w:cs="Arial"/>
                <w:b/>
                <w:sz w:val="16"/>
                <w:szCs w:val="16"/>
              </w:rPr>
              <w:t>The Hon</w:t>
            </w:r>
            <w:r w:rsidRPr="003C42CB">
              <w:rPr>
                <w:rFonts w:ascii="Arial" w:hAnsi="Arial" w:cs="Arial"/>
                <w:b/>
                <w:sz w:val="16"/>
                <w:szCs w:val="16"/>
              </w:rPr>
              <w:br/>
              <w:t>Ged Kearney MP</w:t>
            </w:r>
          </w:p>
          <w:p w14:paraId="7C83CC1C" w14:textId="77777777" w:rsidR="006D64FD" w:rsidRPr="003C42CB" w:rsidRDefault="006D64FD" w:rsidP="0030776B">
            <w:pPr>
              <w:spacing w:before="148" w:after="62" w:afterAutospacing="1" w:line="276" w:lineRule="auto"/>
              <w:contextualSpacing/>
              <w:jc w:val="center"/>
              <w:rPr>
                <w:rFonts w:ascii="Arial" w:hAnsi="Arial" w:cs="Arial"/>
                <w:sz w:val="16"/>
                <w:szCs w:val="16"/>
              </w:rPr>
            </w:pPr>
            <w:r w:rsidRPr="003C42CB">
              <w:rPr>
                <w:rFonts w:ascii="Arial" w:hAnsi="Arial" w:cs="Arial"/>
                <w:sz w:val="16"/>
                <w:szCs w:val="16"/>
              </w:rPr>
              <w:t>Assistant Minister for Health and Aged Care</w:t>
            </w:r>
          </w:p>
        </w:tc>
        <w:tc>
          <w:tcPr>
            <w:tcW w:w="1540" w:type="dxa"/>
            <w:tcBorders>
              <w:left w:val="single" w:sz="4" w:space="0" w:color="auto"/>
              <w:right w:val="single" w:sz="4" w:space="0" w:color="auto"/>
            </w:tcBorders>
          </w:tcPr>
          <w:p w14:paraId="673A3B44" w14:textId="426FF478" w:rsidR="006D64FD" w:rsidRPr="003C42CB" w:rsidRDefault="006D64FD" w:rsidP="0030776B">
            <w:pPr>
              <w:spacing w:before="148" w:after="62" w:afterAutospacing="1" w:line="276" w:lineRule="auto"/>
              <w:contextualSpacing/>
              <w:jc w:val="center"/>
              <w:rPr>
                <w:rFonts w:ascii="Arial" w:hAnsi="Arial" w:cs="Arial"/>
                <w:b/>
                <w:sz w:val="16"/>
                <w:szCs w:val="16"/>
              </w:rPr>
            </w:pPr>
            <w:r w:rsidRPr="003C42CB">
              <w:rPr>
                <w:rFonts w:ascii="Arial" w:hAnsi="Arial" w:cs="Arial"/>
                <w:b/>
                <w:sz w:val="16"/>
                <w:szCs w:val="16"/>
              </w:rPr>
              <w:t>The Hon</w:t>
            </w:r>
            <w:r w:rsidRPr="003C42CB">
              <w:rPr>
                <w:rFonts w:ascii="Arial" w:hAnsi="Arial" w:cs="Arial"/>
                <w:b/>
                <w:sz w:val="16"/>
                <w:szCs w:val="16"/>
              </w:rPr>
              <w:br/>
              <w:t>Emma McBride MP</w:t>
            </w:r>
          </w:p>
          <w:p w14:paraId="40008B86" w14:textId="77777777" w:rsidR="006D64FD" w:rsidRPr="003C42CB" w:rsidRDefault="006D64FD" w:rsidP="0030776B">
            <w:pPr>
              <w:spacing w:before="148" w:after="62" w:afterAutospacing="1" w:line="276" w:lineRule="auto"/>
              <w:contextualSpacing/>
              <w:jc w:val="center"/>
              <w:rPr>
                <w:rFonts w:ascii="Arial" w:hAnsi="Arial" w:cs="Arial"/>
                <w:sz w:val="16"/>
                <w:szCs w:val="16"/>
              </w:rPr>
            </w:pPr>
            <w:r w:rsidRPr="003C42CB">
              <w:rPr>
                <w:rFonts w:ascii="Arial" w:hAnsi="Arial" w:cs="Arial"/>
                <w:sz w:val="16"/>
                <w:szCs w:val="16"/>
              </w:rPr>
              <w:t>Assistant Minister for Mental Health</w:t>
            </w:r>
            <w:r>
              <w:rPr>
                <w:rFonts w:ascii="Arial" w:hAnsi="Arial" w:cs="Arial"/>
                <w:sz w:val="16"/>
                <w:szCs w:val="16"/>
              </w:rPr>
              <w:t xml:space="preserve"> and Suicide Prevention</w:t>
            </w:r>
          </w:p>
          <w:p w14:paraId="2F460955" w14:textId="77777777" w:rsidR="00FA455C" w:rsidRDefault="006D64FD" w:rsidP="0030776B">
            <w:pPr>
              <w:spacing w:before="148" w:after="62" w:afterAutospacing="1" w:line="276" w:lineRule="auto"/>
              <w:contextualSpacing/>
              <w:jc w:val="center"/>
              <w:rPr>
                <w:rFonts w:ascii="Arial" w:hAnsi="Arial" w:cs="Arial"/>
                <w:sz w:val="16"/>
                <w:szCs w:val="16"/>
              </w:rPr>
            </w:pPr>
            <w:r w:rsidRPr="003C42CB">
              <w:rPr>
                <w:rFonts w:ascii="Arial" w:hAnsi="Arial" w:cs="Arial"/>
                <w:sz w:val="16"/>
                <w:szCs w:val="16"/>
              </w:rPr>
              <w:t xml:space="preserve">Assistant Minister for Rural and </w:t>
            </w:r>
          </w:p>
          <w:p w14:paraId="6FF57C21" w14:textId="01A4EDDE" w:rsidR="006D64FD" w:rsidRPr="003C42CB" w:rsidRDefault="006D64FD" w:rsidP="0030776B">
            <w:pPr>
              <w:spacing w:before="148" w:after="62" w:afterAutospacing="1" w:line="276" w:lineRule="auto"/>
              <w:contextualSpacing/>
              <w:jc w:val="center"/>
              <w:rPr>
                <w:rFonts w:ascii="Arial" w:hAnsi="Arial" w:cs="Arial"/>
                <w:b/>
                <w:sz w:val="16"/>
                <w:szCs w:val="16"/>
              </w:rPr>
            </w:pPr>
            <w:r w:rsidRPr="003C42CB">
              <w:rPr>
                <w:rFonts w:ascii="Arial" w:hAnsi="Arial" w:cs="Arial"/>
                <w:sz w:val="16"/>
                <w:szCs w:val="16"/>
              </w:rPr>
              <w:t>Regional Health</w:t>
            </w:r>
          </w:p>
        </w:tc>
        <w:tc>
          <w:tcPr>
            <w:tcW w:w="1540" w:type="dxa"/>
            <w:tcBorders>
              <w:left w:val="single" w:sz="4" w:space="0" w:color="auto"/>
            </w:tcBorders>
          </w:tcPr>
          <w:p w14:paraId="37A7DFC5" w14:textId="5C026769" w:rsidR="006D64FD" w:rsidRPr="003C42CB" w:rsidRDefault="006D64FD" w:rsidP="0030776B">
            <w:pPr>
              <w:spacing w:before="148" w:after="62" w:afterAutospacing="1" w:line="276" w:lineRule="auto"/>
              <w:ind w:left="-96" w:right="-66"/>
              <w:contextualSpacing/>
              <w:jc w:val="center"/>
              <w:rPr>
                <w:rFonts w:ascii="Arial" w:hAnsi="Arial" w:cs="Arial"/>
                <w:b/>
                <w:sz w:val="16"/>
                <w:szCs w:val="16"/>
              </w:rPr>
            </w:pPr>
            <w:r w:rsidRPr="003C42CB">
              <w:rPr>
                <w:rFonts w:ascii="Arial" w:hAnsi="Arial" w:cs="Arial"/>
                <w:b/>
                <w:sz w:val="16"/>
                <w:szCs w:val="16"/>
              </w:rPr>
              <w:t>Senator the Hon</w:t>
            </w:r>
            <w:r w:rsidRPr="003C42CB">
              <w:rPr>
                <w:rFonts w:ascii="Arial" w:hAnsi="Arial" w:cs="Arial"/>
                <w:b/>
                <w:sz w:val="16"/>
                <w:szCs w:val="16"/>
              </w:rPr>
              <w:br/>
            </w:r>
            <w:proofErr w:type="spellStart"/>
            <w:r w:rsidRPr="003C42CB">
              <w:rPr>
                <w:rFonts w:ascii="Arial" w:hAnsi="Arial" w:cs="Arial"/>
                <w:b/>
                <w:sz w:val="16"/>
                <w:szCs w:val="16"/>
              </w:rPr>
              <w:t>Malarndirri</w:t>
            </w:r>
            <w:proofErr w:type="spellEnd"/>
            <w:r w:rsidRPr="003C42CB">
              <w:rPr>
                <w:rFonts w:ascii="Arial" w:hAnsi="Arial" w:cs="Arial"/>
                <w:b/>
                <w:sz w:val="16"/>
                <w:szCs w:val="16"/>
              </w:rPr>
              <w:t xml:space="preserve"> McCarthy</w:t>
            </w:r>
          </w:p>
          <w:p w14:paraId="3E40640E" w14:textId="77777777" w:rsidR="006D64FD" w:rsidRPr="003C42CB" w:rsidRDefault="006D64FD" w:rsidP="0030776B">
            <w:pPr>
              <w:spacing w:before="148" w:after="62" w:afterAutospacing="1" w:line="276" w:lineRule="auto"/>
              <w:contextualSpacing/>
              <w:jc w:val="center"/>
              <w:rPr>
                <w:rFonts w:ascii="Arial" w:hAnsi="Arial" w:cs="Arial"/>
                <w:sz w:val="16"/>
                <w:szCs w:val="16"/>
              </w:rPr>
            </w:pPr>
            <w:r w:rsidRPr="003C42CB">
              <w:rPr>
                <w:rFonts w:ascii="Arial" w:hAnsi="Arial" w:cs="Arial"/>
                <w:sz w:val="16"/>
                <w:szCs w:val="16"/>
              </w:rPr>
              <w:t>Assistant Minister for Indigenous Health</w:t>
            </w:r>
          </w:p>
        </w:tc>
      </w:tr>
      <w:tr w:rsidR="006D64FD" w:rsidRPr="003C42CB" w14:paraId="58314EE8" w14:textId="77777777" w:rsidTr="006D64FD">
        <w:trPr>
          <w:trHeight w:val="1123"/>
          <w:tblHeader/>
          <w:jc w:val="center"/>
        </w:trPr>
        <w:tc>
          <w:tcPr>
            <w:tcW w:w="1541" w:type="dxa"/>
            <w:tcBorders>
              <w:right w:val="single" w:sz="4" w:space="0" w:color="auto"/>
            </w:tcBorders>
            <w:shd w:val="clear" w:color="auto" w:fill="auto"/>
          </w:tcPr>
          <w:p w14:paraId="2CADB220" w14:textId="232F9EFE" w:rsidR="006D64FD" w:rsidRPr="003C42CB" w:rsidRDefault="006D64FD" w:rsidP="008369F5">
            <w:pPr>
              <w:spacing w:before="74" w:after="37" w:line="276" w:lineRule="auto"/>
              <w:contextualSpacing/>
              <w:rPr>
                <w:rFonts w:ascii="Arial" w:hAnsi="Arial" w:cs="Arial"/>
                <w:b/>
                <w:sz w:val="16"/>
                <w:szCs w:val="16"/>
                <w:u w:val="single"/>
              </w:rPr>
            </w:pPr>
            <w:r w:rsidRPr="003C42CB">
              <w:rPr>
                <w:rFonts w:ascii="Arial" w:hAnsi="Arial" w:cs="Arial"/>
                <w:b/>
                <w:sz w:val="16"/>
                <w:szCs w:val="16"/>
                <w:u w:val="single"/>
              </w:rPr>
              <w:t>Portfolio Responsibilities</w:t>
            </w:r>
          </w:p>
          <w:p w14:paraId="1E974C18"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Department of Health and Aged Care:</w:t>
            </w:r>
          </w:p>
          <w:p w14:paraId="2D4EFFB9"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Outcomes: 1, 2</w:t>
            </w:r>
            <w:r>
              <w:rPr>
                <w:rFonts w:ascii="Arial" w:hAnsi="Arial" w:cs="Arial"/>
                <w:sz w:val="16"/>
                <w:szCs w:val="16"/>
              </w:rPr>
              <w:t>,</w:t>
            </w:r>
            <w:r w:rsidRPr="003C42CB">
              <w:rPr>
                <w:rFonts w:ascii="Arial" w:hAnsi="Arial" w:cs="Arial"/>
                <w:sz w:val="16"/>
                <w:szCs w:val="16"/>
              </w:rPr>
              <w:t xml:space="preserve"> 3</w:t>
            </w:r>
            <w:r>
              <w:rPr>
                <w:rFonts w:ascii="Arial" w:hAnsi="Arial" w:cs="Arial"/>
                <w:sz w:val="16"/>
                <w:szCs w:val="16"/>
              </w:rPr>
              <w:t xml:space="preserve"> and 4</w:t>
            </w:r>
          </w:p>
        </w:tc>
        <w:tc>
          <w:tcPr>
            <w:tcW w:w="1540" w:type="dxa"/>
            <w:tcBorders>
              <w:top w:val="nil"/>
              <w:left w:val="single" w:sz="4" w:space="0" w:color="auto"/>
              <w:right w:val="single" w:sz="4" w:space="0" w:color="auto"/>
            </w:tcBorders>
            <w:shd w:val="clear" w:color="auto" w:fill="auto"/>
          </w:tcPr>
          <w:p w14:paraId="4AB52F3A" w14:textId="0A493F53" w:rsidR="006D64FD" w:rsidRPr="003C42CB" w:rsidRDefault="006D64FD" w:rsidP="008369F5">
            <w:pPr>
              <w:spacing w:before="74" w:after="37" w:line="276" w:lineRule="auto"/>
              <w:contextualSpacing/>
              <w:rPr>
                <w:rFonts w:ascii="Arial" w:hAnsi="Arial" w:cs="Arial"/>
                <w:b/>
                <w:sz w:val="16"/>
                <w:szCs w:val="16"/>
                <w:u w:val="single"/>
              </w:rPr>
            </w:pPr>
            <w:r w:rsidRPr="003C42CB">
              <w:rPr>
                <w:rFonts w:ascii="Arial" w:hAnsi="Arial" w:cs="Arial"/>
                <w:b/>
                <w:sz w:val="16"/>
                <w:szCs w:val="16"/>
                <w:u w:val="single"/>
              </w:rPr>
              <w:t>Portfolio Responsibilities</w:t>
            </w:r>
          </w:p>
          <w:p w14:paraId="23E1A7CD"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Department of Health and Aged Care:</w:t>
            </w:r>
          </w:p>
          <w:p w14:paraId="22EF343F"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Outcomes: 3</w:t>
            </w:r>
            <w:r w:rsidRPr="003C42CB">
              <w:rPr>
                <w:rFonts w:ascii="Arial" w:hAnsi="Arial" w:cs="Arial"/>
                <w:sz w:val="16"/>
                <w:szCs w:val="16"/>
              </w:rPr>
              <w:br/>
              <w:t>and 4</w:t>
            </w:r>
          </w:p>
        </w:tc>
        <w:tc>
          <w:tcPr>
            <w:tcW w:w="1540" w:type="dxa"/>
            <w:tcBorders>
              <w:left w:val="single" w:sz="4" w:space="0" w:color="auto"/>
            </w:tcBorders>
          </w:tcPr>
          <w:p w14:paraId="4DB42762" w14:textId="3314F6C5" w:rsidR="006D64FD" w:rsidRPr="003C42CB" w:rsidRDefault="006D64FD" w:rsidP="008369F5">
            <w:pPr>
              <w:spacing w:before="74" w:after="37" w:line="276" w:lineRule="auto"/>
              <w:contextualSpacing/>
              <w:rPr>
                <w:rFonts w:ascii="Arial" w:hAnsi="Arial" w:cs="Arial"/>
                <w:b/>
                <w:sz w:val="16"/>
                <w:szCs w:val="16"/>
                <w:u w:val="single"/>
              </w:rPr>
            </w:pPr>
            <w:r w:rsidRPr="003C42CB">
              <w:rPr>
                <w:rFonts w:ascii="Arial" w:hAnsi="Arial" w:cs="Arial"/>
                <w:b/>
                <w:sz w:val="16"/>
                <w:szCs w:val="16"/>
                <w:u w:val="single"/>
              </w:rPr>
              <w:t>Portfolio Responsibilities</w:t>
            </w:r>
          </w:p>
          <w:p w14:paraId="1357B3EB"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Department of Health and Aged Care:</w:t>
            </w:r>
          </w:p>
          <w:p w14:paraId="269E05A1"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Outcome: 1</w:t>
            </w:r>
          </w:p>
        </w:tc>
        <w:tc>
          <w:tcPr>
            <w:tcW w:w="1540" w:type="dxa"/>
            <w:tcBorders>
              <w:left w:val="single" w:sz="4" w:space="0" w:color="auto"/>
              <w:right w:val="single" w:sz="4" w:space="0" w:color="auto"/>
            </w:tcBorders>
          </w:tcPr>
          <w:p w14:paraId="174AC15D" w14:textId="318BC5C4" w:rsidR="006D64FD" w:rsidRPr="003C42CB" w:rsidRDefault="006D64FD" w:rsidP="008369F5">
            <w:pPr>
              <w:spacing w:before="74" w:after="37" w:line="276" w:lineRule="auto"/>
              <w:contextualSpacing/>
              <w:rPr>
                <w:rFonts w:ascii="Arial" w:hAnsi="Arial" w:cs="Arial"/>
                <w:b/>
                <w:sz w:val="16"/>
                <w:szCs w:val="16"/>
                <w:u w:val="single"/>
              </w:rPr>
            </w:pPr>
            <w:r w:rsidRPr="003C42CB">
              <w:rPr>
                <w:rFonts w:ascii="Arial" w:hAnsi="Arial" w:cs="Arial"/>
                <w:b/>
                <w:sz w:val="16"/>
                <w:szCs w:val="16"/>
                <w:u w:val="single"/>
              </w:rPr>
              <w:t>Portfolio Responsibilities</w:t>
            </w:r>
          </w:p>
          <w:p w14:paraId="29E8D864"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Department of Health and Aged Care:</w:t>
            </w:r>
          </w:p>
          <w:p w14:paraId="64C2325E" w14:textId="77777777" w:rsidR="006D64FD" w:rsidRPr="003C42CB" w:rsidRDefault="006D64FD" w:rsidP="008369F5">
            <w:pPr>
              <w:spacing w:before="148" w:after="37" w:line="276" w:lineRule="auto"/>
              <w:contextualSpacing/>
              <w:rPr>
                <w:rFonts w:ascii="Arial" w:hAnsi="Arial" w:cs="Arial"/>
                <w:b/>
                <w:sz w:val="16"/>
                <w:szCs w:val="16"/>
                <w:u w:val="single"/>
              </w:rPr>
            </w:pPr>
            <w:r>
              <w:rPr>
                <w:rFonts w:ascii="Arial" w:hAnsi="Arial" w:cs="Arial"/>
                <w:sz w:val="16"/>
                <w:szCs w:val="16"/>
              </w:rPr>
              <w:t xml:space="preserve">Outcome: </w:t>
            </w:r>
            <w:r w:rsidRPr="003C42CB">
              <w:rPr>
                <w:rFonts w:ascii="Arial" w:hAnsi="Arial" w:cs="Arial"/>
                <w:sz w:val="16"/>
                <w:szCs w:val="16"/>
              </w:rPr>
              <w:t>1</w:t>
            </w:r>
          </w:p>
        </w:tc>
        <w:tc>
          <w:tcPr>
            <w:tcW w:w="1540" w:type="dxa"/>
            <w:tcBorders>
              <w:left w:val="single" w:sz="4" w:space="0" w:color="auto"/>
            </w:tcBorders>
          </w:tcPr>
          <w:p w14:paraId="09132947" w14:textId="6727C4C7" w:rsidR="006D64FD" w:rsidRPr="003C42CB" w:rsidRDefault="006D64FD" w:rsidP="008369F5">
            <w:pPr>
              <w:spacing w:before="74" w:after="37" w:line="276" w:lineRule="auto"/>
              <w:contextualSpacing/>
              <w:rPr>
                <w:rFonts w:ascii="Arial" w:hAnsi="Arial" w:cs="Arial"/>
                <w:b/>
                <w:sz w:val="16"/>
                <w:szCs w:val="16"/>
                <w:u w:val="single"/>
              </w:rPr>
            </w:pPr>
            <w:r w:rsidRPr="003C42CB">
              <w:rPr>
                <w:rFonts w:ascii="Arial" w:hAnsi="Arial" w:cs="Arial"/>
                <w:b/>
                <w:sz w:val="16"/>
                <w:szCs w:val="16"/>
                <w:u w:val="single"/>
              </w:rPr>
              <w:t>Portfolio Responsibilities</w:t>
            </w:r>
          </w:p>
          <w:p w14:paraId="3F233633"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Department of Health and Aged Care:</w:t>
            </w:r>
          </w:p>
          <w:p w14:paraId="44E31F37" w14:textId="77777777" w:rsidR="006D64FD" w:rsidRPr="003C42CB" w:rsidRDefault="006D64FD" w:rsidP="008369F5">
            <w:pPr>
              <w:spacing w:before="148" w:after="37" w:line="276" w:lineRule="auto"/>
              <w:contextualSpacing/>
              <w:rPr>
                <w:rFonts w:ascii="Arial" w:hAnsi="Arial" w:cs="Arial"/>
                <w:b/>
                <w:sz w:val="16"/>
                <w:szCs w:val="16"/>
                <w:u w:val="single"/>
              </w:rPr>
            </w:pPr>
            <w:r>
              <w:rPr>
                <w:rFonts w:ascii="Arial" w:hAnsi="Arial" w:cs="Arial"/>
                <w:sz w:val="16"/>
                <w:szCs w:val="16"/>
              </w:rPr>
              <w:t>Outcome</w:t>
            </w:r>
            <w:r w:rsidRPr="003C42CB">
              <w:rPr>
                <w:rFonts w:ascii="Arial" w:hAnsi="Arial" w:cs="Arial"/>
                <w:sz w:val="16"/>
                <w:szCs w:val="16"/>
              </w:rPr>
              <w:t>: 1</w:t>
            </w:r>
          </w:p>
        </w:tc>
      </w:tr>
      <w:tr w:rsidR="006D64FD" w:rsidRPr="00BF61CF" w14:paraId="18485CE2" w14:textId="77777777" w:rsidTr="006D64FD">
        <w:trPr>
          <w:trHeight w:val="1410"/>
          <w:tblHeader/>
          <w:jc w:val="center"/>
        </w:trPr>
        <w:tc>
          <w:tcPr>
            <w:tcW w:w="1541" w:type="dxa"/>
            <w:tcBorders>
              <w:right w:val="single" w:sz="4" w:space="0" w:color="auto"/>
            </w:tcBorders>
            <w:shd w:val="clear" w:color="auto" w:fill="auto"/>
          </w:tcPr>
          <w:p w14:paraId="4692B7EA" w14:textId="77777777" w:rsidR="00FA455C" w:rsidRDefault="00FA455C" w:rsidP="00FA455C">
            <w:pPr>
              <w:spacing w:before="74" w:after="37" w:line="276" w:lineRule="auto"/>
              <w:contextualSpacing/>
              <w:rPr>
                <w:rFonts w:ascii="Arial" w:hAnsi="Arial" w:cs="Arial"/>
                <w:sz w:val="16"/>
                <w:szCs w:val="16"/>
              </w:rPr>
            </w:pPr>
          </w:p>
          <w:p w14:paraId="76ACF085" w14:textId="4665B30C" w:rsidR="006D64FD" w:rsidRPr="003C42CB" w:rsidRDefault="006D64FD" w:rsidP="008369F5">
            <w:pPr>
              <w:spacing w:before="74" w:after="37" w:line="276" w:lineRule="auto"/>
              <w:contextualSpacing/>
              <w:rPr>
                <w:rFonts w:ascii="Arial" w:hAnsi="Arial" w:cs="Arial"/>
                <w:sz w:val="16"/>
                <w:szCs w:val="16"/>
              </w:rPr>
            </w:pPr>
            <w:r w:rsidRPr="003C42CB">
              <w:rPr>
                <w:rFonts w:ascii="Arial" w:hAnsi="Arial" w:cs="Arial"/>
                <w:sz w:val="16"/>
                <w:szCs w:val="16"/>
              </w:rPr>
              <w:t>Entities:</w:t>
            </w:r>
          </w:p>
          <w:p w14:paraId="63942124" w14:textId="77777777" w:rsidR="006D64FD" w:rsidRPr="003C42CB" w:rsidRDefault="006D64FD" w:rsidP="008369F5">
            <w:pPr>
              <w:spacing w:before="148" w:after="37" w:line="276" w:lineRule="auto"/>
              <w:contextualSpacing/>
              <w:rPr>
                <w:rFonts w:ascii="Arial" w:hAnsi="Arial" w:cs="Arial"/>
                <w:b/>
                <w:sz w:val="16"/>
                <w:szCs w:val="16"/>
                <w:u w:val="single"/>
              </w:rPr>
            </w:pPr>
            <w:r w:rsidRPr="003C42CB">
              <w:rPr>
                <w:rFonts w:ascii="Arial" w:hAnsi="Arial" w:cs="Arial"/>
                <w:sz w:val="16"/>
                <w:szCs w:val="16"/>
              </w:rPr>
              <w:t>ACSQHC, Digital Health, AIHW, Cancer Australia, IH</w:t>
            </w:r>
            <w:r>
              <w:rPr>
                <w:rFonts w:ascii="Arial" w:hAnsi="Arial" w:cs="Arial"/>
                <w:sz w:val="16"/>
                <w:szCs w:val="16"/>
              </w:rPr>
              <w:t xml:space="preserve">ACPA, NHFB, NHMRC, </w:t>
            </w:r>
            <w:r w:rsidRPr="003C42CB">
              <w:rPr>
                <w:rFonts w:ascii="Arial" w:hAnsi="Arial" w:cs="Arial"/>
                <w:sz w:val="16"/>
                <w:szCs w:val="16"/>
              </w:rPr>
              <w:t>and PSR</w:t>
            </w:r>
          </w:p>
        </w:tc>
        <w:tc>
          <w:tcPr>
            <w:tcW w:w="1540" w:type="dxa"/>
            <w:tcBorders>
              <w:left w:val="single" w:sz="4" w:space="0" w:color="auto"/>
              <w:right w:val="single" w:sz="4" w:space="0" w:color="auto"/>
            </w:tcBorders>
            <w:shd w:val="clear" w:color="auto" w:fill="auto"/>
          </w:tcPr>
          <w:p w14:paraId="1755DBDB" w14:textId="77777777" w:rsidR="00FA455C" w:rsidRDefault="00FA455C" w:rsidP="00FA455C">
            <w:pPr>
              <w:spacing w:before="74" w:after="37" w:line="276" w:lineRule="auto"/>
              <w:contextualSpacing/>
              <w:rPr>
                <w:rFonts w:ascii="Arial" w:hAnsi="Arial" w:cs="Arial"/>
                <w:sz w:val="16"/>
                <w:szCs w:val="16"/>
              </w:rPr>
            </w:pPr>
          </w:p>
          <w:p w14:paraId="44C8419D" w14:textId="038819E3" w:rsidR="006D64FD" w:rsidRPr="003C42CB" w:rsidRDefault="006D64FD" w:rsidP="008369F5">
            <w:pPr>
              <w:spacing w:before="74" w:after="37" w:line="276" w:lineRule="auto"/>
              <w:contextualSpacing/>
              <w:rPr>
                <w:rFonts w:ascii="Arial" w:hAnsi="Arial" w:cs="Arial"/>
                <w:sz w:val="16"/>
                <w:szCs w:val="16"/>
              </w:rPr>
            </w:pPr>
            <w:r w:rsidRPr="003C42CB">
              <w:rPr>
                <w:rFonts w:ascii="Arial" w:hAnsi="Arial" w:cs="Arial"/>
                <w:sz w:val="16"/>
                <w:szCs w:val="16"/>
              </w:rPr>
              <w:t>Entities:</w:t>
            </w:r>
          </w:p>
          <w:p w14:paraId="5189EE37" w14:textId="3232B94D" w:rsidR="006D64FD" w:rsidRPr="003C42CB" w:rsidRDefault="00FC5F52" w:rsidP="008369F5">
            <w:pPr>
              <w:spacing w:before="148" w:after="37" w:line="276" w:lineRule="auto"/>
              <w:contextualSpacing/>
              <w:rPr>
                <w:rFonts w:ascii="Arial" w:hAnsi="Arial" w:cs="Arial"/>
                <w:b/>
                <w:sz w:val="16"/>
                <w:szCs w:val="16"/>
                <w:u w:val="single"/>
              </w:rPr>
            </w:pPr>
            <w:r>
              <w:rPr>
                <w:rFonts w:ascii="Arial" w:hAnsi="Arial" w:cs="Arial"/>
                <w:sz w:val="16"/>
                <w:szCs w:val="16"/>
              </w:rPr>
              <w:t>ACQSC, ASC, ASF</w:t>
            </w:r>
            <w:r w:rsidR="006D64FD" w:rsidRPr="003C42CB">
              <w:rPr>
                <w:rFonts w:ascii="Arial" w:hAnsi="Arial" w:cs="Arial"/>
                <w:sz w:val="16"/>
                <w:szCs w:val="16"/>
              </w:rPr>
              <w:t xml:space="preserve">, </w:t>
            </w:r>
            <w:r w:rsidR="000F4B10">
              <w:rPr>
                <w:rFonts w:ascii="Arial" w:hAnsi="Arial" w:cs="Arial"/>
                <w:sz w:val="16"/>
                <w:szCs w:val="16"/>
              </w:rPr>
              <w:t>O</w:t>
            </w:r>
            <w:r w:rsidR="00FA73D5">
              <w:rPr>
                <w:rFonts w:ascii="Arial" w:hAnsi="Arial" w:cs="Arial"/>
                <w:sz w:val="16"/>
                <w:szCs w:val="16"/>
              </w:rPr>
              <w:t>IGAC</w:t>
            </w:r>
            <w:r w:rsidR="001C0245">
              <w:rPr>
                <w:rFonts w:ascii="Arial" w:hAnsi="Arial" w:cs="Arial"/>
                <w:sz w:val="16"/>
                <w:szCs w:val="16"/>
              </w:rPr>
              <w:t xml:space="preserve"> </w:t>
            </w:r>
            <w:r w:rsidR="006D64FD" w:rsidRPr="003C42CB">
              <w:rPr>
                <w:rFonts w:ascii="Arial" w:hAnsi="Arial" w:cs="Arial"/>
                <w:sz w:val="16"/>
                <w:szCs w:val="16"/>
              </w:rPr>
              <w:t>and Sport Integrity Australia</w:t>
            </w:r>
          </w:p>
        </w:tc>
        <w:tc>
          <w:tcPr>
            <w:tcW w:w="1540" w:type="dxa"/>
            <w:tcBorders>
              <w:left w:val="single" w:sz="4" w:space="0" w:color="auto"/>
            </w:tcBorders>
          </w:tcPr>
          <w:p w14:paraId="4D189021" w14:textId="77777777" w:rsidR="00FA455C" w:rsidRDefault="00FA455C" w:rsidP="00FA455C">
            <w:pPr>
              <w:spacing w:before="74" w:after="37" w:line="276" w:lineRule="auto"/>
              <w:contextualSpacing/>
              <w:rPr>
                <w:rFonts w:ascii="Arial" w:hAnsi="Arial" w:cs="Arial"/>
                <w:sz w:val="16"/>
                <w:szCs w:val="16"/>
              </w:rPr>
            </w:pPr>
          </w:p>
          <w:p w14:paraId="33848714" w14:textId="380FB17B" w:rsidR="006D64FD" w:rsidRPr="003C42CB" w:rsidRDefault="006D64FD" w:rsidP="008369F5">
            <w:pPr>
              <w:spacing w:before="74" w:after="37" w:line="276" w:lineRule="auto"/>
              <w:contextualSpacing/>
              <w:rPr>
                <w:rFonts w:ascii="Arial" w:hAnsi="Arial" w:cs="Arial"/>
                <w:sz w:val="16"/>
                <w:szCs w:val="16"/>
              </w:rPr>
            </w:pPr>
            <w:r w:rsidRPr="003C42CB">
              <w:rPr>
                <w:rFonts w:ascii="Arial" w:hAnsi="Arial" w:cs="Arial"/>
                <w:sz w:val="16"/>
                <w:szCs w:val="16"/>
              </w:rPr>
              <w:t>Entities:</w:t>
            </w:r>
          </w:p>
          <w:p w14:paraId="7E3ECE99" w14:textId="77777777" w:rsidR="006D64FD" w:rsidRPr="003C42CB" w:rsidRDefault="006D64FD" w:rsidP="008369F5">
            <w:pPr>
              <w:spacing w:before="148" w:after="37" w:line="276" w:lineRule="auto"/>
              <w:contextualSpacing/>
              <w:rPr>
                <w:rFonts w:ascii="Arial" w:hAnsi="Arial" w:cs="Arial"/>
                <w:b/>
                <w:sz w:val="16"/>
                <w:szCs w:val="16"/>
                <w:u w:val="single"/>
              </w:rPr>
            </w:pPr>
            <w:r w:rsidRPr="003C42CB">
              <w:rPr>
                <w:rFonts w:ascii="Arial" w:hAnsi="Arial" w:cs="Arial"/>
                <w:sz w:val="16"/>
                <w:szCs w:val="16"/>
              </w:rPr>
              <w:t>ARPANSA</w:t>
            </w:r>
            <w:r>
              <w:rPr>
                <w:rFonts w:ascii="Arial" w:hAnsi="Arial" w:cs="Arial"/>
                <w:sz w:val="16"/>
                <w:szCs w:val="16"/>
              </w:rPr>
              <w:t xml:space="preserve">, </w:t>
            </w:r>
            <w:r w:rsidRPr="003C42CB">
              <w:rPr>
                <w:rFonts w:ascii="Arial" w:hAnsi="Arial" w:cs="Arial"/>
                <w:sz w:val="16"/>
                <w:szCs w:val="16"/>
              </w:rPr>
              <w:t>FSANZ</w:t>
            </w:r>
            <w:r>
              <w:rPr>
                <w:rFonts w:ascii="Arial" w:hAnsi="Arial" w:cs="Arial"/>
                <w:sz w:val="16"/>
                <w:szCs w:val="16"/>
              </w:rPr>
              <w:t xml:space="preserve">, </w:t>
            </w:r>
            <w:r w:rsidRPr="003C42CB">
              <w:rPr>
                <w:rFonts w:ascii="Arial" w:hAnsi="Arial" w:cs="Arial"/>
                <w:sz w:val="16"/>
                <w:szCs w:val="16"/>
              </w:rPr>
              <w:t>NBA,</w:t>
            </w:r>
            <w:r>
              <w:rPr>
                <w:rFonts w:ascii="Arial" w:hAnsi="Arial" w:cs="Arial"/>
                <w:sz w:val="16"/>
                <w:szCs w:val="16"/>
              </w:rPr>
              <w:t xml:space="preserve"> and </w:t>
            </w:r>
            <w:r w:rsidRPr="003C42CB">
              <w:rPr>
                <w:rFonts w:ascii="Arial" w:hAnsi="Arial" w:cs="Arial"/>
                <w:sz w:val="16"/>
                <w:szCs w:val="16"/>
              </w:rPr>
              <w:t>OTA</w:t>
            </w:r>
          </w:p>
        </w:tc>
        <w:tc>
          <w:tcPr>
            <w:tcW w:w="1540" w:type="dxa"/>
            <w:tcBorders>
              <w:left w:val="single" w:sz="4" w:space="0" w:color="auto"/>
              <w:right w:val="single" w:sz="4" w:space="0" w:color="auto"/>
            </w:tcBorders>
          </w:tcPr>
          <w:p w14:paraId="6D02144F" w14:textId="77777777" w:rsidR="00FA455C" w:rsidRDefault="00FA455C" w:rsidP="00FA455C">
            <w:pPr>
              <w:spacing w:before="74" w:after="37" w:line="276" w:lineRule="auto"/>
              <w:contextualSpacing/>
              <w:rPr>
                <w:rFonts w:ascii="Arial" w:hAnsi="Arial" w:cs="Arial"/>
                <w:sz w:val="16"/>
                <w:szCs w:val="16"/>
              </w:rPr>
            </w:pPr>
          </w:p>
          <w:p w14:paraId="4A88B699" w14:textId="146B21F3" w:rsidR="006D64FD" w:rsidRPr="003C42CB" w:rsidRDefault="006D64FD" w:rsidP="008369F5">
            <w:pPr>
              <w:spacing w:before="74" w:after="37" w:line="276" w:lineRule="auto"/>
              <w:contextualSpacing/>
              <w:rPr>
                <w:rFonts w:ascii="Arial" w:hAnsi="Arial" w:cs="Arial"/>
                <w:sz w:val="16"/>
                <w:szCs w:val="16"/>
              </w:rPr>
            </w:pPr>
            <w:r w:rsidRPr="003C42CB">
              <w:rPr>
                <w:rFonts w:ascii="Arial" w:hAnsi="Arial" w:cs="Arial"/>
                <w:sz w:val="16"/>
                <w:szCs w:val="16"/>
              </w:rPr>
              <w:t>Entities:</w:t>
            </w:r>
          </w:p>
          <w:p w14:paraId="79D1DE86" w14:textId="77777777" w:rsidR="006D64FD" w:rsidRPr="003C42CB" w:rsidRDefault="006D64FD" w:rsidP="008369F5">
            <w:pPr>
              <w:spacing w:before="148" w:after="37" w:line="276" w:lineRule="auto"/>
              <w:contextualSpacing/>
              <w:rPr>
                <w:rFonts w:ascii="Arial" w:hAnsi="Arial" w:cs="Arial"/>
                <w:sz w:val="16"/>
                <w:szCs w:val="16"/>
              </w:rPr>
            </w:pPr>
            <w:r w:rsidRPr="003C42CB">
              <w:rPr>
                <w:rFonts w:ascii="Arial" w:hAnsi="Arial" w:cs="Arial"/>
                <w:sz w:val="16"/>
                <w:szCs w:val="16"/>
              </w:rPr>
              <w:t>NMHC</w:t>
            </w:r>
          </w:p>
        </w:tc>
        <w:tc>
          <w:tcPr>
            <w:tcW w:w="1540" w:type="dxa"/>
            <w:tcBorders>
              <w:left w:val="single" w:sz="4" w:space="0" w:color="auto"/>
            </w:tcBorders>
          </w:tcPr>
          <w:p w14:paraId="0352BDCF" w14:textId="77777777" w:rsidR="006D64FD" w:rsidRPr="00414336" w:rsidRDefault="006D64FD" w:rsidP="008369F5">
            <w:pPr>
              <w:spacing w:before="74" w:after="37" w:line="276" w:lineRule="auto"/>
              <w:contextualSpacing/>
              <w:rPr>
                <w:rFonts w:ascii="Arial" w:hAnsi="Arial" w:cs="Arial"/>
                <w:sz w:val="16"/>
                <w:szCs w:val="16"/>
              </w:rPr>
            </w:pPr>
          </w:p>
        </w:tc>
      </w:tr>
      <w:tr w:rsidR="006D64FD" w:rsidRPr="00BF61CF" w14:paraId="4531CE96" w14:textId="77777777" w:rsidTr="006D64FD">
        <w:trPr>
          <w:trHeight w:val="1410"/>
          <w:tblHeader/>
          <w:jc w:val="center"/>
        </w:trPr>
        <w:tc>
          <w:tcPr>
            <w:tcW w:w="1541" w:type="dxa"/>
            <w:tcBorders>
              <w:right w:val="single" w:sz="4" w:space="0" w:color="auto"/>
            </w:tcBorders>
            <w:shd w:val="clear" w:color="auto" w:fill="auto"/>
          </w:tcPr>
          <w:p w14:paraId="34BDBA54" w14:textId="77777777" w:rsidR="00FA455C" w:rsidRDefault="00FA455C" w:rsidP="00FA455C">
            <w:pPr>
              <w:spacing w:before="74" w:after="37" w:line="276" w:lineRule="auto"/>
              <w:contextualSpacing/>
              <w:rPr>
                <w:rFonts w:ascii="Arial" w:hAnsi="Arial" w:cs="Arial"/>
                <w:sz w:val="16"/>
                <w:szCs w:val="16"/>
              </w:rPr>
            </w:pPr>
          </w:p>
          <w:p w14:paraId="2B2003CD" w14:textId="52A23AFC" w:rsidR="006D64FD" w:rsidRDefault="006D64FD" w:rsidP="008369F5">
            <w:pPr>
              <w:spacing w:before="74" w:after="37" w:line="276" w:lineRule="auto"/>
              <w:contextualSpacing/>
              <w:rPr>
                <w:rFonts w:ascii="Arial" w:hAnsi="Arial" w:cs="Arial"/>
                <w:sz w:val="16"/>
                <w:szCs w:val="16"/>
              </w:rPr>
            </w:pPr>
            <w:r>
              <w:rPr>
                <w:rFonts w:ascii="Arial" w:hAnsi="Arial" w:cs="Arial"/>
                <w:sz w:val="16"/>
                <w:szCs w:val="16"/>
              </w:rPr>
              <w:t>Statutory Office Holders:</w:t>
            </w:r>
          </w:p>
          <w:p w14:paraId="063E94B6" w14:textId="77777777" w:rsidR="006D64FD" w:rsidRDefault="006D64FD" w:rsidP="008369F5">
            <w:pPr>
              <w:spacing w:before="148" w:after="37" w:line="276" w:lineRule="auto"/>
              <w:contextualSpacing/>
              <w:rPr>
                <w:rFonts w:ascii="Arial" w:hAnsi="Arial" w:cs="Arial"/>
                <w:sz w:val="16"/>
                <w:szCs w:val="16"/>
              </w:rPr>
            </w:pPr>
            <w:r w:rsidRPr="001259B0">
              <w:rPr>
                <w:rFonts w:ascii="Arial" w:hAnsi="Arial" w:cs="Arial"/>
                <w:sz w:val="16"/>
                <w:szCs w:val="16"/>
              </w:rPr>
              <w:t>National Health Funding Pool</w:t>
            </w:r>
            <w:r>
              <w:rPr>
                <w:rFonts w:ascii="Arial" w:hAnsi="Arial" w:cs="Arial"/>
                <w:sz w:val="16"/>
                <w:szCs w:val="16"/>
              </w:rPr>
              <w:t xml:space="preserve"> Administrator</w:t>
            </w:r>
          </w:p>
          <w:p w14:paraId="29DBB74D" w14:textId="77777777" w:rsidR="006D64FD" w:rsidRPr="003C42CB" w:rsidRDefault="006D64FD" w:rsidP="008369F5">
            <w:pPr>
              <w:spacing w:before="148" w:after="37" w:line="276" w:lineRule="auto"/>
              <w:contextualSpacing/>
              <w:rPr>
                <w:rFonts w:ascii="Arial" w:hAnsi="Arial" w:cs="Arial"/>
                <w:sz w:val="16"/>
                <w:szCs w:val="16"/>
              </w:rPr>
            </w:pPr>
            <w:r w:rsidRPr="001259B0">
              <w:rPr>
                <w:rFonts w:ascii="Arial" w:hAnsi="Arial" w:cs="Arial"/>
                <w:sz w:val="16"/>
                <w:szCs w:val="16"/>
              </w:rPr>
              <w:t>National Health and Medical Research Council Commissioner of Complaints</w:t>
            </w:r>
          </w:p>
        </w:tc>
        <w:tc>
          <w:tcPr>
            <w:tcW w:w="1540" w:type="dxa"/>
            <w:tcBorders>
              <w:left w:val="single" w:sz="4" w:space="0" w:color="auto"/>
              <w:bottom w:val="single" w:sz="4" w:space="0" w:color="auto"/>
              <w:right w:val="single" w:sz="4" w:space="0" w:color="auto"/>
            </w:tcBorders>
            <w:shd w:val="clear" w:color="auto" w:fill="auto"/>
          </w:tcPr>
          <w:p w14:paraId="1922C8DE" w14:textId="77777777" w:rsidR="00FA455C" w:rsidRDefault="00FA455C" w:rsidP="00FA455C">
            <w:pPr>
              <w:spacing w:before="74" w:after="37" w:line="276" w:lineRule="auto"/>
              <w:contextualSpacing/>
              <w:rPr>
                <w:rFonts w:ascii="Arial" w:hAnsi="Arial" w:cs="Arial"/>
                <w:sz w:val="16"/>
                <w:szCs w:val="16"/>
              </w:rPr>
            </w:pPr>
          </w:p>
          <w:p w14:paraId="6D13CCC0" w14:textId="4FF8DC28" w:rsidR="006D64FD" w:rsidRDefault="006D64FD" w:rsidP="008369F5">
            <w:pPr>
              <w:spacing w:before="74" w:after="37" w:line="276" w:lineRule="auto"/>
              <w:contextualSpacing/>
              <w:rPr>
                <w:rFonts w:ascii="Arial" w:hAnsi="Arial" w:cs="Arial"/>
                <w:sz w:val="16"/>
                <w:szCs w:val="16"/>
              </w:rPr>
            </w:pPr>
            <w:r>
              <w:rPr>
                <w:rFonts w:ascii="Arial" w:hAnsi="Arial" w:cs="Arial"/>
                <w:sz w:val="16"/>
                <w:szCs w:val="16"/>
              </w:rPr>
              <w:t>Statutory Office Holders:</w:t>
            </w:r>
          </w:p>
          <w:p w14:paraId="2BA2E267" w14:textId="77777777" w:rsidR="006D64FD" w:rsidRDefault="006D64FD" w:rsidP="008369F5">
            <w:pPr>
              <w:spacing w:before="148" w:after="37" w:line="276" w:lineRule="auto"/>
              <w:contextualSpacing/>
              <w:rPr>
                <w:rFonts w:ascii="Arial" w:hAnsi="Arial" w:cs="Arial"/>
                <w:sz w:val="16"/>
                <w:szCs w:val="16"/>
              </w:rPr>
            </w:pPr>
            <w:r w:rsidRPr="00E74598">
              <w:rPr>
                <w:rFonts w:ascii="Arial" w:hAnsi="Arial" w:cs="Arial"/>
                <w:sz w:val="16"/>
                <w:szCs w:val="16"/>
              </w:rPr>
              <w:t>Aged Care Quality and Safety Commissioner</w:t>
            </w:r>
          </w:p>
          <w:p w14:paraId="22D45E9D" w14:textId="77777777" w:rsidR="006D64FD" w:rsidRPr="003C42CB" w:rsidRDefault="006D64FD" w:rsidP="008369F5">
            <w:pPr>
              <w:spacing w:before="148" w:after="37" w:line="276" w:lineRule="auto"/>
              <w:contextualSpacing/>
              <w:rPr>
                <w:rFonts w:ascii="Arial" w:hAnsi="Arial" w:cs="Arial"/>
                <w:sz w:val="16"/>
                <w:szCs w:val="16"/>
              </w:rPr>
            </w:pPr>
            <w:r>
              <w:rPr>
                <w:rFonts w:ascii="Arial" w:hAnsi="Arial" w:cs="Arial"/>
                <w:sz w:val="16"/>
                <w:szCs w:val="16"/>
              </w:rPr>
              <w:t>CEO, National Sports Tribunal</w:t>
            </w:r>
          </w:p>
        </w:tc>
        <w:tc>
          <w:tcPr>
            <w:tcW w:w="1540" w:type="dxa"/>
            <w:tcBorders>
              <w:left w:val="single" w:sz="4" w:space="0" w:color="auto"/>
            </w:tcBorders>
          </w:tcPr>
          <w:p w14:paraId="21A212CF" w14:textId="77777777" w:rsidR="00FA455C" w:rsidRDefault="00FA455C" w:rsidP="00FA455C">
            <w:pPr>
              <w:spacing w:before="74" w:after="37" w:line="276" w:lineRule="auto"/>
              <w:contextualSpacing/>
              <w:rPr>
                <w:rFonts w:ascii="Arial" w:hAnsi="Arial" w:cs="Arial"/>
                <w:sz w:val="16"/>
                <w:szCs w:val="16"/>
              </w:rPr>
            </w:pPr>
          </w:p>
          <w:p w14:paraId="483E74AB" w14:textId="464008E5" w:rsidR="006D64FD" w:rsidRDefault="006D64FD" w:rsidP="008369F5">
            <w:pPr>
              <w:spacing w:before="74" w:after="37" w:line="276" w:lineRule="auto"/>
              <w:contextualSpacing/>
              <w:rPr>
                <w:rFonts w:ascii="Arial" w:hAnsi="Arial" w:cs="Arial"/>
                <w:sz w:val="16"/>
                <w:szCs w:val="16"/>
              </w:rPr>
            </w:pPr>
            <w:r>
              <w:rPr>
                <w:rFonts w:ascii="Arial" w:hAnsi="Arial" w:cs="Arial"/>
                <w:sz w:val="16"/>
                <w:szCs w:val="16"/>
              </w:rPr>
              <w:t>Statutory Office Holders:</w:t>
            </w:r>
          </w:p>
          <w:p w14:paraId="1F0E907A" w14:textId="77777777" w:rsidR="006D64FD" w:rsidRDefault="006D64FD" w:rsidP="008369F5">
            <w:pPr>
              <w:spacing w:before="148" w:after="37" w:line="276" w:lineRule="auto"/>
              <w:contextualSpacing/>
              <w:rPr>
                <w:rFonts w:ascii="Arial" w:hAnsi="Arial" w:cs="Arial"/>
                <w:sz w:val="16"/>
                <w:szCs w:val="16"/>
              </w:rPr>
            </w:pPr>
            <w:r>
              <w:rPr>
                <w:rFonts w:ascii="Arial" w:hAnsi="Arial" w:cs="Arial"/>
                <w:sz w:val="16"/>
                <w:szCs w:val="16"/>
              </w:rPr>
              <w:t xml:space="preserve">Executive Director, </w:t>
            </w:r>
            <w:r w:rsidRPr="001259B0">
              <w:rPr>
                <w:rFonts w:ascii="Arial" w:hAnsi="Arial" w:cs="Arial"/>
                <w:sz w:val="16"/>
                <w:szCs w:val="16"/>
              </w:rPr>
              <w:t>Australian Industrial Chemicals Introduction Scheme</w:t>
            </w:r>
          </w:p>
          <w:p w14:paraId="0CC94F52" w14:textId="77777777" w:rsidR="006D64FD" w:rsidRPr="003C42CB" w:rsidRDefault="006D64FD" w:rsidP="008369F5">
            <w:pPr>
              <w:spacing w:before="148" w:after="37" w:line="276" w:lineRule="auto"/>
              <w:contextualSpacing/>
              <w:rPr>
                <w:rFonts w:ascii="Arial" w:hAnsi="Arial" w:cs="Arial"/>
                <w:sz w:val="16"/>
                <w:szCs w:val="16"/>
              </w:rPr>
            </w:pPr>
            <w:r w:rsidRPr="001259B0">
              <w:rPr>
                <w:rFonts w:ascii="Arial" w:hAnsi="Arial" w:cs="Arial"/>
                <w:sz w:val="16"/>
                <w:szCs w:val="16"/>
              </w:rPr>
              <w:t>Gene Technology Regulator</w:t>
            </w:r>
          </w:p>
        </w:tc>
        <w:tc>
          <w:tcPr>
            <w:tcW w:w="1540" w:type="dxa"/>
            <w:tcBorders>
              <w:left w:val="single" w:sz="4" w:space="0" w:color="auto"/>
              <w:right w:val="single" w:sz="4" w:space="0" w:color="auto"/>
            </w:tcBorders>
          </w:tcPr>
          <w:p w14:paraId="6CBA6E22" w14:textId="77777777" w:rsidR="00FA455C" w:rsidRDefault="00FA455C" w:rsidP="00FA455C">
            <w:pPr>
              <w:spacing w:before="74" w:after="37" w:line="276" w:lineRule="auto"/>
              <w:contextualSpacing/>
              <w:rPr>
                <w:rFonts w:ascii="Arial" w:hAnsi="Arial" w:cs="Arial"/>
                <w:sz w:val="16"/>
                <w:szCs w:val="16"/>
              </w:rPr>
            </w:pPr>
          </w:p>
          <w:p w14:paraId="21F4BCB4" w14:textId="0D395D3C" w:rsidR="006D64FD" w:rsidRDefault="006D64FD" w:rsidP="008369F5">
            <w:pPr>
              <w:spacing w:before="74" w:after="37" w:line="276" w:lineRule="auto"/>
              <w:contextualSpacing/>
              <w:rPr>
                <w:rFonts w:ascii="Arial" w:hAnsi="Arial" w:cs="Arial"/>
                <w:sz w:val="16"/>
                <w:szCs w:val="16"/>
              </w:rPr>
            </w:pPr>
            <w:r>
              <w:rPr>
                <w:rFonts w:ascii="Arial" w:hAnsi="Arial" w:cs="Arial"/>
                <w:sz w:val="16"/>
                <w:szCs w:val="16"/>
              </w:rPr>
              <w:t>Statutory Office Holders:</w:t>
            </w:r>
          </w:p>
          <w:p w14:paraId="44F81CE8" w14:textId="77777777" w:rsidR="006D64FD" w:rsidRPr="003C42CB" w:rsidRDefault="006D64FD" w:rsidP="008369F5">
            <w:pPr>
              <w:spacing w:before="148" w:after="37" w:line="276" w:lineRule="auto"/>
              <w:contextualSpacing/>
              <w:rPr>
                <w:rFonts w:ascii="Arial" w:hAnsi="Arial" w:cs="Arial"/>
                <w:sz w:val="16"/>
                <w:szCs w:val="16"/>
              </w:rPr>
            </w:pPr>
            <w:r w:rsidRPr="001259B0">
              <w:rPr>
                <w:rFonts w:ascii="Arial" w:hAnsi="Arial" w:cs="Arial"/>
                <w:sz w:val="16"/>
                <w:szCs w:val="16"/>
              </w:rPr>
              <w:t>National Rural Health Commissioner</w:t>
            </w:r>
          </w:p>
        </w:tc>
        <w:tc>
          <w:tcPr>
            <w:tcW w:w="1540" w:type="dxa"/>
            <w:tcBorders>
              <w:left w:val="single" w:sz="4" w:space="0" w:color="auto"/>
            </w:tcBorders>
          </w:tcPr>
          <w:p w14:paraId="7D79D01C" w14:textId="77777777" w:rsidR="006D64FD" w:rsidRPr="003C42CB" w:rsidRDefault="006D64FD" w:rsidP="008369F5">
            <w:pPr>
              <w:spacing w:before="74" w:after="37" w:line="276" w:lineRule="auto"/>
              <w:contextualSpacing/>
              <w:rPr>
                <w:rFonts w:ascii="Arial" w:hAnsi="Arial" w:cs="Arial"/>
                <w:sz w:val="16"/>
                <w:szCs w:val="16"/>
              </w:rPr>
            </w:pPr>
          </w:p>
        </w:tc>
      </w:tr>
    </w:tbl>
    <w:p w14:paraId="1CF6A1CD" w14:textId="3117B9CC" w:rsidR="006D64FD" w:rsidRDefault="006D64FD" w:rsidP="006D64FD">
      <w:pPr>
        <w:pStyle w:val="Tablenumberandreference"/>
        <w:spacing w:after="120"/>
        <w:rPr>
          <w:color w:val="000000"/>
          <w:szCs w:val="19"/>
        </w:rPr>
      </w:pPr>
    </w:p>
    <w:p w14:paraId="763F891E" w14:textId="3A9452D5" w:rsidR="00C057C6" w:rsidRDefault="00C057C6" w:rsidP="006D64FD">
      <w:pPr>
        <w:pStyle w:val="Tablenumberandreference"/>
        <w:spacing w:after="120"/>
        <w:rPr>
          <w:color w:val="000000"/>
          <w:szCs w:val="19"/>
        </w:rPr>
      </w:pPr>
    </w:p>
    <w:p w14:paraId="673A87A6" w14:textId="538CBEB2" w:rsidR="00C057C6" w:rsidRDefault="00C057C6" w:rsidP="006D64FD">
      <w:pPr>
        <w:pStyle w:val="Tablenumberandreference"/>
        <w:spacing w:after="120"/>
        <w:rPr>
          <w:color w:val="000000"/>
          <w:szCs w:val="19"/>
        </w:rPr>
      </w:pPr>
    </w:p>
    <w:p w14:paraId="597C9B7D" w14:textId="77777777" w:rsidR="00C057C6" w:rsidRDefault="00C057C6" w:rsidP="006D64FD">
      <w:pPr>
        <w:pStyle w:val="Tablenumberandreference"/>
        <w:spacing w:after="120"/>
        <w:rPr>
          <w:color w:val="000000"/>
          <w:szCs w:val="19"/>
        </w:rPr>
      </w:pPr>
    </w:p>
    <w:p w14:paraId="5EB0948F" w14:textId="77777777" w:rsidR="006D64FD" w:rsidRDefault="006D64FD">
      <w:pPr>
        <w:spacing w:before="0" w:after="0" w:line="240" w:lineRule="auto"/>
        <w:rPr>
          <w:rFonts w:ascii="Arial" w:hAnsi="Arial" w:cs="Arial"/>
          <w:b/>
          <w:color w:val="000000"/>
          <w:szCs w:val="19"/>
          <w:lang w:eastAsia="en-US"/>
        </w:rPr>
      </w:pPr>
      <w:r>
        <w:rPr>
          <w:color w:val="000000"/>
          <w:szCs w:val="19"/>
        </w:rPr>
        <w:br w:type="page"/>
      </w:r>
    </w:p>
    <w:p w14:paraId="5E2D4369" w14:textId="72A3462E" w:rsidR="006D64FD" w:rsidRPr="0015192D" w:rsidRDefault="006D64FD" w:rsidP="00D0781F">
      <w:pPr>
        <w:pStyle w:val="Tablenumberandreference"/>
        <w:spacing w:after="120"/>
        <w:contextualSpacing/>
        <w:rPr>
          <w:color w:val="000000"/>
          <w:sz w:val="20"/>
          <w:szCs w:val="20"/>
        </w:rPr>
      </w:pPr>
      <w:r w:rsidRPr="0015192D">
        <w:rPr>
          <w:color w:val="000000"/>
          <w:sz w:val="20"/>
          <w:szCs w:val="20"/>
        </w:rPr>
        <w:lastRenderedPageBreak/>
        <w:t xml:space="preserve">Figure 1: Health and Aged Care </w:t>
      </w:r>
      <w:r w:rsidR="00291970" w:rsidRPr="0015192D">
        <w:rPr>
          <w:color w:val="000000"/>
          <w:sz w:val="20"/>
          <w:szCs w:val="20"/>
        </w:rPr>
        <w:t>p</w:t>
      </w:r>
      <w:r w:rsidRPr="0015192D">
        <w:rPr>
          <w:color w:val="000000"/>
          <w:sz w:val="20"/>
          <w:szCs w:val="20"/>
        </w:rPr>
        <w:t xml:space="preserve">ortfolio </w:t>
      </w:r>
      <w:r w:rsidR="00291970" w:rsidRPr="0015192D">
        <w:rPr>
          <w:color w:val="000000"/>
          <w:sz w:val="20"/>
          <w:szCs w:val="20"/>
        </w:rPr>
        <w:t>s</w:t>
      </w:r>
      <w:r w:rsidRPr="0015192D">
        <w:rPr>
          <w:color w:val="000000"/>
          <w:sz w:val="20"/>
          <w:szCs w:val="20"/>
        </w:rPr>
        <w:t xml:space="preserve">tructure and </w:t>
      </w:r>
      <w:r w:rsidR="00291970" w:rsidRPr="0015192D">
        <w:rPr>
          <w:color w:val="000000"/>
          <w:sz w:val="20"/>
          <w:szCs w:val="20"/>
        </w:rPr>
        <w:t>o</w:t>
      </w:r>
      <w:r w:rsidRPr="0015192D">
        <w:rPr>
          <w:color w:val="000000"/>
          <w:sz w:val="20"/>
          <w:szCs w:val="20"/>
        </w:rPr>
        <w:t>utcomes (continued)</w:t>
      </w:r>
    </w:p>
    <w:p w14:paraId="097FF1C8" w14:textId="77777777" w:rsidR="006D64FD" w:rsidRPr="0015192D" w:rsidRDefault="006D64FD" w:rsidP="00D0781F">
      <w:pPr>
        <w:pBdr>
          <w:bottom w:val="single" w:sz="4" w:space="1" w:color="auto"/>
        </w:pBdr>
        <w:spacing w:before="120" w:after="120"/>
        <w:contextualSpacing/>
        <w:rPr>
          <w:rFonts w:ascii="Arial" w:hAnsi="Arial" w:cs="Arial"/>
          <w:b/>
          <w:bCs/>
          <w:color w:val="000000"/>
          <w:sz w:val="18"/>
          <w:szCs w:val="18"/>
        </w:rPr>
      </w:pPr>
      <w:r w:rsidRPr="0015192D">
        <w:rPr>
          <w:rFonts w:ascii="Arial" w:hAnsi="Arial" w:cs="Arial"/>
          <w:b/>
          <w:bCs/>
          <w:color w:val="000000"/>
          <w:sz w:val="18"/>
          <w:szCs w:val="18"/>
        </w:rPr>
        <w:t>Department of Health and Aged Care</w:t>
      </w:r>
    </w:p>
    <w:p w14:paraId="0C6B48F2" w14:textId="4E4826E4" w:rsidR="006D64FD" w:rsidRPr="0015192D" w:rsidRDefault="00291970" w:rsidP="00D0781F">
      <w:pPr>
        <w:spacing w:after="60"/>
        <w:contextualSpacing/>
        <w:rPr>
          <w:rFonts w:ascii="Arial" w:hAnsi="Arial" w:cs="Arial"/>
          <w:b/>
          <w:bCs/>
          <w:color w:val="000000"/>
          <w:sz w:val="18"/>
          <w:szCs w:val="18"/>
          <w:lang w:val="en-US"/>
        </w:rPr>
      </w:pPr>
      <w:r w:rsidRPr="0015192D">
        <w:rPr>
          <w:rFonts w:ascii="Arial" w:hAnsi="Arial" w:cs="Arial"/>
          <w:b/>
          <w:bCs/>
          <w:color w:val="000000"/>
          <w:sz w:val="18"/>
          <w:szCs w:val="18"/>
          <w:lang w:val="en-US"/>
        </w:rPr>
        <w:t>Blair Comley</w:t>
      </w:r>
    </w:p>
    <w:p w14:paraId="0ADA23BD" w14:textId="77777777" w:rsidR="006D64FD" w:rsidRPr="0015192D" w:rsidRDefault="006D64FD" w:rsidP="00D0781F">
      <w:pPr>
        <w:spacing w:after="180"/>
        <w:contextualSpacing/>
        <w:rPr>
          <w:rFonts w:ascii="Arial" w:hAnsi="Arial" w:cs="Arial"/>
          <w:color w:val="000000"/>
          <w:sz w:val="18"/>
          <w:szCs w:val="18"/>
          <w:lang w:val="en-US"/>
        </w:rPr>
      </w:pPr>
      <w:r w:rsidRPr="0015192D">
        <w:rPr>
          <w:rFonts w:ascii="Arial" w:hAnsi="Arial" w:cs="Arial"/>
          <w:color w:val="000000"/>
          <w:sz w:val="18"/>
          <w:szCs w:val="18"/>
          <w:lang w:val="en-US"/>
        </w:rPr>
        <w:t>Secretary</w:t>
      </w:r>
    </w:p>
    <w:p w14:paraId="200AEB97" w14:textId="77777777" w:rsidR="006D64FD" w:rsidRPr="0015192D" w:rsidRDefault="006D64FD" w:rsidP="00D0781F">
      <w:pPr>
        <w:spacing w:before="40" w:after="80"/>
        <w:contextualSpacing/>
        <w:rPr>
          <w:rFonts w:ascii="Arial" w:hAnsi="Arial" w:cs="Arial"/>
          <w:b/>
          <w:bCs/>
          <w:color w:val="000000"/>
          <w:sz w:val="18"/>
          <w:szCs w:val="18"/>
          <w:lang w:val="en-US"/>
        </w:rPr>
      </w:pPr>
    </w:p>
    <w:p w14:paraId="6D99C97F" w14:textId="12B40AB1" w:rsidR="006D64FD" w:rsidRPr="0015192D" w:rsidRDefault="006D64FD" w:rsidP="00D0781F">
      <w:pPr>
        <w:spacing w:before="40" w:after="80"/>
        <w:contextualSpacing/>
        <w:rPr>
          <w:rFonts w:ascii="Arial" w:hAnsi="Arial" w:cs="Arial"/>
          <w:b/>
          <w:bCs/>
          <w:color w:val="000000"/>
          <w:sz w:val="18"/>
          <w:szCs w:val="18"/>
          <w:lang w:val="en-US"/>
        </w:rPr>
      </w:pPr>
      <w:r w:rsidRPr="0015192D">
        <w:rPr>
          <w:rFonts w:ascii="Arial" w:hAnsi="Arial" w:cs="Arial"/>
          <w:b/>
          <w:bCs/>
          <w:color w:val="000000"/>
          <w:sz w:val="18"/>
          <w:szCs w:val="18"/>
          <w:lang w:val="en-US"/>
        </w:rPr>
        <w:t xml:space="preserve">Outcome 1: Health Policy, </w:t>
      </w:r>
      <w:proofErr w:type="gramStart"/>
      <w:r w:rsidRPr="0015192D">
        <w:rPr>
          <w:rFonts w:ascii="Arial" w:hAnsi="Arial" w:cs="Arial"/>
          <w:b/>
          <w:bCs/>
          <w:color w:val="000000"/>
          <w:sz w:val="18"/>
          <w:szCs w:val="18"/>
          <w:lang w:val="en-US"/>
        </w:rPr>
        <w:t>Access</w:t>
      </w:r>
      <w:proofErr w:type="gramEnd"/>
      <w:r w:rsidRPr="0015192D">
        <w:rPr>
          <w:rFonts w:ascii="Arial" w:hAnsi="Arial" w:cs="Arial"/>
          <w:b/>
          <w:bCs/>
          <w:color w:val="000000"/>
          <w:sz w:val="18"/>
          <w:szCs w:val="18"/>
          <w:lang w:val="en-US"/>
        </w:rPr>
        <w:t xml:space="preserve"> and Support</w:t>
      </w:r>
    </w:p>
    <w:p w14:paraId="3FD4040C" w14:textId="77777777" w:rsidR="006D64FD" w:rsidRPr="0015192D" w:rsidRDefault="006D64FD" w:rsidP="00D0781F">
      <w:pPr>
        <w:pStyle w:val="Tabletext8pt"/>
        <w:contextualSpacing/>
        <w:rPr>
          <w:color w:val="000000"/>
          <w:sz w:val="18"/>
          <w:szCs w:val="18"/>
        </w:rPr>
      </w:pPr>
      <w:r w:rsidRPr="0015192D">
        <w:rPr>
          <w:color w:val="000000"/>
          <w:sz w:val="18"/>
          <w:szCs w:val="18"/>
        </w:rPr>
        <w:t xml:space="preserve">Better equip Australia to meet current and future health needs of all Australians through the delivery of evidence-based health policies; improved access to comprehensive and coordinated health care; ensuring sustainable funding for health services, </w:t>
      </w:r>
      <w:proofErr w:type="gramStart"/>
      <w:r w:rsidRPr="0015192D">
        <w:rPr>
          <w:color w:val="000000"/>
          <w:sz w:val="18"/>
          <w:szCs w:val="18"/>
        </w:rPr>
        <w:t>research</w:t>
      </w:r>
      <w:proofErr w:type="gramEnd"/>
      <w:r w:rsidRPr="0015192D">
        <w:rPr>
          <w:color w:val="000000"/>
          <w:sz w:val="18"/>
          <w:szCs w:val="18"/>
        </w:rPr>
        <w:t xml:space="preserve"> and technologies; and protecting the health and safety of the Australian community.</w:t>
      </w:r>
    </w:p>
    <w:p w14:paraId="43AC2464" w14:textId="77777777" w:rsidR="006D64FD" w:rsidRPr="0015192D" w:rsidRDefault="006D64FD" w:rsidP="00D0781F">
      <w:pPr>
        <w:spacing w:before="40" w:after="80"/>
        <w:contextualSpacing/>
        <w:rPr>
          <w:rFonts w:ascii="Arial" w:hAnsi="Arial" w:cs="Arial"/>
          <w:b/>
          <w:bCs/>
          <w:color w:val="000000"/>
          <w:sz w:val="18"/>
          <w:szCs w:val="18"/>
          <w:lang w:val="en-US"/>
        </w:rPr>
      </w:pPr>
      <w:r w:rsidRPr="0015192D">
        <w:rPr>
          <w:rFonts w:ascii="Arial" w:hAnsi="Arial" w:cs="Arial"/>
          <w:b/>
          <w:bCs/>
          <w:color w:val="000000"/>
          <w:sz w:val="18"/>
          <w:szCs w:val="18"/>
          <w:lang w:val="en-US"/>
        </w:rPr>
        <w:t>Outcome 2: Individual Health Benefits</w:t>
      </w:r>
    </w:p>
    <w:p w14:paraId="3DFCD69C" w14:textId="77777777" w:rsidR="006D64FD" w:rsidRPr="0015192D" w:rsidRDefault="006D64FD" w:rsidP="00D0781F">
      <w:pPr>
        <w:pStyle w:val="Tabletext8pt"/>
        <w:contextualSpacing/>
        <w:rPr>
          <w:color w:val="000000"/>
          <w:sz w:val="18"/>
          <w:szCs w:val="18"/>
        </w:rPr>
      </w:pPr>
      <w:r w:rsidRPr="0015192D">
        <w:rPr>
          <w:color w:val="000000"/>
          <w:sz w:val="18"/>
          <w:szCs w:val="18"/>
        </w:rPr>
        <w:t xml:space="preserve">Ensuring improved access for all Australians to cost-effective and affordable medicines, medical, </w:t>
      </w:r>
      <w:proofErr w:type="gramStart"/>
      <w:r w:rsidRPr="0015192D">
        <w:rPr>
          <w:color w:val="000000"/>
          <w:sz w:val="18"/>
          <w:szCs w:val="18"/>
        </w:rPr>
        <w:t>dental</w:t>
      </w:r>
      <w:proofErr w:type="gramEnd"/>
      <w:r w:rsidRPr="0015192D">
        <w:rPr>
          <w:color w:val="000000"/>
          <w:sz w:val="18"/>
          <w:szCs w:val="18"/>
        </w:rPr>
        <w:t xml:space="preserve"> and hearing services; improved choice in health care services, through guaranteeing Medicare and the Pharmaceutical Benefits Scheme; supporting targeted assistance strategies and private health insurance.</w:t>
      </w:r>
    </w:p>
    <w:p w14:paraId="27C2070C" w14:textId="77777777" w:rsidR="006D64FD" w:rsidRPr="0015192D" w:rsidRDefault="006D64FD" w:rsidP="00D0781F">
      <w:pPr>
        <w:spacing w:before="40" w:after="80"/>
        <w:contextualSpacing/>
        <w:rPr>
          <w:rFonts w:ascii="Arial" w:hAnsi="Arial" w:cs="Arial"/>
          <w:b/>
          <w:bCs/>
          <w:color w:val="000000"/>
          <w:sz w:val="18"/>
          <w:szCs w:val="18"/>
          <w:lang w:val="en-US"/>
        </w:rPr>
      </w:pPr>
      <w:r w:rsidRPr="0015192D">
        <w:rPr>
          <w:rFonts w:ascii="Arial" w:hAnsi="Arial" w:cs="Arial"/>
          <w:b/>
          <w:bCs/>
          <w:color w:val="000000"/>
          <w:sz w:val="18"/>
          <w:szCs w:val="18"/>
          <w:lang w:val="en-US"/>
        </w:rPr>
        <w:t>Outcome 3: Ageing and Aged Care</w:t>
      </w:r>
    </w:p>
    <w:p w14:paraId="5995322C" w14:textId="237BC1A0" w:rsidR="006D64FD" w:rsidRPr="0015192D" w:rsidRDefault="006D64FD" w:rsidP="00D0781F">
      <w:pPr>
        <w:spacing w:after="180"/>
        <w:contextualSpacing/>
        <w:rPr>
          <w:rFonts w:ascii="Arial" w:hAnsi="Arial" w:cs="Arial"/>
          <w:color w:val="000000"/>
          <w:sz w:val="18"/>
          <w:szCs w:val="18"/>
        </w:rPr>
      </w:pPr>
      <w:r w:rsidRPr="0015192D">
        <w:rPr>
          <w:rFonts w:ascii="Arial" w:hAnsi="Arial" w:cs="Arial"/>
          <w:color w:val="000000"/>
          <w:sz w:val="18"/>
          <w:szCs w:val="18"/>
        </w:rPr>
        <w:t xml:space="preserve">Improved wellbeing for older Australians through targeted support, access to appropriate, </w:t>
      </w:r>
      <w:r w:rsidR="00F8342C">
        <w:rPr>
          <w:rFonts w:ascii="Arial" w:hAnsi="Arial" w:cs="Arial"/>
          <w:color w:val="000000"/>
          <w:sz w:val="18"/>
          <w:szCs w:val="18"/>
        </w:rPr>
        <w:br/>
      </w:r>
      <w:r w:rsidRPr="0015192D">
        <w:rPr>
          <w:rFonts w:ascii="Arial" w:hAnsi="Arial" w:cs="Arial"/>
          <w:color w:val="000000"/>
          <w:sz w:val="18"/>
          <w:szCs w:val="18"/>
        </w:rPr>
        <w:t>high quality care, and related information services.</w:t>
      </w:r>
    </w:p>
    <w:p w14:paraId="7ADAD604" w14:textId="77777777" w:rsidR="006D64FD" w:rsidRPr="0015192D" w:rsidRDefault="006D64FD" w:rsidP="00D0781F">
      <w:pPr>
        <w:spacing w:before="40" w:after="80"/>
        <w:contextualSpacing/>
        <w:rPr>
          <w:rFonts w:ascii="Arial" w:hAnsi="Arial" w:cs="Arial"/>
          <w:b/>
          <w:bCs/>
          <w:color w:val="000000"/>
          <w:sz w:val="18"/>
          <w:szCs w:val="18"/>
          <w:lang w:val="en-US"/>
        </w:rPr>
      </w:pPr>
    </w:p>
    <w:p w14:paraId="4BB2A184" w14:textId="4DD4E17A" w:rsidR="006D64FD" w:rsidRPr="0015192D" w:rsidRDefault="006D64FD" w:rsidP="00D0781F">
      <w:pPr>
        <w:spacing w:before="40" w:after="80"/>
        <w:contextualSpacing/>
        <w:rPr>
          <w:rFonts w:ascii="Arial" w:hAnsi="Arial" w:cs="Arial"/>
          <w:b/>
          <w:bCs/>
          <w:color w:val="000000"/>
          <w:sz w:val="18"/>
          <w:szCs w:val="18"/>
          <w:lang w:val="en-US"/>
        </w:rPr>
      </w:pPr>
      <w:r w:rsidRPr="0015192D">
        <w:rPr>
          <w:rFonts w:ascii="Arial" w:hAnsi="Arial" w:cs="Arial"/>
          <w:b/>
          <w:bCs/>
          <w:color w:val="000000"/>
          <w:sz w:val="18"/>
          <w:szCs w:val="18"/>
          <w:lang w:val="en-US"/>
        </w:rPr>
        <w:t>Outcome 4: Sport and Physical Activity</w:t>
      </w:r>
    </w:p>
    <w:p w14:paraId="1EEB357F" w14:textId="77777777" w:rsidR="006D64FD" w:rsidRPr="0015192D" w:rsidRDefault="006D64FD" w:rsidP="00D0781F">
      <w:pPr>
        <w:spacing w:after="60"/>
        <w:contextualSpacing/>
        <w:rPr>
          <w:rFonts w:ascii="Arial" w:hAnsi="Arial" w:cs="Arial"/>
          <w:color w:val="000000"/>
          <w:sz w:val="18"/>
          <w:szCs w:val="18"/>
          <w:lang w:val="en-US"/>
        </w:rPr>
      </w:pPr>
      <w:r w:rsidRPr="0015192D">
        <w:rPr>
          <w:rFonts w:ascii="Arial" w:hAnsi="Arial" w:cs="Arial"/>
          <w:color w:val="000000"/>
          <w:sz w:val="18"/>
          <w:szCs w:val="18"/>
        </w:rPr>
        <w:t>Improved opportunities for community participation in sport and physical activity, excellence in high</w:t>
      </w:r>
      <w:r w:rsidRPr="0015192D">
        <w:rPr>
          <w:rFonts w:ascii="Arial" w:hAnsi="Arial" w:cs="Arial"/>
          <w:color w:val="000000"/>
          <w:sz w:val="18"/>
          <w:szCs w:val="18"/>
        </w:rPr>
        <w:noBreakHyphen/>
        <w:t>performance athletes, and protecting the integrity of sport through investment in sport infrastructure, coordination of Commonwealth involvement in major sporting events, and research and international cooperation on sport issues.</w:t>
      </w:r>
    </w:p>
    <w:p w14:paraId="4D8BF2DC" w14:textId="77777777" w:rsidR="00C057C6" w:rsidRPr="0015192D" w:rsidRDefault="00C057C6" w:rsidP="00D0781F">
      <w:pPr>
        <w:keepNext/>
        <w:keepLines/>
        <w:spacing w:after="120"/>
        <w:contextualSpacing/>
        <w:rPr>
          <w:rFonts w:cs="Arial"/>
          <w:b/>
          <w:color w:val="000000"/>
          <w:szCs w:val="18"/>
        </w:rPr>
      </w:pPr>
    </w:p>
    <w:p w14:paraId="5C9652BB" w14:textId="77777777" w:rsidR="00C057C6" w:rsidRDefault="00C057C6" w:rsidP="00D0781F">
      <w:pPr>
        <w:keepNext/>
        <w:keepLines/>
        <w:spacing w:after="120"/>
        <w:contextualSpacing/>
        <w:rPr>
          <w:rFonts w:ascii="Arial" w:hAnsi="Arial" w:cs="Arial"/>
          <w:b/>
          <w:color w:val="000000"/>
          <w:szCs w:val="18"/>
        </w:rPr>
      </w:pPr>
    </w:p>
    <w:p w14:paraId="002D1EC3" w14:textId="77777777" w:rsidR="00C057C6" w:rsidRDefault="00C057C6" w:rsidP="00D0781F">
      <w:pPr>
        <w:keepNext/>
        <w:keepLines/>
        <w:spacing w:after="120"/>
        <w:contextualSpacing/>
        <w:rPr>
          <w:rFonts w:ascii="Arial" w:hAnsi="Arial" w:cs="Arial"/>
          <w:b/>
          <w:color w:val="000000"/>
          <w:szCs w:val="18"/>
        </w:rPr>
      </w:pPr>
    </w:p>
    <w:p w14:paraId="600EB9BB" w14:textId="77777777" w:rsidR="00C057C6" w:rsidRDefault="00C057C6" w:rsidP="00D0781F">
      <w:pPr>
        <w:keepNext/>
        <w:keepLines/>
        <w:spacing w:after="120"/>
        <w:contextualSpacing/>
        <w:rPr>
          <w:rFonts w:ascii="Arial" w:hAnsi="Arial" w:cs="Arial"/>
          <w:b/>
          <w:color w:val="000000"/>
          <w:szCs w:val="18"/>
        </w:rPr>
      </w:pPr>
    </w:p>
    <w:p w14:paraId="10FFE0BC" w14:textId="77777777" w:rsidR="00C057C6" w:rsidRDefault="00C057C6" w:rsidP="00D0781F">
      <w:pPr>
        <w:keepNext/>
        <w:keepLines/>
        <w:spacing w:after="120"/>
        <w:contextualSpacing/>
        <w:rPr>
          <w:rFonts w:ascii="Arial" w:hAnsi="Arial" w:cs="Arial"/>
          <w:b/>
          <w:color w:val="000000"/>
          <w:szCs w:val="18"/>
        </w:rPr>
      </w:pPr>
    </w:p>
    <w:p w14:paraId="3EAC445A" w14:textId="77777777" w:rsidR="00C057C6" w:rsidRDefault="00C057C6" w:rsidP="00D0781F">
      <w:pPr>
        <w:keepNext/>
        <w:keepLines/>
        <w:spacing w:after="120"/>
        <w:contextualSpacing/>
        <w:rPr>
          <w:rFonts w:ascii="Arial" w:hAnsi="Arial" w:cs="Arial"/>
          <w:b/>
          <w:color w:val="000000"/>
          <w:szCs w:val="18"/>
        </w:rPr>
      </w:pPr>
    </w:p>
    <w:p w14:paraId="094B9BE1" w14:textId="77777777" w:rsidR="00C057C6" w:rsidRDefault="00C057C6" w:rsidP="00D0781F">
      <w:pPr>
        <w:keepNext/>
        <w:keepLines/>
        <w:spacing w:after="120"/>
        <w:contextualSpacing/>
        <w:rPr>
          <w:rFonts w:ascii="Arial" w:hAnsi="Arial" w:cs="Arial"/>
          <w:b/>
          <w:color w:val="000000"/>
          <w:szCs w:val="18"/>
        </w:rPr>
      </w:pPr>
    </w:p>
    <w:p w14:paraId="4D1ED0F3" w14:textId="77777777" w:rsidR="00C057C6" w:rsidRDefault="00C057C6" w:rsidP="00D0781F">
      <w:pPr>
        <w:keepNext/>
        <w:keepLines/>
        <w:spacing w:after="120"/>
        <w:contextualSpacing/>
        <w:rPr>
          <w:rFonts w:ascii="Arial" w:hAnsi="Arial" w:cs="Arial"/>
          <w:b/>
          <w:color w:val="000000"/>
          <w:szCs w:val="18"/>
        </w:rPr>
      </w:pPr>
    </w:p>
    <w:p w14:paraId="4AC654F6" w14:textId="0504525E" w:rsidR="00C057C6" w:rsidRDefault="00C057C6" w:rsidP="00D0781F">
      <w:pPr>
        <w:keepNext/>
        <w:keepLines/>
        <w:spacing w:after="120"/>
        <w:contextualSpacing/>
        <w:rPr>
          <w:rFonts w:ascii="Arial" w:hAnsi="Arial" w:cs="Arial"/>
          <w:b/>
          <w:color w:val="000000"/>
          <w:szCs w:val="18"/>
        </w:rPr>
      </w:pPr>
    </w:p>
    <w:p w14:paraId="11D89606" w14:textId="77777777" w:rsidR="00C057C6" w:rsidRDefault="00C057C6" w:rsidP="00D0781F">
      <w:pPr>
        <w:keepNext/>
        <w:keepLines/>
        <w:spacing w:after="120"/>
        <w:contextualSpacing/>
        <w:rPr>
          <w:rFonts w:ascii="Arial" w:hAnsi="Arial" w:cs="Arial"/>
          <w:b/>
          <w:color w:val="000000"/>
          <w:szCs w:val="18"/>
        </w:rPr>
      </w:pPr>
    </w:p>
    <w:p w14:paraId="2AF4463C" w14:textId="77777777" w:rsidR="00C057C6" w:rsidRDefault="00C057C6" w:rsidP="00D0781F">
      <w:pPr>
        <w:keepNext/>
        <w:keepLines/>
        <w:spacing w:after="120"/>
        <w:contextualSpacing/>
        <w:rPr>
          <w:rFonts w:ascii="Arial" w:hAnsi="Arial" w:cs="Arial"/>
          <w:b/>
          <w:color w:val="000000"/>
          <w:szCs w:val="18"/>
        </w:rPr>
      </w:pPr>
    </w:p>
    <w:p w14:paraId="0079B30B" w14:textId="77777777" w:rsidR="00C057C6" w:rsidRDefault="00C057C6" w:rsidP="00D0781F">
      <w:pPr>
        <w:keepNext/>
        <w:keepLines/>
        <w:spacing w:after="120"/>
        <w:contextualSpacing/>
        <w:rPr>
          <w:rFonts w:ascii="Arial" w:hAnsi="Arial" w:cs="Arial"/>
          <w:b/>
          <w:color w:val="000000"/>
          <w:szCs w:val="18"/>
        </w:rPr>
      </w:pPr>
    </w:p>
    <w:p w14:paraId="3C847164" w14:textId="77777777" w:rsidR="00C057C6" w:rsidRDefault="00C057C6" w:rsidP="00D0781F">
      <w:pPr>
        <w:keepNext/>
        <w:keepLines/>
        <w:spacing w:after="120"/>
        <w:contextualSpacing/>
        <w:rPr>
          <w:rFonts w:ascii="Arial" w:hAnsi="Arial" w:cs="Arial"/>
          <w:b/>
          <w:color w:val="000000"/>
          <w:szCs w:val="18"/>
        </w:rPr>
      </w:pPr>
    </w:p>
    <w:p w14:paraId="562BD604" w14:textId="77777777" w:rsidR="00C057C6" w:rsidRDefault="00C057C6" w:rsidP="00D0781F">
      <w:pPr>
        <w:keepNext/>
        <w:keepLines/>
        <w:spacing w:after="120"/>
        <w:contextualSpacing/>
        <w:rPr>
          <w:rFonts w:ascii="Arial" w:hAnsi="Arial" w:cs="Arial"/>
          <w:b/>
          <w:color w:val="000000"/>
          <w:szCs w:val="18"/>
        </w:rPr>
      </w:pPr>
    </w:p>
    <w:p w14:paraId="74CD2815" w14:textId="77777777" w:rsidR="00C057C6" w:rsidRDefault="00C057C6" w:rsidP="00D0781F">
      <w:pPr>
        <w:keepNext/>
        <w:keepLines/>
        <w:spacing w:after="120"/>
        <w:contextualSpacing/>
        <w:rPr>
          <w:rFonts w:ascii="Arial" w:hAnsi="Arial" w:cs="Arial"/>
          <w:b/>
          <w:color w:val="000000"/>
          <w:szCs w:val="18"/>
        </w:rPr>
      </w:pPr>
    </w:p>
    <w:p w14:paraId="411B5CAB" w14:textId="77777777" w:rsidR="00C057C6" w:rsidRDefault="00C057C6" w:rsidP="00D0781F">
      <w:pPr>
        <w:keepNext/>
        <w:keepLines/>
        <w:spacing w:after="120"/>
        <w:contextualSpacing/>
        <w:rPr>
          <w:rFonts w:ascii="Arial" w:hAnsi="Arial" w:cs="Arial"/>
          <w:b/>
          <w:color w:val="000000"/>
          <w:szCs w:val="18"/>
        </w:rPr>
      </w:pPr>
    </w:p>
    <w:p w14:paraId="40701C3C" w14:textId="71AAD0DB" w:rsidR="006D64FD" w:rsidRPr="002F104F" w:rsidRDefault="006D64FD" w:rsidP="00D0781F">
      <w:pPr>
        <w:keepNext/>
        <w:keepLines/>
        <w:spacing w:after="120"/>
        <w:contextualSpacing/>
        <w:rPr>
          <w:rFonts w:ascii="Arial" w:hAnsi="Arial" w:cs="Arial"/>
          <w:b/>
          <w:color w:val="000000"/>
          <w:sz w:val="20"/>
        </w:rPr>
      </w:pPr>
      <w:r w:rsidRPr="00A23684">
        <w:rPr>
          <w:rFonts w:ascii="Arial" w:hAnsi="Arial" w:cs="Arial"/>
          <w:b/>
          <w:color w:val="000000"/>
          <w:szCs w:val="18"/>
        </w:rPr>
        <w:br w:type="page"/>
      </w:r>
      <w:r w:rsidRPr="002F104F">
        <w:rPr>
          <w:rFonts w:ascii="Arial" w:hAnsi="Arial" w:cs="Arial"/>
          <w:b/>
          <w:color w:val="000000"/>
          <w:sz w:val="20"/>
        </w:rPr>
        <w:lastRenderedPageBreak/>
        <w:t xml:space="preserve">Figure 1: Health and Aged Care </w:t>
      </w:r>
      <w:r w:rsidR="00D0781F" w:rsidRPr="002F104F">
        <w:rPr>
          <w:rFonts w:ascii="Arial" w:hAnsi="Arial" w:cs="Arial"/>
          <w:b/>
          <w:color w:val="000000"/>
          <w:sz w:val="20"/>
        </w:rPr>
        <w:t>portfolio structure and o</w:t>
      </w:r>
      <w:r w:rsidRPr="002F104F">
        <w:rPr>
          <w:rFonts w:ascii="Arial" w:hAnsi="Arial" w:cs="Arial"/>
          <w:b/>
          <w:color w:val="000000"/>
          <w:sz w:val="20"/>
        </w:rPr>
        <w:t>utcomes (continued)</w:t>
      </w:r>
    </w:p>
    <w:p w14:paraId="570E2254" w14:textId="77777777" w:rsidR="00291970" w:rsidRDefault="00291970" w:rsidP="00D0781F">
      <w:pPr>
        <w:keepNext/>
        <w:keepLines/>
        <w:spacing w:after="120"/>
        <w:contextualSpacing/>
        <w:rPr>
          <w:rFonts w:ascii="Arial" w:hAnsi="Arial" w:cs="Arial"/>
          <w:b/>
          <w:color w:val="000000"/>
          <w:szCs w:val="18"/>
        </w:rPr>
      </w:pP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Table of the Portfolio Entities, including their Accountable Authority and Outcome Statement."/>
      </w:tblPr>
      <w:tblGrid>
        <w:gridCol w:w="3838"/>
        <w:gridCol w:w="3839"/>
      </w:tblGrid>
      <w:tr w:rsidR="006D64FD" w:rsidRPr="000F7E05" w14:paraId="00ACA060" w14:textId="77777777" w:rsidTr="00FA455C">
        <w:tc>
          <w:tcPr>
            <w:tcW w:w="3963" w:type="dxa"/>
          </w:tcPr>
          <w:p w14:paraId="27F7EE22" w14:textId="77777777" w:rsidR="006D64FD" w:rsidRPr="000F7E05" w:rsidRDefault="006D64FD" w:rsidP="001B3BED">
            <w:pPr>
              <w:pBdr>
                <w:bottom w:val="single" w:sz="2" w:space="0" w:color="auto"/>
              </w:pBd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Aged Care Quality and Safety Commission</w:t>
            </w:r>
          </w:p>
          <w:p w14:paraId="6D775B00"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Janet Anderson </w:t>
            </w:r>
            <w:r w:rsidRPr="00B214E8">
              <w:rPr>
                <w:rFonts w:ascii="Arial" w:hAnsi="Arial" w:cs="Arial"/>
                <w:b/>
                <w:bCs/>
                <w:color w:val="000000"/>
                <w:sz w:val="16"/>
                <w:szCs w:val="16"/>
                <w:lang w:val="en-US"/>
              </w:rPr>
              <w:t>PSM</w:t>
            </w:r>
          </w:p>
          <w:p w14:paraId="16EB083D"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Commissioner</w:t>
            </w:r>
          </w:p>
          <w:p w14:paraId="20A30BE4" w14:textId="1C2208A8" w:rsidR="00291970"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 xml:space="preserve">Protect and enhance the safety, health, </w:t>
            </w:r>
            <w:proofErr w:type="gramStart"/>
            <w:r w:rsidRPr="000F7E05">
              <w:rPr>
                <w:rFonts w:ascii="Arial" w:hAnsi="Arial" w:cs="Arial"/>
                <w:bCs/>
                <w:color w:val="000000"/>
                <w:sz w:val="16"/>
                <w:szCs w:val="16"/>
              </w:rPr>
              <w:t>wellbeing</w:t>
            </w:r>
            <w:proofErr w:type="gramEnd"/>
            <w:r w:rsidRPr="000F7E05">
              <w:rPr>
                <w:rFonts w:ascii="Arial" w:hAnsi="Arial" w:cs="Arial"/>
                <w:bCs/>
                <w:color w:val="000000"/>
                <w:sz w:val="16"/>
                <w:szCs w:val="16"/>
              </w:rPr>
              <w:t xml:space="preserve"> and quality of life of aged care consumers, including through effective engagement with them, regulation and education of Commonwealth-funded aged care service providers and resolution of aged care complaints.</w:t>
            </w:r>
          </w:p>
          <w:p w14:paraId="2ADA289D" w14:textId="32984FA2" w:rsidR="006D64FD" w:rsidRPr="000F7E05" w:rsidRDefault="00291970" w:rsidP="001B3BED">
            <w:pPr>
              <w:pBdr>
                <w:bottom w:val="single" w:sz="2" w:space="0" w:color="auto"/>
              </w:pBdr>
              <w:spacing w:before="0" w:after="0" w:line="240" w:lineRule="auto"/>
              <w:jc w:val="left"/>
              <w:rPr>
                <w:rFonts w:ascii="Arial" w:hAnsi="Arial" w:cs="Arial"/>
                <w:b/>
                <w:bCs/>
                <w:color w:val="000000"/>
                <w:sz w:val="16"/>
                <w:szCs w:val="16"/>
              </w:rPr>
            </w:pPr>
            <w:r>
              <w:rPr>
                <w:rFonts w:ascii="Arial" w:hAnsi="Arial" w:cs="Arial"/>
                <w:b/>
                <w:bCs/>
                <w:color w:val="000000"/>
                <w:sz w:val="16"/>
                <w:szCs w:val="16"/>
              </w:rPr>
              <w:br/>
            </w:r>
            <w:r w:rsidR="006D64FD" w:rsidRPr="000F7E05">
              <w:rPr>
                <w:rFonts w:ascii="Arial" w:hAnsi="Arial" w:cs="Arial"/>
                <w:b/>
                <w:bCs/>
                <w:color w:val="000000"/>
                <w:sz w:val="16"/>
                <w:szCs w:val="16"/>
              </w:rPr>
              <w:t>Australian Commission on Safety and Quality in Health Care</w:t>
            </w:r>
          </w:p>
          <w:p w14:paraId="0E54D88B" w14:textId="77777777" w:rsidR="006D64FD" w:rsidRPr="000F7E05" w:rsidRDefault="006D64FD" w:rsidP="001B3BED">
            <w:pPr>
              <w:spacing w:before="0" w:after="0" w:line="240" w:lineRule="auto"/>
              <w:jc w:val="left"/>
              <w:rPr>
                <w:rFonts w:ascii="Arial" w:hAnsi="Arial" w:cs="Arial"/>
                <w:b/>
                <w:bCs/>
                <w:color w:val="000000"/>
                <w:sz w:val="16"/>
                <w:szCs w:val="16"/>
              </w:rPr>
            </w:pPr>
            <w:r>
              <w:rPr>
                <w:rFonts w:ascii="Arial" w:hAnsi="Arial" w:cs="Arial"/>
                <w:b/>
                <w:bCs/>
                <w:color w:val="000000"/>
                <w:sz w:val="16"/>
                <w:szCs w:val="16"/>
              </w:rPr>
              <w:t>Conjoint Professor Anne Duggan</w:t>
            </w:r>
          </w:p>
          <w:p w14:paraId="6804073D"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36A0385D" w14:textId="4E97C3EA" w:rsidR="00291970"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Improved safety and quality in health care across the health system, including through the development, support for implementation, and monitoring of national clinical safety and quality guidelines and standards.</w:t>
            </w:r>
            <w:r w:rsidR="00291970">
              <w:rPr>
                <w:rFonts w:ascii="Arial" w:hAnsi="Arial" w:cs="Arial"/>
                <w:b/>
                <w:bCs/>
                <w:color w:val="000000"/>
                <w:sz w:val="16"/>
                <w:szCs w:val="16"/>
              </w:rPr>
              <w:br/>
            </w:r>
          </w:p>
          <w:p w14:paraId="15687BC6" w14:textId="6E57BAA5" w:rsidR="006D64FD" w:rsidRPr="000F7E05" w:rsidRDefault="006D64FD" w:rsidP="001B3BED">
            <w:pPr>
              <w:pBdr>
                <w:bottom w:val="single" w:sz="2" w:space="0" w:color="auto"/>
              </w:pBd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Australian Digital Health Agency</w:t>
            </w:r>
          </w:p>
          <w:p w14:paraId="64612748"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Amanda Cattermole PSM</w:t>
            </w:r>
          </w:p>
          <w:p w14:paraId="7E2CD283"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894F83C" w14:textId="77777777" w:rsidR="006D64FD" w:rsidRPr="000F7E05" w:rsidRDefault="006D64FD" w:rsidP="001B3BED">
            <w:pP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0F7E05">
              <w:rPr>
                <w:rFonts w:ascii="Arial" w:hAnsi="Arial" w:cs="Arial"/>
                <w:bCs/>
                <w:color w:val="000000"/>
                <w:sz w:val="16"/>
                <w:szCs w:val="16"/>
              </w:rPr>
              <w:t xml:space="preserve"> To deliver national digital healthcare systems to enable and support improvement in health outcomes for Australians.</w:t>
            </w:r>
          </w:p>
          <w:p w14:paraId="2603C707" w14:textId="2ACE861E" w:rsidR="006D64FD" w:rsidRPr="000F7E05" w:rsidRDefault="001B3BED" w:rsidP="001B3BED">
            <w:pPr>
              <w:pBdr>
                <w:bottom w:val="single" w:sz="2" w:space="0" w:color="auto"/>
              </w:pBdr>
              <w:spacing w:before="0" w:after="0" w:line="240" w:lineRule="auto"/>
              <w:jc w:val="left"/>
              <w:rPr>
                <w:rFonts w:ascii="Arial" w:hAnsi="Arial" w:cs="Arial"/>
                <w:b/>
                <w:bCs/>
                <w:color w:val="000000"/>
                <w:sz w:val="16"/>
                <w:szCs w:val="16"/>
              </w:rPr>
            </w:pPr>
            <w:r>
              <w:rPr>
                <w:rFonts w:ascii="Arial" w:hAnsi="Arial" w:cs="Arial"/>
                <w:b/>
                <w:bCs/>
                <w:color w:val="000000"/>
                <w:sz w:val="16"/>
                <w:szCs w:val="16"/>
              </w:rPr>
              <w:br/>
            </w:r>
            <w:r w:rsidR="006D64FD" w:rsidRPr="000F7E05">
              <w:rPr>
                <w:rFonts w:ascii="Arial" w:hAnsi="Arial" w:cs="Arial"/>
                <w:b/>
                <w:bCs/>
                <w:color w:val="000000"/>
                <w:sz w:val="16"/>
                <w:szCs w:val="16"/>
              </w:rPr>
              <w:t>Australian Institute of Health and Welfare</w:t>
            </w:r>
          </w:p>
          <w:p w14:paraId="79F717FA" w14:textId="77777777" w:rsidR="006D64FD" w:rsidRPr="000F7E05" w:rsidRDefault="006D64FD" w:rsidP="001B3BED">
            <w:pPr>
              <w:spacing w:before="0" w:after="0" w:line="240" w:lineRule="auto"/>
              <w:jc w:val="left"/>
              <w:rPr>
                <w:rFonts w:ascii="Arial" w:hAnsi="Arial" w:cs="Arial"/>
                <w:b/>
                <w:bCs/>
                <w:color w:val="000000"/>
                <w:sz w:val="16"/>
                <w:szCs w:val="16"/>
              </w:rPr>
            </w:pPr>
            <w:r>
              <w:rPr>
                <w:rFonts w:ascii="Arial" w:hAnsi="Arial" w:cs="Arial"/>
                <w:b/>
                <w:bCs/>
                <w:color w:val="000000"/>
                <w:sz w:val="16"/>
                <w:szCs w:val="16"/>
              </w:rPr>
              <w:t xml:space="preserve">Rob </w:t>
            </w:r>
            <w:proofErr w:type="spellStart"/>
            <w:r>
              <w:rPr>
                <w:rFonts w:ascii="Arial" w:hAnsi="Arial" w:cs="Arial"/>
                <w:b/>
                <w:bCs/>
                <w:color w:val="000000"/>
                <w:sz w:val="16"/>
                <w:szCs w:val="16"/>
              </w:rPr>
              <w:t>Heferen</w:t>
            </w:r>
            <w:proofErr w:type="spellEnd"/>
          </w:p>
          <w:p w14:paraId="175FDA1E"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533F73F5"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xml:space="preserve"> A robust evidence-base for the health, </w:t>
            </w:r>
            <w:proofErr w:type="gramStart"/>
            <w:r w:rsidRPr="000F7E05">
              <w:rPr>
                <w:rFonts w:ascii="Arial" w:hAnsi="Arial" w:cs="Arial"/>
                <w:bCs/>
                <w:color w:val="000000"/>
                <w:sz w:val="16"/>
                <w:szCs w:val="16"/>
              </w:rPr>
              <w:t>housing</w:t>
            </w:r>
            <w:proofErr w:type="gramEnd"/>
            <w:r w:rsidRPr="000F7E05">
              <w:rPr>
                <w:rFonts w:ascii="Arial" w:hAnsi="Arial" w:cs="Arial"/>
                <w:bCs/>
                <w:color w:val="000000"/>
                <w:sz w:val="16"/>
                <w:szCs w:val="16"/>
              </w:rPr>
              <w:t xml:space="preserve"> and community sectors, including through developing and disseminating comparable health and welfare information and statistics.</w:t>
            </w:r>
          </w:p>
          <w:p w14:paraId="117AF4B4" w14:textId="77777777" w:rsidR="001B3BED" w:rsidRPr="000F7E05" w:rsidRDefault="001B3BED" w:rsidP="00FA73D5">
            <w:pPr>
              <w:pBdr>
                <w:bottom w:val="single" w:sz="2" w:space="0" w:color="auto"/>
              </w:pBdr>
              <w:spacing w:before="0" w:after="0" w:line="240" w:lineRule="auto"/>
              <w:jc w:val="left"/>
              <w:rPr>
                <w:rFonts w:ascii="Arial" w:hAnsi="Arial" w:cs="Arial"/>
                <w:b/>
                <w:bCs/>
                <w:color w:val="000000"/>
                <w:sz w:val="16"/>
                <w:szCs w:val="16"/>
              </w:rPr>
            </w:pPr>
            <w:r>
              <w:rPr>
                <w:rFonts w:ascii="Arial" w:hAnsi="Arial" w:cs="Arial"/>
                <w:b/>
                <w:bCs/>
                <w:color w:val="000000"/>
                <w:sz w:val="16"/>
                <w:szCs w:val="16"/>
              </w:rPr>
              <w:br/>
            </w:r>
            <w:r w:rsidRPr="000F7E05">
              <w:rPr>
                <w:rFonts w:ascii="Arial" w:hAnsi="Arial" w:cs="Arial"/>
                <w:b/>
                <w:bCs/>
                <w:color w:val="000000"/>
                <w:sz w:val="16"/>
                <w:szCs w:val="16"/>
              </w:rPr>
              <w:t xml:space="preserve">Australian Radiation Protection and Nuclear </w:t>
            </w:r>
            <w:r w:rsidRPr="00FA73D5">
              <w:rPr>
                <w:rFonts w:ascii="Arial" w:hAnsi="Arial" w:cs="Arial"/>
                <w:b/>
                <w:bCs/>
                <w:sz w:val="16"/>
                <w:szCs w:val="16"/>
              </w:rPr>
              <w:t>Safety</w:t>
            </w:r>
            <w:r w:rsidRPr="000F7E05">
              <w:rPr>
                <w:rFonts w:ascii="Arial" w:hAnsi="Arial" w:cs="Arial"/>
                <w:b/>
                <w:bCs/>
                <w:color w:val="000000"/>
                <w:sz w:val="16"/>
                <w:szCs w:val="16"/>
              </w:rPr>
              <w:t xml:space="preserve"> Agency</w:t>
            </w:r>
          </w:p>
          <w:p w14:paraId="350A6120" w14:textId="77777777" w:rsidR="001B3BED" w:rsidRPr="000F7E05" w:rsidRDefault="001B3BED" w:rsidP="00FA73D5">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Dr </w:t>
            </w:r>
            <w:r>
              <w:rPr>
                <w:rFonts w:ascii="Arial" w:hAnsi="Arial" w:cs="Arial"/>
                <w:b/>
                <w:bCs/>
                <w:color w:val="000000"/>
                <w:sz w:val="16"/>
                <w:szCs w:val="16"/>
              </w:rPr>
              <w:t xml:space="preserve">Gillian </w:t>
            </w:r>
            <w:proofErr w:type="spellStart"/>
            <w:r>
              <w:rPr>
                <w:rFonts w:ascii="Arial" w:hAnsi="Arial" w:cs="Arial"/>
                <w:b/>
                <w:bCs/>
                <w:color w:val="000000"/>
                <w:sz w:val="16"/>
                <w:szCs w:val="16"/>
              </w:rPr>
              <w:t>Hirth</w:t>
            </w:r>
            <w:proofErr w:type="spellEnd"/>
          </w:p>
          <w:p w14:paraId="3DF3B374" w14:textId="1CE44DED" w:rsidR="001B3BED" w:rsidRPr="00F8342C" w:rsidRDefault="001B3BED" w:rsidP="00F8342C">
            <w:pPr>
              <w:spacing w:before="0" w:after="74"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r w:rsidR="00F8342C">
              <w:rPr>
                <w:rFonts w:ascii="Arial" w:hAnsi="Arial" w:cs="Arial"/>
                <w:bCs/>
                <w:color w:val="000000"/>
                <w:sz w:val="16"/>
                <w:szCs w:val="16"/>
              </w:rPr>
              <w:br/>
            </w:r>
            <w:r w:rsidRPr="000F7E05">
              <w:rPr>
                <w:rFonts w:ascii="Arial" w:hAnsi="Arial" w:cs="Arial"/>
                <w:b/>
                <w:bCs/>
                <w:color w:val="000000"/>
                <w:sz w:val="16"/>
                <w:szCs w:val="16"/>
              </w:rPr>
              <w:t xml:space="preserve">Outcome 1: </w:t>
            </w:r>
            <w:r w:rsidRPr="000F7E05">
              <w:rPr>
                <w:rFonts w:ascii="Arial" w:hAnsi="Arial" w:cs="Arial"/>
                <w:bCs/>
                <w:color w:val="000000"/>
                <w:sz w:val="16"/>
                <w:szCs w:val="16"/>
              </w:rPr>
              <w:t xml:space="preserve">Protection of people and the environment through radiation protection and nuclear safety research, policy, advice, codes, standards, </w:t>
            </w:r>
            <w:proofErr w:type="gramStart"/>
            <w:r w:rsidRPr="000F7E05">
              <w:rPr>
                <w:rFonts w:ascii="Arial" w:hAnsi="Arial" w:cs="Arial"/>
                <w:bCs/>
                <w:color w:val="000000"/>
                <w:sz w:val="16"/>
                <w:szCs w:val="16"/>
              </w:rPr>
              <w:t>services</w:t>
            </w:r>
            <w:proofErr w:type="gramEnd"/>
            <w:r w:rsidRPr="000F7E05">
              <w:rPr>
                <w:rFonts w:ascii="Arial" w:hAnsi="Arial" w:cs="Arial"/>
                <w:bCs/>
                <w:color w:val="000000"/>
                <w:sz w:val="16"/>
                <w:szCs w:val="16"/>
              </w:rPr>
              <w:t xml:space="preserve"> and regulation.</w:t>
            </w:r>
          </w:p>
          <w:p w14:paraId="3726DDD3" w14:textId="2ED1324C" w:rsidR="006D64FD" w:rsidRPr="000F7E05" w:rsidRDefault="006D64FD" w:rsidP="001B3BED">
            <w:pPr>
              <w:pBdr>
                <w:bottom w:val="single" w:sz="2" w:space="0" w:color="auto"/>
              </w:pBdr>
              <w:spacing w:before="0" w:after="0" w:line="240" w:lineRule="auto"/>
              <w:rPr>
                <w:rFonts w:ascii="Arial" w:hAnsi="Arial" w:cs="Arial"/>
                <w:bCs/>
                <w:color w:val="000000"/>
                <w:sz w:val="16"/>
                <w:szCs w:val="16"/>
              </w:rPr>
            </w:pPr>
          </w:p>
        </w:tc>
        <w:tc>
          <w:tcPr>
            <w:tcW w:w="3964" w:type="dxa"/>
          </w:tcPr>
          <w:p w14:paraId="6918BE6B" w14:textId="77777777" w:rsidR="006D64FD" w:rsidRPr="006D058B" w:rsidRDefault="006D64FD" w:rsidP="001B3BED">
            <w:pPr>
              <w:pBdr>
                <w:bottom w:val="single" w:sz="2" w:space="0" w:color="auto"/>
              </w:pBdr>
              <w:spacing w:before="0" w:after="0" w:line="240" w:lineRule="auto"/>
              <w:jc w:val="left"/>
              <w:rPr>
                <w:rFonts w:ascii="Arial" w:hAnsi="Arial" w:cs="Arial"/>
                <w:b/>
                <w:bCs/>
                <w:sz w:val="16"/>
                <w:szCs w:val="16"/>
              </w:rPr>
            </w:pPr>
            <w:r w:rsidRPr="006D058B">
              <w:rPr>
                <w:rFonts w:ascii="Arial" w:hAnsi="Arial" w:cs="Arial"/>
                <w:b/>
                <w:bCs/>
                <w:sz w:val="16"/>
                <w:szCs w:val="16"/>
              </w:rPr>
              <w:t>Australian Sports Commission</w:t>
            </w:r>
          </w:p>
          <w:p w14:paraId="754DF5BF" w14:textId="77777777" w:rsidR="006D64FD" w:rsidRPr="006D058B" w:rsidRDefault="006D64FD" w:rsidP="001B3BED">
            <w:pPr>
              <w:spacing w:before="0" w:after="0" w:line="240" w:lineRule="auto"/>
              <w:jc w:val="left"/>
              <w:rPr>
                <w:rFonts w:ascii="Arial" w:hAnsi="Arial" w:cs="Arial"/>
                <w:b/>
                <w:bCs/>
                <w:sz w:val="16"/>
                <w:szCs w:val="16"/>
              </w:rPr>
            </w:pPr>
            <w:r w:rsidRPr="006D058B">
              <w:rPr>
                <w:rFonts w:ascii="Arial" w:hAnsi="Arial" w:cs="Arial"/>
                <w:b/>
                <w:bCs/>
                <w:sz w:val="16"/>
                <w:szCs w:val="16"/>
              </w:rPr>
              <w:t>Kieren Perkins OAM</w:t>
            </w:r>
          </w:p>
          <w:p w14:paraId="4AD98949" w14:textId="77777777" w:rsidR="006D64FD" w:rsidRPr="006D058B" w:rsidRDefault="006D64FD" w:rsidP="001B3BED">
            <w:pPr>
              <w:spacing w:before="0" w:after="0" w:line="240" w:lineRule="auto"/>
              <w:jc w:val="left"/>
              <w:rPr>
                <w:rFonts w:ascii="Arial" w:hAnsi="Arial" w:cs="Arial"/>
                <w:bCs/>
                <w:sz w:val="16"/>
                <w:szCs w:val="16"/>
              </w:rPr>
            </w:pPr>
            <w:r w:rsidRPr="006D058B">
              <w:rPr>
                <w:rFonts w:ascii="Arial" w:hAnsi="Arial" w:cs="Arial"/>
                <w:bCs/>
                <w:sz w:val="16"/>
                <w:szCs w:val="16"/>
              </w:rPr>
              <w:t>Chief Executive Officer</w:t>
            </w:r>
          </w:p>
          <w:p w14:paraId="2140639C" w14:textId="691C2B6E" w:rsidR="00291970" w:rsidRPr="00291970" w:rsidRDefault="006D64FD" w:rsidP="001B3BED">
            <w:pPr>
              <w:pBdr>
                <w:bottom w:val="single" w:sz="2" w:space="0" w:color="auto"/>
              </w:pBdr>
              <w:spacing w:before="0" w:after="0" w:line="240" w:lineRule="auto"/>
              <w:jc w:val="left"/>
              <w:rPr>
                <w:rFonts w:ascii="Arial" w:hAnsi="Arial" w:cs="Arial"/>
                <w:bCs/>
                <w:sz w:val="16"/>
                <w:szCs w:val="16"/>
              </w:rPr>
            </w:pPr>
            <w:r w:rsidRPr="006D058B">
              <w:rPr>
                <w:rFonts w:ascii="Arial" w:hAnsi="Arial" w:cs="Arial"/>
                <w:b/>
                <w:bCs/>
                <w:sz w:val="16"/>
                <w:szCs w:val="16"/>
              </w:rPr>
              <w:t>Outcome 1:</w:t>
            </w:r>
            <w:r w:rsidRPr="006D058B">
              <w:rPr>
                <w:rFonts w:ascii="Arial" w:hAnsi="Arial" w:cs="Arial"/>
                <w:bCs/>
                <w:sz w:val="16"/>
                <w:szCs w:val="16"/>
              </w:rPr>
              <w:t xml:space="preserve">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14:paraId="12617A70" w14:textId="3A6A67AC" w:rsidR="006D64FD" w:rsidRPr="006D058B" w:rsidRDefault="00291970" w:rsidP="001B3BED">
            <w:pPr>
              <w:pBdr>
                <w:bottom w:val="single" w:sz="2" w:space="0" w:color="auto"/>
              </w:pBdr>
              <w:spacing w:before="0" w:after="0" w:line="240" w:lineRule="auto"/>
              <w:jc w:val="left"/>
              <w:rPr>
                <w:rFonts w:ascii="Arial" w:hAnsi="Arial" w:cs="Arial"/>
                <w:b/>
                <w:bCs/>
                <w:sz w:val="16"/>
                <w:szCs w:val="16"/>
              </w:rPr>
            </w:pPr>
            <w:r>
              <w:rPr>
                <w:rFonts w:ascii="Arial" w:hAnsi="Arial" w:cs="Arial"/>
                <w:b/>
                <w:bCs/>
                <w:sz w:val="16"/>
                <w:szCs w:val="16"/>
              </w:rPr>
              <w:br/>
            </w:r>
            <w:r w:rsidR="006D64FD" w:rsidRPr="006D058B">
              <w:rPr>
                <w:rFonts w:ascii="Arial" w:hAnsi="Arial" w:cs="Arial"/>
                <w:b/>
                <w:bCs/>
                <w:sz w:val="16"/>
                <w:szCs w:val="16"/>
              </w:rPr>
              <w:t>Australian Sports Foundation Limited</w:t>
            </w:r>
            <w:r w:rsidR="006D64FD" w:rsidRPr="006D058B">
              <w:rPr>
                <w:rFonts w:ascii="Arial" w:hAnsi="Arial" w:cs="Arial"/>
                <w:b/>
                <w:bCs/>
                <w:sz w:val="16"/>
                <w:szCs w:val="16"/>
                <w:vertAlign w:val="superscript"/>
              </w:rPr>
              <w:footnoteReference w:id="2"/>
            </w:r>
          </w:p>
          <w:p w14:paraId="40A2E77D" w14:textId="77777777" w:rsidR="006D64FD" w:rsidRPr="006D058B" w:rsidRDefault="006D64FD" w:rsidP="001B3BED">
            <w:pPr>
              <w:spacing w:before="0" w:after="0" w:line="240" w:lineRule="auto"/>
              <w:jc w:val="left"/>
              <w:rPr>
                <w:rFonts w:ascii="Arial" w:hAnsi="Arial" w:cs="Arial"/>
                <w:b/>
                <w:bCs/>
                <w:sz w:val="16"/>
                <w:szCs w:val="16"/>
              </w:rPr>
            </w:pPr>
            <w:r w:rsidRPr="006D058B">
              <w:rPr>
                <w:rFonts w:ascii="Arial" w:hAnsi="Arial" w:cs="Arial"/>
                <w:b/>
                <w:bCs/>
                <w:sz w:val="16"/>
                <w:szCs w:val="16"/>
              </w:rPr>
              <w:t>Patrick Walker</w:t>
            </w:r>
          </w:p>
          <w:p w14:paraId="44978738" w14:textId="77777777" w:rsidR="006D64FD" w:rsidRPr="006D058B" w:rsidRDefault="006D64FD" w:rsidP="001B3BED">
            <w:pPr>
              <w:spacing w:before="0" w:after="0" w:line="240" w:lineRule="auto"/>
              <w:jc w:val="left"/>
              <w:rPr>
                <w:rFonts w:ascii="Arial" w:hAnsi="Arial" w:cs="Arial"/>
                <w:bCs/>
                <w:sz w:val="16"/>
                <w:szCs w:val="16"/>
              </w:rPr>
            </w:pPr>
            <w:r w:rsidRPr="006D058B">
              <w:rPr>
                <w:rFonts w:ascii="Arial" w:hAnsi="Arial" w:cs="Arial"/>
                <w:bCs/>
                <w:sz w:val="16"/>
                <w:szCs w:val="16"/>
              </w:rPr>
              <w:t>Chief Executive Officer</w:t>
            </w:r>
          </w:p>
          <w:p w14:paraId="55748815" w14:textId="3E862A17" w:rsidR="00291970" w:rsidRDefault="006D64FD" w:rsidP="001B3BED">
            <w:pPr>
              <w:spacing w:before="0" w:after="0" w:line="240" w:lineRule="auto"/>
              <w:jc w:val="left"/>
              <w:rPr>
                <w:rFonts w:ascii="Arial" w:hAnsi="Arial" w:cs="Arial"/>
                <w:b/>
                <w:bCs/>
                <w:sz w:val="16"/>
                <w:szCs w:val="16"/>
              </w:rPr>
            </w:pPr>
            <w:r w:rsidRPr="006D058B">
              <w:rPr>
                <w:rFonts w:ascii="Arial" w:hAnsi="Arial" w:cs="Arial"/>
                <w:b/>
                <w:bCs/>
                <w:sz w:val="16"/>
                <w:szCs w:val="16"/>
              </w:rPr>
              <w:t xml:space="preserve">Outcome 1: </w:t>
            </w:r>
            <w:r w:rsidRPr="006D058B">
              <w:rPr>
                <w:rFonts w:ascii="Arial" w:hAnsi="Arial" w:cs="Arial"/>
                <w:bCs/>
                <w:sz w:val="16"/>
                <w:szCs w:val="16"/>
              </w:rPr>
              <w:t>Improved Australian sporting infrastructure through assisting eligible organisations to raise funds for registered sporting projects.</w:t>
            </w:r>
            <w:r w:rsidR="00291970">
              <w:rPr>
                <w:rFonts w:ascii="Arial" w:hAnsi="Arial" w:cs="Arial"/>
                <w:b/>
                <w:bCs/>
                <w:sz w:val="16"/>
                <w:szCs w:val="16"/>
              </w:rPr>
              <w:br/>
            </w:r>
          </w:p>
          <w:p w14:paraId="09CBF6F6" w14:textId="2D5CA00B" w:rsidR="006D64FD" w:rsidRPr="006D058B" w:rsidRDefault="006D64FD" w:rsidP="001B3BED">
            <w:pPr>
              <w:pBdr>
                <w:bottom w:val="single" w:sz="2" w:space="0" w:color="auto"/>
              </w:pBdr>
              <w:spacing w:before="0" w:after="0" w:line="240" w:lineRule="auto"/>
              <w:jc w:val="left"/>
              <w:rPr>
                <w:rFonts w:ascii="Arial" w:hAnsi="Arial" w:cs="Arial"/>
                <w:b/>
                <w:bCs/>
                <w:sz w:val="16"/>
                <w:szCs w:val="16"/>
              </w:rPr>
            </w:pPr>
            <w:r w:rsidRPr="006D058B">
              <w:rPr>
                <w:rFonts w:ascii="Arial" w:hAnsi="Arial" w:cs="Arial"/>
                <w:b/>
                <w:bCs/>
                <w:sz w:val="16"/>
                <w:szCs w:val="16"/>
              </w:rPr>
              <w:t>Cancer Australia</w:t>
            </w:r>
          </w:p>
          <w:p w14:paraId="70CDDFB4" w14:textId="77777777" w:rsidR="006D64FD" w:rsidRPr="006D058B" w:rsidRDefault="006D64FD" w:rsidP="001B3BED">
            <w:pPr>
              <w:spacing w:before="0" w:after="0" w:line="240" w:lineRule="auto"/>
              <w:jc w:val="left"/>
              <w:rPr>
                <w:rFonts w:ascii="Arial" w:hAnsi="Arial" w:cs="Arial"/>
                <w:b/>
                <w:bCs/>
                <w:sz w:val="16"/>
                <w:szCs w:val="16"/>
              </w:rPr>
            </w:pPr>
            <w:r w:rsidRPr="006D058B">
              <w:rPr>
                <w:rFonts w:ascii="Arial" w:hAnsi="Arial" w:cs="Arial"/>
                <w:b/>
                <w:bCs/>
                <w:sz w:val="16"/>
                <w:szCs w:val="16"/>
              </w:rPr>
              <w:t>Professor Dorothy Keefe PSM</w:t>
            </w:r>
          </w:p>
          <w:p w14:paraId="250C0044" w14:textId="77777777" w:rsidR="006D64FD" w:rsidRPr="006D058B" w:rsidRDefault="006D64FD" w:rsidP="001B3BED">
            <w:pPr>
              <w:spacing w:before="0" w:after="0" w:line="240" w:lineRule="auto"/>
              <w:jc w:val="left"/>
              <w:rPr>
                <w:rFonts w:ascii="Arial" w:hAnsi="Arial" w:cs="Arial"/>
                <w:bCs/>
                <w:sz w:val="16"/>
                <w:szCs w:val="16"/>
              </w:rPr>
            </w:pPr>
            <w:r w:rsidRPr="006D058B">
              <w:rPr>
                <w:rFonts w:ascii="Arial" w:hAnsi="Arial" w:cs="Arial"/>
                <w:bCs/>
                <w:sz w:val="16"/>
                <w:szCs w:val="16"/>
              </w:rPr>
              <w:t xml:space="preserve">Chief Executive Officer </w:t>
            </w:r>
          </w:p>
          <w:p w14:paraId="7E0BD963" w14:textId="09026C6A" w:rsidR="00291970" w:rsidRPr="001B3BED" w:rsidRDefault="006D64FD" w:rsidP="001B3BED">
            <w:pPr>
              <w:spacing w:before="0" w:after="0" w:line="240" w:lineRule="auto"/>
              <w:jc w:val="left"/>
              <w:rPr>
                <w:rFonts w:ascii="Arial" w:hAnsi="Arial" w:cs="Arial"/>
                <w:bCs/>
                <w:sz w:val="16"/>
                <w:szCs w:val="16"/>
              </w:rPr>
            </w:pPr>
            <w:r w:rsidRPr="006D058B">
              <w:rPr>
                <w:rFonts w:ascii="Arial" w:hAnsi="Arial" w:cs="Arial"/>
                <w:b/>
                <w:bCs/>
                <w:sz w:val="16"/>
                <w:szCs w:val="16"/>
              </w:rPr>
              <w:t>Outcome 1:</w:t>
            </w:r>
            <w:r w:rsidRPr="006D058B">
              <w:rPr>
                <w:rFonts w:ascii="Arial" w:hAnsi="Arial" w:cs="Arial"/>
                <w:bCs/>
                <w:sz w:val="16"/>
                <w:szCs w:val="16"/>
              </w:rPr>
              <w:t xml:space="preserve"> Minimised impacts of cancer, including through national leadership in cancer control with targeted research and clinical trials; evidence informed clinical practice; strengthened national data capacity; community and consumer information and support.</w:t>
            </w:r>
            <w:r w:rsidR="001B3BED">
              <w:rPr>
                <w:rFonts w:ascii="Arial" w:hAnsi="Arial" w:cs="Arial"/>
                <w:bCs/>
                <w:sz w:val="16"/>
                <w:szCs w:val="16"/>
              </w:rPr>
              <w:br/>
            </w:r>
          </w:p>
          <w:p w14:paraId="4E9C5CDC" w14:textId="5701E06F" w:rsidR="006D64FD" w:rsidRPr="006D058B" w:rsidRDefault="006D64FD" w:rsidP="001B3BED">
            <w:pPr>
              <w:pBdr>
                <w:bottom w:val="single" w:sz="2" w:space="0" w:color="auto"/>
              </w:pBdr>
              <w:spacing w:before="0" w:after="0" w:line="240" w:lineRule="auto"/>
              <w:jc w:val="left"/>
              <w:rPr>
                <w:rFonts w:ascii="Arial" w:hAnsi="Arial" w:cs="Arial"/>
                <w:b/>
                <w:bCs/>
                <w:sz w:val="16"/>
                <w:szCs w:val="16"/>
              </w:rPr>
            </w:pPr>
            <w:r w:rsidRPr="006D058B">
              <w:rPr>
                <w:rFonts w:ascii="Arial" w:hAnsi="Arial" w:cs="Arial"/>
                <w:b/>
                <w:bCs/>
                <w:sz w:val="16"/>
                <w:szCs w:val="16"/>
              </w:rPr>
              <w:t>Food Standards Australia New Zealand</w:t>
            </w:r>
          </w:p>
          <w:p w14:paraId="5FA34481" w14:textId="77777777" w:rsidR="006D64FD" w:rsidRPr="006D058B" w:rsidRDefault="006D64FD" w:rsidP="001B3BED">
            <w:pPr>
              <w:spacing w:before="0" w:after="0" w:line="240" w:lineRule="auto"/>
              <w:jc w:val="left"/>
              <w:rPr>
                <w:rFonts w:ascii="Arial" w:hAnsi="Arial" w:cs="Arial"/>
                <w:b/>
                <w:bCs/>
                <w:sz w:val="16"/>
                <w:szCs w:val="16"/>
              </w:rPr>
            </w:pPr>
            <w:r w:rsidRPr="006D058B">
              <w:rPr>
                <w:rFonts w:ascii="Arial" w:hAnsi="Arial" w:cs="Arial"/>
                <w:b/>
                <w:bCs/>
                <w:sz w:val="16"/>
                <w:szCs w:val="16"/>
              </w:rPr>
              <w:t>Dr Sandra Cuthbert</w:t>
            </w:r>
          </w:p>
          <w:p w14:paraId="1587E7E0" w14:textId="77777777" w:rsidR="006D64FD" w:rsidRPr="006D058B" w:rsidRDefault="006D64FD" w:rsidP="001B3BED">
            <w:pPr>
              <w:spacing w:before="0" w:after="0" w:line="240" w:lineRule="auto"/>
              <w:jc w:val="left"/>
              <w:rPr>
                <w:rFonts w:ascii="Arial" w:hAnsi="Arial" w:cs="Arial"/>
                <w:bCs/>
                <w:sz w:val="16"/>
                <w:szCs w:val="16"/>
              </w:rPr>
            </w:pPr>
            <w:r w:rsidRPr="006D058B">
              <w:rPr>
                <w:rFonts w:ascii="Arial" w:hAnsi="Arial" w:cs="Arial"/>
                <w:bCs/>
                <w:sz w:val="16"/>
                <w:szCs w:val="16"/>
              </w:rPr>
              <w:t>Chief Executive Officer</w:t>
            </w:r>
          </w:p>
          <w:p w14:paraId="19D73C24" w14:textId="58774221" w:rsidR="006D64FD" w:rsidRDefault="006D64FD" w:rsidP="001B3BED">
            <w:pPr>
              <w:spacing w:before="0" w:after="0" w:line="240" w:lineRule="auto"/>
              <w:jc w:val="left"/>
              <w:rPr>
                <w:rFonts w:ascii="Arial" w:hAnsi="Arial" w:cs="Arial"/>
                <w:bCs/>
                <w:sz w:val="16"/>
                <w:szCs w:val="16"/>
              </w:rPr>
            </w:pPr>
            <w:r w:rsidRPr="006D058B">
              <w:rPr>
                <w:rFonts w:ascii="Arial" w:hAnsi="Arial" w:cs="Arial"/>
                <w:b/>
                <w:bCs/>
                <w:sz w:val="16"/>
                <w:szCs w:val="16"/>
              </w:rPr>
              <w:t xml:space="preserve">Outcome 1: </w:t>
            </w:r>
            <w:r w:rsidRPr="006D058B">
              <w:rPr>
                <w:rFonts w:ascii="Arial" w:hAnsi="Arial" w:cs="Arial"/>
                <w:bCs/>
                <w:sz w:val="16"/>
                <w:szCs w:val="16"/>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p w14:paraId="7230DBB4" w14:textId="77777777" w:rsidR="001B3BED" w:rsidRDefault="001B3BED" w:rsidP="001B3BED">
            <w:pPr>
              <w:spacing w:before="0" w:after="0" w:line="240" w:lineRule="auto"/>
              <w:jc w:val="left"/>
              <w:rPr>
                <w:rFonts w:ascii="Arial" w:hAnsi="Arial" w:cs="Arial"/>
                <w:bCs/>
                <w:sz w:val="16"/>
                <w:szCs w:val="16"/>
              </w:rPr>
            </w:pPr>
          </w:p>
          <w:p w14:paraId="71693F14" w14:textId="77777777" w:rsidR="001B3BED" w:rsidRPr="006D058B" w:rsidRDefault="001B3BED" w:rsidP="00FA73D5">
            <w:pPr>
              <w:pBdr>
                <w:bottom w:val="single" w:sz="2" w:space="0" w:color="auto"/>
              </w:pBdr>
              <w:spacing w:before="0" w:after="0" w:line="240" w:lineRule="auto"/>
              <w:jc w:val="left"/>
              <w:rPr>
                <w:rFonts w:ascii="Arial" w:hAnsi="Arial" w:cs="Arial"/>
                <w:b/>
                <w:bCs/>
                <w:sz w:val="16"/>
                <w:szCs w:val="16"/>
              </w:rPr>
            </w:pPr>
            <w:r w:rsidRPr="006D058B">
              <w:rPr>
                <w:rFonts w:ascii="Arial" w:hAnsi="Arial" w:cs="Arial"/>
                <w:b/>
                <w:bCs/>
                <w:sz w:val="16"/>
                <w:szCs w:val="16"/>
              </w:rPr>
              <w:t>Independent Health and Aged Care Pricing Authority</w:t>
            </w:r>
          </w:p>
          <w:p w14:paraId="6DA5D92D" w14:textId="77777777" w:rsidR="001B3BED" w:rsidRPr="006D058B" w:rsidRDefault="001B3BED" w:rsidP="00FA73D5">
            <w:pPr>
              <w:spacing w:before="0" w:after="0" w:line="240" w:lineRule="auto"/>
              <w:jc w:val="left"/>
              <w:rPr>
                <w:rFonts w:ascii="Arial" w:hAnsi="Arial" w:cs="Arial"/>
                <w:b/>
                <w:bCs/>
                <w:sz w:val="16"/>
                <w:szCs w:val="16"/>
              </w:rPr>
            </w:pPr>
            <w:r>
              <w:rPr>
                <w:rFonts w:ascii="Arial" w:hAnsi="Arial" w:cs="Arial"/>
                <w:b/>
                <w:bCs/>
                <w:sz w:val="16"/>
                <w:szCs w:val="16"/>
              </w:rPr>
              <w:t xml:space="preserve">Professor Michael </w:t>
            </w:r>
            <w:proofErr w:type="spellStart"/>
            <w:r>
              <w:rPr>
                <w:rFonts w:ascii="Arial" w:hAnsi="Arial" w:cs="Arial"/>
                <w:b/>
                <w:bCs/>
                <w:sz w:val="16"/>
                <w:szCs w:val="16"/>
              </w:rPr>
              <w:t>Pervan</w:t>
            </w:r>
            <w:proofErr w:type="spellEnd"/>
          </w:p>
          <w:p w14:paraId="648FEE0F" w14:textId="29752784" w:rsidR="006D64FD" w:rsidRPr="006D058B" w:rsidRDefault="001B3BED" w:rsidP="00F8342C">
            <w:pPr>
              <w:spacing w:before="0" w:after="74" w:line="240" w:lineRule="auto"/>
              <w:jc w:val="left"/>
              <w:rPr>
                <w:rFonts w:ascii="Arial" w:hAnsi="Arial" w:cs="Arial"/>
                <w:bCs/>
                <w:sz w:val="16"/>
                <w:szCs w:val="16"/>
              </w:rPr>
            </w:pPr>
            <w:r w:rsidRPr="006D058B">
              <w:rPr>
                <w:rFonts w:ascii="Arial" w:hAnsi="Arial" w:cs="Arial"/>
                <w:bCs/>
                <w:sz w:val="16"/>
                <w:szCs w:val="16"/>
              </w:rPr>
              <w:t>Chief Executive Officer</w:t>
            </w:r>
            <w:r w:rsidR="00F8342C">
              <w:rPr>
                <w:rFonts w:ascii="Arial" w:hAnsi="Arial" w:cs="Arial"/>
                <w:bCs/>
                <w:sz w:val="16"/>
                <w:szCs w:val="16"/>
              </w:rPr>
              <w:br/>
            </w:r>
            <w:r w:rsidRPr="006D058B">
              <w:rPr>
                <w:rFonts w:ascii="Arial" w:hAnsi="Arial" w:cs="Arial"/>
                <w:b/>
                <w:bCs/>
                <w:sz w:val="16"/>
                <w:szCs w:val="16"/>
              </w:rPr>
              <w:t xml:space="preserve">Outcome 1: </w:t>
            </w:r>
            <w:r w:rsidRPr="006D058B">
              <w:rPr>
                <w:rFonts w:ascii="Arial" w:hAnsi="Arial" w:cs="Arial"/>
                <w:bCs/>
                <w:sz w:val="16"/>
                <w:szCs w:val="16"/>
              </w:rPr>
              <w:t xml:space="preserve">Support public hospitals and aged care services to improve efficiency in, and access to, services through the provision of independent pricing determinations and advice and designing pricing systems that promote sustainable and </w:t>
            </w:r>
            <w:r>
              <w:rPr>
                <w:rFonts w:ascii="Arial" w:hAnsi="Arial" w:cs="Arial"/>
                <w:bCs/>
                <w:sz w:val="16"/>
                <w:szCs w:val="16"/>
              </w:rPr>
              <w:br/>
            </w:r>
            <w:r w:rsidRPr="006D058B">
              <w:rPr>
                <w:rFonts w:ascii="Arial" w:hAnsi="Arial" w:cs="Arial"/>
                <w:bCs/>
                <w:sz w:val="16"/>
                <w:szCs w:val="16"/>
              </w:rPr>
              <w:t>high-quality care</w:t>
            </w:r>
            <w:r>
              <w:rPr>
                <w:rFonts w:ascii="Arial" w:hAnsi="Arial" w:cs="Arial"/>
                <w:bCs/>
                <w:sz w:val="16"/>
                <w:szCs w:val="16"/>
              </w:rPr>
              <w:t>.</w:t>
            </w:r>
            <w:r>
              <w:rPr>
                <w:rFonts w:ascii="Arial" w:hAnsi="Arial" w:cs="Arial"/>
                <w:b/>
                <w:bCs/>
                <w:sz w:val="16"/>
                <w:szCs w:val="16"/>
              </w:rPr>
              <w:br/>
            </w:r>
          </w:p>
        </w:tc>
      </w:tr>
    </w:tbl>
    <w:p w14:paraId="05A98787" w14:textId="7D87E3F0" w:rsidR="00FA73D5" w:rsidRDefault="00FA73D5" w:rsidP="00AD1CC3">
      <w:pPr>
        <w:pBdr>
          <w:bottom w:val="single" w:sz="4" w:space="1" w:color="auto"/>
        </w:pBdr>
        <w:spacing w:before="0" w:after="0" w:line="240" w:lineRule="auto"/>
        <w:rPr>
          <w:rFonts w:ascii="Arial" w:hAnsi="Arial"/>
          <w:b/>
          <w:color w:val="000000"/>
        </w:rPr>
      </w:pPr>
      <w:r>
        <w:rPr>
          <w:rFonts w:ascii="Arial" w:hAnsi="Arial"/>
          <w:b/>
          <w:color w:val="000000"/>
        </w:rPr>
        <w:br w:type="page"/>
      </w:r>
    </w:p>
    <w:p w14:paraId="5406FF0C" w14:textId="77777777" w:rsidR="006D64FD" w:rsidRPr="002F104F" w:rsidRDefault="006D64FD" w:rsidP="00AD1CC3">
      <w:pPr>
        <w:spacing w:after="120"/>
        <w:contextualSpacing/>
        <w:rPr>
          <w:rFonts w:ascii="Arial" w:hAnsi="Arial"/>
          <w:b/>
          <w:color w:val="000000"/>
          <w:sz w:val="20"/>
        </w:rPr>
      </w:pPr>
      <w:r w:rsidRPr="002F104F">
        <w:rPr>
          <w:rFonts w:ascii="Arial" w:hAnsi="Arial"/>
          <w:b/>
          <w:color w:val="000000"/>
          <w:sz w:val="20"/>
        </w:rPr>
        <w:lastRenderedPageBreak/>
        <w:t>Figure 1: Health and Aged Care Portfolio Structure and Outcomes (continued)</w:t>
      </w: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Continuation of the Table of Portfolio Entities, including their Accountable Authority and Outcome Statement. This section also includes the Statutory Officer Holders"/>
      </w:tblPr>
      <w:tblGrid>
        <w:gridCol w:w="3838"/>
        <w:gridCol w:w="3839"/>
      </w:tblGrid>
      <w:tr w:rsidR="006D64FD" w:rsidRPr="000F7E05" w14:paraId="05C18189" w14:textId="77777777" w:rsidTr="00FA455C">
        <w:tc>
          <w:tcPr>
            <w:tcW w:w="3838" w:type="dxa"/>
          </w:tcPr>
          <w:p w14:paraId="1CD95944" w14:textId="77777777" w:rsidR="001B3BED" w:rsidRDefault="001B3BED" w:rsidP="001B3BED">
            <w:pPr>
              <w:pBdr>
                <w:bottom w:val="single" w:sz="2" w:space="0" w:color="auto"/>
              </w:pBdr>
              <w:spacing w:before="0" w:after="0" w:line="240" w:lineRule="auto"/>
              <w:jc w:val="left"/>
              <w:rPr>
                <w:rFonts w:ascii="Arial" w:hAnsi="Arial" w:cs="Arial"/>
                <w:b/>
                <w:bCs/>
                <w:color w:val="000000"/>
                <w:sz w:val="16"/>
                <w:szCs w:val="16"/>
              </w:rPr>
            </w:pPr>
          </w:p>
          <w:p w14:paraId="2B7351E4" w14:textId="42DEF9FA" w:rsidR="006D64FD" w:rsidRPr="000F7E05" w:rsidRDefault="006D64FD" w:rsidP="001B3BED">
            <w:pPr>
              <w:pBdr>
                <w:bottom w:val="single" w:sz="2" w:space="0" w:color="auto"/>
              </w:pBd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National Blood Authority</w:t>
            </w:r>
          </w:p>
          <w:p w14:paraId="02196C34"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John </w:t>
            </w:r>
            <w:r w:rsidRPr="001C3301">
              <w:rPr>
                <w:rFonts w:ascii="Arial" w:hAnsi="Arial" w:cs="Arial"/>
                <w:b/>
                <w:bCs/>
                <w:color w:val="000000"/>
                <w:sz w:val="16"/>
                <w:szCs w:val="16"/>
                <w:lang w:val="en-US"/>
              </w:rPr>
              <w:t>Cahill</w:t>
            </w:r>
          </w:p>
          <w:p w14:paraId="2458A83C"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Chief Executive</w:t>
            </w:r>
          </w:p>
          <w:p w14:paraId="783AD91E"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Access to a secure supply of safe and affordable blood products, including through national supply arrangements and coordination of best practice standards within agreed funding policies under the national blood arrangements.</w:t>
            </w:r>
          </w:p>
          <w:p w14:paraId="5B80785B" w14:textId="77777777" w:rsidR="001B3BED" w:rsidRDefault="001B3BED" w:rsidP="001B3BED">
            <w:pPr>
              <w:pBdr>
                <w:bottom w:val="single" w:sz="2" w:space="0" w:color="auto"/>
              </w:pBdr>
              <w:spacing w:before="0" w:after="0" w:line="240" w:lineRule="auto"/>
              <w:jc w:val="left"/>
              <w:rPr>
                <w:rFonts w:ascii="Arial" w:hAnsi="Arial" w:cs="Arial"/>
                <w:b/>
                <w:bCs/>
                <w:color w:val="000000"/>
                <w:sz w:val="16"/>
                <w:szCs w:val="16"/>
              </w:rPr>
            </w:pPr>
          </w:p>
          <w:p w14:paraId="04A84425" w14:textId="45013CA6" w:rsidR="006D64FD" w:rsidRPr="000F7E05" w:rsidRDefault="006D64FD" w:rsidP="001B3BED">
            <w:pPr>
              <w:pBdr>
                <w:bottom w:val="single" w:sz="2" w:space="0" w:color="auto"/>
              </w:pBd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National Health Funding Body</w:t>
            </w:r>
          </w:p>
          <w:p w14:paraId="464AF6D0" w14:textId="77777777" w:rsidR="006D64FD" w:rsidRPr="000F7E05" w:rsidRDefault="006D64FD" w:rsidP="001B3BED">
            <w:pPr>
              <w:spacing w:before="0" w:after="0" w:line="240" w:lineRule="auto"/>
              <w:jc w:val="left"/>
              <w:rPr>
                <w:rFonts w:ascii="Arial" w:hAnsi="Arial" w:cs="Arial"/>
                <w:b/>
                <w:bCs/>
                <w:color w:val="000000"/>
                <w:sz w:val="16"/>
                <w:szCs w:val="16"/>
              </w:rPr>
            </w:pPr>
            <w:r w:rsidRPr="000F7E05">
              <w:rPr>
                <w:rFonts w:ascii="Arial" w:hAnsi="Arial" w:cs="Arial"/>
                <w:b/>
                <w:bCs/>
                <w:color w:val="000000"/>
                <w:sz w:val="16"/>
                <w:szCs w:val="16"/>
              </w:rPr>
              <w:t>Shannon White</w:t>
            </w:r>
          </w:p>
          <w:p w14:paraId="44EB6C51" w14:textId="77777777" w:rsidR="006D64FD" w:rsidRPr="000F7E05" w:rsidRDefault="006D64FD" w:rsidP="001B3BED">
            <w:pPr>
              <w:spacing w:before="0" w:after="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6A748B4" w14:textId="77777777" w:rsidR="006D64FD" w:rsidRDefault="006D64FD" w:rsidP="001B3BED">
            <w:pPr>
              <w:pBdr>
                <w:bottom w:val="single" w:sz="2" w:space="0" w:color="auto"/>
              </w:pBd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 transparency of public hospital funding in Australia</w:t>
            </w:r>
            <w:r w:rsidRPr="00523DA2">
              <w:rPr>
                <w:rFonts w:ascii="Arial" w:hAnsi="Arial" w:cs="Arial"/>
                <w:bCs/>
                <w:color w:val="000000"/>
                <w:sz w:val="16"/>
                <w:szCs w:val="16"/>
              </w:rPr>
              <w:t xml:space="preserve"> by supporting the obligations and responsibilities of the Administrator of the National Health Funding Pool through best practice administration of public hospital funding</w:t>
            </w:r>
            <w:r>
              <w:rPr>
                <w:rFonts w:ascii="Arial" w:hAnsi="Arial" w:cs="Arial"/>
                <w:bCs/>
                <w:color w:val="000000"/>
                <w:sz w:val="16"/>
                <w:szCs w:val="16"/>
              </w:rPr>
              <w:t>.</w:t>
            </w:r>
          </w:p>
          <w:p w14:paraId="52EEAC6F" w14:textId="77777777" w:rsidR="001B3BED" w:rsidRDefault="001B3BED" w:rsidP="001B3BED">
            <w:pPr>
              <w:pBdr>
                <w:bottom w:val="single" w:sz="2" w:space="0" w:color="auto"/>
              </w:pBdr>
              <w:spacing w:before="0" w:after="0" w:line="240" w:lineRule="auto"/>
              <w:jc w:val="left"/>
              <w:rPr>
                <w:rFonts w:ascii="Arial" w:hAnsi="Arial" w:cs="Arial"/>
                <w:b/>
                <w:bCs/>
                <w:color w:val="000000"/>
                <w:sz w:val="16"/>
                <w:szCs w:val="16"/>
              </w:rPr>
            </w:pPr>
          </w:p>
          <w:p w14:paraId="2A9CDCBC" w14:textId="29FC6656" w:rsidR="006D64FD" w:rsidRPr="00874D0E" w:rsidRDefault="006D64FD" w:rsidP="001B3BED">
            <w:pPr>
              <w:pBdr>
                <w:bottom w:val="single" w:sz="2" w:space="0" w:color="auto"/>
              </w:pBdr>
              <w:spacing w:before="0" w:after="0" w:line="240" w:lineRule="auto"/>
              <w:jc w:val="left"/>
              <w:rPr>
                <w:rFonts w:ascii="Arial" w:hAnsi="Arial" w:cs="Arial"/>
                <w:b/>
                <w:bCs/>
                <w:color w:val="000000"/>
                <w:sz w:val="16"/>
                <w:szCs w:val="16"/>
              </w:rPr>
            </w:pPr>
            <w:r w:rsidRPr="00874D0E">
              <w:rPr>
                <w:rFonts w:ascii="Arial" w:hAnsi="Arial" w:cs="Arial"/>
                <w:b/>
                <w:bCs/>
                <w:color w:val="000000"/>
                <w:sz w:val="16"/>
                <w:szCs w:val="16"/>
              </w:rPr>
              <w:t>National Health and Medical Research Council</w:t>
            </w:r>
          </w:p>
          <w:p w14:paraId="5ECCECBD" w14:textId="1FB4E05E" w:rsidR="006D64FD" w:rsidRPr="00172DDE" w:rsidRDefault="006D64FD" w:rsidP="001B3BED">
            <w:pP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Professor </w:t>
            </w:r>
            <w:r w:rsidR="00FA455C">
              <w:rPr>
                <w:rFonts w:ascii="Arial" w:hAnsi="Arial" w:cs="Arial"/>
                <w:b/>
                <w:bCs/>
                <w:color w:val="000000"/>
                <w:sz w:val="16"/>
                <w:szCs w:val="16"/>
              </w:rPr>
              <w:t xml:space="preserve">Steve </w:t>
            </w:r>
            <w:proofErr w:type="spellStart"/>
            <w:r w:rsidR="00FA455C">
              <w:rPr>
                <w:rFonts w:ascii="Arial" w:hAnsi="Arial" w:cs="Arial"/>
                <w:b/>
                <w:bCs/>
                <w:color w:val="000000"/>
                <w:sz w:val="16"/>
                <w:szCs w:val="16"/>
              </w:rPr>
              <w:t>Wesselingh</w:t>
            </w:r>
            <w:proofErr w:type="spellEnd"/>
          </w:p>
          <w:p w14:paraId="76A303B2" w14:textId="77777777" w:rsidR="006D64FD" w:rsidRPr="00172DDE" w:rsidRDefault="006D64FD" w:rsidP="001B3BED">
            <w:pPr>
              <w:spacing w:before="0" w:after="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4C068012" w14:textId="6AF91E1A" w:rsidR="006D64FD" w:rsidRDefault="006D64FD" w:rsidP="001B3BED">
            <w:pP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Improved health and medical knowledge, including through funding research, translating research findings into evidence-based clinical practice, administering legislation governing research, issuing guidelines and advice for ethics in health and the promotion of public health.</w:t>
            </w:r>
          </w:p>
          <w:p w14:paraId="7204B05F" w14:textId="77777777" w:rsidR="00311C11" w:rsidRDefault="00311C11" w:rsidP="001B3BED">
            <w:pPr>
              <w:spacing w:before="0" w:after="0" w:line="240" w:lineRule="auto"/>
              <w:jc w:val="left"/>
              <w:rPr>
                <w:rFonts w:ascii="Arial" w:hAnsi="Arial" w:cs="Arial"/>
                <w:bCs/>
                <w:color w:val="000000"/>
                <w:sz w:val="16"/>
                <w:szCs w:val="16"/>
              </w:rPr>
            </w:pPr>
          </w:p>
          <w:p w14:paraId="5EDD742B" w14:textId="77777777" w:rsidR="00311C11" w:rsidRPr="00874D0E" w:rsidRDefault="00311C11" w:rsidP="00311C11">
            <w:pPr>
              <w:pBdr>
                <w:bottom w:val="single" w:sz="2" w:space="0" w:color="auto"/>
              </w:pBdr>
              <w:spacing w:before="0" w:after="0" w:line="240" w:lineRule="auto"/>
              <w:jc w:val="left"/>
              <w:rPr>
                <w:rFonts w:ascii="Arial" w:hAnsi="Arial" w:cs="Arial"/>
                <w:b/>
                <w:bCs/>
                <w:color w:val="000000"/>
                <w:sz w:val="16"/>
                <w:szCs w:val="16"/>
              </w:rPr>
            </w:pPr>
            <w:r w:rsidRPr="00874D0E">
              <w:rPr>
                <w:rFonts w:ascii="Arial" w:hAnsi="Arial" w:cs="Arial"/>
                <w:b/>
                <w:bCs/>
                <w:color w:val="000000"/>
                <w:sz w:val="16"/>
                <w:szCs w:val="16"/>
              </w:rPr>
              <w:t>National Mental Health Commission</w:t>
            </w:r>
          </w:p>
          <w:p w14:paraId="70BE7C1F" w14:textId="448650C8" w:rsidR="00311C11" w:rsidRDefault="00311C11" w:rsidP="00311C11">
            <w:pPr>
              <w:spacing w:before="0" w:after="0" w:line="240" w:lineRule="auto"/>
              <w:jc w:val="left"/>
              <w:rPr>
                <w:rFonts w:ascii="Arial" w:hAnsi="Arial" w:cs="Arial"/>
                <w:b/>
                <w:bCs/>
                <w:color w:val="000000"/>
                <w:sz w:val="16"/>
                <w:szCs w:val="16"/>
              </w:rPr>
            </w:pPr>
            <w:r>
              <w:rPr>
                <w:rFonts w:ascii="Arial" w:hAnsi="Arial" w:cs="Arial"/>
                <w:b/>
                <w:bCs/>
                <w:color w:val="000000"/>
                <w:sz w:val="16"/>
                <w:szCs w:val="16"/>
              </w:rPr>
              <w:t>Paul McCormack</w:t>
            </w:r>
          </w:p>
          <w:p w14:paraId="062B5344" w14:textId="3442490F" w:rsidR="00F0312D" w:rsidRPr="00AD1CC3" w:rsidRDefault="00F0312D" w:rsidP="00311C11">
            <w:pPr>
              <w:spacing w:before="0" w:after="0" w:line="240" w:lineRule="auto"/>
              <w:jc w:val="left"/>
              <w:rPr>
                <w:rFonts w:ascii="Arial" w:hAnsi="Arial" w:cs="Arial"/>
                <w:bCs/>
                <w:color w:val="000000"/>
                <w:sz w:val="16"/>
                <w:szCs w:val="16"/>
              </w:rPr>
            </w:pPr>
            <w:r>
              <w:rPr>
                <w:rFonts w:ascii="Arial" w:hAnsi="Arial" w:cs="Arial"/>
                <w:bCs/>
                <w:color w:val="000000"/>
                <w:sz w:val="16"/>
                <w:szCs w:val="16"/>
              </w:rPr>
              <w:t xml:space="preserve">Interim </w:t>
            </w:r>
            <w:r w:rsidRPr="00172DDE">
              <w:rPr>
                <w:rFonts w:ascii="Arial" w:hAnsi="Arial" w:cs="Arial"/>
                <w:bCs/>
                <w:color w:val="000000"/>
                <w:sz w:val="16"/>
                <w:szCs w:val="16"/>
              </w:rPr>
              <w:t>Chief Executive Officer</w:t>
            </w:r>
          </w:p>
          <w:p w14:paraId="66D1B939" w14:textId="149D3CCE" w:rsidR="00311C11" w:rsidRPr="000F7E05" w:rsidRDefault="00311C11" w:rsidP="00311C11">
            <w:pP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Provide expert advice to the Australian Government and cross-sectoral leadership on the policy, programs, </w:t>
            </w:r>
            <w:proofErr w:type="gramStart"/>
            <w:r w:rsidRPr="00172DDE">
              <w:rPr>
                <w:rFonts w:ascii="Arial" w:hAnsi="Arial" w:cs="Arial"/>
                <w:bCs/>
                <w:color w:val="000000"/>
                <w:sz w:val="16"/>
                <w:szCs w:val="16"/>
              </w:rPr>
              <w:t>services</w:t>
            </w:r>
            <w:proofErr w:type="gramEnd"/>
            <w:r w:rsidRPr="00172DDE">
              <w:rPr>
                <w:rFonts w:ascii="Arial" w:hAnsi="Arial" w:cs="Arial"/>
                <w:bCs/>
                <w:color w:val="000000"/>
                <w:sz w:val="16"/>
                <w:szCs w:val="16"/>
              </w:rPr>
              <w:t xml:space="preserve"> and systems that support mental health in Australia, including through administering the Annual National Report Card on Mental Health and Suicide Prevention, undertaking performance monitoring and reporting, and engaging consumers and carers.</w:t>
            </w:r>
          </w:p>
        </w:tc>
        <w:tc>
          <w:tcPr>
            <w:tcW w:w="3839" w:type="dxa"/>
          </w:tcPr>
          <w:p w14:paraId="0074E210" w14:textId="77777777" w:rsidR="001B3BED" w:rsidRDefault="001B3BED" w:rsidP="001B3BED">
            <w:pPr>
              <w:pBdr>
                <w:bottom w:val="single" w:sz="2" w:space="0" w:color="auto"/>
              </w:pBdr>
              <w:spacing w:before="0" w:after="0" w:line="240" w:lineRule="auto"/>
              <w:jc w:val="left"/>
              <w:rPr>
                <w:rFonts w:ascii="Arial" w:hAnsi="Arial" w:cs="Arial"/>
                <w:b/>
                <w:bCs/>
                <w:color w:val="000000"/>
                <w:sz w:val="16"/>
                <w:szCs w:val="16"/>
              </w:rPr>
            </w:pPr>
          </w:p>
          <w:p w14:paraId="137FB6D0" w14:textId="77777777" w:rsidR="00311C11" w:rsidRPr="00172DDE" w:rsidRDefault="00311C11" w:rsidP="00311C11">
            <w:pPr>
              <w:pBdr>
                <w:bottom w:val="single" w:sz="2" w:space="0" w:color="auto"/>
              </w:pBdr>
              <w:spacing w:before="0" w:after="0" w:line="240" w:lineRule="auto"/>
              <w:jc w:val="left"/>
              <w:rPr>
                <w:rFonts w:ascii="Arial" w:hAnsi="Arial" w:cs="Arial"/>
                <w:b/>
                <w:bCs/>
                <w:color w:val="000000"/>
                <w:sz w:val="16"/>
                <w:szCs w:val="16"/>
              </w:rPr>
            </w:pPr>
            <w:r>
              <w:rPr>
                <w:rFonts w:ascii="Arial" w:hAnsi="Arial" w:cs="Arial"/>
                <w:b/>
                <w:bCs/>
                <w:color w:val="000000"/>
                <w:sz w:val="16"/>
                <w:szCs w:val="16"/>
              </w:rPr>
              <w:t>Office of the Inspector-General of Aged Care</w:t>
            </w:r>
          </w:p>
          <w:p w14:paraId="50FF8CF6" w14:textId="77777777" w:rsidR="00311C11" w:rsidRPr="00172DDE" w:rsidRDefault="00311C11" w:rsidP="00311C11">
            <w:pPr>
              <w:spacing w:before="0" w:after="0" w:line="240" w:lineRule="auto"/>
              <w:jc w:val="left"/>
              <w:rPr>
                <w:rFonts w:ascii="Arial" w:hAnsi="Arial" w:cs="Arial"/>
                <w:b/>
                <w:bCs/>
                <w:color w:val="000000"/>
                <w:sz w:val="16"/>
                <w:szCs w:val="16"/>
              </w:rPr>
            </w:pPr>
            <w:r>
              <w:rPr>
                <w:rFonts w:ascii="Arial" w:hAnsi="Arial" w:cs="Arial"/>
                <w:b/>
                <w:bCs/>
                <w:color w:val="000000"/>
                <w:sz w:val="16"/>
                <w:szCs w:val="16"/>
              </w:rPr>
              <w:t>Ian Yates AM</w:t>
            </w:r>
          </w:p>
          <w:p w14:paraId="59F995B0" w14:textId="2CE71401" w:rsidR="006D64FD" w:rsidRPr="00172DDE" w:rsidRDefault="00311C11" w:rsidP="001B3BED">
            <w:pPr>
              <w:spacing w:before="0" w:after="0" w:line="240" w:lineRule="auto"/>
              <w:jc w:val="left"/>
              <w:rPr>
                <w:rFonts w:ascii="Arial" w:hAnsi="Arial" w:cs="Arial"/>
                <w:bCs/>
                <w:color w:val="000000"/>
                <w:sz w:val="16"/>
                <w:szCs w:val="16"/>
              </w:rPr>
            </w:pPr>
            <w:r>
              <w:rPr>
                <w:rFonts w:ascii="Arial" w:hAnsi="Arial" w:cs="Arial"/>
                <w:bCs/>
                <w:color w:val="000000"/>
                <w:sz w:val="16"/>
                <w:szCs w:val="16"/>
              </w:rPr>
              <w:t>Acting Inspector-General</w:t>
            </w:r>
          </w:p>
          <w:p w14:paraId="5F8706FF" w14:textId="77777777" w:rsidR="00E750DE" w:rsidRDefault="00E750DE" w:rsidP="00E750DE">
            <w:pP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 xml:space="preserve">Outcome 1: </w:t>
            </w:r>
            <w:r w:rsidRPr="00E750DE">
              <w:rPr>
                <w:rFonts w:ascii="Arial" w:hAnsi="Arial" w:cs="Arial"/>
                <w:bCs/>
                <w:color w:val="000000"/>
                <w:sz w:val="16"/>
                <w:szCs w:val="16"/>
              </w:rPr>
              <w:t>Provide independent oversight of the aged care system to drive accountability and positive change through reviews, recommendations, and reporting to Parliament.</w:t>
            </w:r>
          </w:p>
          <w:p w14:paraId="7162547D" w14:textId="016DDAC6" w:rsidR="001B3BED" w:rsidRDefault="001B3BED" w:rsidP="001B3BED">
            <w:pPr>
              <w:spacing w:before="0" w:after="0" w:line="240" w:lineRule="auto"/>
              <w:jc w:val="left"/>
              <w:rPr>
                <w:rFonts w:ascii="Arial" w:hAnsi="Arial" w:cs="Arial"/>
                <w:b/>
                <w:bCs/>
                <w:color w:val="000000"/>
                <w:sz w:val="16"/>
                <w:szCs w:val="16"/>
              </w:rPr>
            </w:pPr>
          </w:p>
          <w:p w14:paraId="5952662F" w14:textId="77777777" w:rsidR="000A6F63" w:rsidRPr="00172DDE" w:rsidRDefault="000A6F63" w:rsidP="000A6F63">
            <w:pPr>
              <w:pBdr>
                <w:bottom w:val="single" w:sz="2" w:space="0" w:color="auto"/>
              </w:pBd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Organ and Tissue Authority</w:t>
            </w:r>
          </w:p>
          <w:p w14:paraId="49270EB6" w14:textId="77777777" w:rsidR="000A6F63" w:rsidRPr="00172DDE" w:rsidRDefault="000A6F63" w:rsidP="000A6F63">
            <w:pP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Lucinda Barry</w:t>
            </w:r>
          </w:p>
          <w:p w14:paraId="7A6C3CB2" w14:textId="77777777" w:rsidR="000A6F63" w:rsidRPr="00172DDE" w:rsidRDefault="000A6F63" w:rsidP="000A6F63">
            <w:pPr>
              <w:spacing w:before="0" w:after="0" w:line="240" w:lineRule="auto"/>
              <w:jc w:val="left"/>
              <w:rPr>
                <w:rFonts w:ascii="Arial" w:hAnsi="Arial" w:cs="Arial"/>
                <w:bCs/>
                <w:color w:val="000000"/>
                <w:sz w:val="16"/>
                <w:szCs w:val="16"/>
              </w:rPr>
            </w:pPr>
            <w:r w:rsidRPr="00172DDE">
              <w:rPr>
                <w:rFonts w:ascii="Arial" w:hAnsi="Arial" w:cs="Arial"/>
                <w:bCs/>
                <w:color w:val="000000"/>
                <w:sz w:val="16"/>
                <w:szCs w:val="16"/>
              </w:rPr>
              <w:t xml:space="preserve">Chief Executive Officer </w:t>
            </w:r>
          </w:p>
          <w:p w14:paraId="25617E0A" w14:textId="77777777" w:rsidR="000A6F63" w:rsidRDefault="000A6F63" w:rsidP="000A6F63">
            <w:pPr>
              <w:spacing w:before="0" w:after="0" w:line="240" w:lineRule="auto"/>
              <w:jc w:val="left"/>
              <w:rPr>
                <w:rFonts w:ascii="Arial" w:hAnsi="Arial" w:cs="Arial"/>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Improved access to organ and tissue transplants, including through a nationally coordinated and consistent approach and system.</w:t>
            </w:r>
          </w:p>
          <w:p w14:paraId="6E6E99CB" w14:textId="77777777" w:rsidR="000A6F63" w:rsidRPr="00172DDE" w:rsidRDefault="000A6F63" w:rsidP="001B3BED">
            <w:pPr>
              <w:spacing w:before="0" w:after="0" w:line="240" w:lineRule="auto"/>
              <w:jc w:val="left"/>
              <w:rPr>
                <w:rFonts w:ascii="Arial" w:hAnsi="Arial" w:cs="Arial"/>
                <w:b/>
                <w:bCs/>
                <w:color w:val="000000"/>
                <w:sz w:val="16"/>
                <w:szCs w:val="16"/>
              </w:rPr>
            </w:pPr>
          </w:p>
          <w:p w14:paraId="6252425D" w14:textId="77777777" w:rsidR="006D64FD" w:rsidRPr="00172DDE" w:rsidRDefault="006D64FD" w:rsidP="001B3BED">
            <w:pPr>
              <w:pBdr>
                <w:bottom w:val="single" w:sz="2" w:space="0" w:color="auto"/>
              </w:pBd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Professional Services Review</w:t>
            </w:r>
          </w:p>
          <w:p w14:paraId="08C8C880" w14:textId="77777777" w:rsidR="006D64FD" w:rsidRPr="00172DDE" w:rsidRDefault="006D64FD" w:rsidP="001B3BED">
            <w:pPr>
              <w:spacing w:before="0" w:after="0" w:line="240" w:lineRule="auto"/>
              <w:jc w:val="left"/>
              <w:rPr>
                <w:rFonts w:ascii="Arial" w:hAnsi="Arial" w:cs="Arial"/>
                <w:b/>
                <w:bCs/>
                <w:color w:val="000000"/>
                <w:sz w:val="16"/>
                <w:szCs w:val="16"/>
              </w:rPr>
            </w:pPr>
            <w:r>
              <w:rPr>
                <w:rFonts w:ascii="Arial" w:hAnsi="Arial" w:cs="Arial"/>
                <w:b/>
                <w:bCs/>
                <w:color w:val="000000"/>
                <w:sz w:val="16"/>
                <w:szCs w:val="16"/>
              </w:rPr>
              <w:t>Dr Antonio Di Dio</w:t>
            </w:r>
          </w:p>
          <w:p w14:paraId="19C07A65" w14:textId="77777777" w:rsidR="006D64FD" w:rsidRPr="00172DDE" w:rsidRDefault="006D64FD" w:rsidP="001B3BED">
            <w:pPr>
              <w:spacing w:before="0" w:after="0" w:line="240" w:lineRule="auto"/>
              <w:jc w:val="left"/>
              <w:rPr>
                <w:rFonts w:ascii="Arial" w:hAnsi="Arial" w:cs="Arial"/>
                <w:bCs/>
                <w:color w:val="000000"/>
                <w:sz w:val="16"/>
                <w:szCs w:val="16"/>
              </w:rPr>
            </w:pPr>
            <w:r>
              <w:rPr>
                <w:rFonts w:ascii="Arial" w:hAnsi="Arial" w:cs="Arial"/>
                <w:bCs/>
                <w:color w:val="000000"/>
                <w:sz w:val="16"/>
                <w:szCs w:val="16"/>
              </w:rPr>
              <w:t xml:space="preserve">Acting </w:t>
            </w:r>
            <w:r w:rsidRPr="00172DDE">
              <w:rPr>
                <w:rFonts w:ascii="Arial" w:hAnsi="Arial" w:cs="Arial"/>
                <w:bCs/>
                <w:color w:val="000000"/>
                <w:sz w:val="16"/>
                <w:szCs w:val="16"/>
              </w:rPr>
              <w:t>Director</w:t>
            </w:r>
          </w:p>
          <w:p w14:paraId="08242865" w14:textId="77777777" w:rsidR="006D64FD" w:rsidRPr="00172DDE" w:rsidRDefault="006D64FD" w:rsidP="001B3BED">
            <w:pPr>
              <w:pBdr>
                <w:bottom w:val="single" w:sz="2" w:space="0" w:color="auto"/>
              </w:pBd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A reduction of the risks to patients and costs to the Australian Government of inappropriate practice, including through investigating health services claimed under the Medicare and Pharmaceutical benefits schemes.</w:t>
            </w:r>
          </w:p>
          <w:p w14:paraId="2B03A75A" w14:textId="77777777" w:rsidR="001B3BED" w:rsidRDefault="001B3BED" w:rsidP="001B3BED">
            <w:pPr>
              <w:pBdr>
                <w:bottom w:val="single" w:sz="2" w:space="0" w:color="auto"/>
              </w:pBdr>
              <w:spacing w:before="0" w:after="0" w:line="240" w:lineRule="auto"/>
              <w:jc w:val="left"/>
              <w:rPr>
                <w:rFonts w:ascii="Arial" w:hAnsi="Arial" w:cs="Arial"/>
                <w:b/>
                <w:bCs/>
                <w:color w:val="000000"/>
                <w:sz w:val="16"/>
                <w:szCs w:val="16"/>
              </w:rPr>
            </w:pPr>
          </w:p>
          <w:p w14:paraId="6E2E6AE7" w14:textId="0D9512EC" w:rsidR="006D64FD" w:rsidRPr="00172DDE" w:rsidRDefault="006D64FD" w:rsidP="001B3BED">
            <w:pPr>
              <w:pBdr>
                <w:bottom w:val="single" w:sz="2" w:space="0" w:color="auto"/>
              </w:pBd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Sport Integrity Australia </w:t>
            </w:r>
          </w:p>
          <w:p w14:paraId="05C81350" w14:textId="77777777" w:rsidR="006D64FD" w:rsidRPr="00172DDE" w:rsidRDefault="006D64FD" w:rsidP="001B3BED">
            <w:pPr>
              <w:spacing w:before="0" w:after="0" w:line="240" w:lineRule="auto"/>
              <w:jc w:val="left"/>
              <w:rPr>
                <w:rFonts w:ascii="Arial" w:hAnsi="Arial" w:cs="Arial"/>
                <w:b/>
                <w:bCs/>
                <w:color w:val="000000"/>
                <w:sz w:val="16"/>
                <w:szCs w:val="16"/>
              </w:rPr>
            </w:pPr>
            <w:r w:rsidRPr="00172DDE">
              <w:rPr>
                <w:rFonts w:ascii="Arial" w:hAnsi="Arial" w:cs="Arial"/>
                <w:b/>
                <w:bCs/>
                <w:color w:val="000000"/>
                <w:sz w:val="16"/>
                <w:szCs w:val="16"/>
              </w:rPr>
              <w:t>David Sharpe APM OAM</w:t>
            </w:r>
          </w:p>
          <w:p w14:paraId="67998D0C" w14:textId="77777777" w:rsidR="006D64FD" w:rsidRPr="00172DDE" w:rsidRDefault="006D64FD" w:rsidP="001B3BED">
            <w:pPr>
              <w:spacing w:before="0" w:after="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08C4ECEA" w14:textId="77777777" w:rsidR="006D64FD" w:rsidRPr="006C798F" w:rsidRDefault="006D64FD" w:rsidP="001B3BED">
            <w:pPr>
              <w:spacing w:before="0" w:after="0" w:line="240" w:lineRule="auto"/>
              <w:jc w:val="left"/>
              <w:rPr>
                <w:rFonts w:ascii="Arial" w:hAnsi="Arial" w:cs="Arial"/>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Protection of the integrity of Australian sport and the health and welfare of those who participate in sport through the coordination of a national approach to all sports integrity matters</w:t>
            </w:r>
            <w:r>
              <w:rPr>
                <w:rFonts w:ascii="Arial" w:hAnsi="Arial" w:cs="Arial"/>
                <w:bCs/>
                <w:color w:val="000000"/>
                <w:sz w:val="16"/>
                <w:szCs w:val="16"/>
              </w:rPr>
              <w:t>.</w:t>
            </w:r>
          </w:p>
        </w:tc>
      </w:tr>
      <w:tr w:rsidR="006D64FD" w:rsidRPr="000F7E05" w14:paraId="06FBC4B5" w14:textId="77777777" w:rsidTr="00FA455C">
        <w:trPr>
          <w:trHeight w:val="20"/>
        </w:trPr>
        <w:tc>
          <w:tcPr>
            <w:tcW w:w="7677" w:type="dxa"/>
            <w:gridSpan w:val="2"/>
            <w:tcBorders>
              <w:bottom w:val="single" w:sz="4" w:space="0" w:color="auto"/>
            </w:tcBorders>
          </w:tcPr>
          <w:p w14:paraId="0AAECEAD" w14:textId="77777777" w:rsidR="001B3BED" w:rsidRDefault="001B3BED" w:rsidP="001B3BED">
            <w:pPr>
              <w:spacing w:before="223" w:after="0" w:line="240" w:lineRule="auto"/>
              <w:contextualSpacing/>
              <w:rPr>
                <w:rFonts w:ascii="Arial" w:hAnsi="Arial" w:cs="Arial"/>
                <w:b/>
                <w:bCs/>
                <w:color w:val="000000"/>
                <w:sz w:val="16"/>
                <w:szCs w:val="16"/>
              </w:rPr>
            </w:pPr>
          </w:p>
          <w:p w14:paraId="6B9324E8" w14:textId="68B88AB9" w:rsidR="006D64FD" w:rsidRPr="000653D6" w:rsidRDefault="006D64FD" w:rsidP="001B3BED">
            <w:pPr>
              <w:spacing w:before="223" w:after="0" w:line="240" w:lineRule="auto"/>
              <w:contextualSpacing/>
              <w:rPr>
                <w:rFonts w:ascii="Arial" w:hAnsi="Arial" w:cs="Arial"/>
                <w:b/>
                <w:bCs/>
                <w:color w:val="000000"/>
                <w:sz w:val="16"/>
                <w:szCs w:val="16"/>
              </w:rPr>
            </w:pPr>
            <w:r w:rsidRPr="00EF21D6">
              <w:rPr>
                <w:rFonts w:ascii="Arial" w:hAnsi="Arial" w:cs="Arial"/>
                <w:b/>
                <w:bCs/>
                <w:color w:val="000000"/>
                <w:sz w:val="16"/>
                <w:szCs w:val="16"/>
              </w:rPr>
              <w:t>Statutory Office Holders</w:t>
            </w:r>
          </w:p>
        </w:tc>
      </w:tr>
      <w:tr w:rsidR="006D64FD" w:rsidRPr="000F7E05" w14:paraId="050142E0" w14:textId="77777777" w:rsidTr="00FA455C">
        <w:tc>
          <w:tcPr>
            <w:tcW w:w="3838" w:type="dxa"/>
            <w:tcBorders>
              <w:top w:val="single" w:sz="4" w:space="0" w:color="auto"/>
            </w:tcBorders>
          </w:tcPr>
          <w:p w14:paraId="03B600F1" w14:textId="77777777" w:rsidR="006D64FD" w:rsidRPr="00172DDE" w:rsidRDefault="006D64FD" w:rsidP="001B3BED">
            <w:pPr>
              <w:spacing w:before="74" w:after="0" w:line="240" w:lineRule="auto"/>
              <w:contextualSpacing/>
              <w:jc w:val="left"/>
              <w:rPr>
                <w:rFonts w:ascii="Arial" w:hAnsi="Arial" w:cs="Arial"/>
                <w:b/>
                <w:bCs/>
                <w:color w:val="000000"/>
                <w:sz w:val="16"/>
                <w:szCs w:val="16"/>
              </w:rPr>
            </w:pPr>
            <w:r w:rsidRPr="00172DDE">
              <w:rPr>
                <w:rFonts w:ascii="Arial" w:hAnsi="Arial" w:cs="Arial"/>
                <w:b/>
                <w:bCs/>
                <w:color w:val="000000"/>
                <w:sz w:val="16"/>
                <w:szCs w:val="16"/>
              </w:rPr>
              <w:t>Aged Care Quality and Safety Commissioner</w:t>
            </w:r>
          </w:p>
          <w:p w14:paraId="784EBEF7" w14:textId="77777777" w:rsidR="006D64FD" w:rsidRPr="000653D6" w:rsidRDefault="006D64FD" w:rsidP="001B3BED">
            <w:pPr>
              <w:spacing w:before="148" w:after="0" w:line="240" w:lineRule="auto"/>
              <w:contextualSpacing/>
              <w:jc w:val="left"/>
              <w:rPr>
                <w:rFonts w:ascii="Arial" w:hAnsi="Arial" w:cs="Arial"/>
                <w:bCs/>
                <w:sz w:val="16"/>
                <w:szCs w:val="16"/>
              </w:rPr>
            </w:pPr>
            <w:r w:rsidRPr="000653D6">
              <w:rPr>
                <w:rFonts w:ascii="Arial" w:hAnsi="Arial" w:cs="Arial"/>
                <w:bCs/>
                <w:sz w:val="16"/>
                <w:szCs w:val="16"/>
              </w:rPr>
              <w:t xml:space="preserve">Janet Anderson </w:t>
            </w:r>
            <w:r w:rsidRPr="00B63D02">
              <w:rPr>
                <w:rFonts w:ascii="Arial" w:hAnsi="Arial" w:cs="Arial"/>
                <w:bCs/>
                <w:color w:val="000000"/>
                <w:sz w:val="16"/>
                <w:szCs w:val="16"/>
              </w:rPr>
              <w:t>PSM</w:t>
            </w:r>
          </w:p>
          <w:p w14:paraId="5F71462E" w14:textId="77777777" w:rsidR="001B3BED" w:rsidRDefault="001B3BED" w:rsidP="001B3BED">
            <w:pPr>
              <w:spacing w:before="74" w:after="0" w:line="240" w:lineRule="auto"/>
              <w:contextualSpacing/>
              <w:jc w:val="left"/>
              <w:rPr>
                <w:rFonts w:ascii="Arial" w:hAnsi="Arial" w:cs="Arial"/>
                <w:b/>
                <w:bCs/>
                <w:color w:val="000000"/>
                <w:sz w:val="16"/>
                <w:szCs w:val="16"/>
              </w:rPr>
            </w:pPr>
          </w:p>
          <w:p w14:paraId="00010A63" w14:textId="521A8BC8" w:rsidR="006D64FD" w:rsidRPr="000653D6" w:rsidRDefault="006D64FD" w:rsidP="001B3BED">
            <w:pPr>
              <w:spacing w:before="74" w:after="0" w:line="240" w:lineRule="auto"/>
              <w:contextualSpacing/>
              <w:jc w:val="left"/>
              <w:rPr>
                <w:rFonts w:ascii="Arial" w:hAnsi="Arial" w:cs="Arial"/>
                <w:b/>
                <w:bCs/>
                <w:color w:val="000000"/>
                <w:sz w:val="16"/>
                <w:szCs w:val="16"/>
              </w:rPr>
            </w:pPr>
            <w:r w:rsidRPr="000653D6">
              <w:rPr>
                <w:rFonts w:ascii="Arial" w:hAnsi="Arial" w:cs="Arial"/>
                <w:b/>
                <w:bCs/>
                <w:color w:val="000000"/>
                <w:sz w:val="16"/>
                <w:szCs w:val="16"/>
              </w:rPr>
              <w:t>Executive Director</w:t>
            </w:r>
            <w:r>
              <w:rPr>
                <w:rFonts w:ascii="Arial" w:hAnsi="Arial" w:cs="Arial"/>
                <w:b/>
                <w:bCs/>
                <w:color w:val="000000"/>
                <w:sz w:val="16"/>
                <w:szCs w:val="16"/>
              </w:rPr>
              <w:t xml:space="preserve">, </w:t>
            </w:r>
            <w:r w:rsidRPr="000653D6">
              <w:rPr>
                <w:rFonts w:ascii="Arial" w:hAnsi="Arial" w:cs="Arial"/>
                <w:b/>
                <w:bCs/>
                <w:color w:val="000000"/>
                <w:sz w:val="16"/>
                <w:szCs w:val="16"/>
              </w:rPr>
              <w:t>Australian Industrial Chemicals Introduction Scheme</w:t>
            </w:r>
          </w:p>
          <w:p w14:paraId="42F826CC" w14:textId="77777777" w:rsidR="006D64FD" w:rsidRDefault="006D64FD" w:rsidP="001B3BED">
            <w:pPr>
              <w:spacing w:before="148" w:after="0" w:line="240" w:lineRule="auto"/>
              <w:contextualSpacing/>
              <w:jc w:val="left"/>
              <w:rPr>
                <w:rFonts w:ascii="Arial" w:hAnsi="Arial" w:cs="Arial"/>
                <w:bCs/>
                <w:sz w:val="16"/>
                <w:szCs w:val="16"/>
              </w:rPr>
            </w:pPr>
            <w:r>
              <w:rPr>
                <w:rFonts w:ascii="Arial" w:hAnsi="Arial" w:cs="Arial"/>
                <w:bCs/>
                <w:sz w:val="16"/>
                <w:szCs w:val="16"/>
              </w:rPr>
              <w:t>Graeme Barden</w:t>
            </w:r>
          </w:p>
          <w:p w14:paraId="73D519A7" w14:textId="77777777" w:rsidR="001B3BED" w:rsidRDefault="001B3BED" w:rsidP="001B3BED">
            <w:pPr>
              <w:spacing w:before="74" w:after="0" w:line="240" w:lineRule="auto"/>
              <w:contextualSpacing/>
              <w:jc w:val="left"/>
              <w:rPr>
                <w:rFonts w:ascii="Arial" w:hAnsi="Arial" w:cs="Arial"/>
                <w:b/>
                <w:bCs/>
                <w:color w:val="000000"/>
                <w:sz w:val="16"/>
                <w:szCs w:val="16"/>
              </w:rPr>
            </w:pPr>
          </w:p>
          <w:p w14:paraId="44F527BE" w14:textId="2DA025C1" w:rsidR="006D64FD" w:rsidRPr="000653D6" w:rsidRDefault="006D64FD" w:rsidP="001B3BED">
            <w:pPr>
              <w:spacing w:before="74" w:after="0" w:line="240" w:lineRule="auto"/>
              <w:contextualSpacing/>
              <w:jc w:val="left"/>
              <w:rPr>
                <w:rFonts w:ascii="Arial" w:hAnsi="Arial" w:cs="Arial"/>
                <w:b/>
                <w:bCs/>
                <w:color w:val="000000"/>
                <w:sz w:val="16"/>
                <w:szCs w:val="16"/>
              </w:rPr>
            </w:pPr>
            <w:r w:rsidRPr="000653D6">
              <w:rPr>
                <w:rFonts w:ascii="Arial" w:hAnsi="Arial" w:cs="Arial"/>
                <w:b/>
                <w:bCs/>
                <w:color w:val="000000"/>
                <w:sz w:val="16"/>
                <w:szCs w:val="16"/>
              </w:rPr>
              <w:t>Gene Technology Regulator</w:t>
            </w:r>
          </w:p>
          <w:p w14:paraId="0C027E3E" w14:textId="77777777" w:rsidR="006D64FD" w:rsidRPr="000F7E05" w:rsidRDefault="006D64FD" w:rsidP="001B3BED">
            <w:pPr>
              <w:spacing w:before="148" w:after="0" w:line="240" w:lineRule="auto"/>
              <w:contextualSpacing/>
              <w:jc w:val="left"/>
              <w:rPr>
                <w:rFonts w:ascii="Arial" w:hAnsi="Arial" w:cs="Arial"/>
                <w:b/>
                <w:bCs/>
                <w:color w:val="000000"/>
                <w:sz w:val="16"/>
                <w:szCs w:val="16"/>
              </w:rPr>
            </w:pPr>
            <w:r w:rsidRPr="000653D6">
              <w:rPr>
                <w:rFonts w:ascii="Arial" w:hAnsi="Arial" w:cs="Arial"/>
                <w:bCs/>
                <w:sz w:val="16"/>
                <w:szCs w:val="16"/>
              </w:rPr>
              <w:t xml:space="preserve">Dr </w:t>
            </w:r>
            <w:r w:rsidRPr="00B63D02">
              <w:rPr>
                <w:rFonts w:ascii="Arial" w:hAnsi="Arial" w:cs="Arial"/>
                <w:bCs/>
                <w:color w:val="000000"/>
                <w:sz w:val="16"/>
                <w:szCs w:val="16"/>
              </w:rPr>
              <w:t>Raj</w:t>
            </w:r>
            <w:r w:rsidRPr="000653D6">
              <w:rPr>
                <w:rFonts w:ascii="Arial" w:hAnsi="Arial" w:cs="Arial"/>
                <w:bCs/>
                <w:sz w:val="16"/>
                <w:szCs w:val="16"/>
              </w:rPr>
              <w:t xml:space="preserve"> </w:t>
            </w:r>
            <w:proofErr w:type="spellStart"/>
            <w:r w:rsidRPr="000653D6">
              <w:rPr>
                <w:rFonts w:ascii="Arial" w:hAnsi="Arial" w:cs="Arial"/>
                <w:bCs/>
                <w:sz w:val="16"/>
                <w:szCs w:val="16"/>
              </w:rPr>
              <w:t>Bhula</w:t>
            </w:r>
            <w:proofErr w:type="spellEnd"/>
          </w:p>
        </w:tc>
        <w:tc>
          <w:tcPr>
            <w:tcW w:w="3839" w:type="dxa"/>
            <w:tcBorders>
              <w:top w:val="single" w:sz="4" w:space="0" w:color="auto"/>
            </w:tcBorders>
          </w:tcPr>
          <w:p w14:paraId="56B1B84F" w14:textId="77777777" w:rsidR="006D64FD" w:rsidRPr="000653D6" w:rsidRDefault="006D64FD" w:rsidP="001B3BED">
            <w:pPr>
              <w:spacing w:before="74" w:after="0" w:line="240" w:lineRule="auto"/>
              <w:contextualSpacing/>
              <w:jc w:val="left"/>
              <w:rPr>
                <w:rFonts w:ascii="Arial" w:hAnsi="Arial" w:cs="Arial"/>
                <w:b/>
                <w:bCs/>
                <w:color w:val="000000"/>
                <w:sz w:val="16"/>
                <w:szCs w:val="16"/>
              </w:rPr>
            </w:pPr>
            <w:r w:rsidRPr="000653D6">
              <w:rPr>
                <w:rFonts w:ascii="Arial" w:hAnsi="Arial" w:cs="Arial"/>
                <w:b/>
                <w:bCs/>
                <w:color w:val="000000"/>
                <w:sz w:val="16"/>
                <w:szCs w:val="16"/>
              </w:rPr>
              <w:t>National Health Funding Pool Administrator</w:t>
            </w:r>
          </w:p>
          <w:p w14:paraId="3ED81536" w14:textId="6B06B3D4" w:rsidR="0054272C" w:rsidRDefault="0054272C" w:rsidP="001B3BED">
            <w:pPr>
              <w:spacing w:before="74" w:after="0" w:line="240" w:lineRule="auto"/>
              <w:contextualSpacing/>
              <w:jc w:val="left"/>
              <w:rPr>
                <w:rFonts w:ascii="Arial" w:hAnsi="Arial" w:cs="Arial"/>
                <w:bCs/>
                <w:sz w:val="16"/>
                <w:szCs w:val="16"/>
              </w:rPr>
            </w:pPr>
            <w:r>
              <w:rPr>
                <w:rFonts w:ascii="Arial" w:hAnsi="Arial" w:cs="Arial"/>
                <w:bCs/>
                <w:sz w:val="16"/>
                <w:szCs w:val="16"/>
              </w:rPr>
              <w:t xml:space="preserve">Toni Cunningham </w:t>
            </w:r>
          </w:p>
          <w:p w14:paraId="7B2DAF5E" w14:textId="77777777" w:rsidR="000E4453" w:rsidRDefault="000E4453" w:rsidP="001B3BED">
            <w:pPr>
              <w:spacing w:before="74" w:after="0" w:line="240" w:lineRule="auto"/>
              <w:contextualSpacing/>
              <w:jc w:val="left"/>
              <w:rPr>
                <w:rFonts w:ascii="Arial" w:hAnsi="Arial" w:cs="Arial"/>
                <w:b/>
                <w:bCs/>
                <w:color w:val="000000"/>
                <w:sz w:val="16"/>
                <w:szCs w:val="16"/>
              </w:rPr>
            </w:pPr>
          </w:p>
          <w:p w14:paraId="2E32E9EF" w14:textId="18779692" w:rsidR="006D64FD" w:rsidRDefault="006D64FD" w:rsidP="001B3BED">
            <w:pPr>
              <w:spacing w:before="74" w:after="0" w:line="240" w:lineRule="auto"/>
              <w:contextualSpacing/>
              <w:jc w:val="left"/>
              <w:rPr>
                <w:rFonts w:ascii="Arial" w:hAnsi="Arial" w:cs="Arial"/>
                <w:b/>
                <w:bCs/>
                <w:color w:val="000000"/>
                <w:sz w:val="16"/>
                <w:szCs w:val="16"/>
              </w:rPr>
            </w:pPr>
            <w:r>
              <w:rPr>
                <w:rFonts w:ascii="Arial" w:hAnsi="Arial" w:cs="Arial"/>
                <w:b/>
                <w:bCs/>
                <w:color w:val="000000"/>
                <w:sz w:val="16"/>
                <w:szCs w:val="16"/>
              </w:rPr>
              <w:t>National Health and Medical Research Council Commissioner of Complaints</w:t>
            </w:r>
          </w:p>
          <w:p w14:paraId="7245300A" w14:textId="77777777" w:rsidR="006D64FD" w:rsidRPr="00F06404" w:rsidRDefault="006D64FD" w:rsidP="001B3BED">
            <w:pPr>
              <w:spacing w:before="148" w:after="0" w:line="240" w:lineRule="auto"/>
              <w:contextualSpacing/>
              <w:jc w:val="left"/>
              <w:rPr>
                <w:rFonts w:ascii="Arial" w:hAnsi="Arial" w:cs="Arial"/>
                <w:bCs/>
                <w:sz w:val="16"/>
                <w:szCs w:val="16"/>
              </w:rPr>
            </w:pPr>
            <w:r>
              <w:rPr>
                <w:rFonts w:ascii="Arial" w:hAnsi="Arial" w:cs="Arial"/>
                <w:bCs/>
                <w:sz w:val="16"/>
                <w:szCs w:val="16"/>
              </w:rPr>
              <w:t>Chris Reid</w:t>
            </w:r>
          </w:p>
          <w:p w14:paraId="22A47D45" w14:textId="77777777" w:rsidR="001B3BED" w:rsidRDefault="001B3BED" w:rsidP="001B3BED">
            <w:pPr>
              <w:spacing w:before="74" w:after="0" w:line="240" w:lineRule="auto"/>
              <w:contextualSpacing/>
              <w:jc w:val="left"/>
              <w:rPr>
                <w:rFonts w:ascii="Arial" w:hAnsi="Arial" w:cs="Arial"/>
                <w:b/>
                <w:bCs/>
                <w:color w:val="000000"/>
                <w:sz w:val="16"/>
                <w:szCs w:val="16"/>
              </w:rPr>
            </w:pPr>
          </w:p>
          <w:p w14:paraId="6350F501" w14:textId="29CC6DFE" w:rsidR="006D64FD" w:rsidRPr="000653D6" w:rsidRDefault="006D64FD" w:rsidP="001B3BED">
            <w:pPr>
              <w:spacing w:before="74" w:after="0" w:line="240" w:lineRule="auto"/>
              <w:contextualSpacing/>
              <w:jc w:val="left"/>
              <w:rPr>
                <w:rFonts w:ascii="Arial" w:hAnsi="Arial" w:cs="Arial"/>
                <w:b/>
                <w:bCs/>
                <w:color w:val="000000"/>
                <w:sz w:val="16"/>
                <w:szCs w:val="16"/>
              </w:rPr>
            </w:pPr>
            <w:r w:rsidRPr="000653D6">
              <w:rPr>
                <w:rFonts w:ascii="Arial" w:hAnsi="Arial" w:cs="Arial"/>
                <w:b/>
                <w:bCs/>
                <w:color w:val="000000"/>
                <w:sz w:val="16"/>
                <w:szCs w:val="16"/>
              </w:rPr>
              <w:t>National Rural Health Commissioner</w:t>
            </w:r>
          </w:p>
          <w:p w14:paraId="33D40D7E" w14:textId="77777777" w:rsidR="006D64FD" w:rsidRPr="000653D6" w:rsidRDefault="006D64FD" w:rsidP="001B3BED">
            <w:pPr>
              <w:spacing w:before="148" w:after="0" w:line="240" w:lineRule="auto"/>
              <w:contextualSpacing/>
              <w:jc w:val="left"/>
              <w:rPr>
                <w:rFonts w:ascii="Arial" w:hAnsi="Arial" w:cs="Arial"/>
                <w:bCs/>
                <w:sz w:val="16"/>
                <w:szCs w:val="16"/>
              </w:rPr>
            </w:pPr>
            <w:r w:rsidRPr="000653D6">
              <w:rPr>
                <w:rFonts w:ascii="Arial" w:hAnsi="Arial" w:cs="Arial"/>
                <w:bCs/>
                <w:sz w:val="16"/>
                <w:szCs w:val="16"/>
              </w:rPr>
              <w:t>Professor Ruth Stewart</w:t>
            </w:r>
          </w:p>
          <w:p w14:paraId="5DF595FD" w14:textId="77777777" w:rsidR="001B3BED" w:rsidRDefault="001B3BED" w:rsidP="001B3BED">
            <w:pPr>
              <w:spacing w:before="74" w:after="0" w:line="240" w:lineRule="auto"/>
              <w:contextualSpacing/>
              <w:jc w:val="left"/>
              <w:rPr>
                <w:rFonts w:ascii="Arial" w:hAnsi="Arial" w:cs="Arial"/>
                <w:b/>
                <w:bCs/>
                <w:color w:val="000000"/>
                <w:sz w:val="16"/>
                <w:szCs w:val="16"/>
              </w:rPr>
            </w:pPr>
          </w:p>
          <w:p w14:paraId="6916645A" w14:textId="23E9DDFA" w:rsidR="006D64FD" w:rsidRPr="000653D6" w:rsidRDefault="006D64FD" w:rsidP="001B3BED">
            <w:pPr>
              <w:spacing w:before="74" w:after="0" w:line="240" w:lineRule="auto"/>
              <w:contextualSpacing/>
              <w:jc w:val="left"/>
              <w:rPr>
                <w:rFonts w:ascii="Arial" w:hAnsi="Arial" w:cs="Arial"/>
                <w:b/>
                <w:bCs/>
                <w:color w:val="000000"/>
                <w:sz w:val="16"/>
                <w:szCs w:val="16"/>
              </w:rPr>
            </w:pPr>
            <w:r>
              <w:rPr>
                <w:rFonts w:ascii="Arial" w:hAnsi="Arial" w:cs="Arial"/>
                <w:b/>
                <w:bCs/>
                <w:color w:val="000000"/>
                <w:sz w:val="16"/>
                <w:szCs w:val="16"/>
              </w:rPr>
              <w:t>CEO, National Sports Tribunal</w:t>
            </w:r>
          </w:p>
          <w:p w14:paraId="1B14B8C6" w14:textId="2EB4EDCF" w:rsidR="006D64FD" w:rsidRPr="00172DDE" w:rsidRDefault="00D37B83" w:rsidP="001B3BED">
            <w:pPr>
              <w:spacing w:before="148" w:after="0" w:line="240" w:lineRule="auto"/>
              <w:contextualSpacing/>
              <w:jc w:val="left"/>
              <w:rPr>
                <w:rFonts w:ascii="Arial" w:hAnsi="Arial" w:cs="Arial"/>
                <w:b/>
                <w:bCs/>
                <w:color w:val="000000"/>
                <w:sz w:val="16"/>
                <w:szCs w:val="16"/>
              </w:rPr>
            </w:pPr>
            <w:r>
              <w:rPr>
                <w:rFonts w:ascii="Arial" w:hAnsi="Arial" w:cs="Arial"/>
                <w:bCs/>
                <w:sz w:val="16"/>
                <w:szCs w:val="16"/>
              </w:rPr>
              <w:t>Dr Michelle Gallen</w:t>
            </w:r>
          </w:p>
        </w:tc>
      </w:tr>
    </w:tbl>
    <w:p w14:paraId="7BC15171" w14:textId="77777777" w:rsidR="005115D6" w:rsidRDefault="005115D6" w:rsidP="00AD1CC3">
      <w:pPr>
        <w:pStyle w:val="Tablenumberandreference"/>
        <w:contextualSpacing/>
      </w:pPr>
    </w:p>
    <w:p w14:paraId="649FEB1B" w14:textId="539494E5" w:rsidR="002F104F" w:rsidRDefault="002F104F">
      <w:pPr>
        <w:spacing w:before="0" w:after="0" w:line="240" w:lineRule="auto"/>
        <w:rPr>
          <w:rFonts w:ascii="Arial" w:hAnsi="Arial" w:cs="Arial"/>
          <w:b/>
          <w:szCs w:val="18"/>
          <w:lang w:eastAsia="en-US"/>
        </w:rPr>
      </w:pPr>
      <w:r>
        <w:br w:type="page"/>
      </w:r>
    </w:p>
    <w:p w14:paraId="55B578A1" w14:textId="28F79127" w:rsidR="002F104F" w:rsidRPr="002F104F" w:rsidRDefault="002F104F" w:rsidP="002F104F">
      <w:pPr>
        <w:rPr>
          <w:rFonts w:ascii="Arial" w:hAnsi="Arial"/>
          <w:b/>
          <w:color w:val="000000"/>
          <w:sz w:val="22"/>
          <w:szCs w:val="22"/>
        </w:rPr>
      </w:pPr>
      <w:r w:rsidRPr="002F104F">
        <w:rPr>
          <w:rFonts w:ascii="Arial" w:hAnsi="Arial"/>
          <w:b/>
          <w:color w:val="000000"/>
          <w:sz w:val="22"/>
          <w:szCs w:val="22"/>
        </w:rPr>
        <w:lastRenderedPageBreak/>
        <w:t>Portfolio Resources</w:t>
      </w:r>
    </w:p>
    <w:p w14:paraId="3C8846F5" w14:textId="6EF62FE5" w:rsidR="002F104F" w:rsidRPr="002F104F" w:rsidRDefault="002F104F" w:rsidP="002F104F">
      <w:pPr>
        <w:rPr>
          <w:rFonts w:cs="Arial"/>
          <w:sz w:val="20"/>
        </w:rPr>
      </w:pPr>
      <w:r w:rsidRPr="002F104F">
        <w:rPr>
          <w:color w:val="000000"/>
          <w:sz w:val="20"/>
        </w:rPr>
        <w:t>Table 1 shows, for those entities reporting in the Portfolio Additional Estimates Statements, the additional resources provided t</w:t>
      </w:r>
      <w:r w:rsidR="00F11441">
        <w:rPr>
          <w:color w:val="000000"/>
          <w:sz w:val="20"/>
        </w:rPr>
        <w:t>o</w:t>
      </w:r>
      <w:r w:rsidRPr="002F104F">
        <w:rPr>
          <w:color w:val="000000"/>
          <w:sz w:val="20"/>
        </w:rPr>
        <w:t xml:space="preserve"> the Portfolio in the 2023–24 Budget year, by entity.</w:t>
      </w:r>
    </w:p>
    <w:p w14:paraId="40FFCC82" w14:textId="79BABE17" w:rsidR="002F104F" w:rsidRPr="002F104F" w:rsidRDefault="002F104F" w:rsidP="00F11441">
      <w:pPr>
        <w:spacing w:after="120"/>
        <w:rPr>
          <w:rFonts w:ascii="Arial" w:hAnsi="Arial" w:cs="Arial"/>
          <w:b/>
          <w:sz w:val="20"/>
        </w:rPr>
      </w:pPr>
      <w:r w:rsidRPr="002F104F">
        <w:rPr>
          <w:rFonts w:ascii="Arial" w:hAnsi="Arial" w:cs="Arial"/>
          <w:b/>
          <w:sz w:val="20"/>
        </w:rPr>
        <w:t>Table 1: Addi</w:t>
      </w:r>
      <w:r>
        <w:rPr>
          <w:rFonts w:ascii="Arial" w:hAnsi="Arial" w:cs="Arial"/>
          <w:b/>
          <w:sz w:val="20"/>
        </w:rPr>
        <w:t>tional Portfolio Resources 2023–24</w:t>
      </w:r>
    </w:p>
    <w:tbl>
      <w:tblPr>
        <w:tblW w:w="7660" w:type="dxa"/>
        <w:jc w:val="center"/>
        <w:tblLayout w:type="fixed"/>
        <w:tblLook w:val="04A0" w:firstRow="1" w:lastRow="0" w:firstColumn="1" w:lastColumn="0" w:noHBand="0" w:noVBand="1"/>
      </w:tblPr>
      <w:tblGrid>
        <w:gridCol w:w="2860"/>
        <w:gridCol w:w="960"/>
        <w:gridCol w:w="960"/>
        <w:gridCol w:w="960"/>
        <w:gridCol w:w="960"/>
        <w:gridCol w:w="960"/>
      </w:tblGrid>
      <w:tr w:rsidR="002F104F" w:rsidRPr="002F104F" w14:paraId="7BC8B4A5" w14:textId="77777777" w:rsidTr="00F11441">
        <w:trPr>
          <w:trHeight w:val="170"/>
          <w:jc w:val="center"/>
        </w:trPr>
        <w:tc>
          <w:tcPr>
            <w:tcW w:w="2860" w:type="dxa"/>
            <w:tcBorders>
              <w:top w:val="single" w:sz="4" w:space="0" w:color="auto"/>
              <w:left w:val="nil"/>
              <w:bottom w:val="nil"/>
              <w:right w:val="nil"/>
            </w:tcBorders>
            <w:shd w:val="clear" w:color="auto" w:fill="auto"/>
            <w:noWrap/>
            <w:vAlign w:val="center"/>
            <w:hideMark/>
          </w:tcPr>
          <w:p w14:paraId="30555F02" w14:textId="77777777" w:rsidR="002F104F" w:rsidRPr="002F104F" w:rsidRDefault="002F104F" w:rsidP="00F11441">
            <w:pPr>
              <w:spacing w:before="24" w:after="0" w:line="240" w:lineRule="auto"/>
              <w:rPr>
                <w:rFonts w:ascii="Arial" w:hAnsi="Arial" w:cs="Arial"/>
                <w:b/>
                <w:bCs/>
                <w:sz w:val="16"/>
                <w:szCs w:val="16"/>
              </w:rPr>
            </w:pPr>
            <w:r w:rsidRPr="002F104F">
              <w:rPr>
                <w:rFonts w:ascii="Arial" w:hAnsi="Arial" w:cs="Arial"/>
                <w:b/>
                <w:bCs/>
                <w:sz w:val="16"/>
                <w:szCs w:val="16"/>
              </w:rPr>
              <w:t> </w:t>
            </w:r>
          </w:p>
        </w:tc>
        <w:tc>
          <w:tcPr>
            <w:tcW w:w="2880" w:type="dxa"/>
            <w:gridSpan w:val="3"/>
            <w:tcBorders>
              <w:top w:val="single" w:sz="4" w:space="0" w:color="auto"/>
              <w:left w:val="nil"/>
              <w:bottom w:val="nil"/>
              <w:right w:val="nil"/>
            </w:tcBorders>
            <w:shd w:val="clear" w:color="auto" w:fill="auto"/>
            <w:noWrap/>
            <w:vAlign w:val="center"/>
            <w:hideMark/>
          </w:tcPr>
          <w:p w14:paraId="562AAA04" w14:textId="77777777" w:rsidR="002F104F" w:rsidRPr="002F104F" w:rsidRDefault="002F104F" w:rsidP="00F11441">
            <w:pPr>
              <w:spacing w:before="24" w:after="0" w:line="240" w:lineRule="auto"/>
              <w:jc w:val="center"/>
              <w:rPr>
                <w:rFonts w:ascii="Arial" w:hAnsi="Arial" w:cs="Arial"/>
                <w:b/>
                <w:bCs/>
                <w:sz w:val="16"/>
                <w:szCs w:val="16"/>
              </w:rPr>
            </w:pPr>
            <w:r w:rsidRPr="002F104F">
              <w:rPr>
                <w:rFonts w:ascii="Arial" w:hAnsi="Arial" w:cs="Arial"/>
                <w:b/>
                <w:bCs/>
                <w:sz w:val="16"/>
                <w:szCs w:val="16"/>
              </w:rPr>
              <w:t xml:space="preserve">Appropriations </w:t>
            </w:r>
            <w:r w:rsidRPr="002F104F">
              <w:rPr>
                <w:rFonts w:ascii="Arial" w:hAnsi="Arial" w:cs="Arial"/>
                <w:b/>
                <w:bCs/>
                <w:sz w:val="16"/>
                <w:szCs w:val="16"/>
                <w:vertAlign w:val="superscript"/>
              </w:rPr>
              <w:t>(a)</w:t>
            </w:r>
          </w:p>
        </w:tc>
        <w:tc>
          <w:tcPr>
            <w:tcW w:w="960" w:type="dxa"/>
            <w:tcBorders>
              <w:top w:val="single" w:sz="4" w:space="0" w:color="auto"/>
              <w:left w:val="nil"/>
              <w:bottom w:val="nil"/>
              <w:right w:val="nil"/>
            </w:tcBorders>
            <w:shd w:val="clear" w:color="auto" w:fill="auto"/>
            <w:noWrap/>
            <w:vAlign w:val="bottom"/>
            <w:hideMark/>
          </w:tcPr>
          <w:p w14:paraId="3DC93092" w14:textId="77777777" w:rsidR="002F104F" w:rsidRPr="002F104F" w:rsidRDefault="002F104F" w:rsidP="00F11441">
            <w:pPr>
              <w:spacing w:before="24" w:after="0" w:line="240" w:lineRule="auto"/>
              <w:jc w:val="right"/>
              <w:rPr>
                <w:rFonts w:ascii="Arial" w:hAnsi="Arial" w:cs="Arial"/>
                <w:b/>
                <w:bCs/>
                <w:sz w:val="16"/>
                <w:szCs w:val="16"/>
              </w:rPr>
            </w:pPr>
            <w:r w:rsidRPr="002F104F">
              <w:rPr>
                <w:rFonts w:ascii="Arial" w:hAnsi="Arial" w:cs="Arial"/>
                <w:b/>
                <w:bCs/>
                <w:sz w:val="16"/>
                <w:szCs w:val="16"/>
              </w:rPr>
              <w:t>Receipts</w:t>
            </w:r>
          </w:p>
        </w:tc>
        <w:tc>
          <w:tcPr>
            <w:tcW w:w="960" w:type="dxa"/>
            <w:tcBorders>
              <w:top w:val="single" w:sz="4" w:space="0" w:color="auto"/>
              <w:left w:val="nil"/>
              <w:bottom w:val="nil"/>
              <w:right w:val="nil"/>
            </w:tcBorders>
            <w:shd w:val="clear" w:color="auto" w:fill="auto"/>
            <w:noWrap/>
            <w:vAlign w:val="bottom"/>
            <w:hideMark/>
          </w:tcPr>
          <w:p w14:paraId="6A593810" w14:textId="77777777" w:rsidR="002F104F" w:rsidRPr="002F104F" w:rsidRDefault="002F104F" w:rsidP="00F11441">
            <w:pPr>
              <w:spacing w:before="24" w:after="0" w:line="240" w:lineRule="auto"/>
              <w:jc w:val="right"/>
              <w:rPr>
                <w:rFonts w:ascii="Arial" w:hAnsi="Arial" w:cs="Arial"/>
                <w:b/>
                <w:bCs/>
                <w:sz w:val="16"/>
                <w:szCs w:val="16"/>
              </w:rPr>
            </w:pPr>
            <w:r w:rsidRPr="002F104F">
              <w:rPr>
                <w:rFonts w:ascii="Arial" w:hAnsi="Arial" w:cs="Arial"/>
                <w:b/>
                <w:bCs/>
                <w:sz w:val="16"/>
                <w:szCs w:val="16"/>
              </w:rPr>
              <w:t>Total</w:t>
            </w:r>
          </w:p>
        </w:tc>
      </w:tr>
      <w:tr w:rsidR="002F104F" w:rsidRPr="002F104F" w14:paraId="3BC9D341" w14:textId="77777777" w:rsidTr="00F11441">
        <w:trPr>
          <w:trHeight w:val="510"/>
          <w:jc w:val="center"/>
        </w:trPr>
        <w:tc>
          <w:tcPr>
            <w:tcW w:w="2860" w:type="dxa"/>
            <w:tcBorders>
              <w:top w:val="nil"/>
              <w:left w:val="nil"/>
              <w:bottom w:val="single" w:sz="4" w:space="0" w:color="auto"/>
              <w:right w:val="nil"/>
            </w:tcBorders>
            <w:shd w:val="clear" w:color="auto" w:fill="auto"/>
            <w:noWrap/>
            <w:vAlign w:val="bottom"/>
            <w:hideMark/>
          </w:tcPr>
          <w:p w14:paraId="5DC7214A"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3B54FDC2"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 xml:space="preserve">Bill </w:t>
            </w:r>
            <w:r w:rsidRPr="002F104F">
              <w:rPr>
                <w:rFonts w:ascii="Arial" w:hAnsi="Arial" w:cs="Arial"/>
                <w:b/>
                <w:bCs/>
                <w:sz w:val="16"/>
                <w:szCs w:val="16"/>
              </w:rPr>
              <w:br/>
              <w:t>(No. 3)</w:t>
            </w:r>
            <w:r w:rsidRPr="002F104F">
              <w:rPr>
                <w:rFonts w:ascii="Arial" w:hAnsi="Arial" w:cs="Arial"/>
                <w:b/>
                <w:bCs/>
                <w:sz w:val="16"/>
                <w:szCs w:val="16"/>
              </w:rPr>
              <w:br/>
            </w:r>
            <w:r w:rsidRPr="002F104F">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14:paraId="4697C834"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 xml:space="preserve">Bill </w:t>
            </w:r>
            <w:r w:rsidRPr="002F104F">
              <w:rPr>
                <w:rFonts w:ascii="Arial" w:hAnsi="Arial" w:cs="Arial"/>
                <w:b/>
                <w:bCs/>
                <w:sz w:val="16"/>
                <w:szCs w:val="16"/>
              </w:rPr>
              <w:br/>
              <w:t>(No. 4)</w:t>
            </w:r>
            <w:r w:rsidRPr="002F104F">
              <w:rPr>
                <w:rFonts w:ascii="Arial" w:hAnsi="Arial" w:cs="Arial"/>
                <w:b/>
                <w:bCs/>
                <w:sz w:val="16"/>
                <w:szCs w:val="16"/>
              </w:rPr>
              <w:br/>
            </w:r>
            <w:r w:rsidRPr="002F104F">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47E84CBB"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Special</w:t>
            </w:r>
            <w:r w:rsidRPr="002F104F">
              <w:rPr>
                <w:rFonts w:ascii="Arial" w:hAnsi="Arial" w:cs="Arial"/>
                <w:b/>
                <w:bCs/>
                <w:sz w:val="16"/>
                <w:szCs w:val="16"/>
              </w:rPr>
              <w:br/>
            </w:r>
            <w:r w:rsidRPr="002F104F">
              <w:rPr>
                <w:rFonts w:ascii="Arial" w:hAnsi="Arial" w:cs="Arial"/>
                <w:b/>
                <w:bCs/>
                <w:sz w:val="16"/>
                <w:szCs w:val="16"/>
              </w:rPr>
              <w:br/>
            </w:r>
            <w:r w:rsidRPr="002F104F">
              <w:rPr>
                <w:rFonts w:ascii="Arial" w:hAnsi="Arial" w:cs="Arial"/>
                <w:sz w:val="16"/>
                <w:szCs w:val="16"/>
              </w:rPr>
              <w:t>$'000</w:t>
            </w:r>
          </w:p>
        </w:tc>
        <w:tc>
          <w:tcPr>
            <w:tcW w:w="960" w:type="dxa"/>
            <w:tcBorders>
              <w:top w:val="nil"/>
              <w:left w:val="nil"/>
              <w:bottom w:val="single" w:sz="4" w:space="0" w:color="auto"/>
              <w:right w:val="nil"/>
            </w:tcBorders>
            <w:shd w:val="clear" w:color="000000" w:fill="D9D9D9"/>
            <w:noWrap/>
            <w:vAlign w:val="bottom"/>
            <w:hideMark/>
          </w:tcPr>
          <w:p w14:paraId="35D4739B"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$'000</w:t>
            </w:r>
          </w:p>
        </w:tc>
        <w:tc>
          <w:tcPr>
            <w:tcW w:w="960" w:type="dxa"/>
            <w:tcBorders>
              <w:top w:val="nil"/>
              <w:left w:val="nil"/>
              <w:bottom w:val="single" w:sz="4" w:space="0" w:color="auto"/>
              <w:right w:val="nil"/>
            </w:tcBorders>
            <w:shd w:val="clear" w:color="auto" w:fill="auto"/>
            <w:noWrap/>
            <w:vAlign w:val="bottom"/>
            <w:hideMark/>
          </w:tcPr>
          <w:p w14:paraId="3263DAB3"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$'000</w:t>
            </w:r>
          </w:p>
        </w:tc>
      </w:tr>
      <w:tr w:rsidR="002F104F" w:rsidRPr="002F104F" w14:paraId="0A85FD2C" w14:textId="77777777" w:rsidTr="00031F72">
        <w:trPr>
          <w:trHeight w:val="283"/>
          <w:jc w:val="center"/>
        </w:trPr>
        <w:tc>
          <w:tcPr>
            <w:tcW w:w="7660" w:type="dxa"/>
            <w:gridSpan w:val="6"/>
            <w:tcBorders>
              <w:top w:val="nil"/>
              <w:left w:val="nil"/>
              <w:bottom w:val="nil"/>
              <w:right w:val="nil"/>
            </w:tcBorders>
            <w:shd w:val="clear" w:color="000000" w:fill="D9D9D9"/>
            <w:noWrap/>
            <w:vAlign w:val="bottom"/>
            <w:hideMark/>
          </w:tcPr>
          <w:p w14:paraId="78FFDB1E" w14:textId="77777777" w:rsidR="002F104F" w:rsidRPr="002F104F" w:rsidRDefault="002F104F" w:rsidP="002F104F">
            <w:pPr>
              <w:spacing w:before="0" w:after="0" w:line="240" w:lineRule="auto"/>
              <w:rPr>
                <w:rFonts w:ascii="Arial" w:hAnsi="Arial" w:cs="Arial"/>
                <w:b/>
                <w:bCs/>
                <w:sz w:val="16"/>
                <w:szCs w:val="16"/>
              </w:rPr>
            </w:pPr>
            <w:r w:rsidRPr="002F104F">
              <w:rPr>
                <w:rFonts w:ascii="Arial" w:hAnsi="Arial" w:cs="Arial"/>
                <w:b/>
                <w:bCs/>
                <w:sz w:val="16"/>
                <w:szCs w:val="16"/>
              </w:rPr>
              <w:t>DEPARTMENTAL</w:t>
            </w:r>
          </w:p>
        </w:tc>
      </w:tr>
      <w:tr w:rsidR="002F104F" w:rsidRPr="002F104F" w14:paraId="323110EB" w14:textId="77777777" w:rsidTr="00031F72">
        <w:trPr>
          <w:trHeight w:val="283"/>
          <w:jc w:val="center"/>
        </w:trPr>
        <w:tc>
          <w:tcPr>
            <w:tcW w:w="2860" w:type="dxa"/>
            <w:tcBorders>
              <w:top w:val="nil"/>
              <w:left w:val="nil"/>
              <w:bottom w:val="nil"/>
              <w:right w:val="nil"/>
            </w:tcBorders>
            <w:shd w:val="clear" w:color="auto" w:fill="auto"/>
            <w:noWrap/>
            <w:vAlign w:val="bottom"/>
            <w:hideMark/>
          </w:tcPr>
          <w:p w14:paraId="7E566163" w14:textId="45CFA52A"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Department of Health</w:t>
            </w:r>
            <w:r w:rsidR="00F11441">
              <w:rPr>
                <w:rFonts w:ascii="Arial" w:hAnsi="Arial" w:cs="Arial"/>
                <w:sz w:val="16"/>
                <w:szCs w:val="16"/>
              </w:rPr>
              <w:t xml:space="preserve"> and Aged Care</w:t>
            </w:r>
          </w:p>
        </w:tc>
        <w:tc>
          <w:tcPr>
            <w:tcW w:w="960" w:type="dxa"/>
            <w:tcBorders>
              <w:top w:val="nil"/>
              <w:left w:val="nil"/>
              <w:bottom w:val="nil"/>
              <w:right w:val="nil"/>
            </w:tcBorders>
            <w:shd w:val="clear" w:color="auto" w:fill="auto"/>
            <w:noWrap/>
            <w:vAlign w:val="bottom"/>
            <w:hideMark/>
          </w:tcPr>
          <w:p w14:paraId="52E309BA"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135,774</w:t>
            </w:r>
          </w:p>
        </w:tc>
        <w:tc>
          <w:tcPr>
            <w:tcW w:w="960" w:type="dxa"/>
            <w:tcBorders>
              <w:top w:val="nil"/>
              <w:left w:val="nil"/>
              <w:bottom w:val="nil"/>
              <w:right w:val="nil"/>
            </w:tcBorders>
            <w:shd w:val="clear" w:color="000000" w:fill="D9D9D9"/>
            <w:noWrap/>
            <w:vAlign w:val="bottom"/>
            <w:hideMark/>
          </w:tcPr>
          <w:p w14:paraId="6AF8FAA9"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119,889</w:t>
            </w:r>
          </w:p>
        </w:tc>
        <w:tc>
          <w:tcPr>
            <w:tcW w:w="960" w:type="dxa"/>
            <w:tcBorders>
              <w:top w:val="nil"/>
              <w:left w:val="nil"/>
              <w:bottom w:val="nil"/>
              <w:right w:val="nil"/>
            </w:tcBorders>
            <w:shd w:val="clear" w:color="auto" w:fill="auto"/>
            <w:noWrap/>
            <w:vAlign w:val="bottom"/>
            <w:hideMark/>
          </w:tcPr>
          <w:p w14:paraId="6CB51A48"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7ABE23C7"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11,414</w:t>
            </w:r>
          </w:p>
        </w:tc>
        <w:tc>
          <w:tcPr>
            <w:tcW w:w="960" w:type="dxa"/>
            <w:tcBorders>
              <w:top w:val="nil"/>
              <w:left w:val="nil"/>
              <w:bottom w:val="nil"/>
              <w:right w:val="nil"/>
            </w:tcBorders>
            <w:shd w:val="clear" w:color="auto" w:fill="auto"/>
            <w:noWrap/>
            <w:vAlign w:val="bottom"/>
            <w:hideMark/>
          </w:tcPr>
          <w:p w14:paraId="6B6F9196"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267,077</w:t>
            </w:r>
          </w:p>
        </w:tc>
      </w:tr>
      <w:tr w:rsidR="002F104F" w:rsidRPr="002F104F" w14:paraId="56AFC48A" w14:textId="77777777" w:rsidTr="00031F72">
        <w:trPr>
          <w:trHeight w:val="454"/>
          <w:jc w:val="center"/>
        </w:trPr>
        <w:tc>
          <w:tcPr>
            <w:tcW w:w="2860" w:type="dxa"/>
            <w:tcBorders>
              <w:top w:val="nil"/>
              <w:left w:val="nil"/>
              <w:bottom w:val="nil"/>
              <w:right w:val="nil"/>
            </w:tcBorders>
            <w:shd w:val="clear" w:color="auto" w:fill="auto"/>
            <w:vAlign w:val="bottom"/>
            <w:hideMark/>
          </w:tcPr>
          <w:p w14:paraId="1F62D0BA" w14:textId="77777777"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Aged Care Quality and Safety Commission</w:t>
            </w:r>
          </w:p>
        </w:tc>
        <w:tc>
          <w:tcPr>
            <w:tcW w:w="960" w:type="dxa"/>
            <w:tcBorders>
              <w:top w:val="nil"/>
              <w:left w:val="nil"/>
              <w:bottom w:val="nil"/>
              <w:right w:val="nil"/>
            </w:tcBorders>
            <w:shd w:val="clear" w:color="auto" w:fill="auto"/>
            <w:noWrap/>
            <w:vAlign w:val="bottom"/>
            <w:hideMark/>
          </w:tcPr>
          <w:p w14:paraId="2CEE42BE"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24,018</w:t>
            </w:r>
          </w:p>
        </w:tc>
        <w:tc>
          <w:tcPr>
            <w:tcW w:w="960" w:type="dxa"/>
            <w:tcBorders>
              <w:top w:val="nil"/>
              <w:left w:val="nil"/>
              <w:bottom w:val="nil"/>
              <w:right w:val="nil"/>
            </w:tcBorders>
            <w:shd w:val="clear" w:color="000000" w:fill="D9D9D9"/>
            <w:noWrap/>
            <w:vAlign w:val="bottom"/>
            <w:hideMark/>
          </w:tcPr>
          <w:p w14:paraId="4B833E53"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4FAE50D"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2831D09B"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17,857</w:t>
            </w:r>
          </w:p>
        </w:tc>
        <w:tc>
          <w:tcPr>
            <w:tcW w:w="960" w:type="dxa"/>
            <w:tcBorders>
              <w:top w:val="nil"/>
              <w:left w:val="nil"/>
              <w:bottom w:val="nil"/>
              <w:right w:val="nil"/>
            </w:tcBorders>
            <w:shd w:val="clear" w:color="auto" w:fill="auto"/>
            <w:noWrap/>
            <w:vAlign w:val="bottom"/>
            <w:hideMark/>
          </w:tcPr>
          <w:p w14:paraId="1A1C9C95"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41,875</w:t>
            </w:r>
          </w:p>
        </w:tc>
      </w:tr>
      <w:tr w:rsidR="002F104F" w:rsidRPr="002F104F" w14:paraId="1D287F72" w14:textId="77777777" w:rsidTr="00031F72">
        <w:trPr>
          <w:trHeight w:val="454"/>
          <w:jc w:val="center"/>
        </w:trPr>
        <w:tc>
          <w:tcPr>
            <w:tcW w:w="2860" w:type="dxa"/>
            <w:tcBorders>
              <w:top w:val="nil"/>
              <w:left w:val="nil"/>
              <w:bottom w:val="nil"/>
              <w:right w:val="nil"/>
            </w:tcBorders>
            <w:shd w:val="clear" w:color="auto" w:fill="auto"/>
            <w:vAlign w:val="bottom"/>
            <w:hideMark/>
          </w:tcPr>
          <w:p w14:paraId="3013B5C1" w14:textId="77777777"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Australian Institute of Health and Welfare</w:t>
            </w:r>
          </w:p>
        </w:tc>
        <w:tc>
          <w:tcPr>
            <w:tcW w:w="960" w:type="dxa"/>
            <w:tcBorders>
              <w:top w:val="nil"/>
              <w:left w:val="nil"/>
              <w:bottom w:val="nil"/>
              <w:right w:val="nil"/>
            </w:tcBorders>
            <w:shd w:val="clear" w:color="auto" w:fill="auto"/>
            <w:noWrap/>
            <w:vAlign w:val="bottom"/>
            <w:hideMark/>
          </w:tcPr>
          <w:p w14:paraId="7F307BDC"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100</w:t>
            </w:r>
          </w:p>
        </w:tc>
        <w:tc>
          <w:tcPr>
            <w:tcW w:w="960" w:type="dxa"/>
            <w:tcBorders>
              <w:top w:val="nil"/>
              <w:left w:val="nil"/>
              <w:bottom w:val="nil"/>
              <w:right w:val="nil"/>
            </w:tcBorders>
            <w:shd w:val="clear" w:color="000000" w:fill="D9D9D9"/>
            <w:noWrap/>
            <w:vAlign w:val="bottom"/>
            <w:hideMark/>
          </w:tcPr>
          <w:p w14:paraId="020CA375"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9E76EC9"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7E91E019"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D4F1013"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100</w:t>
            </w:r>
          </w:p>
        </w:tc>
      </w:tr>
      <w:tr w:rsidR="002F104F" w:rsidRPr="002F104F" w14:paraId="24E9D061" w14:textId="77777777" w:rsidTr="00031F72">
        <w:trPr>
          <w:trHeight w:val="283"/>
          <w:jc w:val="center"/>
        </w:trPr>
        <w:tc>
          <w:tcPr>
            <w:tcW w:w="2860" w:type="dxa"/>
            <w:tcBorders>
              <w:top w:val="nil"/>
              <w:left w:val="nil"/>
              <w:bottom w:val="nil"/>
              <w:right w:val="nil"/>
            </w:tcBorders>
            <w:shd w:val="clear" w:color="auto" w:fill="auto"/>
            <w:vAlign w:val="bottom"/>
            <w:hideMark/>
          </w:tcPr>
          <w:p w14:paraId="35AE0A63" w14:textId="77777777"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Organ and Tissue Authority</w:t>
            </w:r>
          </w:p>
        </w:tc>
        <w:tc>
          <w:tcPr>
            <w:tcW w:w="960" w:type="dxa"/>
            <w:tcBorders>
              <w:top w:val="nil"/>
              <w:left w:val="nil"/>
              <w:bottom w:val="nil"/>
              <w:right w:val="nil"/>
            </w:tcBorders>
            <w:shd w:val="clear" w:color="auto" w:fill="auto"/>
            <w:noWrap/>
            <w:vAlign w:val="bottom"/>
            <w:hideMark/>
          </w:tcPr>
          <w:p w14:paraId="70D146DD"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500</w:t>
            </w:r>
          </w:p>
        </w:tc>
        <w:tc>
          <w:tcPr>
            <w:tcW w:w="960" w:type="dxa"/>
            <w:tcBorders>
              <w:top w:val="nil"/>
              <w:left w:val="nil"/>
              <w:bottom w:val="nil"/>
              <w:right w:val="nil"/>
            </w:tcBorders>
            <w:shd w:val="clear" w:color="000000" w:fill="D9D9D9"/>
            <w:noWrap/>
            <w:vAlign w:val="bottom"/>
            <w:hideMark/>
          </w:tcPr>
          <w:p w14:paraId="27987064"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E1C7995"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45710705"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C27260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500</w:t>
            </w:r>
          </w:p>
        </w:tc>
      </w:tr>
      <w:tr w:rsidR="002F104F" w:rsidRPr="002F104F" w14:paraId="7686BA70" w14:textId="77777777" w:rsidTr="00031F72">
        <w:trPr>
          <w:trHeight w:val="283"/>
          <w:jc w:val="center"/>
        </w:trPr>
        <w:tc>
          <w:tcPr>
            <w:tcW w:w="2860" w:type="dxa"/>
            <w:tcBorders>
              <w:top w:val="nil"/>
              <w:left w:val="nil"/>
              <w:bottom w:val="nil"/>
              <w:right w:val="nil"/>
            </w:tcBorders>
            <w:shd w:val="clear" w:color="auto" w:fill="auto"/>
            <w:vAlign w:val="bottom"/>
            <w:hideMark/>
          </w:tcPr>
          <w:p w14:paraId="38EBCED0" w14:textId="77777777"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Professional Services Review</w:t>
            </w:r>
          </w:p>
        </w:tc>
        <w:tc>
          <w:tcPr>
            <w:tcW w:w="960" w:type="dxa"/>
            <w:tcBorders>
              <w:top w:val="nil"/>
              <w:left w:val="nil"/>
              <w:bottom w:val="nil"/>
              <w:right w:val="nil"/>
            </w:tcBorders>
            <w:shd w:val="clear" w:color="auto" w:fill="auto"/>
            <w:noWrap/>
            <w:vAlign w:val="bottom"/>
            <w:hideMark/>
          </w:tcPr>
          <w:p w14:paraId="4969D688"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500</w:t>
            </w:r>
          </w:p>
        </w:tc>
        <w:tc>
          <w:tcPr>
            <w:tcW w:w="960" w:type="dxa"/>
            <w:tcBorders>
              <w:top w:val="nil"/>
              <w:left w:val="nil"/>
              <w:bottom w:val="nil"/>
              <w:right w:val="nil"/>
            </w:tcBorders>
            <w:shd w:val="clear" w:color="000000" w:fill="D9D9D9"/>
            <w:vAlign w:val="bottom"/>
            <w:hideMark/>
          </w:tcPr>
          <w:p w14:paraId="7C57F87E"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vAlign w:val="bottom"/>
            <w:hideMark/>
          </w:tcPr>
          <w:p w14:paraId="55E4F8DA"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vAlign w:val="bottom"/>
            <w:hideMark/>
          </w:tcPr>
          <w:p w14:paraId="4C2B9F6E"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0902FCE"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500</w:t>
            </w:r>
          </w:p>
        </w:tc>
      </w:tr>
      <w:tr w:rsidR="002F104F" w:rsidRPr="002F104F" w14:paraId="358A532D" w14:textId="77777777" w:rsidTr="00031F72">
        <w:trPr>
          <w:trHeight w:val="283"/>
          <w:jc w:val="center"/>
        </w:trPr>
        <w:tc>
          <w:tcPr>
            <w:tcW w:w="2860" w:type="dxa"/>
            <w:tcBorders>
              <w:top w:val="nil"/>
              <w:left w:val="nil"/>
              <w:bottom w:val="nil"/>
              <w:right w:val="nil"/>
            </w:tcBorders>
            <w:shd w:val="clear" w:color="auto" w:fill="auto"/>
            <w:vAlign w:val="bottom"/>
            <w:hideMark/>
          </w:tcPr>
          <w:p w14:paraId="29AB5B44" w14:textId="3FDA7639"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 xml:space="preserve">Sport </w:t>
            </w:r>
            <w:r w:rsidR="00F11441" w:rsidRPr="002F104F">
              <w:rPr>
                <w:rFonts w:ascii="Arial" w:hAnsi="Arial" w:cs="Arial"/>
                <w:sz w:val="16"/>
                <w:szCs w:val="16"/>
              </w:rPr>
              <w:t>Integrity</w:t>
            </w:r>
            <w:r w:rsidRPr="002F104F">
              <w:rPr>
                <w:rFonts w:ascii="Arial" w:hAnsi="Arial" w:cs="Arial"/>
                <w:sz w:val="16"/>
                <w:szCs w:val="16"/>
              </w:rPr>
              <w:t xml:space="preserve"> Australia</w:t>
            </w:r>
          </w:p>
        </w:tc>
        <w:tc>
          <w:tcPr>
            <w:tcW w:w="960" w:type="dxa"/>
            <w:tcBorders>
              <w:top w:val="nil"/>
              <w:left w:val="nil"/>
              <w:bottom w:val="nil"/>
              <w:right w:val="nil"/>
            </w:tcBorders>
            <w:shd w:val="clear" w:color="auto" w:fill="auto"/>
            <w:noWrap/>
            <w:vAlign w:val="bottom"/>
            <w:hideMark/>
          </w:tcPr>
          <w:p w14:paraId="2DD90DDB"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4,586</w:t>
            </w:r>
          </w:p>
        </w:tc>
        <w:tc>
          <w:tcPr>
            <w:tcW w:w="960" w:type="dxa"/>
            <w:tcBorders>
              <w:top w:val="nil"/>
              <w:left w:val="nil"/>
              <w:bottom w:val="nil"/>
              <w:right w:val="nil"/>
            </w:tcBorders>
            <w:shd w:val="clear" w:color="000000" w:fill="D9D9D9"/>
            <w:vAlign w:val="bottom"/>
            <w:hideMark/>
          </w:tcPr>
          <w:p w14:paraId="7AF54F57"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vAlign w:val="bottom"/>
            <w:hideMark/>
          </w:tcPr>
          <w:p w14:paraId="2FF1B31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vAlign w:val="bottom"/>
            <w:hideMark/>
          </w:tcPr>
          <w:p w14:paraId="666F73C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5CB8B87C"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4,586</w:t>
            </w:r>
          </w:p>
        </w:tc>
      </w:tr>
      <w:tr w:rsidR="002F104F" w:rsidRPr="002F104F" w14:paraId="4CB2D26A" w14:textId="77777777" w:rsidTr="00031F72">
        <w:trPr>
          <w:trHeight w:val="283"/>
          <w:jc w:val="center"/>
        </w:trPr>
        <w:tc>
          <w:tcPr>
            <w:tcW w:w="2860" w:type="dxa"/>
            <w:tcBorders>
              <w:top w:val="nil"/>
              <w:left w:val="nil"/>
              <w:bottom w:val="nil"/>
              <w:right w:val="nil"/>
            </w:tcBorders>
            <w:shd w:val="clear" w:color="auto" w:fill="auto"/>
            <w:noWrap/>
            <w:vAlign w:val="bottom"/>
            <w:hideMark/>
          </w:tcPr>
          <w:p w14:paraId="16A5AEEE" w14:textId="77777777" w:rsidR="002F104F" w:rsidRPr="002F104F" w:rsidRDefault="002F104F" w:rsidP="002F104F">
            <w:pPr>
              <w:spacing w:before="0" w:after="0" w:line="240" w:lineRule="auto"/>
              <w:rPr>
                <w:rFonts w:ascii="Arial" w:hAnsi="Arial" w:cs="Arial"/>
                <w:b/>
                <w:bCs/>
                <w:sz w:val="16"/>
                <w:szCs w:val="16"/>
              </w:rPr>
            </w:pPr>
            <w:r w:rsidRPr="002F104F">
              <w:rPr>
                <w:rFonts w:ascii="Arial" w:hAnsi="Arial" w:cs="Arial"/>
                <w:b/>
                <w:bCs/>
                <w:sz w:val="16"/>
                <w:szCs w:val="16"/>
              </w:rPr>
              <w:t>Total departmental</w:t>
            </w:r>
          </w:p>
        </w:tc>
        <w:tc>
          <w:tcPr>
            <w:tcW w:w="960" w:type="dxa"/>
            <w:tcBorders>
              <w:top w:val="single" w:sz="4" w:space="0" w:color="auto"/>
              <w:left w:val="nil"/>
              <w:bottom w:val="single" w:sz="4" w:space="0" w:color="auto"/>
              <w:right w:val="nil"/>
            </w:tcBorders>
            <w:shd w:val="clear" w:color="auto" w:fill="auto"/>
            <w:noWrap/>
            <w:vAlign w:val="bottom"/>
            <w:hideMark/>
          </w:tcPr>
          <w:p w14:paraId="6D34A22C"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165,478</w:t>
            </w:r>
          </w:p>
        </w:tc>
        <w:tc>
          <w:tcPr>
            <w:tcW w:w="960" w:type="dxa"/>
            <w:tcBorders>
              <w:top w:val="single" w:sz="4" w:space="0" w:color="auto"/>
              <w:left w:val="nil"/>
              <w:bottom w:val="single" w:sz="4" w:space="0" w:color="auto"/>
              <w:right w:val="nil"/>
            </w:tcBorders>
            <w:shd w:val="clear" w:color="000000" w:fill="D9D9D9"/>
            <w:noWrap/>
            <w:vAlign w:val="bottom"/>
            <w:hideMark/>
          </w:tcPr>
          <w:p w14:paraId="173E574A"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119,889</w:t>
            </w:r>
          </w:p>
        </w:tc>
        <w:tc>
          <w:tcPr>
            <w:tcW w:w="960" w:type="dxa"/>
            <w:tcBorders>
              <w:top w:val="single" w:sz="4" w:space="0" w:color="auto"/>
              <w:left w:val="nil"/>
              <w:bottom w:val="single" w:sz="4" w:space="0" w:color="auto"/>
              <w:right w:val="nil"/>
            </w:tcBorders>
            <w:shd w:val="clear" w:color="auto" w:fill="auto"/>
            <w:noWrap/>
            <w:vAlign w:val="bottom"/>
            <w:hideMark/>
          </w:tcPr>
          <w:p w14:paraId="4DA77B89"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w:t>
            </w:r>
          </w:p>
        </w:tc>
        <w:tc>
          <w:tcPr>
            <w:tcW w:w="960" w:type="dxa"/>
            <w:tcBorders>
              <w:top w:val="single" w:sz="4" w:space="0" w:color="auto"/>
              <w:left w:val="nil"/>
              <w:bottom w:val="single" w:sz="4" w:space="0" w:color="auto"/>
              <w:right w:val="nil"/>
            </w:tcBorders>
            <w:shd w:val="clear" w:color="000000" w:fill="D9D9D9"/>
            <w:noWrap/>
            <w:vAlign w:val="bottom"/>
            <w:hideMark/>
          </w:tcPr>
          <w:p w14:paraId="2D3B25D1"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29,271</w:t>
            </w:r>
          </w:p>
        </w:tc>
        <w:tc>
          <w:tcPr>
            <w:tcW w:w="960" w:type="dxa"/>
            <w:tcBorders>
              <w:top w:val="single" w:sz="4" w:space="0" w:color="auto"/>
              <w:left w:val="nil"/>
              <w:bottom w:val="single" w:sz="4" w:space="0" w:color="auto"/>
              <w:right w:val="nil"/>
            </w:tcBorders>
            <w:shd w:val="clear" w:color="auto" w:fill="auto"/>
            <w:noWrap/>
            <w:vAlign w:val="bottom"/>
            <w:hideMark/>
          </w:tcPr>
          <w:p w14:paraId="51267DBE"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314,638</w:t>
            </w:r>
          </w:p>
        </w:tc>
      </w:tr>
      <w:tr w:rsidR="002F104F" w:rsidRPr="002F104F" w14:paraId="6A3FEEF6" w14:textId="77777777" w:rsidTr="00031F72">
        <w:trPr>
          <w:trHeight w:val="283"/>
          <w:jc w:val="center"/>
        </w:trPr>
        <w:tc>
          <w:tcPr>
            <w:tcW w:w="7660" w:type="dxa"/>
            <w:gridSpan w:val="6"/>
            <w:tcBorders>
              <w:top w:val="nil"/>
              <w:left w:val="nil"/>
              <w:bottom w:val="nil"/>
              <w:right w:val="nil"/>
            </w:tcBorders>
            <w:shd w:val="clear" w:color="000000" w:fill="D9D9D9"/>
            <w:noWrap/>
            <w:vAlign w:val="bottom"/>
            <w:hideMark/>
          </w:tcPr>
          <w:p w14:paraId="23E6D9D8" w14:textId="77777777" w:rsidR="002F104F" w:rsidRPr="002F104F" w:rsidRDefault="002F104F" w:rsidP="002F104F">
            <w:pPr>
              <w:spacing w:before="0" w:after="0" w:line="240" w:lineRule="auto"/>
              <w:rPr>
                <w:rFonts w:ascii="Arial" w:hAnsi="Arial" w:cs="Arial"/>
                <w:b/>
                <w:bCs/>
                <w:sz w:val="16"/>
                <w:szCs w:val="16"/>
              </w:rPr>
            </w:pPr>
            <w:r w:rsidRPr="002F104F">
              <w:rPr>
                <w:rFonts w:ascii="Arial" w:hAnsi="Arial" w:cs="Arial"/>
                <w:b/>
                <w:bCs/>
                <w:sz w:val="16"/>
                <w:szCs w:val="16"/>
              </w:rPr>
              <w:t>ADMINISTERED</w:t>
            </w:r>
          </w:p>
        </w:tc>
      </w:tr>
      <w:tr w:rsidR="002F104F" w:rsidRPr="002F104F" w14:paraId="7B9DDBAE" w14:textId="77777777" w:rsidTr="00031F72">
        <w:trPr>
          <w:trHeight w:val="283"/>
          <w:jc w:val="center"/>
        </w:trPr>
        <w:tc>
          <w:tcPr>
            <w:tcW w:w="2860" w:type="dxa"/>
            <w:tcBorders>
              <w:top w:val="nil"/>
              <w:left w:val="nil"/>
              <w:bottom w:val="nil"/>
              <w:right w:val="nil"/>
            </w:tcBorders>
            <w:shd w:val="clear" w:color="auto" w:fill="auto"/>
            <w:noWrap/>
            <w:vAlign w:val="bottom"/>
            <w:hideMark/>
          </w:tcPr>
          <w:p w14:paraId="720D3EFC" w14:textId="56A5FB22"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Department of Health</w:t>
            </w:r>
            <w:r w:rsidR="00F11441">
              <w:rPr>
                <w:rFonts w:ascii="Arial" w:hAnsi="Arial" w:cs="Arial"/>
                <w:sz w:val="16"/>
                <w:szCs w:val="16"/>
              </w:rPr>
              <w:t xml:space="preserve"> and Aged Care</w:t>
            </w:r>
            <w:r w:rsidRPr="002F104F">
              <w:rPr>
                <w:rFonts w:ascii="Arial" w:hAnsi="Arial" w:cs="Arial"/>
                <w:sz w:val="16"/>
                <w:szCs w:val="16"/>
              </w:rPr>
              <w:t xml:space="preserve"> </w:t>
            </w:r>
          </w:p>
        </w:tc>
        <w:tc>
          <w:tcPr>
            <w:tcW w:w="960" w:type="dxa"/>
            <w:tcBorders>
              <w:top w:val="nil"/>
              <w:left w:val="nil"/>
              <w:bottom w:val="nil"/>
              <w:right w:val="nil"/>
            </w:tcBorders>
            <w:shd w:val="clear" w:color="auto" w:fill="auto"/>
            <w:noWrap/>
            <w:vAlign w:val="bottom"/>
            <w:hideMark/>
          </w:tcPr>
          <w:p w14:paraId="01363FB7"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977,974</w:t>
            </w:r>
          </w:p>
        </w:tc>
        <w:tc>
          <w:tcPr>
            <w:tcW w:w="960" w:type="dxa"/>
            <w:tcBorders>
              <w:top w:val="nil"/>
              <w:left w:val="nil"/>
              <w:bottom w:val="nil"/>
              <w:right w:val="nil"/>
            </w:tcBorders>
            <w:shd w:val="clear" w:color="000000" w:fill="D9D9D9"/>
            <w:noWrap/>
            <w:vAlign w:val="bottom"/>
            <w:hideMark/>
          </w:tcPr>
          <w:p w14:paraId="1936EDD4"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40,138</w:t>
            </w:r>
          </w:p>
        </w:tc>
        <w:tc>
          <w:tcPr>
            <w:tcW w:w="960" w:type="dxa"/>
            <w:tcBorders>
              <w:top w:val="nil"/>
              <w:left w:val="nil"/>
              <w:bottom w:val="nil"/>
              <w:right w:val="nil"/>
            </w:tcBorders>
            <w:shd w:val="clear" w:color="auto" w:fill="auto"/>
            <w:noWrap/>
            <w:vAlign w:val="bottom"/>
            <w:hideMark/>
          </w:tcPr>
          <w:p w14:paraId="6B4EA725"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589,119</w:t>
            </w:r>
          </w:p>
        </w:tc>
        <w:tc>
          <w:tcPr>
            <w:tcW w:w="960" w:type="dxa"/>
            <w:tcBorders>
              <w:top w:val="nil"/>
              <w:left w:val="nil"/>
              <w:bottom w:val="nil"/>
              <w:right w:val="nil"/>
            </w:tcBorders>
            <w:shd w:val="clear" w:color="000000" w:fill="D9D9D9"/>
            <w:vAlign w:val="bottom"/>
            <w:hideMark/>
          </w:tcPr>
          <w:p w14:paraId="436F269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90,873</w:t>
            </w:r>
          </w:p>
        </w:tc>
        <w:tc>
          <w:tcPr>
            <w:tcW w:w="960" w:type="dxa"/>
            <w:tcBorders>
              <w:top w:val="nil"/>
              <w:left w:val="nil"/>
              <w:bottom w:val="nil"/>
              <w:right w:val="nil"/>
            </w:tcBorders>
            <w:shd w:val="clear" w:color="auto" w:fill="auto"/>
            <w:noWrap/>
            <w:vAlign w:val="bottom"/>
            <w:hideMark/>
          </w:tcPr>
          <w:p w14:paraId="1A279578"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1,698,104</w:t>
            </w:r>
          </w:p>
        </w:tc>
      </w:tr>
      <w:tr w:rsidR="002F104F" w:rsidRPr="002F104F" w14:paraId="5D9C9A63" w14:textId="77777777" w:rsidTr="00031F72">
        <w:trPr>
          <w:trHeight w:val="283"/>
          <w:jc w:val="center"/>
        </w:trPr>
        <w:tc>
          <w:tcPr>
            <w:tcW w:w="2860" w:type="dxa"/>
            <w:tcBorders>
              <w:top w:val="nil"/>
              <w:left w:val="nil"/>
              <w:bottom w:val="nil"/>
              <w:right w:val="nil"/>
            </w:tcBorders>
            <w:shd w:val="clear" w:color="auto" w:fill="auto"/>
            <w:noWrap/>
            <w:vAlign w:val="bottom"/>
            <w:hideMark/>
          </w:tcPr>
          <w:p w14:paraId="7201A02A" w14:textId="0DD01456" w:rsidR="002F104F" w:rsidRPr="002F104F" w:rsidRDefault="002F104F" w:rsidP="002F104F">
            <w:pPr>
              <w:spacing w:before="0" w:after="0" w:line="240" w:lineRule="auto"/>
              <w:rPr>
                <w:rFonts w:ascii="Arial" w:hAnsi="Arial" w:cs="Arial"/>
                <w:sz w:val="16"/>
                <w:szCs w:val="16"/>
              </w:rPr>
            </w:pPr>
            <w:r w:rsidRPr="002F104F">
              <w:rPr>
                <w:rFonts w:ascii="Arial" w:hAnsi="Arial" w:cs="Arial"/>
                <w:sz w:val="16"/>
                <w:szCs w:val="16"/>
              </w:rPr>
              <w:t xml:space="preserve">Sport </w:t>
            </w:r>
            <w:r w:rsidR="00F11441" w:rsidRPr="002F104F">
              <w:rPr>
                <w:rFonts w:ascii="Arial" w:hAnsi="Arial" w:cs="Arial"/>
                <w:sz w:val="16"/>
                <w:szCs w:val="16"/>
              </w:rPr>
              <w:t>Integrity</w:t>
            </w:r>
            <w:r w:rsidRPr="002F104F">
              <w:rPr>
                <w:rFonts w:ascii="Arial" w:hAnsi="Arial" w:cs="Arial"/>
                <w:sz w:val="16"/>
                <w:szCs w:val="16"/>
              </w:rPr>
              <w:t xml:space="preserve"> Australia</w:t>
            </w:r>
          </w:p>
        </w:tc>
        <w:tc>
          <w:tcPr>
            <w:tcW w:w="960" w:type="dxa"/>
            <w:tcBorders>
              <w:top w:val="nil"/>
              <w:left w:val="nil"/>
              <w:bottom w:val="nil"/>
              <w:right w:val="nil"/>
            </w:tcBorders>
            <w:shd w:val="clear" w:color="auto" w:fill="auto"/>
            <w:noWrap/>
            <w:vAlign w:val="bottom"/>
            <w:hideMark/>
          </w:tcPr>
          <w:p w14:paraId="436A522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2,226</w:t>
            </w:r>
          </w:p>
        </w:tc>
        <w:tc>
          <w:tcPr>
            <w:tcW w:w="960" w:type="dxa"/>
            <w:tcBorders>
              <w:top w:val="nil"/>
              <w:left w:val="nil"/>
              <w:bottom w:val="nil"/>
              <w:right w:val="nil"/>
            </w:tcBorders>
            <w:shd w:val="clear" w:color="000000" w:fill="D9D9D9"/>
            <w:noWrap/>
            <w:vAlign w:val="bottom"/>
            <w:hideMark/>
          </w:tcPr>
          <w:p w14:paraId="60DDCB53"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7CE1B5A"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000000" w:fill="D9D9D9"/>
            <w:vAlign w:val="bottom"/>
            <w:hideMark/>
          </w:tcPr>
          <w:p w14:paraId="78FC0A42"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78227983" w14:textId="77777777" w:rsidR="002F104F" w:rsidRPr="002F104F" w:rsidRDefault="002F104F" w:rsidP="002F104F">
            <w:pPr>
              <w:spacing w:before="0" w:after="0" w:line="240" w:lineRule="auto"/>
              <w:jc w:val="right"/>
              <w:rPr>
                <w:rFonts w:ascii="Arial" w:hAnsi="Arial" w:cs="Arial"/>
                <w:sz w:val="16"/>
                <w:szCs w:val="16"/>
              </w:rPr>
            </w:pPr>
            <w:r w:rsidRPr="002F104F">
              <w:rPr>
                <w:rFonts w:ascii="Arial" w:hAnsi="Arial" w:cs="Arial"/>
                <w:sz w:val="16"/>
                <w:szCs w:val="16"/>
              </w:rPr>
              <w:t>2,226</w:t>
            </w:r>
          </w:p>
        </w:tc>
      </w:tr>
      <w:tr w:rsidR="002F104F" w:rsidRPr="002F104F" w14:paraId="50D65D85" w14:textId="77777777" w:rsidTr="00031F72">
        <w:trPr>
          <w:trHeight w:val="283"/>
          <w:jc w:val="center"/>
        </w:trPr>
        <w:tc>
          <w:tcPr>
            <w:tcW w:w="2860" w:type="dxa"/>
            <w:tcBorders>
              <w:top w:val="nil"/>
              <w:left w:val="nil"/>
              <w:bottom w:val="nil"/>
              <w:right w:val="nil"/>
            </w:tcBorders>
            <w:shd w:val="clear" w:color="auto" w:fill="auto"/>
            <w:noWrap/>
            <w:vAlign w:val="bottom"/>
            <w:hideMark/>
          </w:tcPr>
          <w:p w14:paraId="5BDBB549" w14:textId="77777777" w:rsidR="002F104F" w:rsidRPr="002F104F" w:rsidRDefault="002F104F" w:rsidP="002F104F">
            <w:pPr>
              <w:spacing w:before="0" w:after="0" w:line="240" w:lineRule="auto"/>
              <w:rPr>
                <w:rFonts w:ascii="Arial" w:hAnsi="Arial" w:cs="Arial"/>
                <w:b/>
                <w:bCs/>
                <w:sz w:val="16"/>
                <w:szCs w:val="16"/>
              </w:rPr>
            </w:pPr>
            <w:r w:rsidRPr="002F104F">
              <w:rPr>
                <w:rFonts w:ascii="Arial" w:hAnsi="Arial" w:cs="Arial"/>
                <w:b/>
                <w:bCs/>
                <w:sz w:val="16"/>
                <w:szCs w:val="16"/>
              </w:rPr>
              <w:t>Total administered</w:t>
            </w:r>
          </w:p>
        </w:tc>
        <w:tc>
          <w:tcPr>
            <w:tcW w:w="960" w:type="dxa"/>
            <w:tcBorders>
              <w:top w:val="single" w:sz="4" w:space="0" w:color="auto"/>
              <w:left w:val="nil"/>
              <w:bottom w:val="single" w:sz="4" w:space="0" w:color="auto"/>
              <w:right w:val="nil"/>
            </w:tcBorders>
            <w:shd w:val="clear" w:color="auto" w:fill="auto"/>
            <w:noWrap/>
            <w:vAlign w:val="bottom"/>
            <w:hideMark/>
          </w:tcPr>
          <w:p w14:paraId="16C68BE3"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980,200</w:t>
            </w:r>
          </w:p>
        </w:tc>
        <w:tc>
          <w:tcPr>
            <w:tcW w:w="960" w:type="dxa"/>
            <w:tcBorders>
              <w:top w:val="single" w:sz="4" w:space="0" w:color="auto"/>
              <w:left w:val="nil"/>
              <w:bottom w:val="single" w:sz="4" w:space="0" w:color="auto"/>
              <w:right w:val="nil"/>
            </w:tcBorders>
            <w:shd w:val="clear" w:color="000000" w:fill="D9D9D9"/>
            <w:noWrap/>
            <w:vAlign w:val="bottom"/>
            <w:hideMark/>
          </w:tcPr>
          <w:p w14:paraId="59F13930"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40,138</w:t>
            </w:r>
          </w:p>
        </w:tc>
        <w:tc>
          <w:tcPr>
            <w:tcW w:w="960" w:type="dxa"/>
            <w:tcBorders>
              <w:top w:val="single" w:sz="4" w:space="0" w:color="auto"/>
              <w:left w:val="nil"/>
              <w:bottom w:val="single" w:sz="4" w:space="0" w:color="auto"/>
              <w:right w:val="nil"/>
            </w:tcBorders>
            <w:shd w:val="clear" w:color="auto" w:fill="auto"/>
            <w:noWrap/>
            <w:vAlign w:val="bottom"/>
            <w:hideMark/>
          </w:tcPr>
          <w:p w14:paraId="162BC959"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589,119</w:t>
            </w:r>
          </w:p>
        </w:tc>
        <w:tc>
          <w:tcPr>
            <w:tcW w:w="960" w:type="dxa"/>
            <w:tcBorders>
              <w:top w:val="single" w:sz="4" w:space="0" w:color="auto"/>
              <w:left w:val="nil"/>
              <w:bottom w:val="single" w:sz="4" w:space="0" w:color="auto"/>
              <w:right w:val="nil"/>
            </w:tcBorders>
            <w:shd w:val="clear" w:color="000000" w:fill="D9D9D9"/>
            <w:noWrap/>
            <w:vAlign w:val="bottom"/>
            <w:hideMark/>
          </w:tcPr>
          <w:p w14:paraId="28D805D1"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90,873</w:t>
            </w:r>
          </w:p>
        </w:tc>
        <w:tc>
          <w:tcPr>
            <w:tcW w:w="960" w:type="dxa"/>
            <w:tcBorders>
              <w:top w:val="single" w:sz="4" w:space="0" w:color="auto"/>
              <w:left w:val="nil"/>
              <w:bottom w:val="single" w:sz="4" w:space="0" w:color="auto"/>
              <w:right w:val="nil"/>
            </w:tcBorders>
            <w:shd w:val="clear" w:color="auto" w:fill="auto"/>
            <w:noWrap/>
            <w:vAlign w:val="bottom"/>
            <w:hideMark/>
          </w:tcPr>
          <w:p w14:paraId="0263FC65"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1,700,330</w:t>
            </w:r>
          </w:p>
        </w:tc>
      </w:tr>
      <w:tr w:rsidR="002F104F" w:rsidRPr="002F104F" w14:paraId="4F15A263" w14:textId="77777777" w:rsidTr="00031F72">
        <w:trPr>
          <w:trHeight w:val="283"/>
          <w:jc w:val="center"/>
        </w:trPr>
        <w:tc>
          <w:tcPr>
            <w:tcW w:w="2860" w:type="dxa"/>
            <w:tcBorders>
              <w:top w:val="single" w:sz="4" w:space="0" w:color="auto"/>
              <w:left w:val="nil"/>
              <w:bottom w:val="single" w:sz="4" w:space="0" w:color="auto"/>
              <w:right w:val="nil"/>
            </w:tcBorders>
            <w:shd w:val="clear" w:color="auto" w:fill="auto"/>
            <w:noWrap/>
            <w:vAlign w:val="bottom"/>
            <w:hideMark/>
          </w:tcPr>
          <w:p w14:paraId="37A968CA" w14:textId="77777777" w:rsidR="002F104F" w:rsidRPr="002F104F" w:rsidRDefault="002F104F" w:rsidP="002F104F">
            <w:pPr>
              <w:spacing w:before="0" w:after="0" w:line="240" w:lineRule="auto"/>
              <w:rPr>
                <w:rFonts w:ascii="Arial" w:hAnsi="Arial" w:cs="Arial"/>
                <w:b/>
                <w:bCs/>
                <w:sz w:val="16"/>
                <w:szCs w:val="16"/>
              </w:rPr>
            </w:pPr>
            <w:r w:rsidRPr="002F104F">
              <w:rPr>
                <w:rFonts w:ascii="Arial" w:hAnsi="Arial" w:cs="Arial"/>
                <w:b/>
                <w:bCs/>
                <w:sz w:val="16"/>
                <w:szCs w:val="16"/>
              </w:rPr>
              <w:t>Total Portfolio</w:t>
            </w:r>
          </w:p>
        </w:tc>
        <w:tc>
          <w:tcPr>
            <w:tcW w:w="960" w:type="dxa"/>
            <w:tcBorders>
              <w:top w:val="single" w:sz="4" w:space="0" w:color="auto"/>
              <w:left w:val="nil"/>
              <w:bottom w:val="single" w:sz="4" w:space="0" w:color="auto"/>
              <w:right w:val="nil"/>
            </w:tcBorders>
            <w:shd w:val="clear" w:color="auto" w:fill="auto"/>
            <w:noWrap/>
            <w:vAlign w:val="bottom"/>
            <w:hideMark/>
          </w:tcPr>
          <w:p w14:paraId="7925E87E"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1,145,678</w:t>
            </w:r>
          </w:p>
        </w:tc>
        <w:tc>
          <w:tcPr>
            <w:tcW w:w="960" w:type="dxa"/>
            <w:tcBorders>
              <w:top w:val="single" w:sz="4" w:space="0" w:color="auto"/>
              <w:left w:val="nil"/>
              <w:bottom w:val="single" w:sz="4" w:space="0" w:color="auto"/>
              <w:right w:val="nil"/>
            </w:tcBorders>
            <w:shd w:val="clear" w:color="000000" w:fill="D9D9D9"/>
            <w:noWrap/>
            <w:vAlign w:val="bottom"/>
            <w:hideMark/>
          </w:tcPr>
          <w:p w14:paraId="3E55252E"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160,027</w:t>
            </w:r>
          </w:p>
        </w:tc>
        <w:tc>
          <w:tcPr>
            <w:tcW w:w="960" w:type="dxa"/>
            <w:tcBorders>
              <w:top w:val="single" w:sz="4" w:space="0" w:color="auto"/>
              <w:left w:val="nil"/>
              <w:bottom w:val="single" w:sz="4" w:space="0" w:color="auto"/>
              <w:right w:val="nil"/>
            </w:tcBorders>
            <w:shd w:val="clear" w:color="auto" w:fill="auto"/>
            <w:noWrap/>
            <w:vAlign w:val="bottom"/>
            <w:hideMark/>
          </w:tcPr>
          <w:p w14:paraId="638035D8"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589,119</w:t>
            </w:r>
          </w:p>
        </w:tc>
        <w:tc>
          <w:tcPr>
            <w:tcW w:w="960" w:type="dxa"/>
            <w:tcBorders>
              <w:top w:val="single" w:sz="4" w:space="0" w:color="auto"/>
              <w:left w:val="nil"/>
              <w:bottom w:val="single" w:sz="4" w:space="0" w:color="auto"/>
              <w:right w:val="nil"/>
            </w:tcBorders>
            <w:shd w:val="clear" w:color="000000" w:fill="D9D9D9"/>
            <w:noWrap/>
            <w:vAlign w:val="bottom"/>
            <w:hideMark/>
          </w:tcPr>
          <w:p w14:paraId="489E7B08"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120,144</w:t>
            </w:r>
          </w:p>
        </w:tc>
        <w:tc>
          <w:tcPr>
            <w:tcW w:w="960" w:type="dxa"/>
            <w:tcBorders>
              <w:top w:val="single" w:sz="4" w:space="0" w:color="auto"/>
              <w:left w:val="nil"/>
              <w:bottom w:val="single" w:sz="4" w:space="0" w:color="auto"/>
              <w:right w:val="nil"/>
            </w:tcBorders>
            <w:shd w:val="clear" w:color="auto" w:fill="auto"/>
            <w:noWrap/>
            <w:vAlign w:val="bottom"/>
            <w:hideMark/>
          </w:tcPr>
          <w:p w14:paraId="02E2BA67" w14:textId="77777777" w:rsidR="002F104F" w:rsidRPr="002F104F" w:rsidRDefault="002F104F" w:rsidP="002F104F">
            <w:pPr>
              <w:spacing w:before="0" w:after="0" w:line="240" w:lineRule="auto"/>
              <w:jc w:val="right"/>
              <w:rPr>
                <w:rFonts w:ascii="Arial" w:hAnsi="Arial" w:cs="Arial"/>
                <w:b/>
                <w:bCs/>
                <w:sz w:val="16"/>
                <w:szCs w:val="16"/>
              </w:rPr>
            </w:pPr>
            <w:r w:rsidRPr="002F104F">
              <w:rPr>
                <w:rFonts w:ascii="Arial" w:hAnsi="Arial" w:cs="Arial"/>
                <w:b/>
                <w:bCs/>
                <w:sz w:val="16"/>
                <w:szCs w:val="16"/>
              </w:rPr>
              <w:t>2,014,968</w:t>
            </w:r>
          </w:p>
        </w:tc>
      </w:tr>
    </w:tbl>
    <w:p w14:paraId="223B61C8" w14:textId="09A7B955" w:rsidR="00F11441" w:rsidRPr="00F11441" w:rsidRDefault="00F11441" w:rsidP="00F11441">
      <w:pPr>
        <w:pStyle w:val="FootnoteText"/>
        <w:spacing w:before="120"/>
      </w:pPr>
      <w:r>
        <w:t>All figures are GST exclusive.</w:t>
      </w:r>
    </w:p>
    <w:p w14:paraId="0C0386D0" w14:textId="30F42291" w:rsidR="002F104F" w:rsidRDefault="00F11441" w:rsidP="000D3AD4">
      <w:pPr>
        <w:pStyle w:val="FootnoteText"/>
        <w:spacing w:before="120"/>
      </w:pPr>
      <w:r w:rsidRPr="00F11441">
        <w:rPr>
          <w:vertAlign w:val="superscript"/>
        </w:rPr>
        <w:t>(a)</w:t>
      </w:r>
      <w:r w:rsidRPr="00F11441">
        <w:t xml:space="preserve"> </w:t>
      </w:r>
      <w:r>
        <w:tab/>
      </w:r>
      <w:r w:rsidRPr="00F11441">
        <w:t>Administered and Departmental Bills (No. 3) and (No. 4) do not incl</w:t>
      </w:r>
      <w:r>
        <w:t xml:space="preserve">ude notional reductions to the </w:t>
      </w:r>
      <w:r>
        <w:br/>
        <w:t>2023–</w:t>
      </w:r>
      <w:r w:rsidRPr="00F11441">
        <w:t>24 Budget Bill (No. 1). For notional reductions to the Budget Bill (No. 1) see Table 1.4 in each entity c</w:t>
      </w:r>
      <w:r>
        <w:t>hapter.</w:t>
      </w:r>
    </w:p>
    <w:p w14:paraId="04246CFF" w14:textId="77777777" w:rsidR="00825974" w:rsidRDefault="00825974">
      <w:pPr>
        <w:spacing w:before="0" w:after="0" w:line="240" w:lineRule="auto"/>
        <w:sectPr w:rsidR="00825974" w:rsidSect="00BA6C8E">
          <w:headerReference w:type="even" r:id="rId49"/>
          <w:footerReference w:type="even" r:id="rId50"/>
          <w:footerReference w:type="default" r:id="rId51"/>
          <w:headerReference w:type="first" r:id="rId52"/>
          <w:footerReference w:type="first" r:id="rId53"/>
          <w:pgSz w:w="11907" w:h="16840" w:code="9"/>
          <w:pgMar w:top="2835" w:right="2098" w:bottom="2466" w:left="2098" w:header="1814" w:footer="1814" w:gutter="0"/>
          <w:cols w:space="720"/>
          <w:titlePg/>
        </w:sectPr>
      </w:pPr>
      <w:bookmarkStart w:id="92" w:name="_Toc97433671"/>
      <w:bookmarkStart w:id="93" w:name="_Toc97433760"/>
      <w:bookmarkStart w:id="94" w:name="_Toc97433860"/>
      <w:bookmarkStart w:id="95" w:name="_Toc97434209"/>
      <w:bookmarkStart w:id="96" w:name="_Toc97528986"/>
      <w:bookmarkStart w:id="97" w:name="_Toc97529025"/>
      <w:bookmarkStart w:id="98" w:name="_Toc112224373"/>
      <w:bookmarkStart w:id="99" w:name="_Toc155859219"/>
    </w:p>
    <w:p w14:paraId="5F03984A" w14:textId="0DD6CA88" w:rsidR="006621FC" w:rsidRDefault="006621FC">
      <w:pPr>
        <w:spacing w:before="0" w:after="0" w:line="240" w:lineRule="auto"/>
        <w:sectPr w:rsidR="006621FC" w:rsidSect="00BA6C8E">
          <w:headerReference w:type="first" r:id="rId54"/>
          <w:footerReference w:type="first" r:id="rId55"/>
          <w:pgSz w:w="11907" w:h="16840" w:code="9"/>
          <w:pgMar w:top="2835" w:right="2098" w:bottom="2466" w:left="2098" w:header="1814" w:footer="1814" w:gutter="0"/>
          <w:cols w:space="720"/>
          <w:titlePg/>
        </w:sectPr>
      </w:pPr>
    </w:p>
    <w:p w14:paraId="32822343" w14:textId="718D40FA" w:rsidR="00352548" w:rsidRDefault="00352548">
      <w:pPr>
        <w:spacing w:before="0" w:after="0" w:line="240" w:lineRule="auto"/>
        <w:rPr>
          <w:rFonts w:ascii="Arial Bold" w:hAnsi="Arial Bold" w:cs="Arial"/>
          <w:b/>
          <w:bCs/>
          <w:kern w:val="28"/>
          <w:sz w:val="52"/>
          <w:szCs w:val="32"/>
        </w:rPr>
      </w:pPr>
    </w:p>
    <w:p w14:paraId="7FFEB4B0" w14:textId="77777777" w:rsidR="00352548" w:rsidRDefault="00352548" w:rsidP="006A26E8">
      <w:pPr>
        <w:pStyle w:val="PartHeading"/>
      </w:pPr>
    </w:p>
    <w:p w14:paraId="7F771A3A" w14:textId="77777777" w:rsidR="00352548" w:rsidRDefault="00352548" w:rsidP="006A26E8">
      <w:pPr>
        <w:pStyle w:val="PartHeading"/>
      </w:pPr>
    </w:p>
    <w:p w14:paraId="3733AE25" w14:textId="77777777" w:rsidR="00352548" w:rsidRDefault="00352548" w:rsidP="006A26E8">
      <w:pPr>
        <w:pStyle w:val="PartHeading"/>
      </w:pPr>
    </w:p>
    <w:p w14:paraId="0265585A" w14:textId="5FEBB2BA" w:rsidR="00352548" w:rsidRDefault="003B48D4" w:rsidP="006A26E8">
      <w:pPr>
        <w:pStyle w:val="PartHeading"/>
      </w:pPr>
      <w:r>
        <w:fldChar w:fldCharType="begin"/>
      </w:r>
      <w:r>
        <w:instrText xml:space="preserve"> </w:instrText>
      </w:r>
      <w:proofErr w:type="gramStart"/>
      <w:r>
        <w:instrText>TC  "</w:instrText>
      </w:r>
      <w:bookmarkStart w:id="100" w:name="_Toc157520017"/>
      <w:proofErr w:type="gramEnd"/>
      <w:r>
        <w:instrText>Entity Additional Estimates Statements</w:instrText>
      </w:r>
      <w:bookmarkEnd w:id="100"/>
      <w:r>
        <w:instrText xml:space="preserve">" \f m \l 1 </w:instrText>
      </w:r>
      <w:r>
        <w:fldChar w:fldCharType="end"/>
      </w:r>
      <w:r w:rsidR="009E7256">
        <w:t xml:space="preserve">Entity Additional </w:t>
      </w:r>
      <w:r w:rsidR="00F47D35">
        <w:br/>
      </w:r>
      <w:r w:rsidR="009E7256">
        <w:t>Estimates S</w:t>
      </w:r>
      <w:r w:rsidR="00DB42D8">
        <w:t>tatements</w:t>
      </w:r>
      <w:bookmarkStart w:id="101" w:name="_Toc210646446"/>
      <w:bookmarkStart w:id="102" w:name="_Toc210698425"/>
      <w:bookmarkEnd w:id="92"/>
      <w:bookmarkEnd w:id="93"/>
      <w:bookmarkEnd w:id="94"/>
      <w:bookmarkEnd w:id="95"/>
      <w:bookmarkEnd w:id="96"/>
      <w:bookmarkEnd w:id="97"/>
      <w:bookmarkEnd w:id="98"/>
      <w:bookmarkEnd w:id="99"/>
    </w:p>
    <w:p w14:paraId="70346E7F" w14:textId="77777777" w:rsidR="00352548" w:rsidRDefault="00352548">
      <w:pPr>
        <w:spacing w:before="0" w:after="0" w:line="240" w:lineRule="auto"/>
        <w:rPr>
          <w:rFonts w:ascii="Arial Bold" w:hAnsi="Arial Bold" w:cs="Arial"/>
          <w:b/>
          <w:bCs/>
          <w:kern w:val="28"/>
          <w:sz w:val="52"/>
          <w:szCs w:val="32"/>
        </w:rPr>
      </w:pPr>
      <w:r>
        <w:br w:type="page"/>
      </w:r>
    </w:p>
    <w:p w14:paraId="501F6828" w14:textId="77777777" w:rsidR="00DB42D8" w:rsidRDefault="00DB42D8" w:rsidP="006A26E8">
      <w:pPr>
        <w:pStyle w:val="PartHeading"/>
      </w:pPr>
    </w:p>
    <w:bookmarkEnd w:id="101"/>
    <w:bookmarkEnd w:id="102"/>
    <w:p w14:paraId="275D29F4" w14:textId="77777777" w:rsidR="00825974" w:rsidRDefault="00825974" w:rsidP="00DB42D8">
      <w:pPr>
        <w:pStyle w:val="Heading1-NoTOC"/>
        <w:sectPr w:rsidR="00825974" w:rsidSect="006621FC">
          <w:footerReference w:type="even" r:id="rId56"/>
          <w:footerReference w:type="default" r:id="rId57"/>
          <w:headerReference w:type="first" r:id="rId58"/>
          <w:footerReference w:type="first" r:id="rId59"/>
          <w:pgSz w:w="11907" w:h="16840" w:code="9"/>
          <w:pgMar w:top="2835" w:right="2098" w:bottom="2466" w:left="2098" w:header="1814" w:footer="1814" w:gutter="0"/>
          <w:cols w:space="720"/>
          <w:titlePg/>
        </w:sectPr>
      </w:pPr>
    </w:p>
    <w:p w14:paraId="04FB3789" w14:textId="64184F0C" w:rsidR="00DB42D8" w:rsidRDefault="00FB4A3F" w:rsidP="00DB42D8">
      <w:pPr>
        <w:pStyle w:val="Heading1-NoTOC"/>
      </w:pPr>
      <w:r>
        <w:lastRenderedPageBreak/>
        <w:fldChar w:fldCharType="begin"/>
      </w:r>
      <w:r>
        <w:instrText xml:space="preserve"> </w:instrText>
      </w:r>
      <w:proofErr w:type="gramStart"/>
      <w:r>
        <w:instrText>TC  "</w:instrText>
      </w:r>
      <w:bookmarkStart w:id="103" w:name="_Toc157520018"/>
      <w:proofErr w:type="gramEnd"/>
      <w:r>
        <w:instrText>Department of Health and Aged Care</w:instrText>
      </w:r>
      <w:bookmarkEnd w:id="103"/>
      <w:r>
        <w:instrText xml:space="preserve">" \f </w:instrText>
      </w:r>
      <w:r w:rsidR="00183429">
        <w:instrText>m</w:instrText>
      </w:r>
      <w:r>
        <w:instrText xml:space="preserve"> \l </w:instrText>
      </w:r>
      <w:r w:rsidR="00DC1569">
        <w:instrText>2</w:instrText>
      </w:r>
      <w:r>
        <w:instrText xml:space="preserve"> </w:instrText>
      </w:r>
      <w:r>
        <w:fldChar w:fldCharType="end"/>
      </w:r>
      <w:r w:rsidR="006A26E8">
        <w:t>Department of Health and Aged Care</w:t>
      </w:r>
    </w:p>
    <w:bookmarkStart w:id="104" w:name="_Toc23559338"/>
    <w:bookmarkStart w:id="105" w:name="_Toc23559372"/>
    <w:bookmarkStart w:id="106" w:name="_Toc23559663"/>
    <w:bookmarkStart w:id="107" w:name="_Toc23560126"/>
    <w:bookmarkStart w:id="108" w:name="_Toc23563421"/>
    <w:bookmarkStart w:id="109" w:name="_Toc77998675"/>
    <w:bookmarkStart w:id="110" w:name="_Toc436624136"/>
    <w:bookmarkStart w:id="111" w:name="_Toc436625437"/>
    <w:bookmarkStart w:id="112" w:name="_Toc449255757"/>
    <w:p w14:paraId="113CBF34" w14:textId="7F30487D" w:rsidR="00670727" w:rsidRDefault="004B4E5C">
      <w:pPr>
        <w:pStyle w:val="TOC1"/>
        <w:rPr>
          <w:rFonts w:asciiTheme="minorHAnsi" w:eastAsiaTheme="minorEastAsia" w:hAnsiTheme="minorHAnsi" w:cstheme="minorBidi"/>
          <w:b w:val="0"/>
          <w:noProof/>
          <w:sz w:val="22"/>
          <w:szCs w:val="22"/>
        </w:rPr>
      </w:pPr>
      <w:r>
        <w:fldChar w:fldCharType="begin"/>
      </w:r>
      <w:r>
        <w:instrText xml:space="preserve"> TOC \f dohac \h \z </w:instrText>
      </w:r>
      <w:r>
        <w:fldChar w:fldCharType="separate"/>
      </w:r>
      <w:hyperlink w:anchor="_Toc155882364" w:history="1">
        <w:r w:rsidR="00670727" w:rsidRPr="00D728C8">
          <w:rPr>
            <w:rStyle w:val="Hyperlink"/>
            <w:rFonts w:cs="Arial"/>
            <w:noProof/>
          </w:rPr>
          <w:t>Section 1: Entity overview and resources</w:t>
        </w:r>
        <w:r w:rsidR="00670727">
          <w:rPr>
            <w:noProof/>
            <w:webHidden/>
          </w:rPr>
          <w:tab/>
        </w:r>
        <w:r w:rsidR="00670727">
          <w:rPr>
            <w:noProof/>
            <w:webHidden/>
          </w:rPr>
          <w:fldChar w:fldCharType="begin"/>
        </w:r>
        <w:r w:rsidR="00670727">
          <w:rPr>
            <w:noProof/>
            <w:webHidden/>
          </w:rPr>
          <w:instrText xml:space="preserve"> PAGEREF _Toc155882364 \h </w:instrText>
        </w:r>
        <w:r w:rsidR="00670727">
          <w:rPr>
            <w:noProof/>
            <w:webHidden/>
          </w:rPr>
        </w:r>
        <w:r w:rsidR="00670727">
          <w:rPr>
            <w:noProof/>
            <w:webHidden/>
          </w:rPr>
          <w:fldChar w:fldCharType="separate"/>
        </w:r>
        <w:r w:rsidR="00AC7C2A">
          <w:rPr>
            <w:noProof/>
            <w:webHidden/>
          </w:rPr>
          <w:t>22</w:t>
        </w:r>
        <w:r w:rsidR="00670727">
          <w:rPr>
            <w:noProof/>
            <w:webHidden/>
          </w:rPr>
          <w:fldChar w:fldCharType="end"/>
        </w:r>
      </w:hyperlink>
    </w:p>
    <w:p w14:paraId="627FEC27" w14:textId="623F153B" w:rsidR="00670727" w:rsidRPr="00670727" w:rsidRDefault="00000000">
      <w:pPr>
        <w:pStyle w:val="TOC2"/>
        <w:rPr>
          <w:rFonts w:asciiTheme="minorHAnsi" w:eastAsiaTheme="minorEastAsia" w:hAnsiTheme="minorHAnsi" w:cstheme="minorBidi"/>
          <w:noProof/>
          <w:sz w:val="22"/>
          <w:szCs w:val="22"/>
        </w:rPr>
      </w:pPr>
      <w:hyperlink w:anchor="_Toc155882365" w:history="1">
        <w:r w:rsidR="00670727" w:rsidRPr="00670727">
          <w:rPr>
            <w:rStyle w:val="Hyperlink"/>
            <w:rFonts w:cs="Arial"/>
            <w:noProof/>
          </w:rPr>
          <w:t>1.1</w:t>
        </w:r>
        <w:r w:rsidR="00670727" w:rsidRPr="00670727">
          <w:rPr>
            <w:rFonts w:asciiTheme="minorHAnsi" w:eastAsiaTheme="minorEastAsia" w:hAnsiTheme="minorHAnsi" w:cstheme="minorBidi"/>
            <w:noProof/>
            <w:sz w:val="22"/>
            <w:szCs w:val="22"/>
          </w:rPr>
          <w:tab/>
        </w:r>
        <w:r w:rsidR="00670727" w:rsidRPr="00670727">
          <w:rPr>
            <w:rStyle w:val="Hyperlink"/>
            <w:rFonts w:cs="Arial"/>
            <w:noProof/>
          </w:rPr>
          <w:t>Strategic direction statement</w:t>
        </w:r>
        <w:r w:rsidR="00670727" w:rsidRPr="00670727">
          <w:rPr>
            <w:noProof/>
            <w:webHidden/>
          </w:rPr>
          <w:tab/>
        </w:r>
        <w:r w:rsidR="00670727" w:rsidRPr="00670727">
          <w:rPr>
            <w:noProof/>
            <w:webHidden/>
          </w:rPr>
          <w:fldChar w:fldCharType="begin"/>
        </w:r>
        <w:r w:rsidR="00670727" w:rsidRPr="00670727">
          <w:rPr>
            <w:noProof/>
            <w:webHidden/>
          </w:rPr>
          <w:instrText xml:space="preserve"> PAGEREF _Toc155882365 \h </w:instrText>
        </w:r>
        <w:r w:rsidR="00670727" w:rsidRPr="00670727">
          <w:rPr>
            <w:noProof/>
            <w:webHidden/>
          </w:rPr>
        </w:r>
        <w:r w:rsidR="00670727" w:rsidRPr="00670727">
          <w:rPr>
            <w:noProof/>
            <w:webHidden/>
          </w:rPr>
          <w:fldChar w:fldCharType="separate"/>
        </w:r>
        <w:r w:rsidR="00AC7C2A">
          <w:rPr>
            <w:noProof/>
            <w:webHidden/>
          </w:rPr>
          <w:t>22</w:t>
        </w:r>
        <w:r w:rsidR="00670727" w:rsidRPr="00670727">
          <w:rPr>
            <w:noProof/>
            <w:webHidden/>
          </w:rPr>
          <w:fldChar w:fldCharType="end"/>
        </w:r>
      </w:hyperlink>
    </w:p>
    <w:p w14:paraId="60939232" w14:textId="0D917EB9" w:rsidR="00670727" w:rsidRPr="00670727" w:rsidRDefault="00000000">
      <w:pPr>
        <w:pStyle w:val="TOC2"/>
        <w:rPr>
          <w:rFonts w:asciiTheme="minorHAnsi" w:eastAsiaTheme="minorEastAsia" w:hAnsiTheme="minorHAnsi" w:cstheme="minorBidi"/>
          <w:noProof/>
          <w:sz w:val="22"/>
          <w:szCs w:val="22"/>
        </w:rPr>
      </w:pPr>
      <w:hyperlink w:anchor="_Toc155882366" w:history="1">
        <w:r w:rsidR="00670727" w:rsidRPr="00670727">
          <w:rPr>
            <w:rStyle w:val="Hyperlink"/>
            <w:rFonts w:cs="Arial"/>
            <w:noProof/>
          </w:rPr>
          <w:t>1.2</w:t>
        </w:r>
        <w:r w:rsidR="00670727" w:rsidRPr="00670727">
          <w:rPr>
            <w:rFonts w:asciiTheme="minorHAnsi" w:eastAsiaTheme="minorEastAsia" w:hAnsiTheme="minorHAnsi" w:cstheme="minorBidi"/>
            <w:noProof/>
            <w:sz w:val="22"/>
            <w:szCs w:val="22"/>
          </w:rPr>
          <w:tab/>
        </w:r>
        <w:r w:rsidR="00670727" w:rsidRPr="00670727">
          <w:rPr>
            <w:rStyle w:val="Hyperlink"/>
            <w:rFonts w:cs="Arial"/>
            <w:noProof/>
          </w:rPr>
          <w:t>Entity resource statement</w:t>
        </w:r>
        <w:r w:rsidR="00670727" w:rsidRPr="00670727">
          <w:rPr>
            <w:noProof/>
            <w:webHidden/>
          </w:rPr>
          <w:tab/>
        </w:r>
        <w:r w:rsidR="00670727" w:rsidRPr="00670727">
          <w:rPr>
            <w:noProof/>
            <w:webHidden/>
          </w:rPr>
          <w:fldChar w:fldCharType="begin"/>
        </w:r>
        <w:r w:rsidR="00670727" w:rsidRPr="00670727">
          <w:rPr>
            <w:noProof/>
            <w:webHidden/>
          </w:rPr>
          <w:instrText xml:space="preserve"> PAGEREF _Toc155882366 \h </w:instrText>
        </w:r>
        <w:r w:rsidR="00670727" w:rsidRPr="00670727">
          <w:rPr>
            <w:noProof/>
            <w:webHidden/>
          </w:rPr>
        </w:r>
        <w:r w:rsidR="00670727" w:rsidRPr="00670727">
          <w:rPr>
            <w:noProof/>
            <w:webHidden/>
          </w:rPr>
          <w:fldChar w:fldCharType="separate"/>
        </w:r>
        <w:r w:rsidR="00AC7C2A">
          <w:rPr>
            <w:noProof/>
            <w:webHidden/>
          </w:rPr>
          <w:t>26</w:t>
        </w:r>
        <w:r w:rsidR="00670727" w:rsidRPr="00670727">
          <w:rPr>
            <w:noProof/>
            <w:webHidden/>
          </w:rPr>
          <w:fldChar w:fldCharType="end"/>
        </w:r>
      </w:hyperlink>
    </w:p>
    <w:p w14:paraId="185C75F0" w14:textId="0C8D7056" w:rsidR="00670727" w:rsidRPr="00670727" w:rsidRDefault="00000000">
      <w:pPr>
        <w:pStyle w:val="TOC2"/>
        <w:rPr>
          <w:rFonts w:asciiTheme="minorHAnsi" w:eastAsiaTheme="minorEastAsia" w:hAnsiTheme="minorHAnsi" w:cstheme="minorBidi"/>
          <w:noProof/>
          <w:sz w:val="22"/>
          <w:szCs w:val="22"/>
        </w:rPr>
      </w:pPr>
      <w:hyperlink w:anchor="_Toc155882367" w:history="1">
        <w:r w:rsidR="00670727" w:rsidRPr="00670727">
          <w:rPr>
            <w:rStyle w:val="Hyperlink"/>
            <w:rFonts w:cs="Arial"/>
            <w:noProof/>
          </w:rPr>
          <w:t>1.3</w:t>
        </w:r>
        <w:r w:rsidR="00670727" w:rsidRPr="00670727">
          <w:rPr>
            <w:rFonts w:asciiTheme="minorHAnsi" w:eastAsiaTheme="minorEastAsia" w:hAnsiTheme="minorHAnsi" w:cstheme="minorBidi"/>
            <w:noProof/>
            <w:sz w:val="22"/>
            <w:szCs w:val="22"/>
          </w:rPr>
          <w:tab/>
        </w:r>
        <w:r w:rsidR="00670727" w:rsidRPr="00670727">
          <w:rPr>
            <w:rStyle w:val="Hyperlink"/>
            <w:rFonts w:cs="Arial"/>
            <w:noProof/>
          </w:rPr>
          <w:t>Entity measures</w:t>
        </w:r>
        <w:r w:rsidR="00670727" w:rsidRPr="00670727">
          <w:rPr>
            <w:noProof/>
            <w:webHidden/>
          </w:rPr>
          <w:tab/>
        </w:r>
        <w:r w:rsidR="00670727" w:rsidRPr="00670727">
          <w:rPr>
            <w:noProof/>
            <w:webHidden/>
          </w:rPr>
          <w:fldChar w:fldCharType="begin"/>
        </w:r>
        <w:r w:rsidR="00670727" w:rsidRPr="00670727">
          <w:rPr>
            <w:noProof/>
            <w:webHidden/>
          </w:rPr>
          <w:instrText xml:space="preserve"> PAGEREF _Toc155882367 \h </w:instrText>
        </w:r>
        <w:r w:rsidR="00670727" w:rsidRPr="00670727">
          <w:rPr>
            <w:noProof/>
            <w:webHidden/>
          </w:rPr>
        </w:r>
        <w:r w:rsidR="00670727" w:rsidRPr="00670727">
          <w:rPr>
            <w:noProof/>
            <w:webHidden/>
          </w:rPr>
          <w:fldChar w:fldCharType="separate"/>
        </w:r>
        <w:r w:rsidR="00AC7C2A">
          <w:rPr>
            <w:noProof/>
            <w:webHidden/>
          </w:rPr>
          <w:t>30</w:t>
        </w:r>
        <w:r w:rsidR="00670727" w:rsidRPr="00670727">
          <w:rPr>
            <w:noProof/>
            <w:webHidden/>
          </w:rPr>
          <w:fldChar w:fldCharType="end"/>
        </w:r>
      </w:hyperlink>
    </w:p>
    <w:p w14:paraId="2E252FA3" w14:textId="15EAD8BA" w:rsidR="00670727" w:rsidRDefault="00000000">
      <w:pPr>
        <w:pStyle w:val="TOC2"/>
        <w:rPr>
          <w:rFonts w:asciiTheme="minorHAnsi" w:eastAsiaTheme="minorEastAsia" w:hAnsiTheme="minorHAnsi" w:cstheme="minorBidi"/>
          <w:noProof/>
          <w:sz w:val="22"/>
          <w:szCs w:val="22"/>
        </w:rPr>
      </w:pPr>
      <w:hyperlink w:anchor="_Toc155882368" w:history="1">
        <w:r w:rsidR="00670727" w:rsidRPr="00D728C8">
          <w:rPr>
            <w:rStyle w:val="Hyperlink"/>
            <w:rFonts w:cs="Arial"/>
            <w:noProof/>
          </w:rPr>
          <w:t>1.4</w:t>
        </w:r>
        <w:r w:rsidR="00670727">
          <w:rPr>
            <w:rFonts w:asciiTheme="minorHAnsi" w:eastAsiaTheme="minorEastAsia" w:hAnsiTheme="minorHAnsi" w:cstheme="minorBidi"/>
            <w:noProof/>
            <w:sz w:val="22"/>
            <w:szCs w:val="22"/>
          </w:rPr>
          <w:tab/>
        </w:r>
        <w:r w:rsidR="00670727" w:rsidRPr="00D728C8">
          <w:rPr>
            <w:rStyle w:val="Hyperlink"/>
            <w:rFonts w:cs="Arial"/>
            <w:noProof/>
          </w:rPr>
          <w:t>Additional estimates, resourcing and variations to outcomes</w:t>
        </w:r>
        <w:r w:rsidR="00670727">
          <w:rPr>
            <w:noProof/>
            <w:webHidden/>
          </w:rPr>
          <w:tab/>
        </w:r>
        <w:r w:rsidR="00670727">
          <w:rPr>
            <w:noProof/>
            <w:webHidden/>
          </w:rPr>
          <w:fldChar w:fldCharType="begin"/>
        </w:r>
        <w:r w:rsidR="00670727">
          <w:rPr>
            <w:noProof/>
            <w:webHidden/>
          </w:rPr>
          <w:instrText xml:space="preserve"> PAGEREF _Toc155882368 \h </w:instrText>
        </w:r>
        <w:r w:rsidR="00670727">
          <w:rPr>
            <w:noProof/>
            <w:webHidden/>
          </w:rPr>
        </w:r>
        <w:r w:rsidR="00670727">
          <w:rPr>
            <w:noProof/>
            <w:webHidden/>
          </w:rPr>
          <w:fldChar w:fldCharType="separate"/>
        </w:r>
        <w:r w:rsidR="00AC7C2A">
          <w:rPr>
            <w:noProof/>
            <w:webHidden/>
          </w:rPr>
          <w:t>37</w:t>
        </w:r>
        <w:r w:rsidR="00670727">
          <w:rPr>
            <w:noProof/>
            <w:webHidden/>
          </w:rPr>
          <w:fldChar w:fldCharType="end"/>
        </w:r>
      </w:hyperlink>
    </w:p>
    <w:p w14:paraId="63A14393" w14:textId="3E4E5376" w:rsidR="00670727" w:rsidRDefault="00000000">
      <w:pPr>
        <w:pStyle w:val="TOC2"/>
        <w:rPr>
          <w:rFonts w:asciiTheme="minorHAnsi" w:eastAsiaTheme="minorEastAsia" w:hAnsiTheme="minorHAnsi" w:cstheme="minorBidi"/>
          <w:noProof/>
          <w:sz w:val="22"/>
          <w:szCs w:val="22"/>
        </w:rPr>
      </w:pPr>
      <w:hyperlink w:anchor="_Toc155882369" w:history="1">
        <w:r w:rsidR="00670727" w:rsidRPr="00D728C8">
          <w:rPr>
            <w:rStyle w:val="Hyperlink"/>
            <w:rFonts w:cs="Arial"/>
            <w:noProof/>
          </w:rPr>
          <w:t>1.5</w:t>
        </w:r>
        <w:r w:rsidR="00670727">
          <w:rPr>
            <w:rFonts w:asciiTheme="minorHAnsi" w:eastAsiaTheme="minorEastAsia" w:hAnsiTheme="minorHAnsi" w:cstheme="minorBidi"/>
            <w:noProof/>
            <w:sz w:val="22"/>
            <w:szCs w:val="22"/>
          </w:rPr>
          <w:tab/>
        </w:r>
        <w:r w:rsidR="00670727" w:rsidRPr="00D728C8">
          <w:rPr>
            <w:rStyle w:val="Hyperlink"/>
            <w:rFonts w:cs="Arial"/>
            <w:noProof/>
          </w:rPr>
          <w:t>Breakdown of additional estimates by appropriation bill</w:t>
        </w:r>
        <w:r w:rsidR="00670727">
          <w:rPr>
            <w:noProof/>
            <w:webHidden/>
          </w:rPr>
          <w:tab/>
        </w:r>
        <w:r w:rsidR="00670727">
          <w:rPr>
            <w:noProof/>
            <w:webHidden/>
          </w:rPr>
          <w:fldChar w:fldCharType="begin"/>
        </w:r>
        <w:r w:rsidR="00670727">
          <w:rPr>
            <w:noProof/>
            <w:webHidden/>
          </w:rPr>
          <w:instrText xml:space="preserve"> PAGEREF _Toc155882369 \h </w:instrText>
        </w:r>
        <w:r w:rsidR="00670727">
          <w:rPr>
            <w:noProof/>
            <w:webHidden/>
          </w:rPr>
        </w:r>
        <w:r w:rsidR="00670727">
          <w:rPr>
            <w:noProof/>
            <w:webHidden/>
          </w:rPr>
          <w:fldChar w:fldCharType="separate"/>
        </w:r>
        <w:r w:rsidR="00AC7C2A">
          <w:rPr>
            <w:noProof/>
            <w:webHidden/>
          </w:rPr>
          <w:t>38</w:t>
        </w:r>
        <w:r w:rsidR="00670727">
          <w:rPr>
            <w:noProof/>
            <w:webHidden/>
          </w:rPr>
          <w:fldChar w:fldCharType="end"/>
        </w:r>
      </w:hyperlink>
    </w:p>
    <w:p w14:paraId="3CAA438E" w14:textId="296F01D7" w:rsidR="00670727" w:rsidRDefault="00000000">
      <w:pPr>
        <w:pStyle w:val="TOC1"/>
        <w:rPr>
          <w:rFonts w:asciiTheme="minorHAnsi" w:eastAsiaTheme="minorEastAsia" w:hAnsiTheme="minorHAnsi" w:cstheme="minorBidi"/>
          <w:b w:val="0"/>
          <w:noProof/>
          <w:sz w:val="22"/>
          <w:szCs w:val="22"/>
        </w:rPr>
      </w:pPr>
      <w:hyperlink w:anchor="_Toc155882370" w:history="1">
        <w:r w:rsidR="00670727" w:rsidRPr="00D728C8">
          <w:rPr>
            <w:rStyle w:val="Hyperlink"/>
            <w:rFonts w:cs="Arial"/>
            <w:noProof/>
          </w:rPr>
          <w:t>Section 2: Revisions to outcomes and planned performance</w:t>
        </w:r>
        <w:r w:rsidR="00670727">
          <w:rPr>
            <w:noProof/>
            <w:webHidden/>
          </w:rPr>
          <w:tab/>
        </w:r>
        <w:r w:rsidR="00670727">
          <w:rPr>
            <w:noProof/>
            <w:webHidden/>
          </w:rPr>
          <w:fldChar w:fldCharType="begin"/>
        </w:r>
        <w:r w:rsidR="00670727">
          <w:rPr>
            <w:noProof/>
            <w:webHidden/>
          </w:rPr>
          <w:instrText xml:space="preserve"> PAGEREF _Toc155882370 \h </w:instrText>
        </w:r>
        <w:r w:rsidR="00670727">
          <w:rPr>
            <w:noProof/>
            <w:webHidden/>
          </w:rPr>
        </w:r>
        <w:r w:rsidR="00670727">
          <w:rPr>
            <w:noProof/>
            <w:webHidden/>
          </w:rPr>
          <w:fldChar w:fldCharType="separate"/>
        </w:r>
        <w:r w:rsidR="00AC7C2A">
          <w:rPr>
            <w:noProof/>
            <w:webHidden/>
          </w:rPr>
          <w:t>40</w:t>
        </w:r>
        <w:r w:rsidR="00670727">
          <w:rPr>
            <w:noProof/>
            <w:webHidden/>
          </w:rPr>
          <w:fldChar w:fldCharType="end"/>
        </w:r>
      </w:hyperlink>
    </w:p>
    <w:p w14:paraId="6AEE80AA" w14:textId="650F5630" w:rsidR="00670727" w:rsidRDefault="00000000">
      <w:pPr>
        <w:pStyle w:val="TOC2"/>
        <w:rPr>
          <w:rFonts w:asciiTheme="minorHAnsi" w:eastAsiaTheme="minorEastAsia" w:hAnsiTheme="minorHAnsi" w:cstheme="minorBidi"/>
          <w:noProof/>
          <w:sz w:val="22"/>
          <w:szCs w:val="22"/>
        </w:rPr>
      </w:pPr>
      <w:hyperlink w:anchor="_Toc155882371" w:history="1">
        <w:r w:rsidR="00670727" w:rsidRPr="00670727">
          <w:rPr>
            <w:rStyle w:val="Hyperlink"/>
            <w:rFonts w:cs="Arial"/>
            <w:noProof/>
          </w:rPr>
          <w:t>2.1</w:t>
        </w:r>
        <w:r w:rsidR="00670727" w:rsidRPr="00670727">
          <w:rPr>
            <w:rFonts w:asciiTheme="minorHAnsi" w:eastAsiaTheme="minorEastAsia" w:hAnsiTheme="minorHAnsi" w:cstheme="minorBidi"/>
            <w:noProof/>
            <w:sz w:val="22"/>
            <w:szCs w:val="22"/>
          </w:rPr>
          <w:tab/>
        </w:r>
        <w:r w:rsidR="00670727" w:rsidRPr="00670727">
          <w:rPr>
            <w:rStyle w:val="Hyperlink"/>
            <w:rFonts w:cs="Arial"/>
            <w:noProof/>
          </w:rPr>
          <w:t>Budgeted expenses and performance for Outcome 1</w:t>
        </w:r>
        <w:r w:rsidR="00670727">
          <w:rPr>
            <w:noProof/>
            <w:webHidden/>
          </w:rPr>
          <w:tab/>
        </w:r>
        <w:r w:rsidR="00670727">
          <w:rPr>
            <w:noProof/>
            <w:webHidden/>
          </w:rPr>
          <w:fldChar w:fldCharType="begin"/>
        </w:r>
        <w:r w:rsidR="00670727">
          <w:rPr>
            <w:noProof/>
            <w:webHidden/>
          </w:rPr>
          <w:instrText xml:space="preserve"> PAGEREF _Toc155882371 \h </w:instrText>
        </w:r>
        <w:r w:rsidR="00670727">
          <w:rPr>
            <w:noProof/>
            <w:webHidden/>
          </w:rPr>
        </w:r>
        <w:r w:rsidR="00670727">
          <w:rPr>
            <w:noProof/>
            <w:webHidden/>
          </w:rPr>
          <w:fldChar w:fldCharType="separate"/>
        </w:r>
        <w:r w:rsidR="00AC7C2A">
          <w:rPr>
            <w:noProof/>
            <w:webHidden/>
          </w:rPr>
          <w:t>40</w:t>
        </w:r>
        <w:r w:rsidR="00670727">
          <w:rPr>
            <w:noProof/>
            <w:webHidden/>
          </w:rPr>
          <w:fldChar w:fldCharType="end"/>
        </w:r>
      </w:hyperlink>
    </w:p>
    <w:p w14:paraId="5ACAF10B" w14:textId="4CA3E6F9" w:rsidR="00670727" w:rsidRDefault="00000000">
      <w:pPr>
        <w:pStyle w:val="TOC2"/>
        <w:rPr>
          <w:rFonts w:asciiTheme="minorHAnsi" w:eastAsiaTheme="minorEastAsia" w:hAnsiTheme="minorHAnsi" w:cstheme="minorBidi"/>
          <w:noProof/>
          <w:sz w:val="22"/>
          <w:szCs w:val="22"/>
        </w:rPr>
      </w:pPr>
      <w:hyperlink w:anchor="_Toc155882372" w:history="1">
        <w:r w:rsidR="00670727" w:rsidRPr="00D728C8">
          <w:rPr>
            <w:rStyle w:val="Hyperlink"/>
            <w:rFonts w:cs="Arial"/>
            <w:noProof/>
          </w:rPr>
          <w:t>2.2</w:t>
        </w:r>
        <w:r w:rsidR="00670727">
          <w:rPr>
            <w:rFonts w:asciiTheme="minorHAnsi" w:eastAsiaTheme="minorEastAsia" w:hAnsiTheme="minorHAnsi" w:cstheme="minorBidi"/>
            <w:noProof/>
            <w:sz w:val="22"/>
            <w:szCs w:val="22"/>
          </w:rPr>
          <w:tab/>
        </w:r>
        <w:r w:rsidR="00670727" w:rsidRPr="00D728C8">
          <w:rPr>
            <w:rStyle w:val="Hyperlink"/>
            <w:rFonts w:cs="Arial"/>
            <w:noProof/>
          </w:rPr>
          <w:t>Budgeted expenses and performance for Outcome 2</w:t>
        </w:r>
        <w:r w:rsidR="00670727">
          <w:rPr>
            <w:noProof/>
            <w:webHidden/>
          </w:rPr>
          <w:tab/>
        </w:r>
        <w:r w:rsidR="00E75E3A">
          <w:rPr>
            <w:noProof/>
            <w:webHidden/>
          </w:rPr>
          <w:t>54</w:t>
        </w:r>
      </w:hyperlink>
    </w:p>
    <w:p w14:paraId="368E136E" w14:textId="46E0BF0A" w:rsidR="00670727" w:rsidRDefault="00000000">
      <w:pPr>
        <w:pStyle w:val="TOC2"/>
        <w:rPr>
          <w:rFonts w:asciiTheme="minorHAnsi" w:eastAsiaTheme="minorEastAsia" w:hAnsiTheme="minorHAnsi" w:cstheme="minorBidi"/>
          <w:noProof/>
          <w:sz w:val="22"/>
          <w:szCs w:val="22"/>
        </w:rPr>
      </w:pPr>
      <w:hyperlink w:anchor="_Toc155882373" w:history="1">
        <w:r w:rsidR="00670727" w:rsidRPr="00D728C8">
          <w:rPr>
            <w:rStyle w:val="Hyperlink"/>
            <w:rFonts w:cs="Arial"/>
            <w:noProof/>
          </w:rPr>
          <w:t>2.3</w:t>
        </w:r>
        <w:r w:rsidR="00670727">
          <w:rPr>
            <w:rFonts w:asciiTheme="minorHAnsi" w:eastAsiaTheme="minorEastAsia" w:hAnsiTheme="minorHAnsi" w:cstheme="minorBidi"/>
            <w:noProof/>
            <w:sz w:val="22"/>
            <w:szCs w:val="22"/>
          </w:rPr>
          <w:tab/>
        </w:r>
        <w:r w:rsidR="00670727" w:rsidRPr="00D728C8">
          <w:rPr>
            <w:rStyle w:val="Hyperlink"/>
            <w:rFonts w:cs="Arial"/>
            <w:noProof/>
          </w:rPr>
          <w:t>Budgeted expenses and performance for Outcome 3</w:t>
        </w:r>
        <w:r w:rsidR="00670727">
          <w:rPr>
            <w:noProof/>
            <w:webHidden/>
          </w:rPr>
          <w:tab/>
        </w:r>
        <w:r w:rsidR="00E75E3A">
          <w:rPr>
            <w:noProof/>
            <w:webHidden/>
          </w:rPr>
          <w:t>58</w:t>
        </w:r>
      </w:hyperlink>
    </w:p>
    <w:p w14:paraId="038C340A" w14:textId="370DC1A5" w:rsidR="00670727" w:rsidRDefault="00000000">
      <w:pPr>
        <w:pStyle w:val="TOC2"/>
        <w:rPr>
          <w:rFonts w:asciiTheme="minorHAnsi" w:eastAsiaTheme="minorEastAsia" w:hAnsiTheme="minorHAnsi" w:cstheme="minorBidi"/>
          <w:noProof/>
          <w:sz w:val="22"/>
          <w:szCs w:val="22"/>
        </w:rPr>
      </w:pPr>
      <w:hyperlink w:anchor="_Toc155882374" w:history="1">
        <w:r w:rsidR="00670727" w:rsidRPr="00D728C8">
          <w:rPr>
            <w:rStyle w:val="Hyperlink"/>
            <w:rFonts w:cs="Arial"/>
            <w:noProof/>
          </w:rPr>
          <w:t>2.4</w:t>
        </w:r>
        <w:r w:rsidR="00670727">
          <w:rPr>
            <w:rFonts w:asciiTheme="minorHAnsi" w:eastAsiaTheme="minorEastAsia" w:hAnsiTheme="minorHAnsi" w:cstheme="minorBidi"/>
            <w:noProof/>
            <w:sz w:val="22"/>
            <w:szCs w:val="22"/>
          </w:rPr>
          <w:tab/>
        </w:r>
        <w:r w:rsidR="00670727" w:rsidRPr="00D728C8">
          <w:rPr>
            <w:rStyle w:val="Hyperlink"/>
            <w:rFonts w:cs="Arial"/>
            <w:noProof/>
          </w:rPr>
          <w:t>Budgeted expenses and performance for Outcome 4</w:t>
        </w:r>
        <w:r w:rsidR="00670727">
          <w:rPr>
            <w:noProof/>
            <w:webHidden/>
          </w:rPr>
          <w:tab/>
        </w:r>
        <w:r w:rsidR="00E75E3A">
          <w:rPr>
            <w:noProof/>
            <w:webHidden/>
          </w:rPr>
          <w:t>65</w:t>
        </w:r>
      </w:hyperlink>
    </w:p>
    <w:p w14:paraId="34B50547" w14:textId="25CA96B5" w:rsidR="00670727" w:rsidRDefault="00000000">
      <w:pPr>
        <w:pStyle w:val="TOC1"/>
        <w:rPr>
          <w:rFonts w:asciiTheme="minorHAnsi" w:eastAsiaTheme="minorEastAsia" w:hAnsiTheme="minorHAnsi" w:cstheme="minorBidi"/>
          <w:b w:val="0"/>
          <w:noProof/>
          <w:sz w:val="22"/>
          <w:szCs w:val="22"/>
        </w:rPr>
      </w:pPr>
      <w:hyperlink w:anchor="_Toc155882375" w:history="1">
        <w:r w:rsidR="00670727" w:rsidRPr="00D728C8">
          <w:rPr>
            <w:rStyle w:val="Hyperlink"/>
            <w:rFonts w:cs="Arial"/>
            <w:noProof/>
          </w:rPr>
          <w:t>Section 3: Special account flows and budgeted financial statements</w:t>
        </w:r>
        <w:r w:rsidR="00670727">
          <w:rPr>
            <w:noProof/>
            <w:webHidden/>
          </w:rPr>
          <w:tab/>
        </w:r>
        <w:r w:rsidR="001C228E">
          <w:rPr>
            <w:noProof/>
            <w:webHidden/>
          </w:rPr>
          <w:t>67</w:t>
        </w:r>
      </w:hyperlink>
    </w:p>
    <w:p w14:paraId="1F983DA0" w14:textId="68046755" w:rsidR="00670727" w:rsidRDefault="00000000">
      <w:pPr>
        <w:pStyle w:val="TOC2"/>
        <w:rPr>
          <w:rFonts w:asciiTheme="minorHAnsi" w:eastAsiaTheme="minorEastAsia" w:hAnsiTheme="minorHAnsi" w:cstheme="minorBidi"/>
          <w:noProof/>
          <w:sz w:val="22"/>
          <w:szCs w:val="22"/>
        </w:rPr>
      </w:pPr>
      <w:hyperlink w:anchor="_Toc155882376" w:history="1">
        <w:r w:rsidR="00670727" w:rsidRPr="00D728C8">
          <w:rPr>
            <w:rStyle w:val="Hyperlink"/>
            <w:rFonts w:cs="Arial"/>
            <w:noProof/>
          </w:rPr>
          <w:t>3.1</w:t>
        </w:r>
        <w:r w:rsidR="00670727">
          <w:rPr>
            <w:rFonts w:asciiTheme="minorHAnsi" w:eastAsiaTheme="minorEastAsia" w:hAnsiTheme="minorHAnsi" w:cstheme="minorBidi"/>
            <w:noProof/>
            <w:sz w:val="22"/>
            <w:szCs w:val="22"/>
          </w:rPr>
          <w:tab/>
        </w:r>
        <w:r w:rsidR="00670727" w:rsidRPr="00D728C8">
          <w:rPr>
            <w:rStyle w:val="Hyperlink"/>
            <w:rFonts w:cs="Arial"/>
            <w:noProof/>
          </w:rPr>
          <w:t>Special account flows and balances</w:t>
        </w:r>
        <w:r w:rsidR="00670727">
          <w:rPr>
            <w:noProof/>
            <w:webHidden/>
          </w:rPr>
          <w:tab/>
        </w:r>
        <w:r w:rsidR="001C228E">
          <w:rPr>
            <w:noProof/>
            <w:webHidden/>
          </w:rPr>
          <w:t>67</w:t>
        </w:r>
      </w:hyperlink>
    </w:p>
    <w:p w14:paraId="2E80EBE2" w14:textId="0BFD0FF5" w:rsidR="00670727" w:rsidRDefault="00000000">
      <w:pPr>
        <w:pStyle w:val="TOC2"/>
        <w:rPr>
          <w:rFonts w:asciiTheme="minorHAnsi" w:eastAsiaTheme="minorEastAsia" w:hAnsiTheme="minorHAnsi" w:cstheme="minorBidi"/>
          <w:noProof/>
          <w:sz w:val="22"/>
          <w:szCs w:val="22"/>
        </w:rPr>
      </w:pPr>
      <w:hyperlink w:anchor="_Toc155882377" w:history="1">
        <w:r w:rsidR="00670727" w:rsidRPr="00D728C8">
          <w:rPr>
            <w:rStyle w:val="Hyperlink"/>
            <w:rFonts w:cs="Arial"/>
            <w:noProof/>
          </w:rPr>
          <w:t>3.2</w:t>
        </w:r>
        <w:r w:rsidR="00670727">
          <w:rPr>
            <w:rFonts w:asciiTheme="minorHAnsi" w:eastAsiaTheme="minorEastAsia" w:hAnsiTheme="minorHAnsi" w:cstheme="minorBidi"/>
            <w:noProof/>
            <w:sz w:val="22"/>
            <w:szCs w:val="22"/>
          </w:rPr>
          <w:tab/>
        </w:r>
        <w:r w:rsidR="00670727" w:rsidRPr="00D728C8">
          <w:rPr>
            <w:rStyle w:val="Hyperlink"/>
            <w:rFonts w:cs="Arial"/>
            <w:noProof/>
          </w:rPr>
          <w:t>Budgeted financial statements</w:t>
        </w:r>
        <w:r w:rsidR="00670727">
          <w:rPr>
            <w:noProof/>
            <w:webHidden/>
          </w:rPr>
          <w:tab/>
        </w:r>
        <w:r w:rsidR="001C228E">
          <w:rPr>
            <w:noProof/>
            <w:webHidden/>
          </w:rPr>
          <w:t>69</w:t>
        </w:r>
      </w:hyperlink>
    </w:p>
    <w:p w14:paraId="723EF8D6" w14:textId="1F26093A" w:rsidR="00CB2B6B" w:rsidRDefault="004B4E5C" w:rsidP="00DB42D8">
      <w:r>
        <w:fldChar w:fldCharType="end"/>
      </w:r>
    </w:p>
    <w:p w14:paraId="55CC331A" w14:textId="77777777" w:rsidR="00736DD8" w:rsidRDefault="00736DD8">
      <w:pPr>
        <w:spacing w:before="0" w:after="0" w:line="240" w:lineRule="auto"/>
      </w:pPr>
      <w:r>
        <w:br w:type="page"/>
      </w:r>
    </w:p>
    <w:p w14:paraId="47BA7456" w14:textId="77777777" w:rsidR="00736DD8" w:rsidRDefault="00736DD8" w:rsidP="00736DD8">
      <w:pPr>
        <w:pStyle w:val="Heading1-LVL2"/>
      </w:pPr>
      <w:bookmarkStart w:id="113" w:name="_Toc155859220"/>
      <w:r>
        <w:lastRenderedPageBreak/>
        <w:t>Department of Health and Aged Care</w:t>
      </w:r>
      <w:bookmarkEnd w:id="113"/>
    </w:p>
    <w:bookmarkStart w:id="114" w:name="_Toc152600103"/>
    <w:bookmarkStart w:id="115" w:name="_Toc490972399"/>
    <w:bookmarkStart w:id="116" w:name="_Toc491014616"/>
    <w:bookmarkStart w:id="117" w:name="_Toc491014758"/>
    <w:bookmarkStart w:id="118" w:name="_Toc491014938"/>
    <w:bookmarkStart w:id="119" w:name="_Toc491015085"/>
    <w:bookmarkStart w:id="120" w:name="_Toc491029232"/>
    <w:bookmarkStart w:id="121" w:name="_Toc491030321"/>
    <w:bookmarkStart w:id="122" w:name="_Toc491030781"/>
    <w:bookmarkStart w:id="123" w:name="_Toc491031344"/>
    <w:bookmarkStart w:id="124" w:name="_Toc491031931"/>
    <w:bookmarkStart w:id="125" w:name="_Toc491032101"/>
    <w:bookmarkStart w:id="126" w:name="_Toc491032212"/>
    <w:bookmarkStart w:id="127" w:name="_Toc491032319"/>
    <w:bookmarkStart w:id="128" w:name="_Toc491771706"/>
    <w:bookmarkStart w:id="129" w:name="_Toc491773281"/>
    <w:bookmarkStart w:id="130" w:name="_Toc23559340"/>
    <w:bookmarkStart w:id="131" w:name="_Toc23559374"/>
    <w:bookmarkStart w:id="132" w:name="_Toc23559665"/>
    <w:bookmarkStart w:id="133" w:name="_Toc23560128"/>
    <w:bookmarkStart w:id="134" w:name="_Toc23563423"/>
    <w:bookmarkStart w:id="135" w:name="_Toc77998677"/>
    <w:bookmarkStart w:id="136" w:name="_Toc79399716"/>
    <w:bookmarkStart w:id="137" w:name="_Toc112211956"/>
    <w:bookmarkStart w:id="138" w:name="_Toc112212050"/>
    <w:bookmarkStart w:id="139" w:name="_Toc112137868"/>
    <w:bookmarkStart w:id="140" w:name="_Toc112137890"/>
    <w:bookmarkStart w:id="141" w:name="_Toc210646448"/>
    <w:bookmarkStart w:id="142" w:name="_Toc210698427"/>
    <w:bookmarkStart w:id="143" w:name="_Toc210703208"/>
    <w:bookmarkStart w:id="144" w:name="_Toc436624138"/>
    <w:bookmarkStart w:id="145" w:name="_Toc436625439"/>
    <w:bookmarkStart w:id="146" w:name="_Toc449255759"/>
    <w:bookmarkStart w:id="147" w:name="_Toc490972400"/>
    <w:bookmarkStart w:id="148" w:name="_Toc491014617"/>
    <w:bookmarkStart w:id="149" w:name="_Toc491014759"/>
    <w:bookmarkStart w:id="150" w:name="_Toc491014939"/>
    <w:bookmarkStart w:id="151" w:name="_Toc491015086"/>
    <w:bookmarkStart w:id="152" w:name="_Toc491029233"/>
    <w:bookmarkStart w:id="153" w:name="_Toc491030322"/>
    <w:bookmarkStart w:id="154" w:name="_Toc491030782"/>
    <w:bookmarkStart w:id="155" w:name="_Toc491031345"/>
    <w:bookmarkStart w:id="156" w:name="_Toc491031932"/>
    <w:bookmarkStart w:id="157" w:name="_Toc491032102"/>
    <w:bookmarkStart w:id="158" w:name="_Toc491032213"/>
    <w:bookmarkStart w:id="159" w:name="_Toc491032320"/>
    <w:bookmarkStart w:id="160" w:name="_Toc491771707"/>
    <w:bookmarkStart w:id="161" w:name="_Toc491773282"/>
    <w:bookmarkStart w:id="162" w:name="_Toc23559341"/>
    <w:bookmarkStart w:id="163" w:name="_Toc23559375"/>
    <w:bookmarkStart w:id="164" w:name="_Toc23559666"/>
    <w:bookmarkStart w:id="165" w:name="_Toc23560129"/>
    <w:bookmarkStart w:id="166" w:name="_Toc23563424"/>
    <w:bookmarkStart w:id="167" w:name="_Toc77998678"/>
    <w:bookmarkStart w:id="168" w:name="_Toc79406107"/>
    <w:bookmarkStart w:id="169" w:name="_Toc79467809"/>
    <w:bookmarkStart w:id="170" w:name="_Toc112211957"/>
    <w:bookmarkStart w:id="171" w:name="_Toc112212051"/>
    <w:bookmarkStart w:id="172" w:name="_Toc112137869"/>
    <w:bookmarkStart w:id="173" w:name="_Toc112137891"/>
    <w:p w14:paraId="570DE9C6" w14:textId="73F05ED4" w:rsidR="00736DD8" w:rsidRPr="008E7F4F" w:rsidRDefault="00CB2B6B" w:rsidP="00736DD8">
      <w:pPr>
        <w:pStyle w:val="Heading2-TOC"/>
        <w:rPr>
          <w:rFonts w:ascii="Arial Bold" w:hAnsi="Arial Bold"/>
        </w:rPr>
      </w:pPr>
      <w:r w:rsidRPr="008E7F4F">
        <w:rPr>
          <w:rFonts w:ascii="Arial Bold" w:hAnsi="Arial Bold" w:cs="Arial"/>
          <w:szCs w:val="30"/>
        </w:rPr>
        <w:fldChar w:fldCharType="begin"/>
      </w:r>
      <w:r w:rsidRPr="008E7F4F">
        <w:rPr>
          <w:rFonts w:ascii="Arial Bold" w:hAnsi="Arial Bold" w:cs="Arial"/>
          <w:szCs w:val="30"/>
        </w:rPr>
        <w:instrText xml:space="preserve"> </w:instrText>
      </w:r>
      <w:proofErr w:type="gramStart"/>
      <w:r w:rsidRPr="008E7F4F">
        <w:rPr>
          <w:rFonts w:ascii="Arial Bold" w:hAnsi="Arial Bold" w:cs="Arial"/>
          <w:szCs w:val="30"/>
        </w:rPr>
        <w:instrText>TC  "</w:instrText>
      </w:r>
      <w:bookmarkStart w:id="174" w:name="_Toc155882364"/>
      <w:proofErr w:type="gramEnd"/>
      <w:r w:rsidR="004B4E5C" w:rsidRPr="008E7F4F">
        <w:rPr>
          <w:rFonts w:ascii="Arial Bold" w:hAnsi="Arial Bold" w:cs="Arial"/>
          <w:szCs w:val="30"/>
        </w:rPr>
        <w:instrText>Section 1: Entity overview and resources</w:instrText>
      </w:r>
      <w:bookmarkEnd w:id="174"/>
      <w:r w:rsidRPr="008E7F4F">
        <w:rPr>
          <w:rFonts w:ascii="Arial Bold" w:hAnsi="Arial Bold" w:cs="Arial"/>
          <w:szCs w:val="30"/>
        </w:rPr>
        <w:instrText xml:space="preserve">" \f </w:instrText>
      </w:r>
      <w:proofErr w:type="spellStart"/>
      <w:r w:rsidRPr="008E7F4F">
        <w:rPr>
          <w:rFonts w:ascii="Arial Bold" w:hAnsi="Arial Bold" w:cs="Arial"/>
          <w:szCs w:val="30"/>
        </w:rPr>
        <w:instrText>dohac</w:instrText>
      </w:r>
      <w:proofErr w:type="spellEnd"/>
      <w:r w:rsidRPr="008E7F4F">
        <w:rPr>
          <w:rFonts w:ascii="Arial Bold" w:hAnsi="Arial Bold" w:cs="Arial"/>
          <w:szCs w:val="30"/>
        </w:rPr>
        <w:instrText xml:space="preserve"> \l </w:instrText>
      </w:r>
      <w:r w:rsidR="004B4E5C" w:rsidRPr="008E7F4F">
        <w:rPr>
          <w:rFonts w:ascii="Arial Bold" w:hAnsi="Arial Bold" w:cs="Arial"/>
          <w:szCs w:val="30"/>
        </w:rPr>
        <w:instrText>1</w:instrText>
      </w:r>
      <w:r w:rsidRPr="008E7F4F">
        <w:rPr>
          <w:rFonts w:ascii="Arial Bold" w:hAnsi="Arial Bold" w:cs="Arial"/>
          <w:szCs w:val="30"/>
        </w:rPr>
        <w:instrText xml:space="preserve"> </w:instrText>
      </w:r>
      <w:r w:rsidRPr="008E7F4F">
        <w:rPr>
          <w:rFonts w:ascii="Arial Bold" w:hAnsi="Arial Bold" w:cs="Arial"/>
          <w:szCs w:val="30"/>
        </w:rPr>
        <w:fldChar w:fldCharType="end"/>
      </w:r>
      <w:bookmarkStart w:id="175" w:name="_Toc157591991"/>
      <w:bookmarkStart w:id="176" w:name="_Toc157592174"/>
      <w:r w:rsidR="00736DD8" w:rsidRPr="008E7F4F">
        <w:rPr>
          <w:rFonts w:ascii="Arial Bold" w:hAnsi="Arial Bold"/>
          <w:szCs w:val="30"/>
        </w:rPr>
        <w:t>Section</w:t>
      </w:r>
      <w:r w:rsidR="00736DD8" w:rsidRPr="008E7F4F">
        <w:rPr>
          <w:rFonts w:ascii="Arial Bold" w:hAnsi="Arial Bold"/>
        </w:rPr>
        <w:t xml:space="preserve"> 1: Entity overview and resources</w:t>
      </w:r>
      <w:bookmarkEnd w:id="114"/>
      <w:bookmarkEnd w:id="175"/>
      <w:bookmarkEnd w:id="176"/>
    </w:p>
    <w:bookmarkStart w:id="177" w:name="_Toc210703209"/>
    <w:bookmarkStart w:id="178" w:name="_Toc531094583"/>
    <w:bookmarkStart w:id="179" w:name="_Toc531095062"/>
    <w:bookmarkStart w:id="180" w:name="_Toc15260010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3E79C2AE" w14:textId="7B4BAF53" w:rsidR="00736DD8" w:rsidRPr="008E7F4F" w:rsidRDefault="00CB2B6B" w:rsidP="00CB2B6B">
      <w:pPr>
        <w:rPr>
          <w:rFonts w:ascii="Arial" w:hAnsi="Arial" w:cs="Arial"/>
          <w:b/>
          <w:sz w:val="22"/>
          <w:szCs w:val="22"/>
        </w:rPr>
      </w:pPr>
      <w:r w:rsidRPr="008E7F4F">
        <w:rPr>
          <w:rFonts w:ascii="Arial" w:hAnsi="Arial" w:cs="Arial"/>
          <w:b/>
          <w:sz w:val="22"/>
          <w:szCs w:val="22"/>
        </w:rPr>
        <w:fldChar w:fldCharType="begin"/>
      </w:r>
      <w:r w:rsidRPr="008E7F4F">
        <w:rPr>
          <w:rFonts w:ascii="Arial" w:hAnsi="Arial" w:cs="Arial"/>
          <w:b/>
          <w:sz w:val="22"/>
          <w:szCs w:val="22"/>
        </w:rPr>
        <w:instrText xml:space="preserve"> </w:instrText>
      </w:r>
      <w:proofErr w:type="gramStart"/>
      <w:r w:rsidRPr="008E7F4F">
        <w:rPr>
          <w:rFonts w:ascii="Arial" w:hAnsi="Arial" w:cs="Arial"/>
          <w:b/>
          <w:sz w:val="22"/>
          <w:szCs w:val="22"/>
        </w:rPr>
        <w:instrText>TC  "</w:instrText>
      </w:r>
      <w:bookmarkStart w:id="181" w:name="_Toc155882365"/>
      <w:proofErr w:type="gramEnd"/>
      <w:r w:rsidRPr="008E7F4F">
        <w:rPr>
          <w:rFonts w:ascii="Arial" w:hAnsi="Arial" w:cs="Arial"/>
          <w:b/>
          <w:sz w:val="22"/>
          <w:szCs w:val="22"/>
        </w:rPr>
        <w:instrText>1.1</w:instrText>
      </w:r>
      <w:r w:rsidRPr="008E7F4F">
        <w:rPr>
          <w:rFonts w:ascii="Arial" w:hAnsi="Arial" w:cs="Arial"/>
          <w:b/>
          <w:sz w:val="22"/>
          <w:szCs w:val="22"/>
        </w:rPr>
        <w:tab/>
        <w:instrText>Strategic direction statement</w:instrText>
      </w:r>
      <w:bookmarkEnd w:id="181"/>
      <w:r w:rsidRPr="008E7F4F">
        <w:rPr>
          <w:rFonts w:ascii="Arial" w:hAnsi="Arial" w:cs="Arial"/>
          <w:b/>
          <w:sz w:val="22"/>
          <w:szCs w:val="22"/>
        </w:rPr>
        <w:instrText xml:space="preserve">" \f </w:instrText>
      </w:r>
      <w:proofErr w:type="spellStart"/>
      <w:r w:rsidRPr="008E7F4F">
        <w:rPr>
          <w:rFonts w:ascii="Arial" w:hAnsi="Arial" w:cs="Arial"/>
          <w:b/>
          <w:sz w:val="22"/>
          <w:szCs w:val="22"/>
        </w:rPr>
        <w:instrText>dohac</w:instrText>
      </w:r>
      <w:proofErr w:type="spellEnd"/>
      <w:r w:rsidRPr="008E7F4F">
        <w:rPr>
          <w:rFonts w:ascii="Arial" w:hAnsi="Arial" w:cs="Arial"/>
          <w:b/>
          <w:sz w:val="22"/>
          <w:szCs w:val="22"/>
        </w:rPr>
        <w:instrText xml:space="preserve"> \l </w:instrText>
      </w:r>
      <w:r w:rsidR="004B4E5C" w:rsidRPr="008E7F4F">
        <w:rPr>
          <w:rFonts w:ascii="Arial" w:hAnsi="Arial" w:cs="Arial"/>
          <w:b/>
          <w:sz w:val="22"/>
          <w:szCs w:val="22"/>
        </w:rPr>
        <w:instrText>2</w:instrText>
      </w:r>
      <w:r w:rsidRPr="008E7F4F">
        <w:rPr>
          <w:rFonts w:ascii="Arial" w:hAnsi="Arial" w:cs="Arial"/>
          <w:b/>
          <w:sz w:val="22"/>
          <w:szCs w:val="22"/>
        </w:rPr>
        <w:instrText xml:space="preserve"> </w:instrText>
      </w:r>
      <w:r w:rsidRPr="008E7F4F">
        <w:rPr>
          <w:rFonts w:ascii="Arial" w:hAnsi="Arial" w:cs="Arial"/>
          <w:b/>
          <w:sz w:val="22"/>
          <w:szCs w:val="22"/>
        </w:rPr>
        <w:fldChar w:fldCharType="end"/>
      </w:r>
      <w:r w:rsidR="00736DD8" w:rsidRPr="008E7F4F">
        <w:rPr>
          <w:rFonts w:ascii="Arial" w:hAnsi="Arial" w:cs="Arial"/>
          <w:b/>
          <w:sz w:val="22"/>
          <w:szCs w:val="22"/>
        </w:rPr>
        <w:t>1.1</w:t>
      </w:r>
      <w:r w:rsidR="00736DD8" w:rsidRPr="008E7F4F">
        <w:rPr>
          <w:rFonts w:ascii="Arial" w:hAnsi="Arial" w:cs="Arial"/>
          <w:b/>
          <w:sz w:val="22"/>
          <w:szCs w:val="22"/>
        </w:rPr>
        <w:tab/>
      </w:r>
      <w:bookmarkStart w:id="182" w:name="_Toc210646449"/>
      <w:bookmarkStart w:id="183" w:name="_Toc21069842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736DD8" w:rsidRPr="008E7F4F">
        <w:rPr>
          <w:rFonts w:ascii="Arial" w:hAnsi="Arial" w:cs="Arial"/>
          <w:b/>
          <w:sz w:val="22"/>
          <w:szCs w:val="22"/>
        </w:rPr>
        <w:t>Strategic direction</w:t>
      </w:r>
      <w:bookmarkEnd w:id="177"/>
      <w:bookmarkEnd w:id="182"/>
      <w:bookmarkEnd w:id="183"/>
      <w:r w:rsidR="00736DD8" w:rsidRPr="008E7F4F">
        <w:rPr>
          <w:rFonts w:ascii="Arial" w:hAnsi="Arial" w:cs="Arial"/>
          <w:b/>
          <w:sz w:val="22"/>
          <w:szCs w:val="22"/>
        </w:rPr>
        <w:t xml:space="preserve"> statement</w:t>
      </w:r>
      <w:bookmarkEnd w:id="178"/>
      <w:bookmarkEnd w:id="179"/>
      <w:bookmarkEnd w:id="180"/>
    </w:p>
    <w:p w14:paraId="4AD5A153" w14:textId="398037DE" w:rsidR="001F09BA" w:rsidRPr="00D64101" w:rsidRDefault="001F09BA" w:rsidP="001F09BA">
      <w:pPr>
        <w:spacing w:after="80" w:line="240" w:lineRule="auto"/>
        <w:rPr>
          <w:sz w:val="20"/>
        </w:rPr>
      </w:pPr>
      <w:bookmarkStart w:id="184" w:name="_Toc210703210"/>
      <w:bookmarkStart w:id="185" w:name="_Toc436624139"/>
      <w:bookmarkStart w:id="186" w:name="_Toc436625440"/>
      <w:bookmarkStart w:id="187" w:name="_Toc449255760"/>
      <w:bookmarkStart w:id="188" w:name="_Toc531094584"/>
      <w:bookmarkStart w:id="189" w:name="_Toc531095063"/>
      <w:bookmarkStart w:id="190" w:name="_Toc152600105"/>
      <w:r w:rsidRPr="00D64101">
        <w:rPr>
          <w:sz w:val="20"/>
        </w:rPr>
        <w:t>The Departmen</w:t>
      </w:r>
      <w:r w:rsidR="00526635">
        <w:rPr>
          <w:sz w:val="20"/>
        </w:rPr>
        <w:t>t of Health and Aged Care (the d</w:t>
      </w:r>
      <w:r w:rsidRPr="00D64101">
        <w:rPr>
          <w:sz w:val="20"/>
        </w:rPr>
        <w:t>epartment) implements the Government’s priorities to deliver better health and wellbeing for all Australians, now and for future generations. Through evidence-based policy, well targeted programs, and</w:t>
      </w:r>
      <w:r w:rsidR="00526635">
        <w:rPr>
          <w:sz w:val="20"/>
        </w:rPr>
        <w:t xml:space="preserve"> best practice regulation, the d</w:t>
      </w:r>
      <w:r w:rsidRPr="00D64101">
        <w:rPr>
          <w:sz w:val="20"/>
        </w:rPr>
        <w:t>epartment supports the Government and provides stewardship to shape Australia’s health and aged care system as well as delivering sporting outcomes.</w:t>
      </w:r>
    </w:p>
    <w:p w14:paraId="009ADD19" w14:textId="73CB8B49" w:rsidR="001F09BA" w:rsidRPr="00D64101" w:rsidRDefault="001F09BA" w:rsidP="001F09BA">
      <w:pPr>
        <w:spacing w:after="80" w:line="240" w:lineRule="auto"/>
        <w:rPr>
          <w:sz w:val="20"/>
        </w:rPr>
      </w:pPr>
      <w:r w:rsidRPr="00D64101">
        <w:rPr>
          <w:sz w:val="20"/>
        </w:rPr>
        <w:t xml:space="preserve">The </w:t>
      </w:r>
      <w:r w:rsidR="00526635">
        <w:rPr>
          <w:sz w:val="20"/>
        </w:rPr>
        <w:t>investments made since the 2023–</w:t>
      </w:r>
      <w:r w:rsidRPr="00D64101">
        <w:rPr>
          <w:sz w:val="20"/>
        </w:rPr>
        <w:t xml:space="preserve">24 Budget continue to build upon and leverage previous government investment and make it easier for Australians to get the care they need when and where they need it. New investments will deliver cheaper medicines and more affordable care for the community, provide essential vaccines, continue to </w:t>
      </w:r>
      <w:r w:rsidR="00504264">
        <w:rPr>
          <w:sz w:val="20"/>
        </w:rPr>
        <w:t xml:space="preserve">extend efforts to </w:t>
      </w:r>
      <w:r w:rsidRPr="00D64101">
        <w:rPr>
          <w:sz w:val="20"/>
        </w:rPr>
        <w:t>prevent the harm caused by vaping, support digital mental health services to keep pace with demand and improve care outcomes for older Aust</w:t>
      </w:r>
      <w:r w:rsidR="00504264">
        <w:rPr>
          <w:sz w:val="20"/>
        </w:rPr>
        <w:t>ralians</w:t>
      </w:r>
      <w:r w:rsidRPr="00D64101">
        <w:rPr>
          <w:sz w:val="20"/>
        </w:rPr>
        <w:t xml:space="preserve">.  </w:t>
      </w:r>
    </w:p>
    <w:p w14:paraId="5020C9CB" w14:textId="291F0772" w:rsidR="001F09BA" w:rsidRPr="00D64101" w:rsidRDefault="001F09BA" w:rsidP="001F09BA">
      <w:pPr>
        <w:spacing w:after="80" w:line="240" w:lineRule="auto"/>
        <w:rPr>
          <w:sz w:val="20"/>
        </w:rPr>
      </w:pPr>
      <w:r w:rsidRPr="00D64101">
        <w:rPr>
          <w:sz w:val="20"/>
        </w:rPr>
        <w:t xml:space="preserve">The Commonwealth will increase its contributions under </w:t>
      </w:r>
      <w:r w:rsidR="00504264">
        <w:rPr>
          <w:sz w:val="20"/>
        </w:rPr>
        <w:t xml:space="preserve">the </w:t>
      </w:r>
      <w:r w:rsidRPr="00D64101">
        <w:rPr>
          <w:sz w:val="20"/>
        </w:rPr>
        <w:t>National Health Reform Agreement to 45</w:t>
      </w:r>
      <w:r w:rsidR="00526635">
        <w:rPr>
          <w:sz w:val="20"/>
        </w:rPr>
        <w:t>%</w:t>
      </w:r>
      <w:r w:rsidR="00DE220F">
        <w:rPr>
          <w:sz w:val="20"/>
        </w:rPr>
        <w:t xml:space="preserve"> </w:t>
      </w:r>
      <w:r w:rsidRPr="00D64101">
        <w:rPr>
          <w:sz w:val="20"/>
        </w:rPr>
        <w:t xml:space="preserve">over </w:t>
      </w:r>
      <w:r w:rsidR="00526635">
        <w:rPr>
          <w:sz w:val="20"/>
        </w:rPr>
        <w:t>10</w:t>
      </w:r>
      <w:r w:rsidR="00526635" w:rsidRPr="00D64101">
        <w:rPr>
          <w:sz w:val="20"/>
        </w:rPr>
        <w:t xml:space="preserve"> </w:t>
      </w:r>
      <w:r w:rsidRPr="00D64101">
        <w:rPr>
          <w:sz w:val="20"/>
        </w:rPr>
        <w:t>years, from 1 July 2025. A 42.5</w:t>
      </w:r>
      <w:r w:rsidR="00526635">
        <w:rPr>
          <w:sz w:val="20"/>
        </w:rPr>
        <w:t>%</w:t>
      </w:r>
      <w:r w:rsidRPr="00D64101">
        <w:rPr>
          <w:sz w:val="20"/>
        </w:rPr>
        <w:t xml:space="preserve"> Commonwealth contribution will be achieved before 2030. A further $1.2 billion investment to Strengthen Medicare will grow and support our health workforce, while reducing unnecessary presentations to emergency departments. </w:t>
      </w:r>
    </w:p>
    <w:p w14:paraId="14EA560E" w14:textId="77777777" w:rsidR="001F09BA" w:rsidRPr="00E36567" w:rsidRDefault="001F09BA" w:rsidP="001F09BA">
      <w:pPr>
        <w:spacing w:after="80" w:line="240" w:lineRule="auto"/>
        <w:rPr>
          <w:rFonts w:ascii="Arial" w:hAnsi="Arial" w:cs="Arial"/>
          <w:b/>
          <w:sz w:val="20"/>
        </w:rPr>
      </w:pPr>
      <w:r w:rsidRPr="00E36567">
        <w:rPr>
          <w:rFonts w:ascii="Arial" w:hAnsi="Arial" w:cs="Arial"/>
          <w:b/>
          <w:sz w:val="20"/>
        </w:rPr>
        <w:t>Strengthening Medicare</w:t>
      </w:r>
    </w:p>
    <w:p w14:paraId="7CF405D6" w14:textId="77777777" w:rsidR="001F09BA" w:rsidRPr="004E6313" w:rsidRDefault="001F09BA" w:rsidP="001F09BA">
      <w:pPr>
        <w:spacing w:after="80" w:line="240" w:lineRule="auto"/>
        <w:rPr>
          <w:rFonts w:ascii="Arial" w:hAnsi="Arial" w:cs="Arial"/>
          <w:i/>
          <w:sz w:val="20"/>
        </w:rPr>
      </w:pPr>
      <w:r w:rsidRPr="004E6313">
        <w:rPr>
          <w:rFonts w:ascii="Arial" w:hAnsi="Arial" w:cs="Arial"/>
          <w:i/>
          <w:sz w:val="20"/>
        </w:rPr>
        <w:t xml:space="preserve">Making it easier to get the care you </w:t>
      </w:r>
      <w:proofErr w:type="gramStart"/>
      <w:r w:rsidRPr="004E6313">
        <w:rPr>
          <w:rFonts w:ascii="Arial" w:hAnsi="Arial" w:cs="Arial"/>
          <w:i/>
          <w:sz w:val="20"/>
        </w:rPr>
        <w:t>need</w:t>
      </w:r>
      <w:proofErr w:type="gramEnd"/>
    </w:p>
    <w:p w14:paraId="3890F022" w14:textId="77777777" w:rsidR="001F09BA" w:rsidRPr="0017666A" w:rsidRDefault="001F09BA" w:rsidP="00466FF6">
      <w:pPr>
        <w:spacing w:before="120" w:after="80" w:line="240" w:lineRule="auto"/>
        <w:rPr>
          <w:sz w:val="20"/>
        </w:rPr>
      </w:pPr>
      <w:r w:rsidRPr="0017666A">
        <w:rPr>
          <w:sz w:val="20"/>
        </w:rPr>
        <w:t>The 2023–24 Budget responded to the Strengthening Medicare Taskforce report. Further improvements to the Medicare Benefits Schedule (MBS) and flexible models of care since the Budget include:</w:t>
      </w:r>
    </w:p>
    <w:p w14:paraId="2B5918E7" w14:textId="6A9A0018" w:rsidR="001F09BA" w:rsidRPr="0017666A" w:rsidRDefault="001F09BA" w:rsidP="001F09BA">
      <w:pPr>
        <w:pStyle w:val="ListParagraph"/>
        <w:numPr>
          <w:ilvl w:val="0"/>
          <w:numId w:val="33"/>
        </w:numPr>
        <w:spacing w:before="0" w:after="80" w:line="240" w:lineRule="auto"/>
        <w:rPr>
          <w:rFonts w:ascii="Book Antiqua" w:eastAsia="Times New Roman" w:hAnsi="Book Antiqua"/>
          <w:sz w:val="20"/>
          <w:szCs w:val="20"/>
          <w:lang w:eastAsia="en-AU"/>
        </w:rPr>
      </w:pPr>
      <w:r w:rsidRPr="0017666A">
        <w:rPr>
          <w:rFonts w:ascii="Book Antiqua" w:eastAsia="Times New Roman" w:hAnsi="Book Antiqua"/>
          <w:sz w:val="20"/>
          <w:szCs w:val="20"/>
          <w:lang w:eastAsia="en-AU"/>
        </w:rPr>
        <w:t xml:space="preserve">$39.5 million further investment </w:t>
      </w:r>
      <w:r w:rsidR="00662921">
        <w:rPr>
          <w:rFonts w:ascii="Book Antiqua" w:eastAsia="Times New Roman" w:hAnsi="Book Antiqua"/>
          <w:sz w:val="20"/>
          <w:szCs w:val="20"/>
          <w:lang w:eastAsia="en-AU"/>
        </w:rPr>
        <w:t xml:space="preserve">in </w:t>
      </w:r>
      <w:r w:rsidRPr="0017666A">
        <w:rPr>
          <w:rFonts w:ascii="Book Antiqua" w:eastAsia="Times New Roman" w:hAnsi="Book Antiqua"/>
          <w:sz w:val="20"/>
          <w:szCs w:val="20"/>
          <w:lang w:eastAsia="en-AU"/>
        </w:rPr>
        <w:t xml:space="preserve">Medicare Urgent Care Clinics and Services to support the delivery of bulk billed urgent </w:t>
      </w:r>
      <w:proofErr w:type="gramStart"/>
      <w:r w:rsidRPr="0017666A">
        <w:rPr>
          <w:rFonts w:ascii="Book Antiqua" w:eastAsia="Times New Roman" w:hAnsi="Book Antiqua"/>
          <w:sz w:val="20"/>
          <w:szCs w:val="20"/>
          <w:lang w:eastAsia="en-AU"/>
        </w:rPr>
        <w:t>care</w:t>
      </w:r>
      <w:proofErr w:type="gramEnd"/>
    </w:p>
    <w:p w14:paraId="1EA410B9" w14:textId="77777777" w:rsidR="00A303B8" w:rsidRDefault="001F09BA" w:rsidP="00A303B8">
      <w:pPr>
        <w:pStyle w:val="ListParagraph"/>
        <w:numPr>
          <w:ilvl w:val="0"/>
          <w:numId w:val="33"/>
        </w:numPr>
        <w:spacing w:before="0" w:after="80" w:line="240" w:lineRule="auto"/>
        <w:rPr>
          <w:rFonts w:ascii="Book Antiqua" w:eastAsia="Times New Roman" w:hAnsi="Book Antiqua"/>
          <w:sz w:val="20"/>
          <w:szCs w:val="20"/>
          <w:lang w:eastAsia="en-AU"/>
        </w:rPr>
      </w:pPr>
      <w:r w:rsidRPr="0017666A">
        <w:rPr>
          <w:rFonts w:ascii="Book Antiqua" w:eastAsia="Times New Roman" w:hAnsi="Book Antiqua"/>
          <w:sz w:val="20"/>
          <w:szCs w:val="20"/>
          <w:lang w:eastAsia="en-AU"/>
        </w:rPr>
        <w:t xml:space="preserve">$17.3 million to continue funding programs that provide specialist health services and deliver better health outcomes for </w:t>
      </w:r>
      <w:proofErr w:type="gramStart"/>
      <w:r w:rsidRPr="0017666A">
        <w:rPr>
          <w:rFonts w:ascii="Book Antiqua" w:eastAsia="Times New Roman" w:hAnsi="Book Antiqua"/>
          <w:sz w:val="20"/>
          <w:szCs w:val="20"/>
          <w:lang w:eastAsia="en-AU"/>
        </w:rPr>
        <w:t>Australians</w:t>
      </w:r>
      <w:proofErr w:type="gramEnd"/>
    </w:p>
    <w:p w14:paraId="568E341A" w14:textId="21A40D35" w:rsidR="00A303B8" w:rsidRDefault="00A303B8" w:rsidP="00A303B8">
      <w:pPr>
        <w:pStyle w:val="ListParagraph"/>
        <w:numPr>
          <w:ilvl w:val="0"/>
          <w:numId w:val="33"/>
        </w:numPr>
        <w:spacing w:before="0" w:after="80" w:line="240" w:lineRule="auto"/>
        <w:rPr>
          <w:rFonts w:ascii="Book Antiqua" w:eastAsia="Times New Roman" w:hAnsi="Book Antiqua"/>
          <w:sz w:val="20"/>
          <w:szCs w:val="20"/>
          <w:lang w:eastAsia="en-AU"/>
        </w:rPr>
      </w:pPr>
      <w:r w:rsidRPr="00A303B8">
        <w:rPr>
          <w:rFonts w:ascii="Book Antiqua" w:eastAsia="Times New Roman" w:hAnsi="Book Antiqua"/>
          <w:sz w:val="20"/>
          <w:szCs w:val="20"/>
          <w:lang w:eastAsia="en-AU"/>
        </w:rPr>
        <w:t xml:space="preserve">$7.9 million to maintain high quality health care by ensuring the MBS remains clinically appropriate, including support to access MBS items for vestibular assessment, to detect residual disease in patients with acute lymphoblastic </w:t>
      </w:r>
      <w:proofErr w:type="spellStart"/>
      <w:r w:rsidRPr="00A303B8">
        <w:rPr>
          <w:rFonts w:ascii="Book Antiqua" w:eastAsia="Times New Roman" w:hAnsi="Book Antiqua"/>
          <w:sz w:val="20"/>
          <w:szCs w:val="20"/>
          <w:lang w:eastAsia="en-AU"/>
        </w:rPr>
        <w:t>leukaemia</w:t>
      </w:r>
      <w:proofErr w:type="spellEnd"/>
      <w:r w:rsidRPr="00A303B8">
        <w:rPr>
          <w:rFonts w:ascii="Book Antiqua" w:eastAsia="Times New Roman" w:hAnsi="Book Antiqua"/>
          <w:sz w:val="20"/>
          <w:szCs w:val="20"/>
          <w:lang w:eastAsia="en-AU"/>
        </w:rPr>
        <w:t xml:space="preserve">, and abdominal MRI scans for patients with rare genetic </w:t>
      </w:r>
      <w:proofErr w:type="gramStart"/>
      <w:r w:rsidRPr="00A303B8">
        <w:rPr>
          <w:rFonts w:ascii="Book Antiqua" w:eastAsia="Times New Roman" w:hAnsi="Book Antiqua"/>
          <w:sz w:val="20"/>
          <w:szCs w:val="20"/>
          <w:lang w:eastAsia="en-AU"/>
        </w:rPr>
        <w:t>conditions</w:t>
      </w:r>
      <w:proofErr w:type="gramEnd"/>
    </w:p>
    <w:p w14:paraId="330D556A" w14:textId="3956EB50" w:rsidR="001F09BA" w:rsidRPr="00A303B8" w:rsidRDefault="001F09BA" w:rsidP="00A303B8">
      <w:pPr>
        <w:pStyle w:val="ListParagraph"/>
        <w:numPr>
          <w:ilvl w:val="0"/>
          <w:numId w:val="33"/>
        </w:numPr>
        <w:spacing w:before="0" w:after="80" w:line="240" w:lineRule="auto"/>
        <w:rPr>
          <w:rFonts w:ascii="Book Antiqua" w:eastAsia="Times New Roman" w:hAnsi="Book Antiqua"/>
          <w:sz w:val="20"/>
          <w:szCs w:val="20"/>
          <w:lang w:eastAsia="en-AU"/>
        </w:rPr>
      </w:pPr>
      <w:r w:rsidRPr="00A303B8">
        <w:rPr>
          <w:rFonts w:ascii="Book Antiqua" w:eastAsia="Times New Roman" w:hAnsi="Book Antiqua"/>
          <w:sz w:val="20"/>
          <w:szCs w:val="20"/>
          <w:lang w:eastAsia="en-AU"/>
        </w:rPr>
        <w:lastRenderedPageBreak/>
        <w:t>$20.6</w:t>
      </w:r>
      <w:r w:rsidR="00662921" w:rsidRPr="00A303B8">
        <w:rPr>
          <w:rFonts w:ascii="Book Antiqua" w:eastAsia="Times New Roman" w:hAnsi="Book Antiqua"/>
          <w:sz w:val="20"/>
          <w:szCs w:val="20"/>
          <w:lang w:eastAsia="en-AU"/>
        </w:rPr>
        <w:t xml:space="preserve"> million</w:t>
      </w:r>
      <w:r w:rsidRPr="00A303B8">
        <w:rPr>
          <w:rFonts w:ascii="Book Antiqua" w:eastAsia="Times New Roman" w:hAnsi="Book Antiqua"/>
          <w:sz w:val="20"/>
          <w:szCs w:val="20"/>
          <w:lang w:eastAsia="en-AU"/>
        </w:rPr>
        <w:t xml:space="preserve"> in efficiencies through a staged approach to reform the Extended Medicare Safety Net, by applying caps to a small number of MBS items </w:t>
      </w:r>
      <w:r w:rsidR="00526635" w:rsidRPr="00A303B8">
        <w:rPr>
          <w:rFonts w:ascii="Book Antiqua" w:eastAsia="Times New Roman" w:hAnsi="Book Antiqua"/>
          <w:sz w:val="20"/>
          <w:szCs w:val="20"/>
          <w:lang w:eastAsia="en-AU"/>
        </w:rPr>
        <w:br/>
      </w:r>
      <w:r w:rsidRPr="00A303B8">
        <w:rPr>
          <w:rFonts w:ascii="Book Antiqua" w:eastAsia="Times New Roman" w:hAnsi="Book Antiqua"/>
          <w:sz w:val="20"/>
          <w:szCs w:val="20"/>
          <w:lang w:eastAsia="en-AU"/>
        </w:rPr>
        <w:t xml:space="preserve">co-claimed with varicose vein </w:t>
      </w:r>
      <w:proofErr w:type="gramStart"/>
      <w:r w:rsidRPr="00A303B8">
        <w:rPr>
          <w:rFonts w:ascii="Book Antiqua" w:eastAsia="Times New Roman" w:hAnsi="Book Antiqua"/>
          <w:sz w:val="20"/>
          <w:szCs w:val="20"/>
          <w:lang w:eastAsia="en-AU"/>
        </w:rPr>
        <w:t>surgery</w:t>
      </w:r>
      <w:proofErr w:type="gramEnd"/>
    </w:p>
    <w:p w14:paraId="21929DF3" w14:textId="77777777" w:rsidR="001F09BA" w:rsidRPr="0017666A" w:rsidRDefault="001F09BA" w:rsidP="001F09BA">
      <w:pPr>
        <w:pStyle w:val="ListParagraph"/>
        <w:numPr>
          <w:ilvl w:val="0"/>
          <w:numId w:val="33"/>
        </w:numPr>
        <w:spacing w:before="0" w:after="80" w:line="240" w:lineRule="auto"/>
        <w:rPr>
          <w:rFonts w:ascii="Book Antiqua" w:eastAsia="Times New Roman" w:hAnsi="Book Antiqua"/>
          <w:sz w:val="20"/>
          <w:szCs w:val="20"/>
          <w:lang w:eastAsia="en-AU"/>
        </w:rPr>
      </w:pPr>
      <w:r w:rsidRPr="0017666A">
        <w:rPr>
          <w:rFonts w:ascii="Book Antiqua" w:eastAsia="Times New Roman" w:hAnsi="Book Antiqua"/>
          <w:sz w:val="20"/>
          <w:szCs w:val="20"/>
          <w:lang w:eastAsia="en-AU"/>
        </w:rPr>
        <w:t xml:space="preserve">$7.2 million in efficiencies responding to the Medical Services Advisory Committee and MBS Review Taskforce’s recommendations to align the MBS with contemporary practice. </w:t>
      </w:r>
    </w:p>
    <w:p w14:paraId="10C22FF9" w14:textId="77777777" w:rsidR="001F09BA" w:rsidRPr="004E6313" w:rsidRDefault="001F09BA" w:rsidP="001F09BA">
      <w:pPr>
        <w:spacing w:after="80" w:line="240" w:lineRule="auto"/>
        <w:rPr>
          <w:rFonts w:ascii="Arial" w:hAnsi="Arial" w:cs="Arial"/>
          <w:i/>
          <w:sz w:val="20"/>
        </w:rPr>
      </w:pPr>
      <w:r w:rsidRPr="004E6313">
        <w:rPr>
          <w:rFonts w:ascii="Arial" w:hAnsi="Arial" w:cs="Arial"/>
          <w:i/>
          <w:sz w:val="20"/>
        </w:rPr>
        <w:t>Cheaper medicines and more affordable care</w:t>
      </w:r>
    </w:p>
    <w:p w14:paraId="04B71BE2" w14:textId="4E5AB093" w:rsidR="001F09BA" w:rsidRPr="0017666A" w:rsidRDefault="001F09BA" w:rsidP="00466FF6">
      <w:pPr>
        <w:pStyle w:val="Default"/>
        <w:spacing w:before="120" w:after="80"/>
        <w:rPr>
          <w:rFonts w:ascii="Book Antiqua" w:hAnsi="Book Antiqua"/>
          <w:color w:val="auto"/>
          <w:sz w:val="20"/>
          <w:szCs w:val="20"/>
        </w:rPr>
      </w:pPr>
      <w:r w:rsidRPr="0017666A">
        <w:rPr>
          <w:rFonts w:ascii="Book Antiqua" w:hAnsi="Book Antiqua"/>
          <w:color w:val="auto"/>
          <w:sz w:val="20"/>
          <w:szCs w:val="20"/>
        </w:rPr>
        <w:t xml:space="preserve">The Government remains committed to reducing barriers to accessing health care and cutting the cost of medicines, at a time when cost of living pressures are high. </w:t>
      </w:r>
      <w:r w:rsidR="0084001A">
        <w:rPr>
          <w:rFonts w:ascii="Book Antiqua" w:hAnsi="Book Antiqua"/>
          <w:color w:val="auto"/>
          <w:sz w:val="20"/>
          <w:szCs w:val="20"/>
        </w:rPr>
        <w:br/>
      </w:r>
      <w:r w:rsidRPr="0017666A">
        <w:rPr>
          <w:rFonts w:ascii="Book Antiqua" w:hAnsi="Book Antiqua"/>
          <w:color w:val="auto"/>
          <w:sz w:val="20"/>
          <w:szCs w:val="20"/>
        </w:rPr>
        <w:t xml:space="preserve">To ensure affordable access to medicines, </w:t>
      </w:r>
      <w:r w:rsidRPr="0017666A">
        <w:rPr>
          <w:rFonts w:ascii="Book Antiqua" w:eastAsia="Times New Roman" w:hAnsi="Book Antiqua"/>
          <w:color w:val="auto"/>
          <w:sz w:val="20"/>
          <w:szCs w:val="20"/>
          <w:lang w:eastAsia="en-AU"/>
        </w:rPr>
        <w:t>$3.5 billion over 5 years from 2022</w:t>
      </w:r>
      <w:r w:rsidR="0084001A">
        <w:rPr>
          <w:rFonts w:ascii="Book Antiqua" w:eastAsia="Times New Roman" w:hAnsi="Book Antiqua"/>
          <w:color w:val="auto"/>
          <w:sz w:val="20"/>
          <w:szCs w:val="20"/>
          <w:lang w:eastAsia="en-AU"/>
        </w:rPr>
        <w:t>–</w:t>
      </w:r>
      <w:r w:rsidRPr="0017666A">
        <w:rPr>
          <w:rFonts w:ascii="Book Antiqua" w:eastAsia="Times New Roman" w:hAnsi="Book Antiqua"/>
          <w:color w:val="auto"/>
          <w:sz w:val="20"/>
          <w:szCs w:val="20"/>
          <w:lang w:eastAsia="en-AU"/>
        </w:rPr>
        <w:t xml:space="preserve">23 will fund new and amended Pharmaceutical Benefits Scheme (PBS) listings, including treatments for chronic heart failure, breast cancer and diabetic kidney disease, and </w:t>
      </w:r>
      <w:r w:rsidRPr="0017666A">
        <w:rPr>
          <w:rFonts w:ascii="Book Antiqua" w:hAnsi="Book Antiqua"/>
          <w:color w:val="auto"/>
          <w:sz w:val="20"/>
          <w:szCs w:val="20"/>
        </w:rPr>
        <w:t xml:space="preserve">$3.8 million in transition arrangements will be provided for the </w:t>
      </w:r>
      <w:r w:rsidRPr="0017666A">
        <w:rPr>
          <w:rFonts w:ascii="Book Antiqua" w:hAnsi="Book Antiqua"/>
          <w:i/>
          <w:iCs/>
          <w:color w:val="auto"/>
          <w:sz w:val="20"/>
          <w:szCs w:val="20"/>
        </w:rPr>
        <w:t xml:space="preserve">Opioid Dependence Treatment Program </w:t>
      </w:r>
      <w:r w:rsidRPr="0017666A">
        <w:rPr>
          <w:rFonts w:ascii="Book Antiqua" w:hAnsi="Book Antiqua"/>
          <w:color w:val="auto"/>
          <w:sz w:val="20"/>
          <w:szCs w:val="20"/>
        </w:rPr>
        <w:t xml:space="preserve">from clinics and non-Pharmaceutical Benefits Scheme pharmacy dosing sites to community pharmacies. </w:t>
      </w:r>
    </w:p>
    <w:p w14:paraId="7FB557F5" w14:textId="5CF44DAB" w:rsidR="001F09BA" w:rsidRPr="0017666A" w:rsidRDefault="001F09BA" w:rsidP="001F09BA">
      <w:pPr>
        <w:pStyle w:val="Default"/>
        <w:spacing w:after="80"/>
        <w:rPr>
          <w:rFonts w:ascii="Book Antiqua" w:hAnsi="Book Antiqua"/>
          <w:color w:val="auto"/>
          <w:sz w:val="20"/>
          <w:szCs w:val="20"/>
        </w:rPr>
      </w:pPr>
      <w:r w:rsidRPr="0017666A">
        <w:rPr>
          <w:rFonts w:ascii="Book Antiqua" w:hAnsi="Book Antiqua"/>
          <w:color w:val="auto"/>
          <w:sz w:val="20"/>
          <w:szCs w:val="20"/>
        </w:rPr>
        <w:t xml:space="preserve">Community pharmacies in regional, </w:t>
      </w:r>
      <w:proofErr w:type="gramStart"/>
      <w:r w:rsidRPr="0017666A">
        <w:rPr>
          <w:rFonts w:ascii="Book Antiqua" w:hAnsi="Book Antiqua"/>
          <w:color w:val="auto"/>
          <w:sz w:val="20"/>
          <w:szCs w:val="20"/>
        </w:rPr>
        <w:t>rural</w:t>
      </w:r>
      <w:proofErr w:type="gramEnd"/>
      <w:r w:rsidRPr="0017666A">
        <w:rPr>
          <w:rFonts w:ascii="Book Antiqua" w:hAnsi="Book Antiqua"/>
          <w:color w:val="auto"/>
          <w:sz w:val="20"/>
          <w:szCs w:val="20"/>
        </w:rPr>
        <w:t xml:space="preserve"> and remote communities will be provided $168.2 million in assistance as they transition business arrangements for 60-day prescriptions. The Government will also delay the implementation of the PBS maximum dispensing quantity changes for medicines that are currently, or are expected to be, in shortage.</w:t>
      </w:r>
    </w:p>
    <w:p w14:paraId="6AFC4E4F" w14:textId="457400C4" w:rsidR="001F09BA" w:rsidRPr="0017666A" w:rsidRDefault="001F09BA" w:rsidP="001F09BA">
      <w:pPr>
        <w:pStyle w:val="Default"/>
        <w:spacing w:after="80"/>
        <w:rPr>
          <w:rFonts w:ascii="Book Antiqua" w:hAnsi="Book Antiqua"/>
          <w:color w:val="auto"/>
          <w:sz w:val="20"/>
          <w:szCs w:val="20"/>
        </w:rPr>
      </w:pPr>
      <w:r w:rsidRPr="0017666A">
        <w:rPr>
          <w:rFonts w:ascii="Book Antiqua" w:hAnsi="Book Antiqua"/>
          <w:color w:val="auto"/>
          <w:sz w:val="20"/>
          <w:szCs w:val="20"/>
        </w:rPr>
        <w:t xml:space="preserve">The Government will provide $389.2 million for new and amended listings on the </w:t>
      </w:r>
      <w:r w:rsidRPr="0017666A">
        <w:rPr>
          <w:rFonts w:ascii="Book Antiqua" w:hAnsi="Book Antiqua"/>
          <w:i/>
          <w:iCs/>
          <w:color w:val="auto"/>
          <w:sz w:val="20"/>
          <w:szCs w:val="20"/>
        </w:rPr>
        <w:t xml:space="preserve">National Immunisation Program </w:t>
      </w:r>
      <w:r w:rsidRPr="0017666A">
        <w:rPr>
          <w:rFonts w:ascii="Book Antiqua" w:hAnsi="Book Antiqua"/>
          <w:color w:val="auto"/>
          <w:sz w:val="20"/>
          <w:szCs w:val="20"/>
        </w:rPr>
        <w:t xml:space="preserve">and additional support to the Essential Vaccine Schedule including; $380.3 million to expand the eligibility of Shingrix® from 1 November 2023, for the prevention of shingles and postherpetic neuralgia, to people aged 65 years and over, First Nations people aged 50 years and over, and immunocompromised people aged 18 years and over; $5.8 million over </w:t>
      </w:r>
      <w:r w:rsidR="0084001A">
        <w:rPr>
          <w:rFonts w:ascii="Book Antiqua" w:hAnsi="Book Antiqua"/>
          <w:color w:val="auto"/>
          <w:sz w:val="20"/>
          <w:szCs w:val="20"/>
        </w:rPr>
        <w:t>4</w:t>
      </w:r>
      <w:r w:rsidR="0084001A" w:rsidRPr="0017666A">
        <w:rPr>
          <w:rFonts w:ascii="Book Antiqua" w:hAnsi="Book Antiqua"/>
          <w:color w:val="auto"/>
          <w:sz w:val="20"/>
          <w:szCs w:val="20"/>
        </w:rPr>
        <w:t xml:space="preserve"> </w:t>
      </w:r>
      <w:r w:rsidRPr="0017666A">
        <w:rPr>
          <w:rFonts w:ascii="Book Antiqua" w:hAnsi="Book Antiqua"/>
          <w:color w:val="auto"/>
          <w:sz w:val="20"/>
          <w:szCs w:val="20"/>
        </w:rPr>
        <w:t xml:space="preserve">years from 2023–24 to permanently extend catch up vaccinations of Bexsero® from 1 July 2024, for the prevention of meningococcal B for First Nations children aged under </w:t>
      </w:r>
      <w:r w:rsidR="0084001A">
        <w:rPr>
          <w:rFonts w:ascii="Book Antiqua" w:hAnsi="Book Antiqua"/>
          <w:color w:val="auto"/>
          <w:sz w:val="20"/>
          <w:szCs w:val="20"/>
        </w:rPr>
        <w:t>2</w:t>
      </w:r>
      <w:r w:rsidR="0084001A" w:rsidRPr="0017666A">
        <w:rPr>
          <w:rFonts w:ascii="Book Antiqua" w:hAnsi="Book Antiqua"/>
          <w:color w:val="auto"/>
          <w:sz w:val="20"/>
          <w:szCs w:val="20"/>
        </w:rPr>
        <w:t xml:space="preserve"> </w:t>
      </w:r>
      <w:r w:rsidRPr="0017666A">
        <w:rPr>
          <w:rFonts w:ascii="Book Antiqua" w:hAnsi="Book Antiqua"/>
          <w:color w:val="auto"/>
          <w:sz w:val="20"/>
          <w:szCs w:val="20"/>
        </w:rPr>
        <w:t xml:space="preserve">years; and $3.1 million over </w:t>
      </w:r>
      <w:r w:rsidR="00FF4CC5">
        <w:rPr>
          <w:rFonts w:ascii="Book Antiqua" w:hAnsi="Book Antiqua"/>
          <w:color w:val="auto"/>
          <w:sz w:val="20"/>
          <w:szCs w:val="20"/>
        </w:rPr>
        <w:t>4</w:t>
      </w:r>
      <w:r w:rsidR="00FF4CC5" w:rsidRPr="0017666A">
        <w:rPr>
          <w:rFonts w:ascii="Book Antiqua" w:hAnsi="Book Antiqua"/>
          <w:color w:val="auto"/>
          <w:sz w:val="20"/>
          <w:szCs w:val="20"/>
        </w:rPr>
        <w:t xml:space="preserve"> </w:t>
      </w:r>
      <w:r w:rsidRPr="0017666A">
        <w:rPr>
          <w:rFonts w:ascii="Book Antiqua" w:hAnsi="Book Antiqua"/>
          <w:color w:val="auto"/>
          <w:sz w:val="20"/>
          <w:szCs w:val="20"/>
        </w:rPr>
        <w:t xml:space="preserve">years to list Flucelvax® Quad from 1 March 2024, for the prevention of influenza. </w:t>
      </w:r>
    </w:p>
    <w:p w14:paraId="6C5513B9" w14:textId="77777777" w:rsidR="001F09BA" w:rsidRPr="002819E6" w:rsidRDefault="001F09BA" w:rsidP="001F09BA">
      <w:pPr>
        <w:spacing w:after="80" w:line="240" w:lineRule="auto"/>
        <w:rPr>
          <w:rFonts w:ascii="Arial" w:hAnsi="Arial" w:cs="Arial"/>
          <w:b/>
          <w:sz w:val="20"/>
        </w:rPr>
      </w:pPr>
      <w:r w:rsidRPr="002819E6">
        <w:rPr>
          <w:rFonts w:ascii="Arial" w:hAnsi="Arial" w:cs="Arial"/>
          <w:b/>
          <w:sz w:val="20"/>
        </w:rPr>
        <w:t xml:space="preserve">Safeguarding Australians through preventive health </w:t>
      </w:r>
    </w:p>
    <w:p w14:paraId="16E2971F" w14:textId="34A5C51D" w:rsidR="001F09BA" w:rsidRPr="0017666A" w:rsidRDefault="001F09BA" w:rsidP="00466FF6">
      <w:pPr>
        <w:spacing w:before="120" w:after="80" w:line="240" w:lineRule="auto"/>
        <w:rPr>
          <w:sz w:val="20"/>
        </w:rPr>
      </w:pPr>
      <w:r w:rsidRPr="0017666A">
        <w:rPr>
          <w:sz w:val="20"/>
        </w:rPr>
        <w:t xml:space="preserve">The Government is enhancing preventive health action, including investing </w:t>
      </w:r>
      <w:r w:rsidR="00FF4CC5">
        <w:rPr>
          <w:sz w:val="20"/>
        </w:rPr>
        <w:br/>
      </w:r>
      <w:r w:rsidRPr="0017666A">
        <w:rPr>
          <w:sz w:val="20"/>
        </w:rPr>
        <w:t xml:space="preserve">$184.9 million to extend funding for existing cancer initiatives and establish new cancer programs including a Cancer Nursing and Navigation Program, $48.2 million to implement the </w:t>
      </w:r>
      <w:r w:rsidRPr="0017666A">
        <w:rPr>
          <w:i/>
          <w:sz w:val="20"/>
        </w:rPr>
        <w:t>National Strategy for the Elimination of Cervical Cancer in Australia</w:t>
      </w:r>
      <w:r w:rsidRPr="0017666A">
        <w:rPr>
          <w:sz w:val="20"/>
        </w:rPr>
        <w:t xml:space="preserve">, </w:t>
      </w:r>
      <w:r w:rsidR="00FF4CC5">
        <w:rPr>
          <w:sz w:val="20"/>
        </w:rPr>
        <w:br/>
      </w:r>
      <w:r w:rsidRPr="0017666A">
        <w:rPr>
          <w:sz w:val="20"/>
        </w:rPr>
        <w:t xml:space="preserve">$4.47 million support the Channel 7 Telethon Trust (the Trust) to provide financial assistance to charitable organisations and children’s hospitals, and fund research into children’s diseases, and $5.5 million to extend the Australian </w:t>
      </w:r>
      <w:r w:rsidRPr="0017666A">
        <w:rPr>
          <w:i/>
          <w:sz w:val="20"/>
        </w:rPr>
        <w:t>Thalidomide Survivors Support Program</w:t>
      </w:r>
      <w:r w:rsidRPr="0017666A">
        <w:rPr>
          <w:sz w:val="20"/>
        </w:rPr>
        <w:t xml:space="preserve"> which provides a lifetime support package for registered Australian thalidomide survivors. </w:t>
      </w:r>
    </w:p>
    <w:p w14:paraId="0DCC3DEE" w14:textId="77777777" w:rsidR="001F09BA" w:rsidRPr="0017666A" w:rsidRDefault="001F09BA" w:rsidP="001F09BA">
      <w:pPr>
        <w:spacing w:after="80" w:line="240" w:lineRule="auto"/>
        <w:rPr>
          <w:sz w:val="20"/>
        </w:rPr>
      </w:pPr>
      <w:r w:rsidRPr="0017666A">
        <w:rPr>
          <w:sz w:val="20"/>
        </w:rPr>
        <w:lastRenderedPageBreak/>
        <w:t>Women and girls’ participation in sport will be supported through the $200 million investment in the Play Our Way program. Australian athletes will be assisted in their preparation and qualification for the Paris 2024 Olympic and Paralympic Games through the provision of $20.1 million to support national sporting organisations experiencing financial pressures due to increasing costs of international travel to attend qualifying events.</w:t>
      </w:r>
    </w:p>
    <w:p w14:paraId="6F7099BE" w14:textId="0CD95ADB" w:rsidR="001F09BA" w:rsidRPr="0017666A" w:rsidRDefault="001F09BA" w:rsidP="001F09BA">
      <w:pPr>
        <w:spacing w:after="80" w:line="240" w:lineRule="auto"/>
        <w:rPr>
          <w:sz w:val="20"/>
        </w:rPr>
      </w:pPr>
      <w:r w:rsidRPr="0017666A">
        <w:rPr>
          <w:sz w:val="20"/>
        </w:rPr>
        <w:t xml:space="preserve">The Government is delivering $392.5 million to continue the response to COVID-19 and provide Australians with COVID-19 vaccines and treatments. The Government is providing $6.5 million to extend the National COVID-19 Vaccine Program. </w:t>
      </w:r>
      <w:r w:rsidR="00FF4CC5">
        <w:rPr>
          <w:sz w:val="20"/>
        </w:rPr>
        <w:br/>
      </w:r>
      <w:r w:rsidRPr="0017666A">
        <w:rPr>
          <w:sz w:val="20"/>
        </w:rPr>
        <w:t xml:space="preserve">Additional funding of $317.4 million is being provided to continue assisting aged care providers in managing the effects of COVID-19. </w:t>
      </w:r>
    </w:p>
    <w:p w14:paraId="4DC6F666" w14:textId="77777777" w:rsidR="001F09BA" w:rsidRPr="002819E6" w:rsidRDefault="001F09BA" w:rsidP="0017123F">
      <w:pPr>
        <w:spacing w:after="80" w:line="240" w:lineRule="auto"/>
        <w:rPr>
          <w:rFonts w:ascii="Arial" w:hAnsi="Arial" w:cs="Arial"/>
          <w:b/>
          <w:sz w:val="20"/>
        </w:rPr>
      </w:pPr>
      <w:r w:rsidRPr="002819E6">
        <w:rPr>
          <w:rFonts w:ascii="Arial" w:hAnsi="Arial" w:cs="Arial"/>
          <w:b/>
          <w:sz w:val="20"/>
        </w:rPr>
        <w:t>Supporting the mental health of Australians</w:t>
      </w:r>
    </w:p>
    <w:p w14:paraId="64E781F1" w14:textId="77777777" w:rsidR="001F09BA" w:rsidRPr="0017666A" w:rsidRDefault="001F09BA" w:rsidP="0017123F">
      <w:pPr>
        <w:spacing w:before="120" w:after="80" w:line="240" w:lineRule="auto"/>
        <w:rPr>
          <w:sz w:val="20"/>
        </w:rPr>
      </w:pPr>
      <w:r w:rsidRPr="0017666A">
        <w:rPr>
          <w:sz w:val="20"/>
        </w:rPr>
        <w:t xml:space="preserve">The Government is committed to ensuring Australians can obtain the mental health support they need. Funding of $483.7 million is being provided to strengthen Australia’s mental health and suicide prevention system, including through the extension of funding for national crisis and support services Lifeline, Beyond Blue, Kids Helpline and 13YARN. A sector-led consortium will also develop a new national approach to help people navigate digital services to get the support they need for their level of distress. </w:t>
      </w:r>
    </w:p>
    <w:p w14:paraId="2070E10E" w14:textId="00EABED7" w:rsidR="001F09BA" w:rsidRPr="002819E6" w:rsidRDefault="001F09BA" w:rsidP="001F09BA">
      <w:pPr>
        <w:spacing w:after="80" w:line="240" w:lineRule="auto"/>
        <w:rPr>
          <w:sz w:val="20"/>
        </w:rPr>
      </w:pPr>
      <w:proofErr w:type="gramStart"/>
      <w:r w:rsidRPr="002819E6">
        <w:rPr>
          <w:rFonts w:ascii="Arial" w:hAnsi="Arial" w:cs="Arial"/>
          <w:b/>
          <w:sz w:val="20"/>
        </w:rPr>
        <w:t>Taking action</w:t>
      </w:r>
      <w:proofErr w:type="gramEnd"/>
      <w:r w:rsidRPr="002819E6">
        <w:rPr>
          <w:rFonts w:ascii="Arial" w:hAnsi="Arial" w:cs="Arial"/>
          <w:b/>
          <w:sz w:val="20"/>
        </w:rPr>
        <w:t xml:space="preserve"> on smoking and vaping</w:t>
      </w:r>
      <w:r w:rsidRPr="002819E6">
        <w:rPr>
          <w:sz w:val="20"/>
        </w:rPr>
        <w:t xml:space="preserve"> </w:t>
      </w:r>
    </w:p>
    <w:p w14:paraId="25769C25" w14:textId="0298C5E3" w:rsidR="001F09BA" w:rsidRPr="0017666A" w:rsidRDefault="001F09BA" w:rsidP="0017123F">
      <w:pPr>
        <w:spacing w:before="120" w:after="80" w:line="240" w:lineRule="auto"/>
        <w:rPr>
          <w:sz w:val="20"/>
        </w:rPr>
      </w:pPr>
      <w:r w:rsidRPr="0017666A">
        <w:rPr>
          <w:sz w:val="20"/>
        </w:rPr>
        <w:t>To protect Australians from the harms caused by vaping, t</w:t>
      </w:r>
      <w:r w:rsidR="00046FA2">
        <w:rPr>
          <w:sz w:val="20"/>
        </w:rPr>
        <w:t>he Government is providing $82</w:t>
      </w:r>
      <w:r w:rsidRPr="0017666A">
        <w:rPr>
          <w:sz w:val="20"/>
        </w:rPr>
        <w:t xml:space="preserve"> million to support vaping product regulation and enforcement activities. Alongside these measures, the Government is expanding and strengthening vaping and smoking cessation support services. The 2023</w:t>
      </w:r>
      <w:r w:rsidR="00FF4CC5">
        <w:rPr>
          <w:sz w:val="20"/>
        </w:rPr>
        <w:t>–</w:t>
      </w:r>
      <w:r w:rsidRPr="0017666A">
        <w:rPr>
          <w:sz w:val="20"/>
        </w:rPr>
        <w:t xml:space="preserve">24 Budget provided $29.5 million in funding to help Australians quit. In 2024, the Government will also continue to work with states and territories to end the sale of vapes in retail settings. </w:t>
      </w:r>
    </w:p>
    <w:p w14:paraId="52510AE9" w14:textId="77777777" w:rsidR="001F09BA" w:rsidRPr="002819E6" w:rsidRDefault="001F09BA" w:rsidP="001F09BA">
      <w:pPr>
        <w:spacing w:after="80" w:line="240" w:lineRule="auto"/>
        <w:rPr>
          <w:rFonts w:ascii="Arial" w:hAnsi="Arial" w:cs="Arial"/>
          <w:b/>
          <w:sz w:val="20"/>
        </w:rPr>
      </w:pPr>
      <w:r w:rsidRPr="002819E6">
        <w:rPr>
          <w:rFonts w:ascii="Arial" w:hAnsi="Arial" w:cs="Arial"/>
          <w:b/>
          <w:sz w:val="20"/>
        </w:rPr>
        <w:t xml:space="preserve">Restoring dignity to aged </w:t>
      </w:r>
      <w:proofErr w:type="gramStart"/>
      <w:r w:rsidRPr="002819E6">
        <w:rPr>
          <w:rFonts w:ascii="Arial" w:hAnsi="Arial" w:cs="Arial"/>
          <w:b/>
          <w:sz w:val="20"/>
        </w:rPr>
        <w:t>care</w:t>
      </w:r>
      <w:proofErr w:type="gramEnd"/>
    </w:p>
    <w:p w14:paraId="0A1C73D3" w14:textId="77777777" w:rsidR="001F09BA" w:rsidRPr="0017666A" w:rsidRDefault="001F09BA" w:rsidP="0017123F">
      <w:pPr>
        <w:pStyle w:val="Default"/>
        <w:spacing w:before="120" w:after="80"/>
        <w:rPr>
          <w:rFonts w:ascii="Book Antiqua" w:hAnsi="Book Antiqua"/>
          <w:color w:val="auto"/>
          <w:sz w:val="20"/>
          <w:szCs w:val="20"/>
        </w:rPr>
      </w:pPr>
      <w:r w:rsidRPr="0017666A">
        <w:rPr>
          <w:rFonts w:ascii="Book Antiqua" w:hAnsi="Book Antiqua"/>
          <w:color w:val="auto"/>
          <w:sz w:val="20"/>
          <w:szCs w:val="20"/>
        </w:rPr>
        <w:t>The Government will provide additional funding of $596.1 million to continue to respond to the recommendations of the Royal Commission into Aged Care Quality and Safety and improve care outcomes for older Australians. The investment includes funding for the implementation of the new Aged Care Act from 1 July 2024.</w:t>
      </w:r>
    </w:p>
    <w:p w14:paraId="00941DB4" w14:textId="28507D12" w:rsidR="001F09BA" w:rsidRPr="0017666A" w:rsidRDefault="001F09BA" w:rsidP="001F09BA">
      <w:pPr>
        <w:pStyle w:val="Default"/>
        <w:spacing w:after="80"/>
        <w:rPr>
          <w:rFonts w:ascii="Book Antiqua" w:hAnsi="Book Antiqua"/>
          <w:color w:val="auto"/>
          <w:sz w:val="20"/>
          <w:szCs w:val="20"/>
        </w:rPr>
      </w:pPr>
      <w:r w:rsidRPr="0017666A">
        <w:rPr>
          <w:rFonts w:ascii="Book Antiqua" w:hAnsi="Book Antiqua"/>
          <w:color w:val="auto"/>
          <w:sz w:val="20"/>
          <w:szCs w:val="20"/>
        </w:rPr>
        <w:t xml:space="preserve">The Government will commence the staged rollout of the </w:t>
      </w:r>
      <w:r w:rsidRPr="0017666A">
        <w:rPr>
          <w:rFonts w:ascii="Book Antiqua" w:hAnsi="Book Antiqua"/>
          <w:i/>
          <w:iCs/>
          <w:color w:val="auto"/>
          <w:sz w:val="20"/>
          <w:szCs w:val="20"/>
        </w:rPr>
        <w:t xml:space="preserve">Support at Home Program </w:t>
      </w:r>
      <w:r w:rsidRPr="0017666A">
        <w:rPr>
          <w:rFonts w:ascii="Book Antiqua" w:hAnsi="Book Antiqua"/>
          <w:color w:val="auto"/>
          <w:sz w:val="20"/>
          <w:szCs w:val="20"/>
        </w:rPr>
        <w:t xml:space="preserve">on </w:t>
      </w:r>
      <w:r w:rsidR="00FF4CC5">
        <w:rPr>
          <w:rFonts w:ascii="Book Antiqua" w:hAnsi="Book Antiqua"/>
          <w:color w:val="auto"/>
          <w:sz w:val="20"/>
          <w:szCs w:val="20"/>
        </w:rPr>
        <w:br/>
      </w:r>
      <w:r w:rsidRPr="0017666A">
        <w:rPr>
          <w:rFonts w:ascii="Book Antiqua" w:hAnsi="Book Antiqua"/>
          <w:color w:val="auto"/>
          <w:sz w:val="20"/>
          <w:szCs w:val="20"/>
        </w:rPr>
        <w:t xml:space="preserve">1 July 2025 with the </w:t>
      </w:r>
      <w:r w:rsidRPr="0017666A">
        <w:rPr>
          <w:rFonts w:ascii="Book Antiqua" w:hAnsi="Book Antiqua"/>
          <w:i/>
          <w:iCs/>
          <w:color w:val="auto"/>
          <w:sz w:val="20"/>
          <w:szCs w:val="20"/>
        </w:rPr>
        <w:t xml:space="preserve">Commonwealth Home Support Programme </w:t>
      </w:r>
      <w:r w:rsidRPr="0017666A">
        <w:rPr>
          <w:rFonts w:ascii="Book Antiqua" w:hAnsi="Book Antiqua"/>
          <w:color w:val="auto"/>
          <w:sz w:val="20"/>
          <w:szCs w:val="20"/>
        </w:rPr>
        <w:t>to be transitioned in no earlier than 1 July 2027. The Government will amend the start date and funding model for access to pharmacists on-site in residential aged care.</w:t>
      </w:r>
    </w:p>
    <w:p w14:paraId="4C0FE01D" w14:textId="78593995" w:rsidR="001F09BA" w:rsidRDefault="001F09BA" w:rsidP="00B51FDB">
      <w:pPr>
        <w:spacing w:after="120" w:line="240" w:lineRule="auto"/>
        <w:rPr>
          <w:sz w:val="20"/>
        </w:rPr>
      </w:pPr>
      <w:r w:rsidRPr="0017666A">
        <w:rPr>
          <w:sz w:val="20"/>
        </w:rPr>
        <w:t>To support the Government’s Care and Support Sector agenda and ensure sustainability of the workforce</w:t>
      </w:r>
      <w:r w:rsidR="00775F57">
        <w:rPr>
          <w:sz w:val="20"/>
        </w:rPr>
        <w:t>,</w:t>
      </w:r>
      <w:r w:rsidRPr="0017666A">
        <w:rPr>
          <w:sz w:val="20"/>
        </w:rPr>
        <w:t xml:space="preserve"> $2.4 million will fund activities to simplify and harmonise regulatory requirements on workers and care providers. Funding will also </w:t>
      </w:r>
      <w:r w:rsidRPr="0017666A">
        <w:rPr>
          <w:sz w:val="20"/>
        </w:rPr>
        <w:lastRenderedPageBreak/>
        <w:t xml:space="preserve">be provided to </w:t>
      </w:r>
      <w:r w:rsidR="00775F57">
        <w:rPr>
          <w:sz w:val="20"/>
        </w:rPr>
        <w:t>ensure</w:t>
      </w:r>
      <w:r w:rsidR="00775F57" w:rsidRPr="0017666A">
        <w:rPr>
          <w:sz w:val="20"/>
        </w:rPr>
        <w:t xml:space="preserve"> </w:t>
      </w:r>
      <w:r w:rsidRPr="0017666A">
        <w:rPr>
          <w:sz w:val="20"/>
        </w:rPr>
        <w:t>a more streamlined ICT experience for businesses providing care and support services in aged care.</w:t>
      </w:r>
    </w:p>
    <w:p w14:paraId="1202EFEF" w14:textId="77777777" w:rsidR="002819E6" w:rsidRPr="0017666A" w:rsidRDefault="002819E6" w:rsidP="00B51FDB">
      <w:pPr>
        <w:spacing w:after="120" w:line="240" w:lineRule="auto"/>
        <w:rPr>
          <w:sz w:val="20"/>
        </w:rPr>
      </w:pPr>
    </w:p>
    <w:p w14:paraId="46CCAF1F" w14:textId="791DB20F" w:rsidR="001F09BA" w:rsidRPr="00352548" w:rsidRDefault="00526635" w:rsidP="00352548">
      <w:pPr>
        <w:jc w:val="center"/>
        <w:rPr>
          <w:rFonts w:ascii="Arial" w:hAnsi="Arial" w:cs="Arial"/>
          <w:b/>
          <w:sz w:val="22"/>
          <w:szCs w:val="22"/>
          <w:u w:val="single"/>
        </w:rPr>
      </w:pPr>
      <w:r w:rsidRPr="00352548">
        <w:rPr>
          <w:rFonts w:ascii="Arial" w:hAnsi="Arial" w:cs="Arial"/>
          <w:b/>
          <w:sz w:val="22"/>
          <w:szCs w:val="22"/>
          <w:u w:val="single"/>
        </w:rPr>
        <w:t xml:space="preserve">Corrigendum to the </w:t>
      </w:r>
      <w:r w:rsidR="000E4453" w:rsidRPr="00352548">
        <w:rPr>
          <w:rFonts w:ascii="Arial" w:hAnsi="Arial" w:cs="Arial"/>
          <w:b/>
          <w:i/>
          <w:sz w:val="22"/>
          <w:szCs w:val="22"/>
          <w:u w:val="single"/>
        </w:rPr>
        <w:t xml:space="preserve">Health and Aged Care </w:t>
      </w:r>
      <w:r w:rsidR="00352548">
        <w:rPr>
          <w:rFonts w:ascii="Arial" w:hAnsi="Arial" w:cs="Arial"/>
          <w:b/>
          <w:i/>
          <w:sz w:val="22"/>
          <w:szCs w:val="22"/>
          <w:u w:val="single"/>
        </w:rPr>
        <w:br/>
      </w:r>
      <w:r w:rsidR="000E4453" w:rsidRPr="00352548">
        <w:rPr>
          <w:rFonts w:ascii="Arial" w:hAnsi="Arial" w:cs="Arial"/>
          <w:b/>
          <w:i/>
          <w:sz w:val="22"/>
          <w:szCs w:val="22"/>
          <w:u w:val="single"/>
        </w:rPr>
        <w:t>Portfolio Budget Statements</w:t>
      </w:r>
      <w:r w:rsidR="00775F57" w:rsidRPr="00352548">
        <w:rPr>
          <w:rFonts w:ascii="Arial" w:hAnsi="Arial" w:cs="Arial"/>
          <w:b/>
          <w:i/>
          <w:sz w:val="22"/>
          <w:szCs w:val="22"/>
          <w:u w:val="single"/>
        </w:rPr>
        <w:t xml:space="preserve"> 2023–24</w:t>
      </w:r>
    </w:p>
    <w:p w14:paraId="1BB66D13" w14:textId="424CA823" w:rsidR="00806D9D" w:rsidRPr="00B51FDB" w:rsidRDefault="000E4453" w:rsidP="00806D9D">
      <w:pPr>
        <w:rPr>
          <w:sz w:val="20"/>
        </w:rPr>
      </w:pPr>
      <w:r w:rsidRPr="00B51FDB">
        <w:rPr>
          <w:sz w:val="20"/>
        </w:rPr>
        <w:t xml:space="preserve">Corrections </w:t>
      </w:r>
      <w:r w:rsidR="00806D9D" w:rsidRPr="00B51FDB">
        <w:rPr>
          <w:sz w:val="20"/>
        </w:rPr>
        <w:t xml:space="preserve">have been made to the following sections only (page 19) of the </w:t>
      </w:r>
      <w:r w:rsidR="00352548">
        <w:rPr>
          <w:sz w:val="20"/>
        </w:rPr>
        <w:br/>
      </w:r>
      <w:r w:rsidR="00806D9D" w:rsidRPr="00B51FDB">
        <w:rPr>
          <w:sz w:val="20"/>
        </w:rPr>
        <w:t>2023</w:t>
      </w:r>
      <w:r w:rsidR="00806D9D" w:rsidRPr="00B51FDB">
        <w:rPr>
          <w:sz w:val="20"/>
        </w:rPr>
        <w:softHyphen/>
      </w:r>
      <w:r w:rsidR="00806D9D" w:rsidRPr="00B51FDB">
        <w:rPr>
          <w:sz w:val="20"/>
        </w:rPr>
        <w:softHyphen/>
        <w:t>–24 Health</w:t>
      </w:r>
      <w:r w:rsidR="001F09BA" w:rsidRPr="00B51FDB">
        <w:rPr>
          <w:sz w:val="20"/>
        </w:rPr>
        <w:t xml:space="preserve"> </w:t>
      </w:r>
      <w:r w:rsidR="00806D9D" w:rsidRPr="00B51FDB">
        <w:rPr>
          <w:sz w:val="20"/>
        </w:rPr>
        <w:t>and Aged Care Portfolio Budget Statements</w:t>
      </w:r>
      <w:r w:rsidR="00806D9D" w:rsidRPr="00B51FDB">
        <w:rPr>
          <w:rStyle w:val="FootnoteReference"/>
          <w:sz w:val="20"/>
        </w:rPr>
        <w:footnoteReference w:id="3"/>
      </w:r>
      <w:r w:rsidR="00806D9D" w:rsidRPr="00B51FDB">
        <w:rPr>
          <w:sz w:val="20"/>
        </w:rPr>
        <w:t>.</w:t>
      </w:r>
    </w:p>
    <w:p w14:paraId="408326CD" w14:textId="77777777" w:rsidR="00806D9D" w:rsidRPr="002819E6" w:rsidRDefault="00806D9D" w:rsidP="00806D9D">
      <w:pPr>
        <w:rPr>
          <w:rFonts w:ascii="Arial" w:hAnsi="Arial" w:cs="Arial"/>
          <w:b/>
          <w:sz w:val="20"/>
        </w:rPr>
      </w:pPr>
      <w:r w:rsidRPr="002819E6">
        <w:rPr>
          <w:rFonts w:ascii="Arial" w:hAnsi="Arial" w:cs="Arial"/>
          <w:b/>
          <w:sz w:val="20"/>
        </w:rPr>
        <w:t>Strengthening First Nations Health</w:t>
      </w:r>
    </w:p>
    <w:p w14:paraId="4D6E9C16" w14:textId="2BB80307" w:rsidR="002766AF" w:rsidRPr="00B51FDB" w:rsidRDefault="00806D9D" w:rsidP="00FA5D99">
      <w:pPr>
        <w:rPr>
          <w:sz w:val="20"/>
        </w:rPr>
      </w:pPr>
      <w:r w:rsidRPr="00B51FDB">
        <w:rPr>
          <w:sz w:val="20"/>
        </w:rPr>
        <w:t xml:space="preserve">The Government continues to invest in measures to close the gap in health and wellbeing outcomes for First Nations peoples. Building on the significant investment in the 2022–23 October Budget, this Budget invests $654.4 million in: early intervention and education programs to reduce smoking and vaping rates and to increase the uptake of regular health checks, preventive health measures to minimise the impacts of COVID-19 on First Nations people living in remote communities, along with measures to improve access to aged care, renal and cancer care services for First Nations peoples. This is the biggest ever investment in cancer screening, prevention, </w:t>
      </w:r>
      <w:proofErr w:type="gramStart"/>
      <w:r w:rsidRPr="00B51FDB">
        <w:rPr>
          <w:sz w:val="20"/>
        </w:rPr>
        <w:t>control</w:t>
      </w:r>
      <w:proofErr w:type="gramEnd"/>
      <w:r w:rsidRPr="00B51FDB">
        <w:rPr>
          <w:sz w:val="20"/>
        </w:rPr>
        <w:t xml:space="preserve"> and treatment for First Nations people in any budget.</w:t>
      </w:r>
    </w:p>
    <w:p w14:paraId="5EDEE5FB" w14:textId="77777777" w:rsidR="000E4453" w:rsidRPr="002819E6" w:rsidRDefault="000E4453" w:rsidP="000E4453">
      <w:pPr>
        <w:rPr>
          <w:rFonts w:ascii="Arial" w:hAnsi="Arial" w:cs="Arial"/>
          <w:b/>
          <w:sz w:val="20"/>
        </w:rPr>
      </w:pPr>
      <w:r w:rsidRPr="002819E6">
        <w:rPr>
          <w:rFonts w:ascii="Arial" w:hAnsi="Arial" w:cs="Arial"/>
          <w:b/>
          <w:sz w:val="20"/>
        </w:rPr>
        <w:t xml:space="preserve">Restoring dignity to aged </w:t>
      </w:r>
      <w:proofErr w:type="gramStart"/>
      <w:r w:rsidRPr="002819E6">
        <w:rPr>
          <w:rFonts w:ascii="Arial" w:hAnsi="Arial" w:cs="Arial"/>
          <w:b/>
          <w:sz w:val="20"/>
        </w:rPr>
        <w:t>care</w:t>
      </w:r>
      <w:proofErr w:type="gramEnd"/>
    </w:p>
    <w:p w14:paraId="2829A960" w14:textId="77777777" w:rsidR="000E4453" w:rsidRPr="00B51FDB" w:rsidRDefault="000E4453" w:rsidP="000E4453">
      <w:pPr>
        <w:spacing w:after="80"/>
        <w:rPr>
          <w:sz w:val="20"/>
        </w:rPr>
      </w:pPr>
      <w:r w:rsidRPr="00B51FDB">
        <w:rPr>
          <w:sz w:val="20"/>
        </w:rPr>
        <w:t>This Budget continues the Government’s commitment to restore dignity to aged care and ensure older Australians receive the care they need and deserve. The Government continues to address recommendations of the Royal Commission into Aged Care Quality and Safety.</w:t>
      </w:r>
    </w:p>
    <w:p w14:paraId="61537D86" w14:textId="77777777" w:rsidR="000E4453" w:rsidRPr="00B51FDB" w:rsidRDefault="000E4453" w:rsidP="000E4453">
      <w:pPr>
        <w:spacing w:after="80"/>
        <w:rPr>
          <w:sz w:val="20"/>
        </w:rPr>
      </w:pPr>
      <w:r w:rsidRPr="00B51FDB">
        <w:rPr>
          <w:sz w:val="20"/>
        </w:rPr>
        <w:t>The Budget includes funding of $11.3 billion to deliver the largest ever pay rise for aged care workers. Funding an award wage increase of 15% for the aged care workforce will recognise the value of care work and improve the quality of care by supporting the sector to recruit and retain staff.</w:t>
      </w:r>
    </w:p>
    <w:p w14:paraId="5B03599E" w14:textId="2D5D05E9" w:rsidR="002F104F" w:rsidRDefault="000E4453" w:rsidP="000E4453">
      <w:pPr>
        <w:rPr>
          <w:sz w:val="20"/>
        </w:rPr>
      </w:pPr>
      <w:r w:rsidRPr="00B51FDB">
        <w:rPr>
          <w:sz w:val="20"/>
        </w:rPr>
        <w:t>It also includes funding of $487.0 million to extend the Disability Support for Older Australians Program, $15.7 million to establish a new comprehensive single assessment system and $166.8 million for an additional 9,500 Home Care Packages. Additionally, the aged care regulatory framework will be strengthened with funding of $59.4 million.</w:t>
      </w:r>
    </w:p>
    <w:p w14:paraId="64B878C9" w14:textId="77777777" w:rsidR="002F104F" w:rsidRDefault="002F104F">
      <w:pPr>
        <w:spacing w:before="0" w:after="0" w:line="240" w:lineRule="auto"/>
        <w:rPr>
          <w:sz w:val="20"/>
        </w:rPr>
      </w:pPr>
      <w:r>
        <w:rPr>
          <w:sz w:val="20"/>
        </w:rPr>
        <w:br w:type="page"/>
      </w:r>
    </w:p>
    <w:p w14:paraId="6E3A1AA5" w14:textId="485A0C96" w:rsidR="00736DD8" w:rsidRPr="004928FF" w:rsidRDefault="008E7F4F" w:rsidP="00736DD8">
      <w:pPr>
        <w:pStyle w:val="Heading3"/>
      </w:pPr>
      <w:r w:rsidRPr="004B4E5C">
        <w:rPr>
          <w:rFonts w:cs="Arial"/>
          <w:b w:val="0"/>
          <w:szCs w:val="22"/>
        </w:rPr>
        <w:lastRenderedPageBreak/>
        <w:fldChar w:fldCharType="begin"/>
      </w:r>
      <w:r w:rsidRPr="004B4E5C">
        <w:rPr>
          <w:rFonts w:cs="Arial"/>
          <w:b w:val="0"/>
          <w:szCs w:val="22"/>
        </w:rPr>
        <w:instrText xml:space="preserve"> </w:instrText>
      </w:r>
      <w:proofErr w:type="gramStart"/>
      <w:r w:rsidRPr="004B4E5C">
        <w:rPr>
          <w:rFonts w:cs="Arial"/>
          <w:b w:val="0"/>
          <w:szCs w:val="22"/>
        </w:rPr>
        <w:instrText>TC  "</w:instrText>
      </w:r>
      <w:bookmarkStart w:id="191" w:name="_Toc155882366"/>
      <w:proofErr w:type="gramEnd"/>
      <w:r w:rsidRPr="004B4E5C">
        <w:rPr>
          <w:rFonts w:cs="Arial"/>
          <w:b w:val="0"/>
          <w:szCs w:val="22"/>
        </w:rPr>
        <w:instrText>1.</w:instrText>
      </w:r>
      <w:r>
        <w:rPr>
          <w:rFonts w:cs="Arial"/>
          <w:b w:val="0"/>
          <w:szCs w:val="22"/>
        </w:rPr>
        <w:instrText>2</w:instrText>
      </w:r>
      <w:r w:rsidRPr="004B4E5C">
        <w:rPr>
          <w:rFonts w:cs="Arial"/>
          <w:b w:val="0"/>
          <w:szCs w:val="22"/>
        </w:rPr>
        <w:tab/>
      </w:r>
      <w:r>
        <w:rPr>
          <w:rFonts w:cs="Arial"/>
          <w:b w:val="0"/>
          <w:szCs w:val="22"/>
        </w:rPr>
        <w:instrText>Entity resource</w:instrText>
      </w:r>
      <w:r w:rsidRPr="004B4E5C">
        <w:rPr>
          <w:rFonts w:cs="Arial"/>
          <w:b w:val="0"/>
          <w:szCs w:val="22"/>
        </w:rPr>
        <w:instrText xml:space="preserve"> statement</w:instrText>
      </w:r>
      <w:bookmarkEnd w:id="191"/>
      <w:r w:rsidRPr="004B4E5C">
        <w:rPr>
          <w:rFonts w:cs="Arial"/>
          <w:b w:val="0"/>
          <w:szCs w:val="22"/>
        </w:rPr>
        <w:instrText xml:space="preserve">" \f </w:instrText>
      </w:r>
      <w:proofErr w:type="spellStart"/>
      <w:r w:rsidRPr="004B4E5C">
        <w:rPr>
          <w:rFonts w:cs="Arial"/>
          <w:b w:val="0"/>
          <w:szCs w:val="22"/>
        </w:rPr>
        <w:instrText>dohac</w:instrText>
      </w:r>
      <w:proofErr w:type="spellEnd"/>
      <w:r w:rsidRPr="004B4E5C">
        <w:rPr>
          <w:rFonts w:cs="Arial"/>
          <w:b w:val="0"/>
          <w:szCs w:val="22"/>
        </w:rPr>
        <w:instrText xml:space="preserve"> \l 2 </w:instrText>
      </w:r>
      <w:r w:rsidRPr="004B4E5C">
        <w:rPr>
          <w:rFonts w:cs="Arial"/>
          <w:b w:val="0"/>
          <w:szCs w:val="22"/>
        </w:rPr>
        <w:fldChar w:fldCharType="end"/>
      </w:r>
      <w:bookmarkStart w:id="192" w:name="_Toc157591992"/>
      <w:bookmarkStart w:id="193" w:name="_Toc157592175"/>
      <w:r w:rsidR="00736DD8">
        <w:t>1.2</w:t>
      </w:r>
      <w:bookmarkEnd w:id="184"/>
      <w:r w:rsidR="00736DD8">
        <w:tab/>
      </w:r>
      <w:bookmarkStart w:id="194" w:name="_Toc490972403"/>
      <w:bookmarkStart w:id="195" w:name="_Toc491014620"/>
      <w:bookmarkStart w:id="196" w:name="_Toc491014762"/>
      <w:bookmarkStart w:id="197" w:name="_Toc491014942"/>
      <w:bookmarkStart w:id="198" w:name="_Toc491015089"/>
      <w:bookmarkStart w:id="199" w:name="_Toc491032105"/>
      <w:bookmarkEnd w:id="185"/>
      <w:bookmarkEnd w:id="186"/>
      <w:bookmarkEnd w:id="187"/>
      <w:r w:rsidR="00736DD8">
        <w:t>Entity resource statement</w:t>
      </w:r>
      <w:bookmarkEnd w:id="188"/>
      <w:bookmarkEnd w:id="189"/>
      <w:bookmarkEnd w:id="190"/>
      <w:bookmarkEnd w:id="192"/>
      <w:bookmarkEnd w:id="193"/>
    </w:p>
    <w:p w14:paraId="461D1298" w14:textId="5BFD27C4" w:rsidR="00736DD8" w:rsidRPr="0017666A" w:rsidRDefault="00736DD8" w:rsidP="00736DD8">
      <w:pPr>
        <w:rPr>
          <w:sz w:val="20"/>
        </w:rPr>
      </w:pPr>
      <w:r w:rsidRPr="0017666A">
        <w:rPr>
          <w:sz w:val="20"/>
        </w:rPr>
        <w:t xml:space="preserve">The </w:t>
      </w:r>
      <w:r w:rsidR="00574EE7">
        <w:rPr>
          <w:sz w:val="20"/>
        </w:rPr>
        <w:t>entity resource s</w:t>
      </w:r>
      <w:r w:rsidRPr="0017666A">
        <w:rPr>
          <w:sz w:val="20"/>
        </w:rPr>
        <w:t xml:space="preserve">tatement details the resourcing for </w:t>
      </w:r>
      <w:r w:rsidR="00AF1C3C" w:rsidRPr="0017666A">
        <w:rPr>
          <w:sz w:val="20"/>
        </w:rPr>
        <w:t xml:space="preserve">the Department of Health and Aged Care </w:t>
      </w:r>
      <w:r w:rsidRPr="0017666A">
        <w:rPr>
          <w:sz w:val="20"/>
        </w:rPr>
        <w:t xml:space="preserve">at Additional Estimates. Table 1.1 outlines the total resourcing available from all sources for the 2023–24 Budget year, including variations through Appropriation Bills </w:t>
      </w:r>
      <w:r w:rsidR="00574EE7">
        <w:rPr>
          <w:sz w:val="20"/>
        </w:rPr>
        <w:t>(</w:t>
      </w:r>
      <w:r w:rsidRPr="0017666A">
        <w:rPr>
          <w:sz w:val="20"/>
        </w:rPr>
        <w:t>No. 3 and No. 4</w:t>
      </w:r>
      <w:r w:rsidR="00574EE7">
        <w:rPr>
          <w:sz w:val="20"/>
        </w:rPr>
        <w:t>)</w:t>
      </w:r>
      <w:r w:rsidRPr="0017666A">
        <w:rPr>
          <w:i/>
          <w:sz w:val="20"/>
        </w:rPr>
        <w:t>,</w:t>
      </w:r>
      <w:r w:rsidRPr="0017666A">
        <w:rPr>
          <w:sz w:val="20"/>
        </w:rPr>
        <w:t xml:space="preserve"> Special Appropriations and Special Accounts. </w:t>
      </w:r>
    </w:p>
    <w:p w14:paraId="645F255D" w14:textId="77777777" w:rsidR="00736DD8" w:rsidRPr="0017666A" w:rsidRDefault="00736DD8" w:rsidP="00736DD8">
      <w:pPr>
        <w:rPr>
          <w:sz w:val="20"/>
        </w:rPr>
      </w:pPr>
      <w:r w:rsidRPr="0017666A">
        <w:rPr>
          <w:sz w:val="20"/>
        </w:rPr>
        <w:t xml:space="preserve">Amounts presented below are consistent with amounts presented in the Appropriation Bills themselves, and as published in appropriation notes to the 2022–23 financial statements. </w:t>
      </w:r>
    </w:p>
    <w:p w14:paraId="312939F3" w14:textId="4E2FE294" w:rsidR="00736DD8" w:rsidRDefault="00736DD8" w:rsidP="00736DD8">
      <w:pPr>
        <w:pStyle w:val="TableHeading"/>
      </w:pPr>
      <w:bookmarkStart w:id="200" w:name="OLE_LINK9"/>
      <w:r w:rsidRPr="00564C0F">
        <w:t xml:space="preserve">Table 1.1: </w:t>
      </w:r>
      <w:r w:rsidR="00CB40A9">
        <w:t>Department of Health and Aged Care</w:t>
      </w:r>
      <w:r w:rsidRPr="00564C0F">
        <w:t xml:space="preserve"> resource statement — Additional Estimates for </w:t>
      </w:r>
      <w:r>
        <w:t>2023–24</w:t>
      </w:r>
      <w:r w:rsidRPr="00564C0F">
        <w:t xml:space="preserve"> as </w:t>
      </w:r>
      <w:proofErr w:type="gramStart"/>
      <w:r w:rsidRPr="00564C0F">
        <w:t>at</w:t>
      </w:r>
      <w:proofErr w:type="gramEnd"/>
      <w:r w:rsidRPr="00564C0F">
        <w:t xml:space="preserve"> </w:t>
      </w:r>
      <w:r w:rsidRPr="00055E5F">
        <w:t xml:space="preserve">February </w:t>
      </w:r>
      <w:bookmarkEnd w:id="200"/>
      <w:r w:rsidRPr="00055E5F">
        <w:t>202</w:t>
      </w:r>
      <w:r>
        <w:t>4</w:t>
      </w:r>
    </w:p>
    <w:tbl>
      <w:tblPr>
        <w:tblW w:w="7711" w:type="dxa"/>
        <w:jc w:val="center"/>
        <w:tblLayout w:type="fixed"/>
        <w:tblLook w:val="04A0" w:firstRow="1" w:lastRow="0" w:firstColumn="1" w:lastColumn="0" w:noHBand="0" w:noVBand="1"/>
      </w:tblPr>
      <w:tblGrid>
        <w:gridCol w:w="3452"/>
        <w:gridCol w:w="1245"/>
        <w:gridCol w:w="1058"/>
        <w:gridCol w:w="1018"/>
        <w:gridCol w:w="938"/>
      </w:tblGrid>
      <w:tr w:rsidR="00D43F40" w:rsidRPr="00D43F40" w14:paraId="30A3D251" w14:textId="77777777" w:rsidTr="000D3AD4">
        <w:trPr>
          <w:trHeight w:val="765"/>
          <w:jc w:val="center"/>
        </w:trPr>
        <w:tc>
          <w:tcPr>
            <w:tcW w:w="3452" w:type="dxa"/>
            <w:tcBorders>
              <w:top w:val="single" w:sz="4" w:space="0" w:color="auto"/>
              <w:left w:val="nil"/>
              <w:bottom w:val="nil"/>
              <w:right w:val="nil"/>
            </w:tcBorders>
            <w:shd w:val="clear" w:color="auto" w:fill="auto"/>
            <w:vAlign w:val="bottom"/>
            <w:hideMark/>
          </w:tcPr>
          <w:p w14:paraId="7F9A231B" w14:textId="77777777" w:rsidR="00D43F40" w:rsidRPr="00D43F40" w:rsidRDefault="00D43F40" w:rsidP="000D3AD4">
            <w:pPr>
              <w:spacing w:before="24" w:after="0" w:line="240" w:lineRule="auto"/>
              <w:jc w:val="right"/>
              <w:rPr>
                <w:rFonts w:ascii="Arial" w:hAnsi="Arial" w:cs="Arial"/>
                <w:b/>
                <w:bCs/>
                <w:sz w:val="16"/>
                <w:szCs w:val="16"/>
              </w:rPr>
            </w:pPr>
            <w:r w:rsidRPr="00D43F40">
              <w:rPr>
                <w:rFonts w:ascii="Arial" w:hAnsi="Arial" w:cs="Arial"/>
                <w:b/>
                <w:bCs/>
                <w:sz w:val="16"/>
                <w:szCs w:val="16"/>
              </w:rPr>
              <w:t> </w:t>
            </w:r>
          </w:p>
        </w:tc>
        <w:tc>
          <w:tcPr>
            <w:tcW w:w="1245" w:type="dxa"/>
            <w:tcBorders>
              <w:top w:val="single" w:sz="4" w:space="0" w:color="auto"/>
              <w:left w:val="nil"/>
              <w:bottom w:val="single" w:sz="4" w:space="0" w:color="auto"/>
              <w:right w:val="nil"/>
            </w:tcBorders>
            <w:shd w:val="clear" w:color="auto" w:fill="auto"/>
            <w:tcMar>
              <w:left w:w="0" w:type="dxa"/>
            </w:tcMar>
            <w:vAlign w:val="bottom"/>
            <w:hideMark/>
          </w:tcPr>
          <w:p w14:paraId="5741D212" w14:textId="186347B5"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2022–</w:t>
            </w:r>
            <w:r w:rsidR="00D43F40" w:rsidRPr="00D43F40">
              <w:rPr>
                <w:rFonts w:ascii="Arial" w:hAnsi="Arial" w:cs="Arial"/>
                <w:b/>
                <w:bCs/>
                <w:sz w:val="16"/>
                <w:szCs w:val="16"/>
              </w:rPr>
              <w:t>23</w:t>
            </w:r>
            <w:r w:rsidR="00D43F40" w:rsidRPr="00D43F40">
              <w:rPr>
                <w:rFonts w:ascii="Arial" w:hAnsi="Arial" w:cs="Arial"/>
                <w:b/>
                <w:bCs/>
                <w:sz w:val="16"/>
                <w:szCs w:val="16"/>
              </w:rPr>
              <w:br/>
              <w:t xml:space="preserve">Total </w:t>
            </w:r>
            <w:r w:rsidR="00D43F40" w:rsidRPr="00D43F40">
              <w:rPr>
                <w:rFonts w:ascii="Arial" w:hAnsi="Arial" w:cs="Arial"/>
                <w:b/>
                <w:bCs/>
                <w:sz w:val="16"/>
                <w:szCs w:val="16"/>
              </w:rPr>
              <w:br/>
              <w:t>available</w:t>
            </w:r>
            <w:r w:rsidR="00D43F40" w:rsidRPr="00D43F40">
              <w:rPr>
                <w:rFonts w:ascii="Arial" w:hAnsi="Arial" w:cs="Arial"/>
                <w:b/>
                <w:bCs/>
                <w:sz w:val="16"/>
                <w:szCs w:val="16"/>
              </w:rPr>
              <w:br/>
              <w:t>appropriation</w:t>
            </w:r>
            <w:r w:rsidR="00D43F40" w:rsidRPr="00D43F40">
              <w:rPr>
                <w:rFonts w:ascii="Arial" w:hAnsi="Arial" w:cs="Arial"/>
                <w:b/>
                <w:bCs/>
                <w:sz w:val="16"/>
                <w:szCs w:val="16"/>
              </w:rPr>
              <w:br/>
            </w:r>
            <w:r w:rsidR="00D43F40" w:rsidRPr="00D43F40">
              <w:rPr>
                <w:rFonts w:ascii="Arial" w:hAnsi="Arial" w:cs="Arial"/>
                <w:sz w:val="16"/>
                <w:szCs w:val="16"/>
              </w:rPr>
              <w:t>$'000</w:t>
            </w:r>
          </w:p>
        </w:tc>
        <w:tc>
          <w:tcPr>
            <w:tcW w:w="1058" w:type="dxa"/>
            <w:tcBorders>
              <w:top w:val="single" w:sz="4" w:space="0" w:color="auto"/>
              <w:left w:val="nil"/>
              <w:bottom w:val="single" w:sz="4" w:space="0" w:color="auto"/>
              <w:right w:val="nil"/>
            </w:tcBorders>
            <w:shd w:val="clear" w:color="auto" w:fill="auto"/>
            <w:tcMar>
              <w:left w:w="0" w:type="dxa"/>
            </w:tcMar>
            <w:vAlign w:val="bottom"/>
            <w:hideMark/>
          </w:tcPr>
          <w:p w14:paraId="1324E1C5" w14:textId="6937938D" w:rsidR="00D43F40" w:rsidRPr="00D43F40" w:rsidRDefault="00D43F40" w:rsidP="000D3AD4">
            <w:pPr>
              <w:spacing w:before="24" w:after="0" w:line="240" w:lineRule="auto"/>
              <w:jc w:val="right"/>
              <w:rPr>
                <w:rFonts w:ascii="Arial" w:hAnsi="Arial" w:cs="Arial"/>
                <w:b/>
                <w:bCs/>
                <w:sz w:val="16"/>
                <w:szCs w:val="16"/>
              </w:rPr>
            </w:pPr>
            <w:r w:rsidRPr="00D43F40">
              <w:rPr>
                <w:rFonts w:ascii="Arial" w:hAnsi="Arial" w:cs="Arial"/>
                <w:b/>
                <w:bCs/>
                <w:sz w:val="16"/>
                <w:szCs w:val="16"/>
              </w:rPr>
              <w:t>2023</w:t>
            </w:r>
            <w:r w:rsidR="000D3AD4">
              <w:rPr>
                <w:rFonts w:ascii="Arial" w:hAnsi="Arial" w:cs="Arial"/>
                <w:b/>
                <w:bCs/>
                <w:sz w:val="16"/>
                <w:szCs w:val="16"/>
              </w:rPr>
              <w:t>–</w:t>
            </w:r>
            <w:r w:rsidRPr="00D43F40">
              <w:rPr>
                <w:rFonts w:ascii="Arial" w:hAnsi="Arial" w:cs="Arial"/>
                <w:b/>
                <w:bCs/>
                <w:sz w:val="16"/>
                <w:szCs w:val="16"/>
              </w:rPr>
              <w:t>24</w:t>
            </w:r>
            <w:r w:rsidRPr="00D43F40">
              <w:rPr>
                <w:rFonts w:ascii="Arial" w:hAnsi="Arial" w:cs="Arial"/>
                <w:b/>
                <w:bCs/>
                <w:sz w:val="16"/>
                <w:szCs w:val="16"/>
              </w:rPr>
              <w:br/>
              <w:t>Estimate as</w:t>
            </w:r>
            <w:r w:rsidRPr="00D43F40">
              <w:rPr>
                <w:rFonts w:ascii="Arial" w:hAnsi="Arial" w:cs="Arial"/>
                <w:b/>
                <w:bCs/>
                <w:sz w:val="16"/>
                <w:szCs w:val="16"/>
              </w:rPr>
              <w:br/>
              <w:t>at Budget</w:t>
            </w:r>
            <w:r w:rsidRPr="00D43F40">
              <w:rPr>
                <w:rFonts w:ascii="Arial" w:hAnsi="Arial" w:cs="Arial"/>
                <w:b/>
                <w:bCs/>
                <w:sz w:val="16"/>
                <w:szCs w:val="16"/>
              </w:rPr>
              <w:br/>
            </w:r>
            <w:r w:rsidRPr="00D43F40">
              <w:rPr>
                <w:rFonts w:ascii="Arial" w:hAnsi="Arial" w:cs="Arial"/>
                <w:b/>
                <w:bCs/>
                <w:sz w:val="16"/>
                <w:szCs w:val="16"/>
              </w:rPr>
              <w:br/>
            </w:r>
            <w:r w:rsidRPr="00D43F40">
              <w:rPr>
                <w:rFonts w:ascii="Arial" w:hAnsi="Arial" w:cs="Arial"/>
                <w:sz w:val="16"/>
                <w:szCs w:val="16"/>
              </w:rPr>
              <w:t>$'000</w:t>
            </w:r>
          </w:p>
        </w:tc>
        <w:tc>
          <w:tcPr>
            <w:tcW w:w="1018" w:type="dxa"/>
            <w:tcBorders>
              <w:top w:val="single" w:sz="4" w:space="0" w:color="auto"/>
              <w:left w:val="nil"/>
              <w:bottom w:val="single" w:sz="4" w:space="0" w:color="auto"/>
              <w:right w:val="nil"/>
            </w:tcBorders>
            <w:shd w:val="clear" w:color="000000" w:fill="D9D9D9"/>
            <w:vAlign w:val="bottom"/>
            <w:hideMark/>
          </w:tcPr>
          <w:p w14:paraId="08F60542" w14:textId="2CBF6596" w:rsidR="00D43F40" w:rsidRPr="00D43F40" w:rsidRDefault="00D43F40" w:rsidP="000D3AD4">
            <w:pPr>
              <w:spacing w:before="24" w:after="0" w:line="240" w:lineRule="auto"/>
              <w:jc w:val="right"/>
              <w:rPr>
                <w:rFonts w:ascii="Arial" w:hAnsi="Arial" w:cs="Arial"/>
                <w:b/>
                <w:bCs/>
                <w:sz w:val="16"/>
                <w:szCs w:val="16"/>
              </w:rPr>
            </w:pPr>
            <w:r w:rsidRPr="00D43F40">
              <w:rPr>
                <w:rFonts w:ascii="Arial" w:hAnsi="Arial" w:cs="Arial"/>
                <w:b/>
                <w:bCs/>
                <w:sz w:val="16"/>
                <w:szCs w:val="16"/>
              </w:rPr>
              <w:t>2</w:t>
            </w:r>
            <w:r w:rsidR="000D3AD4">
              <w:rPr>
                <w:rFonts w:ascii="Arial" w:hAnsi="Arial" w:cs="Arial"/>
                <w:b/>
                <w:bCs/>
                <w:sz w:val="16"/>
                <w:szCs w:val="16"/>
              </w:rPr>
              <w:t>023–</w:t>
            </w:r>
            <w:r w:rsidRPr="00D43F40">
              <w:rPr>
                <w:rFonts w:ascii="Arial" w:hAnsi="Arial" w:cs="Arial"/>
                <w:b/>
                <w:bCs/>
                <w:sz w:val="16"/>
                <w:szCs w:val="16"/>
              </w:rPr>
              <w:t>24</w:t>
            </w:r>
            <w:r w:rsidRPr="00D43F40">
              <w:rPr>
                <w:rFonts w:ascii="Arial" w:hAnsi="Arial" w:cs="Arial"/>
                <w:b/>
                <w:bCs/>
                <w:sz w:val="16"/>
                <w:szCs w:val="16"/>
              </w:rPr>
              <w:br/>
              <w:t>Proposed</w:t>
            </w:r>
            <w:r w:rsidRPr="00D43F40">
              <w:rPr>
                <w:rFonts w:ascii="Arial" w:hAnsi="Arial" w:cs="Arial"/>
                <w:b/>
                <w:bCs/>
                <w:sz w:val="16"/>
                <w:szCs w:val="16"/>
              </w:rPr>
              <w:br/>
              <w:t>Additional</w:t>
            </w:r>
            <w:r w:rsidRPr="00D43F40">
              <w:rPr>
                <w:rFonts w:ascii="Arial" w:hAnsi="Arial" w:cs="Arial"/>
                <w:b/>
                <w:bCs/>
                <w:sz w:val="16"/>
                <w:szCs w:val="16"/>
              </w:rPr>
              <w:br/>
              <w:t>Estimates</w:t>
            </w:r>
            <w:r w:rsidRPr="00D43F40">
              <w:rPr>
                <w:rFonts w:ascii="Arial" w:hAnsi="Arial" w:cs="Arial"/>
                <w:b/>
                <w:bCs/>
                <w:sz w:val="16"/>
                <w:szCs w:val="16"/>
              </w:rPr>
              <w:br/>
            </w:r>
            <w:r w:rsidRPr="00D43F40">
              <w:rPr>
                <w:rFonts w:ascii="Arial" w:hAnsi="Arial" w:cs="Arial"/>
                <w:sz w:val="16"/>
                <w:szCs w:val="16"/>
              </w:rPr>
              <w:t>$'000</w:t>
            </w:r>
          </w:p>
        </w:tc>
        <w:tc>
          <w:tcPr>
            <w:tcW w:w="938" w:type="dxa"/>
            <w:tcBorders>
              <w:top w:val="single" w:sz="4" w:space="0" w:color="auto"/>
              <w:left w:val="nil"/>
              <w:bottom w:val="single" w:sz="4" w:space="0" w:color="auto"/>
              <w:right w:val="nil"/>
            </w:tcBorders>
            <w:shd w:val="clear" w:color="auto" w:fill="auto"/>
            <w:vAlign w:val="bottom"/>
            <w:hideMark/>
          </w:tcPr>
          <w:p w14:paraId="61345B6A" w14:textId="0478FD18"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2023–</w:t>
            </w:r>
            <w:r w:rsidR="00D43F40" w:rsidRPr="00D43F40">
              <w:rPr>
                <w:rFonts w:ascii="Arial" w:hAnsi="Arial" w:cs="Arial"/>
                <w:b/>
                <w:bCs/>
                <w:sz w:val="16"/>
                <w:szCs w:val="16"/>
              </w:rPr>
              <w:t>24</w:t>
            </w:r>
            <w:r w:rsidR="00D43F40" w:rsidRPr="00D43F40">
              <w:rPr>
                <w:rFonts w:ascii="Arial" w:hAnsi="Arial" w:cs="Arial"/>
                <w:b/>
                <w:bCs/>
                <w:sz w:val="16"/>
                <w:szCs w:val="16"/>
              </w:rPr>
              <w:br/>
              <w:t>Total</w:t>
            </w:r>
            <w:r w:rsidR="00D43F40" w:rsidRPr="00D43F40">
              <w:rPr>
                <w:rFonts w:ascii="Arial" w:hAnsi="Arial" w:cs="Arial"/>
                <w:b/>
                <w:bCs/>
                <w:sz w:val="16"/>
                <w:szCs w:val="16"/>
              </w:rPr>
              <w:br/>
              <w:t>Estimate</w:t>
            </w:r>
            <w:r w:rsidR="00D43F40" w:rsidRPr="00D43F40">
              <w:rPr>
                <w:rFonts w:ascii="Arial" w:hAnsi="Arial" w:cs="Arial"/>
                <w:b/>
                <w:bCs/>
                <w:sz w:val="16"/>
                <w:szCs w:val="16"/>
              </w:rPr>
              <w:br/>
              <w:t>at AEs</w:t>
            </w:r>
            <w:r w:rsidR="00D43F40" w:rsidRPr="00D43F40">
              <w:rPr>
                <w:rFonts w:ascii="Arial" w:hAnsi="Arial" w:cs="Arial"/>
                <w:b/>
                <w:bCs/>
                <w:sz w:val="16"/>
                <w:szCs w:val="16"/>
              </w:rPr>
              <w:br/>
            </w:r>
            <w:r w:rsidR="00D43F40" w:rsidRPr="00D43F40">
              <w:rPr>
                <w:rFonts w:ascii="Arial" w:hAnsi="Arial" w:cs="Arial"/>
                <w:sz w:val="16"/>
                <w:szCs w:val="16"/>
              </w:rPr>
              <w:t>$'000</w:t>
            </w:r>
          </w:p>
        </w:tc>
      </w:tr>
      <w:tr w:rsidR="00D43F40" w:rsidRPr="00D43F40" w14:paraId="37176C31" w14:textId="77777777" w:rsidTr="009D6B5D">
        <w:trPr>
          <w:trHeight w:val="227"/>
          <w:jc w:val="center"/>
        </w:trPr>
        <w:tc>
          <w:tcPr>
            <w:tcW w:w="3452" w:type="dxa"/>
            <w:tcBorders>
              <w:top w:val="nil"/>
              <w:left w:val="nil"/>
              <w:bottom w:val="nil"/>
              <w:right w:val="nil"/>
            </w:tcBorders>
            <w:shd w:val="clear" w:color="auto" w:fill="auto"/>
            <w:noWrap/>
            <w:vAlign w:val="bottom"/>
            <w:hideMark/>
          </w:tcPr>
          <w:p w14:paraId="17C83AFB"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DEPARTMENTAL</w:t>
            </w:r>
          </w:p>
        </w:tc>
        <w:tc>
          <w:tcPr>
            <w:tcW w:w="1245" w:type="dxa"/>
            <w:tcBorders>
              <w:top w:val="nil"/>
              <w:left w:val="nil"/>
              <w:bottom w:val="nil"/>
              <w:right w:val="nil"/>
            </w:tcBorders>
            <w:shd w:val="clear" w:color="auto" w:fill="auto"/>
            <w:vAlign w:val="bottom"/>
            <w:hideMark/>
          </w:tcPr>
          <w:p w14:paraId="778B6295" w14:textId="77777777" w:rsidR="00D43F40" w:rsidRPr="00D43F40" w:rsidRDefault="00D43F40" w:rsidP="00D43F40">
            <w:pPr>
              <w:spacing w:before="0"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3951DF32" w14:textId="77777777" w:rsidR="00D43F40" w:rsidRPr="00D43F40" w:rsidRDefault="00D43F40" w:rsidP="00D43F40">
            <w:pPr>
              <w:spacing w:before="0" w:after="0" w:line="240" w:lineRule="auto"/>
              <w:jc w:val="right"/>
              <w:rPr>
                <w:rFonts w:ascii="Arial" w:hAnsi="Arial" w:cs="Arial"/>
                <w:sz w:val="16"/>
                <w:szCs w:val="16"/>
              </w:rPr>
            </w:pPr>
          </w:p>
        </w:tc>
        <w:tc>
          <w:tcPr>
            <w:tcW w:w="1018" w:type="dxa"/>
            <w:tcBorders>
              <w:top w:val="nil"/>
              <w:left w:val="nil"/>
              <w:bottom w:val="nil"/>
              <w:right w:val="nil"/>
            </w:tcBorders>
            <w:shd w:val="clear" w:color="000000" w:fill="D9D9D9"/>
            <w:noWrap/>
            <w:vAlign w:val="bottom"/>
            <w:hideMark/>
          </w:tcPr>
          <w:p w14:paraId="14EC5EC1" w14:textId="77777777" w:rsidR="00D43F40" w:rsidRPr="00D43F40" w:rsidRDefault="00D43F40" w:rsidP="00D43F40">
            <w:pPr>
              <w:spacing w:before="0" w:after="0" w:line="240" w:lineRule="auto"/>
              <w:jc w:val="right"/>
              <w:rPr>
                <w:rFonts w:ascii="Arial" w:hAnsi="Arial" w:cs="Arial"/>
                <w:sz w:val="16"/>
                <w:szCs w:val="16"/>
              </w:rPr>
            </w:pPr>
          </w:p>
        </w:tc>
        <w:tc>
          <w:tcPr>
            <w:tcW w:w="938" w:type="dxa"/>
            <w:tcBorders>
              <w:top w:val="nil"/>
              <w:left w:val="nil"/>
              <w:bottom w:val="nil"/>
              <w:right w:val="nil"/>
            </w:tcBorders>
            <w:shd w:val="clear" w:color="auto" w:fill="auto"/>
            <w:vAlign w:val="bottom"/>
            <w:hideMark/>
          </w:tcPr>
          <w:p w14:paraId="4AFBC092"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07F6B9F3"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189E74C3"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Prior year appropriation available</w:t>
            </w:r>
            <w:r w:rsidRPr="00D43F40">
              <w:rPr>
                <w:rFonts w:ascii="Arial" w:hAnsi="Arial" w:cs="Arial"/>
                <w:sz w:val="16"/>
                <w:szCs w:val="16"/>
                <w:vertAlign w:val="superscript"/>
              </w:rPr>
              <w:t xml:space="preserve"> (a) (b)</w:t>
            </w:r>
          </w:p>
        </w:tc>
        <w:tc>
          <w:tcPr>
            <w:tcW w:w="1245" w:type="dxa"/>
            <w:tcBorders>
              <w:top w:val="nil"/>
              <w:left w:val="nil"/>
              <w:bottom w:val="nil"/>
              <w:right w:val="nil"/>
            </w:tcBorders>
            <w:shd w:val="clear" w:color="auto" w:fill="auto"/>
            <w:noWrap/>
            <w:vAlign w:val="bottom"/>
            <w:hideMark/>
          </w:tcPr>
          <w:p w14:paraId="11F211F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167,923</w:t>
            </w:r>
          </w:p>
        </w:tc>
        <w:tc>
          <w:tcPr>
            <w:tcW w:w="1058" w:type="dxa"/>
            <w:tcBorders>
              <w:top w:val="nil"/>
              <w:left w:val="nil"/>
              <w:bottom w:val="nil"/>
              <w:right w:val="nil"/>
            </w:tcBorders>
            <w:shd w:val="clear" w:color="auto" w:fill="auto"/>
            <w:noWrap/>
            <w:vAlign w:val="bottom"/>
            <w:hideMark/>
          </w:tcPr>
          <w:p w14:paraId="0EA8024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167,923</w:t>
            </w:r>
          </w:p>
        </w:tc>
        <w:tc>
          <w:tcPr>
            <w:tcW w:w="1018" w:type="dxa"/>
            <w:tcBorders>
              <w:top w:val="nil"/>
              <w:left w:val="nil"/>
              <w:bottom w:val="nil"/>
              <w:right w:val="nil"/>
            </w:tcBorders>
            <w:shd w:val="clear" w:color="000000" w:fill="D9D9D9"/>
            <w:noWrap/>
            <w:vAlign w:val="bottom"/>
            <w:hideMark/>
          </w:tcPr>
          <w:p w14:paraId="5E6B431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w:t>
            </w:r>
          </w:p>
        </w:tc>
        <w:tc>
          <w:tcPr>
            <w:tcW w:w="938" w:type="dxa"/>
            <w:tcBorders>
              <w:top w:val="nil"/>
              <w:left w:val="nil"/>
              <w:bottom w:val="nil"/>
              <w:right w:val="nil"/>
            </w:tcBorders>
            <w:shd w:val="clear" w:color="auto" w:fill="auto"/>
            <w:noWrap/>
            <w:vAlign w:val="bottom"/>
            <w:hideMark/>
          </w:tcPr>
          <w:p w14:paraId="53F8B9A4"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167,923</w:t>
            </w:r>
          </w:p>
        </w:tc>
      </w:tr>
      <w:tr w:rsidR="00D43F40" w:rsidRPr="00D43F40" w14:paraId="73EA8531" w14:textId="77777777" w:rsidTr="00E4631A">
        <w:trPr>
          <w:trHeight w:val="283"/>
          <w:jc w:val="center"/>
        </w:trPr>
        <w:tc>
          <w:tcPr>
            <w:tcW w:w="3452" w:type="dxa"/>
            <w:tcBorders>
              <w:top w:val="nil"/>
              <w:left w:val="nil"/>
              <w:bottom w:val="nil"/>
              <w:right w:val="nil"/>
            </w:tcBorders>
            <w:shd w:val="clear" w:color="auto" w:fill="auto"/>
            <w:noWrap/>
            <w:vAlign w:val="bottom"/>
            <w:hideMark/>
          </w:tcPr>
          <w:p w14:paraId="1F484BF0"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Annual appropriations</w:t>
            </w:r>
          </w:p>
        </w:tc>
        <w:tc>
          <w:tcPr>
            <w:tcW w:w="1245" w:type="dxa"/>
            <w:tcBorders>
              <w:top w:val="nil"/>
              <w:left w:val="nil"/>
              <w:bottom w:val="nil"/>
              <w:right w:val="nil"/>
            </w:tcBorders>
            <w:shd w:val="clear" w:color="auto" w:fill="auto"/>
            <w:noWrap/>
            <w:vAlign w:val="bottom"/>
            <w:hideMark/>
          </w:tcPr>
          <w:p w14:paraId="3395F38E" w14:textId="77777777" w:rsidR="00D43F40" w:rsidRPr="00D43F40" w:rsidRDefault="00D43F40" w:rsidP="00D43F40">
            <w:pPr>
              <w:spacing w:before="0" w:after="0" w:line="240" w:lineRule="auto"/>
              <w:rPr>
                <w:rFonts w:ascii="Arial" w:hAnsi="Arial" w:cs="Arial"/>
                <w:b/>
                <w:bCs/>
                <w:sz w:val="16"/>
                <w:szCs w:val="16"/>
              </w:rPr>
            </w:pPr>
          </w:p>
        </w:tc>
        <w:tc>
          <w:tcPr>
            <w:tcW w:w="1058" w:type="dxa"/>
            <w:tcBorders>
              <w:top w:val="nil"/>
              <w:left w:val="nil"/>
              <w:bottom w:val="nil"/>
              <w:right w:val="nil"/>
            </w:tcBorders>
            <w:shd w:val="clear" w:color="auto" w:fill="auto"/>
            <w:noWrap/>
            <w:vAlign w:val="bottom"/>
            <w:hideMark/>
          </w:tcPr>
          <w:p w14:paraId="1AAD5F5C" w14:textId="77777777" w:rsidR="00D43F40" w:rsidRPr="00D43F40" w:rsidRDefault="00D43F40" w:rsidP="00D43F40">
            <w:pPr>
              <w:spacing w:before="0" w:after="0" w:line="240" w:lineRule="auto"/>
              <w:jc w:val="right"/>
              <w:rPr>
                <w:rFonts w:ascii="Times New Roman" w:hAnsi="Times New Roman"/>
                <w:sz w:val="20"/>
              </w:rPr>
            </w:pPr>
          </w:p>
        </w:tc>
        <w:tc>
          <w:tcPr>
            <w:tcW w:w="1018" w:type="dxa"/>
            <w:tcBorders>
              <w:top w:val="nil"/>
              <w:left w:val="nil"/>
              <w:bottom w:val="nil"/>
              <w:right w:val="nil"/>
            </w:tcBorders>
            <w:shd w:val="clear" w:color="000000" w:fill="D9D9D9"/>
            <w:noWrap/>
            <w:vAlign w:val="bottom"/>
            <w:hideMark/>
          </w:tcPr>
          <w:p w14:paraId="08301EEC"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 </w:t>
            </w:r>
          </w:p>
        </w:tc>
        <w:tc>
          <w:tcPr>
            <w:tcW w:w="938" w:type="dxa"/>
            <w:tcBorders>
              <w:top w:val="nil"/>
              <w:left w:val="nil"/>
              <w:bottom w:val="nil"/>
              <w:right w:val="nil"/>
            </w:tcBorders>
            <w:shd w:val="clear" w:color="auto" w:fill="auto"/>
            <w:noWrap/>
            <w:vAlign w:val="bottom"/>
            <w:hideMark/>
          </w:tcPr>
          <w:p w14:paraId="391EF6B0" w14:textId="77777777" w:rsidR="00D43F40" w:rsidRPr="00D43F40" w:rsidRDefault="00D43F40" w:rsidP="00D43F40">
            <w:pPr>
              <w:spacing w:before="0" w:after="0" w:line="240" w:lineRule="auto"/>
              <w:jc w:val="right"/>
              <w:rPr>
                <w:rFonts w:ascii="Arial" w:hAnsi="Arial" w:cs="Arial"/>
                <w:b/>
                <w:bCs/>
                <w:sz w:val="16"/>
                <w:szCs w:val="16"/>
              </w:rPr>
            </w:pPr>
          </w:p>
        </w:tc>
      </w:tr>
      <w:tr w:rsidR="00D43F40" w:rsidRPr="00D43F40" w14:paraId="5898131C"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07049F0B"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 xml:space="preserve">Ordinary annual services </w:t>
            </w:r>
            <w:r w:rsidRPr="00D43F40">
              <w:rPr>
                <w:rFonts w:ascii="Arial" w:hAnsi="Arial" w:cs="Arial"/>
                <w:sz w:val="16"/>
                <w:szCs w:val="16"/>
                <w:vertAlign w:val="superscript"/>
              </w:rPr>
              <w:t>(c)</w:t>
            </w:r>
          </w:p>
        </w:tc>
        <w:tc>
          <w:tcPr>
            <w:tcW w:w="1245" w:type="dxa"/>
            <w:tcBorders>
              <w:top w:val="nil"/>
              <w:left w:val="nil"/>
              <w:bottom w:val="nil"/>
              <w:right w:val="nil"/>
            </w:tcBorders>
            <w:shd w:val="clear" w:color="auto" w:fill="auto"/>
            <w:noWrap/>
            <w:vAlign w:val="bottom"/>
            <w:hideMark/>
          </w:tcPr>
          <w:p w14:paraId="57560E62" w14:textId="77777777" w:rsidR="00D43F40" w:rsidRPr="00D43F40" w:rsidRDefault="00D43F40" w:rsidP="00D43F40">
            <w:pPr>
              <w:spacing w:before="0" w:after="0" w:line="240" w:lineRule="auto"/>
              <w:ind w:firstLineChars="100" w:firstLine="160"/>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1B72B7F2" w14:textId="77777777" w:rsidR="00D43F40" w:rsidRPr="00D43F40" w:rsidRDefault="00D43F40" w:rsidP="00D43F40">
            <w:pPr>
              <w:spacing w:before="0" w:after="0" w:line="240" w:lineRule="auto"/>
              <w:jc w:val="right"/>
              <w:rPr>
                <w:rFonts w:ascii="Times New Roman" w:hAnsi="Times New Roman"/>
                <w:sz w:val="20"/>
              </w:rPr>
            </w:pPr>
          </w:p>
        </w:tc>
        <w:tc>
          <w:tcPr>
            <w:tcW w:w="1018" w:type="dxa"/>
            <w:tcBorders>
              <w:top w:val="nil"/>
              <w:left w:val="nil"/>
              <w:bottom w:val="nil"/>
              <w:right w:val="nil"/>
            </w:tcBorders>
            <w:shd w:val="clear" w:color="000000" w:fill="D9D9D9"/>
            <w:noWrap/>
            <w:vAlign w:val="bottom"/>
            <w:hideMark/>
          </w:tcPr>
          <w:p w14:paraId="1B077970"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 </w:t>
            </w:r>
          </w:p>
        </w:tc>
        <w:tc>
          <w:tcPr>
            <w:tcW w:w="938" w:type="dxa"/>
            <w:tcBorders>
              <w:top w:val="nil"/>
              <w:left w:val="nil"/>
              <w:bottom w:val="nil"/>
              <w:right w:val="nil"/>
            </w:tcBorders>
            <w:shd w:val="clear" w:color="auto" w:fill="auto"/>
            <w:noWrap/>
            <w:vAlign w:val="bottom"/>
            <w:hideMark/>
          </w:tcPr>
          <w:p w14:paraId="08CA6BD9" w14:textId="77777777" w:rsidR="00D43F40" w:rsidRPr="00D43F40" w:rsidRDefault="00D43F40" w:rsidP="00D43F40">
            <w:pPr>
              <w:spacing w:before="0" w:after="0" w:line="240" w:lineRule="auto"/>
              <w:jc w:val="right"/>
              <w:rPr>
                <w:rFonts w:ascii="Arial" w:hAnsi="Arial" w:cs="Arial"/>
                <w:b/>
                <w:bCs/>
                <w:sz w:val="16"/>
                <w:szCs w:val="16"/>
              </w:rPr>
            </w:pPr>
          </w:p>
        </w:tc>
      </w:tr>
      <w:tr w:rsidR="00D43F40" w:rsidRPr="00D43F40" w14:paraId="091E7651"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5D220A9D"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Departmental appropriation</w:t>
            </w:r>
          </w:p>
        </w:tc>
        <w:tc>
          <w:tcPr>
            <w:tcW w:w="1245" w:type="dxa"/>
            <w:tcBorders>
              <w:top w:val="nil"/>
              <w:left w:val="nil"/>
              <w:bottom w:val="nil"/>
              <w:right w:val="nil"/>
            </w:tcBorders>
            <w:shd w:val="clear" w:color="auto" w:fill="auto"/>
            <w:noWrap/>
            <w:vAlign w:val="bottom"/>
            <w:hideMark/>
          </w:tcPr>
          <w:p w14:paraId="7DFE0305"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982,664</w:t>
            </w:r>
          </w:p>
        </w:tc>
        <w:tc>
          <w:tcPr>
            <w:tcW w:w="1058" w:type="dxa"/>
            <w:tcBorders>
              <w:top w:val="nil"/>
              <w:left w:val="nil"/>
              <w:bottom w:val="nil"/>
              <w:right w:val="nil"/>
            </w:tcBorders>
            <w:shd w:val="clear" w:color="auto" w:fill="auto"/>
            <w:noWrap/>
            <w:vAlign w:val="bottom"/>
            <w:hideMark/>
          </w:tcPr>
          <w:p w14:paraId="14C6DCCB"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1,212,960</w:t>
            </w:r>
          </w:p>
        </w:tc>
        <w:tc>
          <w:tcPr>
            <w:tcW w:w="1018" w:type="dxa"/>
            <w:tcBorders>
              <w:top w:val="nil"/>
              <w:left w:val="nil"/>
              <w:bottom w:val="nil"/>
              <w:right w:val="nil"/>
            </w:tcBorders>
            <w:shd w:val="clear" w:color="000000" w:fill="D9D9D9"/>
            <w:noWrap/>
            <w:vAlign w:val="bottom"/>
            <w:hideMark/>
          </w:tcPr>
          <w:p w14:paraId="2C11028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135,774</w:t>
            </w:r>
          </w:p>
        </w:tc>
        <w:tc>
          <w:tcPr>
            <w:tcW w:w="938" w:type="dxa"/>
            <w:tcBorders>
              <w:top w:val="nil"/>
              <w:left w:val="nil"/>
              <w:bottom w:val="nil"/>
              <w:right w:val="nil"/>
            </w:tcBorders>
            <w:shd w:val="clear" w:color="auto" w:fill="auto"/>
            <w:noWrap/>
            <w:vAlign w:val="bottom"/>
            <w:hideMark/>
          </w:tcPr>
          <w:p w14:paraId="239AEA62"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1,348,734</w:t>
            </w:r>
          </w:p>
        </w:tc>
      </w:tr>
      <w:tr w:rsidR="00D43F40" w:rsidRPr="00D43F40" w14:paraId="4D45DAAB"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70ADA431"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 xml:space="preserve">s74 retained revenue receipts </w:t>
            </w:r>
            <w:r w:rsidRPr="00D43F40">
              <w:rPr>
                <w:rFonts w:ascii="Arial" w:hAnsi="Arial" w:cs="Arial"/>
                <w:sz w:val="16"/>
                <w:szCs w:val="16"/>
                <w:vertAlign w:val="superscript"/>
              </w:rPr>
              <w:t>(d)</w:t>
            </w:r>
          </w:p>
        </w:tc>
        <w:tc>
          <w:tcPr>
            <w:tcW w:w="1245" w:type="dxa"/>
            <w:tcBorders>
              <w:top w:val="nil"/>
              <w:left w:val="nil"/>
              <w:bottom w:val="nil"/>
              <w:right w:val="nil"/>
            </w:tcBorders>
            <w:shd w:val="clear" w:color="auto" w:fill="auto"/>
            <w:noWrap/>
            <w:vAlign w:val="bottom"/>
            <w:hideMark/>
          </w:tcPr>
          <w:p w14:paraId="5080D06E"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19,556</w:t>
            </w:r>
          </w:p>
        </w:tc>
        <w:tc>
          <w:tcPr>
            <w:tcW w:w="1058" w:type="dxa"/>
            <w:tcBorders>
              <w:top w:val="nil"/>
              <w:left w:val="nil"/>
              <w:bottom w:val="nil"/>
              <w:right w:val="nil"/>
            </w:tcBorders>
            <w:shd w:val="clear" w:color="auto" w:fill="auto"/>
            <w:noWrap/>
            <w:vAlign w:val="bottom"/>
            <w:hideMark/>
          </w:tcPr>
          <w:p w14:paraId="78C8E3B3"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23,008</w:t>
            </w:r>
          </w:p>
        </w:tc>
        <w:tc>
          <w:tcPr>
            <w:tcW w:w="1018" w:type="dxa"/>
            <w:tcBorders>
              <w:top w:val="nil"/>
              <w:left w:val="nil"/>
              <w:bottom w:val="nil"/>
              <w:right w:val="nil"/>
            </w:tcBorders>
            <w:shd w:val="clear" w:color="000000" w:fill="D9D9D9"/>
            <w:noWrap/>
            <w:vAlign w:val="bottom"/>
            <w:hideMark/>
          </w:tcPr>
          <w:p w14:paraId="4DD43EC4"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(2,191)</w:t>
            </w:r>
          </w:p>
        </w:tc>
        <w:tc>
          <w:tcPr>
            <w:tcW w:w="938" w:type="dxa"/>
            <w:tcBorders>
              <w:top w:val="nil"/>
              <w:left w:val="nil"/>
              <w:bottom w:val="nil"/>
              <w:right w:val="nil"/>
            </w:tcBorders>
            <w:shd w:val="clear" w:color="auto" w:fill="auto"/>
            <w:noWrap/>
            <w:vAlign w:val="bottom"/>
            <w:hideMark/>
          </w:tcPr>
          <w:p w14:paraId="6278BF0A"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20,817</w:t>
            </w:r>
          </w:p>
        </w:tc>
      </w:tr>
      <w:tr w:rsidR="00D43F40" w:rsidRPr="00D43F40" w14:paraId="794C3E4E"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0BE2AB84"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Departmental Capital Budget</w:t>
            </w:r>
          </w:p>
        </w:tc>
        <w:tc>
          <w:tcPr>
            <w:tcW w:w="1245" w:type="dxa"/>
            <w:tcBorders>
              <w:top w:val="nil"/>
              <w:left w:val="nil"/>
              <w:bottom w:val="nil"/>
              <w:right w:val="nil"/>
            </w:tcBorders>
            <w:shd w:val="clear" w:color="auto" w:fill="auto"/>
            <w:noWrap/>
            <w:vAlign w:val="bottom"/>
            <w:hideMark/>
          </w:tcPr>
          <w:p w14:paraId="11DA8ED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14,517</w:t>
            </w:r>
          </w:p>
        </w:tc>
        <w:tc>
          <w:tcPr>
            <w:tcW w:w="1058" w:type="dxa"/>
            <w:tcBorders>
              <w:top w:val="nil"/>
              <w:left w:val="nil"/>
              <w:bottom w:val="nil"/>
              <w:right w:val="nil"/>
            </w:tcBorders>
            <w:shd w:val="clear" w:color="auto" w:fill="auto"/>
            <w:noWrap/>
            <w:vAlign w:val="bottom"/>
            <w:hideMark/>
          </w:tcPr>
          <w:p w14:paraId="08A5B3A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12,870</w:t>
            </w:r>
          </w:p>
        </w:tc>
        <w:tc>
          <w:tcPr>
            <w:tcW w:w="1018" w:type="dxa"/>
            <w:tcBorders>
              <w:top w:val="nil"/>
              <w:left w:val="nil"/>
              <w:bottom w:val="nil"/>
              <w:right w:val="nil"/>
            </w:tcBorders>
            <w:shd w:val="clear" w:color="000000" w:fill="D9D9D9"/>
            <w:noWrap/>
            <w:vAlign w:val="bottom"/>
            <w:hideMark/>
          </w:tcPr>
          <w:p w14:paraId="57EAE630"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(162)</w:t>
            </w:r>
          </w:p>
        </w:tc>
        <w:tc>
          <w:tcPr>
            <w:tcW w:w="938" w:type="dxa"/>
            <w:tcBorders>
              <w:top w:val="nil"/>
              <w:left w:val="nil"/>
              <w:bottom w:val="nil"/>
              <w:right w:val="nil"/>
            </w:tcBorders>
            <w:shd w:val="clear" w:color="auto" w:fill="auto"/>
            <w:noWrap/>
            <w:vAlign w:val="bottom"/>
            <w:hideMark/>
          </w:tcPr>
          <w:p w14:paraId="698DA05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12,708</w:t>
            </w:r>
          </w:p>
        </w:tc>
      </w:tr>
      <w:tr w:rsidR="00D43F40" w:rsidRPr="00D43F40" w14:paraId="51094F93"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7CFF3257"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 xml:space="preserve">Other services </w:t>
            </w:r>
            <w:r w:rsidRPr="00D43F40">
              <w:rPr>
                <w:rFonts w:ascii="Arial" w:hAnsi="Arial" w:cs="Arial"/>
                <w:sz w:val="16"/>
                <w:szCs w:val="16"/>
                <w:vertAlign w:val="superscript"/>
              </w:rPr>
              <w:t>(e)</w:t>
            </w:r>
          </w:p>
        </w:tc>
        <w:tc>
          <w:tcPr>
            <w:tcW w:w="1245" w:type="dxa"/>
            <w:tcBorders>
              <w:top w:val="nil"/>
              <w:left w:val="nil"/>
              <w:bottom w:val="nil"/>
              <w:right w:val="nil"/>
            </w:tcBorders>
            <w:shd w:val="clear" w:color="auto" w:fill="auto"/>
            <w:noWrap/>
            <w:vAlign w:val="bottom"/>
            <w:hideMark/>
          </w:tcPr>
          <w:p w14:paraId="653B251F" w14:textId="77777777" w:rsidR="00D43F40" w:rsidRPr="00D43F40" w:rsidRDefault="00D43F40" w:rsidP="00D43F40">
            <w:pPr>
              <w:spacing w:before="0" w:after="0" w:line="240" w:lineRule="auto"/>
              <w:ind w:firstLineChars="100" w:firstLine="160"/>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290BF74C" w14:textId="77777777" w:rsidR="00D43F40" w:rsidRPr="00D43F40" w:rsidRDefault="00D43F40" w:rsidP="00D43F40">
            <w:pPr>
              <w:spacing w:before="0" w:after="0" w:line="240" w:lineRule="auto"/>
              <w:jc w:val="right"/>
              <w:rPr>
                <w:rFonts w:ascii="Times New Roman" w:hAnsi="Times New Roman"/>
                <w:sz w:val="20"/>
              </w:rPr>
            </w:pPr>
          </w:p>
        </w:tc>
        <w:tc>
          <w:tcPr>
            <w:tcW w:w="1018" w:type="dxa"/>
            <w:tcBorders>
              <w:top w:val="nil"/>
              <w:left w:val="nil"/>
              <w:bottom w:val="nil"/>
              <w:right w:val="nil"/>
            </w:tcBorders>
            <w:shd w:val="clear" w:color="000000" w:fill="D9D9D9"/>
            <w:noWrap/>
            <w:vAlign w:val="bottom"/>
            <w:hideMark/>
          </w:tcPr>
          <w:p w14:paraId="4B1ADAB4"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 </w:t>
            </w:r>
          </w:p>
        </w:tc>
        <w:tc>
          <w:tcPr>
            <w:tcW w:w="938" w:type="dxa"/>
            <w:tcBorders>
              <w:top w:val="nil"/>
              <w:left w:val="nil"/>
              <w:bottom w:val="nil"/>
              <w:right w:val="nil"/>
            </w:tcBorders>
            <w:shd w:val="clear" w:color="auto" w:fill="auto"/>
            <w:noWrap/>
            <w:vAlign w:val="bottom"/>
            <w:hideMark/>
          </w:tcPr>
          <w:p w14:paraId="6044F8CA"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772B0F28"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6D3E8D58"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Equity injection</w:t>
            </w:r>
          </w:p>
        </w:tc>
        <w:tc>
          <w:tcPr>
            <w:tcW w:w="1245" w:type="dxa"/>
            <w:tcBorders>
              <w:top w:val="nil"/>
              <w:left w:val="nil"/>
              <w:bottom w:val="nil"/>
              <w:right w:val="nil"/>
            </w:tcBorders>
            <w:shd w:val="clear" w:color="auto" w:fill="auto"/>
            <w:noWrap/>
            <w:vAlign w:val="bottom"/>
            <w:hideMark/>
          </w:tcPr>
          <w:p w14:paraId="13C16C19"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169,891</w:t>
            </w:r>
          </w:p>
        </w:tc>
        <w:tc>
          <w:tcPr>
            <w:tcW w:w="1058" w:type="dxa"/>
            <w:tcBorders>
              <w:top w:val="nil"/>
              <w:left w:val="nil"/>
              <w:bottom w:val="nil"/>
              <w:right w:val="nil"/>
            </w:tcBorders>
            <w:shd w:val="clear" w:color="auto" w:fill="auto"/>
            <w:noWrap/>
            <w:vAlign w:val="bottom"/>
            <w:hideMark/>
          </w:tcPr>
          <w:p w14:paraId="7E5CA9C2"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119,943</w:t>
            </w:r>
          </w:p>
        </w:tc>
        <w:tc>
          <w:tcPr>
            <w:tcW w:w="1018" w:type="dxa"/>
            <w:tcBorders>
              <w:top w:val="nil"/>
              <w:left w:val="nil"/>
              <w:bottom w:val="nil"/>
              <w:right w:val="nil"/>
            </w:tcBorders>
            <w:shd w:val="clear" w:color="000000" w:fill="D9D9D9"/>
            <w:noWrap/>
            <w:vAlign w:val="bottom"/>
            <w:hideMark/>
          </w:tcPr>
          <w:p w14:paraId="43E97DE6"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119,889</w:t>
            </w:r>
          </w:p>
        </w:tc>
        <w:tc>
          <w:tcPr>
            <w:tcW w:w="938" w:type="dxa"/>
            <w:tcBorders>
              <w:top w:val="nil"/>
              <w:left w:val="nil"/>
              <w:bottom w:val="nil"/>
              <w:right w:val="nil"/>
            </w:tcBorders>
            <w:shd w:val="clear" w:color="auto" w:fill="auto"/>
            <w:noWrap/>
            <w:vAlign w:val="bottom"/>
            <w:hideMark/>
          </w:tcPr>
          <w:p w14:paraId="6F8FB54C"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239,832</w:t>
            </w:r>
          </w:p>
        </w:tc>
      </w:tr>
      <w:tr w:rsidR="00D43F40" w:rsidRPr="00D43F40" w14:paraId="6203111A"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49F156C2"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Total departmental annual appropriations</w:t>
            </w:r>
          </w:p>
        </w:tc>
        <w:tc>
          <w:tcPr>
            <w:tcW w:w="1245" w:type="dxa"/>
            <w:tcBorders>
              <w:top w:val="nil"/>
              <w:left w:val="nil"/>
              <w:bottom w:val="single" w:sz="4" w:space="0" w:color="auto"/>
              <w:right w:val="nil"/>
            </w:tcBorders>
            <w:shd w:val="clear" w:color="auto" w:fill="auto"/>
            <w:noWrap/>
            <w:vAlign w:val="bottom"/>
            <w:hideMark/>
          </w:tcPr>
          <w:p w14:paraId="4A9A399A"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1,186,628</w:t>
            </w:r>
          </w:p>
        </w:tc>
        <w:tc>
          <w:tcPr>
            <w:tcW w:w="1058" w:type="dxa"/>
            <w:tcBorders>
              <w:top w:val="nil"/>
              <w:left w:val="nil"/>
              <w:bottom w:val="single" w:sz="4" w:space="0" w:color="auto"/>
              <w:right w:val="nil"/>
            </w:tcBorders>
            <w:shd w:val="clear" w:color="auto" w:fill="auto"/>
            <w:noWrap/>
            <w:vAlign w:val="bottom"/>
            <w:hideMark/>
          </w:tcPr>
          <w:p w14:paraId="19A09CB8"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1,368,781</w:t>
            </w:r>
          </w:p>
        </w:tc>
        <w:tc>
          <w:tcPr>
            <w:tcW w:w="1018" w:type="dxa"/>
            <w:tcBorders>
              <w:top w:val="nil"/>
              <w:left w:val="nil"/>
              <w:bottom w:val="single" w:sz="4" w:space="0" w:color="auto"/>
              <w:right w:val="nil"/>
            </w:tcBorders>
            <w:shd w:val="clear" w:color="000000" w:fill="D9D9D9"/>
            <w:noWrap/>
            <w:vAlign w:val="bottom"/>
            <w:hideMark/>
          </w:tcPr>
          <w:p w14:paraId="41A8F52B"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253,310</w:t>
            </w:r>
          </w:p>
        </w:tc>
        <w:tc>
          <w:tcPr>
            <w:tcW w:w="938" w:type="dxa"/>
            <w:tcBorders>
              <w:top w:val="nil"/>
              <w:left w:val="nil"/>
              <w:bottom w:val="single" w:sz="4" w:space="0" w:color="auto"/>
              <w:right w:val="nil"/>
            </w:tcBorders>
            <w:shd w:val="clear" w:color="auto" w:fill="auto"/>
            <w:noWrap/>
            <w:vAlign w:val="bottom"/>
            <w:hideMark/>
          </w:tcPr>
          <w:p w14:paraId="09D2408D"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1,622,091</w:t>
            </w:r>
          </w:p>
        </w:tc>
      </w:tr>
      <w:tr w:rsidR="00D43F40" w:rsidRPr="00D43F40" w14:paraId="100F5630" w14:textId="77777777" w:rsidTr="00E4631A">
        <w:trPr>
          <w:trHeight w:val="283"/>
          <w:jc w:val="center"/>
        </w:trPr>
        <w:tc>
          <w:tcPr>
            <w:tcW w:w="3452" w:type="dxa"/>
            <w:tcBorders>
              <w:top w:val="nil"/>
              <w:left w:val="nil"/>
              <w:bottom w:val="nil"/>
              <w:right w:val="nil"/>
            </w:tcBorders>
            <w:shd w:val="clear" w:color="auto" w:fill="auto"/>
            <w:noWrap/>
            <w:vAlign w:val="bottom"/>
            <w:hideMark/>
          </w:tcPr>
          <w:p w14:paraId="2AB3EEE9"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 xml:space="preserve">Special accounts </w:t>
            </w:r>
            <w:r w:rsidRPr="00D43F40">
              <w:rPr>
                <w:rFonts w:ascii="Arial" w:hAnsi="Arial" w:cs="Arial"/>
                <w:b/>
                <w:bCs/>
                <w:sz w:val="16"/>
                <w:szCs w:val="16"/>
                <w:vertAlign w:val="superscript"/>
              </w:rPr>
              <w:t>(f)</w:t>
            </w:r>
          </w:p>
        </w:tc>
        <w:tc>
          <w:tcPr>
            <w:tcW w:w="1245" w:type="dxa"/>
            <w:tcBorders>
              <w:top w:val="nil"/>
              <w:left w:val="nil"/>
              <w:bottom w:val="nil"/>
              <w:right w:val="nil"/>
            </w:tcBorders>
            <w:shd w:val="clear" w:color="auto" w:fill="auto"/>
            <w:noWrap/>
            <w:vAlign w:val="bottom"/>
            <w:hideMark/>
          </w:tcPr>
          <w:p w14:paraId="53E119AA" w14:textId="77777777" w:rsidR="00D43F40" w:rsidRPr="00D43F40" w:rsidRDefault="00D43F40" w:rsidP="00D43F40">
            <w:pPr>
              <w:spacing w:before="0" w:after="0" w:line="240" w:lineRule="auto"/>
              <w:rPr>
                <w:rFonts w:ascii="Arial" w:hAnsi="Arial" w:cs="Arial"/>
                <w:b/>
                <w:bCs/>
                <w:sz w:val="16"/>
                <w:szCs w:val="16"/>
              </w:rPr>
            </w:pPr>
          </w:p>
        </w:tc>
        <w:tc>
          <w:tcPr>
            <w:tcW w:w="1058" w:type="dxa"/>
            <w:tcBorders>
              <w:top w:val="nil"/>
              <w:left w:val="nil"/>
              <w:bottom w:val="nil"/>
              <w:right w:val="nil"/>
            </w:tcBorders>
            <w:shd w:val="clear" w:color="auto" w:fill="auto"/>
            <w:noWrap/>
            <w:vAlign w:val="bottom"/>
            <w:hideMark/>
          </w:tcPr>
          <w:p w14:paraId="7DA2715C" w14:textId="77777777" w:rsidR="00D43F40" w:rsidRPr="00D43F40" w:rsidRDefault="00D43F40" w:rsidP="00D43F40">
            <w:pPr>
              <w:spacing w:before="0" w:after="0" w:line="240" w:lineRule="auto"/>
              <w:jc w:val="right"/>
              <w:rPr>
                <w:rFonts w:ascii="Times New Roman" w:hAnsi="Times New Roman"/>
                <w:sz w:val="20"/>
              </w:rPr>
            </w:pPr>
          </w:p>
        </w:tc>
        <w:tc>
          <w:tcPr>
            <w:tcW w:w="1018" w:type="dxa"/>
            <w:tcBorders>
              <w:top w:val="nil"/>
              <w:left w:val="nil"/>
              <w:bottom w:val="nil"/>
              <w:right w:val="nil"/>
            </w:tcBorders>
            <w:shd w:val="clear" w:color="000000" w:fill="D9D9D9"/>
            <w:noWrap/>
            <w:vAlign w:val="bottom"/>
            <w:hideMark/>
          </w:tcPr>
          <w:p w14:paraId="5BE3D81F"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 </w:t>
            </w:r>
          </w:p>
        </w:tc>
        <w:tc>
          <w:tcPr>
            <w:tcW w:w="938" w:type="dxa"/>
            <w:tcBorders>
              <w:top w:val="nil"/>
              <w:left w:val="nil"/>
              <w:bottom w:val="nil"/>
              <w:right w:val="nil"/>
            </w:tcBorders>
            <w:shd w:val="clear" w:color="auto" w:fill="auto"/>
            <w:noWrap/>
            <w:vAlign w:val="bottom"/>
            <w:hideMark/>
          </w:tcPr>
          <w:p w14:paraId="4EE70749" w14:textId="77777777" w:rsidR="00D43F40" w:rsidRPr="00D43F40" w:rsidRDefault="00D43F40" w:rsidP="00D43F40">
            <w:pPr>
              <w:spacing w:before="0" w:after="0" w:line="240" w:lineRule="auto"/>
              <w:jc w:val="right"/>
              <w:rPr>
                <w:rFonts w:ascii="Arial" w:hAnsi="Arial" w:cs="Arial"/>
                <w:b/>
                <w:bCs/>
                <w:sz w:val="16"/>
                <w:szCs w:val="16"/>
              </w:rPr>
            </w:pPr>
          </w:p>
        </w:tc>
      </w:tr>
      <w:tr w:rsidR="00D43F40" w:rsidRPr="00D43F40" w14:paraId="13A6A9B1"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376A1AAC"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 xml:space="preserve">Opening balance </w:t>
            </w:r>
            <w:r w:rsidRPr="00D43F40">
              <w:rPr>
                <w:rFonts w:ascii="Arial" w:hAnsi="Arial" w:cs="Arial"/>
                <w:sz w:val="16"/>
                <w:szCs w:val="16"/>
                <w:vertAlign w:val="superscript"/>
              </w:rPr>
              <w:t>(b)</w:t>
            </w:r>
          </w:p>
        </w:tc>
        <w:tc>
          <w:tcPr>
            <w:tcW w:w="1245" w:type="dxa"/>
            <w:tcBorders>
              <w:top w:val="nil"/>
              <w:left w:val="nil"/>
              <w:bottom w:val="nil"/>
              <w:right w:val="nil"/>
            </w:tcBorders>
            <w:shd w:val="clear" w:color="auto" w:fill="auto"/>
            <w:noWrap/>
            <w:vAlign w:val="bottom"/>
            <w:hideMark/>
          </w:tcPr>
          <w:p w14:paraId="7C8E0AE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132,306</w:t>
            </w:r>
          </w:p>
        </w:tc>
        <w:tc>
          <w:tcPr>
            <w:tcW w:w="1058" w:type="dxa"/>
            <w:tcBorders>
              <w:top w:val="nil"/>
              <w:left w:val="nil"/>
              <w:bottom w:val="nil"/>
              <w:right w:val="nil"/>
            </w:tcBorders>
            <w:shd w:val="clear" w:color="auto" w:fill="auto"/>
            <w:noWrap/>
            <w:vAlign w:val="bottom"/>
            <w:hideMark/>
          </w:tcPr>
          <w:p w14:paraId="704538A0"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117,273</w:t>
            </w:r>
          </w:p>
        </w:tc>
        <w:tc>
          <w:tcPr>
            <w:tcW w:w="1018" w:type="dxa"/>
            <w:tcBorders>
              <w:top w:val="nil"/>
              <w:left w:val="nil"/>
              <w:bottom w:val="nil"/>
              <w:right w:val="nil"/>
            </w:tcBorders>
            <w:shd w:val="clear" w:color="000000" w:fill="D9D9D9"/>
            <w:noWrap/>
            <w:vAlign w:val="bottom"/>
            <w:hideMark/>
          </w:tcPr>
          <w:p w14:paraId="2A9A43F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w:t>
            </w:r>
          </w:p>
        </w:tc>
        <w:tc>
          <w:tcPr>
            <w:tcW w:w="938" w:type="dxa"/>
            <w:tcBorders>
              <w:top w:val="nil"/>
              <w:left w:val="nil"/>
              <w:bottom w:val="nil"/>
              <w:right w:val="nil"/>
            </w:tcBorders>
            <w:shd w:val="clear" w:color="auto" w:fill="auto"/>
            <w:noWrap/>
            <w:vAlign w:val="bottom"/>
            <w:hideMark/>
          </w:tcPr>
          <w:p w14:paraId="7B2D4B1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117,273</w:t>
            </w:r>
          </w:p>
        </w:tc>
      </w:tr>
      <w:tr w:rsidR="00D43F40" w:rsidRPr="00D43F40" w14:paraId="568BFC36"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7BC8BA59"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Appropriation receipts</w:t>
            </w:r>
            <w:r w:rsidRPr="00D43F40">
              <w:rPr>
                <w:rFonts w:ascii="Arial" w:hAnsi="Arial" w:cs="Arial"/>
                <w:sz w:val="16"/>
                <w:szCs w:val="16"/>
                <w:vertAlign w:val="superscript"/>
              </w:rPr>
              <w:t xml:space="preserve"> (g)</w:t>
            </w:r>
          </w:p>
        </w:tc>
        <w:tc>
          <w:tcPr>
            <w:tcW w:w="1245" w:type="dxa"/>
            <w:tcBorders>
              <w:top w:val="nil"/>
              <w:left w:val="nil"/>
              <w:bottom w:val="nil"/>
              <w:right w:val="nil"/>
            </w:tcBorders>
            <w:shd w:val="clear" w:color="auto" w:fill="auto"/>
            <w:noWrap/>
            <w:vAlign w:val="bottom"/>
            <w:hideMark/>
          </w:tcPr>
          <w:p w14:paraId="5EA1DA5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31,136</w:t>
            </w:r>
          </w:p>
        </w:tc>
        <w:tc>
          <w:tcPr>
            <w:tcW w:w="1058" w:type="dxa"/>
            <w:tcBorders>
              <w:top w:val="nil"/>
              <w:left w:val="nil"/>
              <w:bottom w:val="nil"/>
              <w:right w:val="nil"/>
            </w:tcBorders>
            <w:shd w:val="clear" w:color="auto" w:fill="auto"/>
            <w:noWrap/>
            <w:vAlign w:val="bottom"/>
            <w:hideMark/>
          </w:tcPr>
          <w:p w14:paraId="02435A0A"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46,628</w:t>
            </w:r>
          </w:p>
        </w:tc>
        <w:tc>
          <w:tcPr>
            <w:tcW w:w="1018" w:type="dxa"/>
            <w:tcBorders>
              <w:top w:val="nil"/>
              <w:left w:val="nil"/>
              <w:bottom w:val="nil"/>
              <w:right w:val="nil"/>
            </w:tcBorders>
            <w:shd w:val="clear" w:color="000000" w:fill="D9D9D9"/>
            <w:noWrap/>
            <w:vAlign w:val="bottom"/>
            <w:hideMark/>
          </w:tcPr>
          <w:p w14:paraId="6CE1D7D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(249)</w:t>
            </w:r>
          </w:p>
        </w:tc>
        <w:tc>
          <w:tcPr>
            <w:tcW w:w="938" w:type="dxa"/>
            <w:tcBorders>
              <w:top w:val="nil"/>
              <w:left w:val="nil"/>
              <w:bottom w:val="nil"/>
              <w:right w:val="nil"/>
            </w:tcBorders>
            <w:shd w:val="clear" w:color="auto" w:fill="auto"/>
            <w:noWrap/>
            <w:vAlign w:val="bottom"/>
            <w:hideMark/>
          </w:tcPr>
          <w:p w14:paraId="2F226BB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46,379</w:t>
            </w:r>
          </w:p>
        </w:tc>
      </w:tr>
      <w:tr w:rsidR="00D43F40" w:rsidRPr="00D43F40" w14:paraId="4DCF083C"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5357998E"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Non-appropriation receipts</w:t>
            </w:r>
          </w:p>
        </w:tc>
        <w:tc>
          <w:tcPr>
            <w:tcW w:w="1245" w:type="dxa"/>
            <w:tcBorders>
              <w:top w:val="nil"/>
              <w:left w:val="nil"/>
              <w:bottom w:val="nil"/>
              <w:right w:val="nil"/>
            </w:tcBorders>
            <w:shd w:val="clear" w:color="auto" w:fill="auto"/>
            <w:noWrap/>
            <w:vAlign w:val="bottom"/>
            <w:hideMark/>
          </w:tcPr>
          <w:p w14:paraId="62AAB2A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219,819</w:t>
            </w:r>
          </w:p>
        </w:tc>
        <w:tc>
          <w:tcPr>
            <w:tcW w:w="1058" w:type="dxa"/>
            <w:tcBorders>
              <w:top w:val="nil"/>
              <w:left w:val="nil"/>
              <w:bottom w:val="nil"/>
              <w:right w:val="nil"/>
            </w:tcBorders>
            <w:shd w:val="clear" w:color="auto" w:fill="auto"/>
            <w:noWrap/>
            <w:vAlign w:val="bottom"/>
            <w:hideMark/>
          </w:tcPr>
          <w:p w14:paraId="49958BBC"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225,964</w:t>
            </w:r>
          </w:p>
        </w:tc>
        <w:tc>
          <w:tcPr>
            <w:tcW w:w="1018" w:type="dxa"/>
            <w:tcBorders>
              <w:top w:val="nil"/>
              <w:left w:val="nil"/>
              <w:bottom w:val="nil"/>
              <w:right w:val="nil"/>
            </w:tcBorders>
            <w:shd w:val="clear" w:color="000000" w:fill="D9D9D9"/>
            <w:noWrap/>
            <w:vAlign w:val="bottom"/>
            <w:hideMark/>
          </w:tcPr>
          <w:p w14:paraId="091E92E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(9,403)</w:t>
            </w:r>
          </w:p>
        </w:tc>
        <w:tc>
          <w:tcPr>
            <w:tcW w:w="938" w:type="dxa"/>
            <w:tcBorders>
              <w:top w:val="nil"/>
              <w:left w:val="nil"/>
              <w:bottom w:val="nil"/>
              <w:right w:val="nil"/>
            </w:tcBorders>
            <w:shd w:val="clear" w:color="auto" w:fill="auto"/>
            <w:noWrap/>
            <w:vAlign w:val="bottom"/>
            <w:hideMark/>
          </w:tcPr>
          <w:p w14:paraId="74F74996"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216,561</w:t>
            </w:r>
          </w:p>
        </w:tc>
      </w:tr>
      <w:tr w:rsidR="00D43F40" w:rsidRPr="00D43F40" w14:paraId="3BE87525" w14:textId="77777777" w:rsidTr="000D3AD4">
        <w:trPr>
          <w:trHeight w:val="225"/>
          <w:jc w:val="center"/>
        </w:trPr>
        <w:tc>
          <w:tcPr>
            <w:tcW w:w="3452" w:type="dxa"/>
            <w:tcBorders>
              <w:top w:val="nil"/>
              <w:left w:val="nil"/>
              <w:bottom w:val="nil"/>
              <w:right w:val="nil"/>
            </w:tcBorders>
            <w:shd w:val="clear" w:color="auto" w:fill="auto"/>
            <w:noWrap/>
            <w:vAlign w:val="bottom"/>
            <w:hideMark/>
          </w:tcPr>
          <w:p w14:paraId="1A7BD2AC"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Total special account</w:t>
            </w:r>
          </w:p>
        </w:tc>
        <w:tc>
          <w:tcPr>
            <w:tcW w:w="1245" w:type="dxa"/>
            <w:tcBorders>
              <w:top w:val="nil"/>
              <w:left w:val="nil"/>
              <w:bottom w:val="single" w:sz="4" w:space="0" w:color="auto"/>
              <w:right w:val="nil"/>
            </w:tcBorders>
            <w:shd w:val="clear" w:color="auto" w:fill="auto"/>
            <w:noWrap/>
            <w:vAlign w:val="bottom"/>
            <w:hideMark/>
          </w:tcPr>
          <w:p w14:paraId="1B4DC10A"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383,261</w:t>
            </w:r>
          </w:p>
        </w:tc>
        <w:tc>
          <w:tcPr>
            <w:tcW w:w="1058" w:type="dxa"/>
            <w:tcBorders>
              <w:top w:val="nil"/>
              <w:left w:val="nil"/>
              <w:bottom w:val="single" w:sz="4" w:space="0" w:color="auto"/>
              <w:right w:val="nil"/>
            </w:tcBorders>
            <w:shd w:val="clear" w:color="auto" w:fill="auto"/>
            <w:noWrap/>
            <w:vAlign w:val="bottom"/>
            <w:hideMark/>
          </w:tcPr>
          <w:p w14:paraId="10F36B16"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389,865</w:t>
            </w:r>
          </w:p>
        </w:tc>
        <w:tc>
          <w:tcPr>
            <w:tcW w:w="1018" w:type="dxa"/>
            <w:tcBorders>
              <w:top w:val="nil"/>
              <w:left w:val="nil"/>
              <w:bottom w:val="single" w:sz="4" w:space="0" w:color="auto"/>
              <w:right w:val="nil"/>
            </w:tcBorders>
            <w:shd w:val="clear" w:color="000000" w:fill="D9D9D9"/>
            <w:noWrap/>
            <w:vAlign w:val="bottom"/>
            <w:hideMark/>
          </w:tcPr>
          <w:p w14:paraId="655FE549"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(9,652)</w:t>
            </w:r>
          </w:p>
        </w:tc>
        <w:tc>
          <w:tcPr>
            <w:tcW w:w="938" w:type="dxa"/>
            <w:tcBorders>
              <w:top w:val="nil"/>
              <w:left w:val="nil"/>
              <w:bottom w:val="single" w:sz="4" w:space="0" w:color="auto"/>
              <w:right w:val="nil"/>
            </w:tcBorders>
            <w:shd w:val="clear" w:color="auto" w:fill="auto"/>
            <w:noWrap/>
            <w:vAlign w:val="bottom"/>
            <w:hideMark/>
          </w:tcPr>
          <w:p w14:paraId="2AEC0780"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380,213</w:t>
            </w:r>
          </w:p>
        </w:tc>
      </w:tr>
      <w:tr w:rsidR="00D43F40" w:rsidRPr="00D43F40" w14:paraId="1BC89D93" w14:textId="77777777" w:rsidTr="00E4631A">
        <w:trPr>
          <w:trHeight w:val="964"/>
          <w:jc w:val="center"/>
        </w:trPr>
        <w:tc>
          <w:tcPr>
            <w:tcW w:w="3452" w:type="dxa"/>
            <w:tcBorders>
              <w:top w:val="nil"/>
              <w:left w:val="nil"/>
              <w:bottom w:val="nil"/>
              <w:right w:val="nil"/>
            </w:tcBorders>
            <w:shd w:val="clear" w:color="auto" w:fill="auto"/>
            <w:vAlign w:val="bottom"/>
            <w:hideMark/>
          </w:tcPr>
          <w:p w14:paraId="5FE2D665"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Less appropriations drawn from annual or special appropriations above and credited to special accounts and/or payments to corporate entities through annual appropriations</w:t>
            </w:r>
            <w:r w:rsidRPr="00D43F40">
              <w:rPr>
                <w:rFonts w:ascii="Arial" w:hAnsi="Arial" w:cs="Arial"/>
                <w:sz w:val="16"/>
                <w:szCs w:val="16"/>
                <w:vertAlign w:val="superscript"/>
              </w:rPr>
              <w:t xml:space="preserve"> </w:t>
            </w:r>
          </w:p>
        </w:tc>
        <w:tc>
          <w:tcPr>
            <w:tcW w:w="1245" w:type="dxa"/>
            <w:tcBorders>
              <w:top w:val="nil"/>
              <w:left w:val="nil"/>
              <w:bottom w:val="single" w:sz="4" w:space="0" w:color="auto"/>
              <w:right w:val="nil"/>
            </w:tcBorders>
            <w:shd w:val="clear" w:color="auto" w:fill="auto"/>
            <w:noWrap/>
            <w:vAlign w:val="bottom"/>
            <w:hideMark/>
          </w:tcPr>
          <w:p w14:paraId="1C47C53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(31,136)</w:t>
            </w:r>
          </w:p>
        </w:tc>
        <w:tc>
          <w:tcPr>
            <w:tcW w:w="1058" w:type="dxa"/>
            <w:tcBorders>
              <w:top w:val="nil"/>
              <w:left w:val="nil"/>
              <w:bottom w:val="single" w:sz="4" w:space="0" w:color="auto"/>
              <w:right w:val="nil"/>
            </w:tcBorders>
            <w:shd w:val="clear" w:color="auto" w:fill="auto"/>
            <w:noWrap/>
            <w:vAlign w:val="bottom"/>
            <w:hideMark/>
          </w:tcPr>
          <w:p w14:paraId="0866D29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(46,628)</w:t>
            </w:r>
          </w:p>
        </w:tc>
        <w:tc>
          <w:tcPr>
            <w:tcW w:w="1018" w:type="dxa"/>
            <w:tcBorders>
              <w:top w:val="nil"/>
              <w:left w:val="nil"/>
              <w:bottom w:val="single" w:sz="4" w:space="0" w:color="auto"/>
              <w:right w:val="nil"/>
            </w:tcBorders>
            <w:shd w:val="clear" w:color="000000" w:fill="D9D9D9"/>
            <w:noWrap/>
            <w:vAlign w:val="bottom"/>
            <w:hideMark/>
          </w:tcPr>
          <w:p w14:paraId="6BA99004"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249</w:t>
            </w:r>
          </w:p>
        </w:tc>
        <w:tc>
          <w:tcPr>
            <w:tcW w:w="938" w:type="dxa"/>
            <w:tcBorders>
              <w:top w:val="nil"/>
              <w:left w:val="nil"/>
              <w:bottom w:val="single" w:sz="4" w:space="0" w:color="auto"/>
              <w:right w:val="nil"/>
            </w:tcBorders>
            <w:shd w:val="clear" w:color="auto" w:fill="auto"/>
            <w:noWrap/>
            <w:vAlign w:val="bottom"/>
            <w:hideMark/>
          </w:tcPr>
          <w:p w14:paraId="6306ED40"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(46,379)</w:t>
            </w:r>
          </w:p>
        </w:tc>
      </w:tr>
      <w:tr w:rsidR="00D43F40" w:rsidRPr="00D43F40" w14:paraId="68EDACDA" w14:textId="77777777" w:rsidTr="006F4FF0">
        <w:trPr>
          <w:trHeight w:val="283"/>
          <w:jc w:val="center"/>
        </w:trPr>
        <w:tc>
          <w:tcPr>
            <w:tcW w:w="3452" w:type="dxa"/>
            <w:tcBorders>
              <w:top w:val="nil"/>
              <w:left w:val="nil"/>
              <w:bottom w:val="nil"/>
              <w:right w:val="nil"/>
            </w:tcBorders>
            <w:shd w:val="clear" w:color="auto" w:fill="auto"/>
            <w:noWrap/>
            <w:vAlign w:val="bottom"/>
            <w:hideMark/>
          </w:tcPr>
          <w:p w14:paraId="7A51C466" w14:textId="2E275963"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Total departmental resourcing for Health</w:t>
            </w:r>
            <w:r w:rsidR="000D3AD4">
              <w:rPr>
                <w:rFonts w:ascii="Arial" w:hAnsi="Arial" w:cs="Arial"/>
                <w:b/>
                <w:bCs/>
                <w:sz w:val="16"/>
                <w:szCs w:val="16"/>
              </w:rPr>
              <w:t xml:space="preserve"> and Aged Care</w:t>
            </w:r>
          </w:p>
        </w:tc>
        <w:tc>
          <w:tcPr>
            <w:tcW w:w="1245" w:type="dxa"/>
            <w:tcBorders>
              <w:top w:val="nil"/>
              <w:left w:val="nil"/>
              <w:bottom w:val="single" w:sz="4" w:space="0" w:color="auto"/>
              <w:right w:val="nil"/>
            </w:tcBorders>
            <w:shd w:val="clear" w:color="auto" w:fill="auto"/>
            <w:noWrap/>
            <w:vAlign w:val="bottom"/>
            <w:hideMark/>
          </w:tcPr>
          <w:p w14:paraId="2DE87F82"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1,706,676</w:t>
            </w:r>
          </w:p>
        </w:tc>
        <w:tc>
          <w:tcPr>
            <w:tcW w:w="1058" w:type="dxa"/>
            <w:tcBorders>
              <w:top w:val="nil"/>
              <w:left w:val="nil"/>
              <w:bottom w:val="single" w:sz="4" w:space="0" w:color="auto"/>
              <w:right w:val="nil"/>
            </w:tcBorders>
            <w:shd w:val="clear" w:color="auto" w:fill="auto"/>
            <w:noWrap/>
            <w:vAlign w:val="bottom"/>
            <w:hideMark/>
          </w:tcPr>
          <w:p w14:paraId="4B705AD8"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1,879,941</w:t>
            </w:r>
          </w:p>
        </w:tc>
        <w:tc>
          <w:tcPr>
            <w:tcW w:w="1018" w:type="dxa"/>
            <w:tcBorders>
              <w:top w:val="nil"/>
              <w:left w:val="nil"/>
              <w:bottom w:val="single" w:sz="4" w:space="0" w:color="auto"/>
              <w:right w:val="nil"/>
            </w:tcBorders>
            <w:shd w:val="clear" w:color="000000" w:fill="D9D9D9"/>
            <w:noWrap/>
            <w:vAlign w:val="bottom"/>
            <w:hideMark/>
          </w:tcPr>
          <w:p w14:paraId="3059E849"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243,907</w:t>
            </w:r>
          </w:p>
        </w:tc>
        <w:tc>
          <w:tcPr>
            <w:tcW w:w="938" w:type="dxa"/>
            <w:tcBorders>
              <w:top w:val="nil"/>
              <w:left w:val="nil"/>
              <w:bottom w:val="single" w:sz="4" w:space="0" w:color="auto"/>
              <w:right w:val="nil"/>
            </w:tcBorders>
            <w:shd w:val="clear" w:color="auto" w:fill="auto"/>
            <w:noWrap/>
            <w:vAlign w:val="bottom"/>
            <w:hideMark/>
          </w:tcPr>
          <w:p w14:paraId="04310DDE"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2,123,848</w:t>
            </w:r>
          </w:p>
        </w:tc>
      </w:tr>
      <w:tr w:rsidR="00D43F40" w:rsidRPr="00D43F40" w14:paraId="6D96A89E" w14:textId="77777777" w:rsidTr="000D3AD4">
        <w:trPr>
          <w:trHeight w:val="300"/>
          <w:jc w:val="center"/>
        </w:trPr>
        <w:tc>
          <w:tcPr>
            <w:tcW w:w="3452" w:type="dxa"/>
            <w:tcBorders>
              <w:top w:val="nil"/>
              <w:left w:val="nil"/>
              <w:bottom w:val="nil"/>
              <w:right w:val="nil"/>
            </w:tcBorders>
            <w:shd w:val="clear" w:color="auto" w:fill="auto"/>
            <w:noWrap/>
            <w:vAlign w:val="bottom"/>
            <w:hideMark/>
          </w:tcPr>
          <w:p w14:paraId="010D11AC" w14:textId="77777777" w:rsidR="00D43F40" w:rsidRPr="00D43F40" w:rsidRDefault="00D43F40" w:rsidP="00D43F40">
            <w:pPr>
              <w:spacing w:before="0" w:after="0" w:line="240" w:lineRule="auto"/>
              <w:jc w:val="right"/>
              <w:rPr>
                <w:rFonts w:ascii="Arial" w:hAnsi="Arial" w:cs="Arial"/>
                <w:b/>
                <w:bCs/>
                <w:sz w:val="16"/>
                <w:szCs w:val="16"/>
              </w:rPr>
            </w:pPr>
          </w:p>
        </w:tc>
        <w:tc>
          <w:tcPr>
            <w:tcW w:w="1245" w:type="dxa"/>
            <w:tcBorders>
              <w:top w:val="nil"/>
              <w:left w:val="nil"/>
              <w:bottom w:val="nil"/>
              <w:right w:val="nil"/>
            </w:tcBorders>
            <w:shd w:val="clear" w:color="auto" w:fill="auto"/>
            <w:noWrap/>
            <w:vAlign w:val="bottom"/>
            <w:hideMark/>
          </w:tcPr>
          <w:p w14:paraId="6D6BAB3B" w14:textId="77777777" w:rsidR="00D43F40" w:rsidRPr="00D43F40" w:rsidRDefault="00D43F40" w:rsidP="00D43F40">
            <w:pPr>
              <w:spacing w:before="0" w:after="0" w:line="240" w:lineRule="auto"/>
              <w:rPr>
                <w:rFonts w:ascii="Times New Roman" w:hAnsi="Times New Roman"/>
                <w:sz w:val="20"/>
              </w:rPr>
            </w:pPr>
          </w:p>
        </w:tc>
        <w:tc>
          <w:tcPr>
            <w:tcW w:w="1058" w:type="dxa"/>
            <w:tcBorders>
              <w:top w:val="nil"/>
              <w:left w:val="nil"/>
              <w:bottom w:val="nil"/>
              <w:right w:val="nil"/>
            </w:tcBorders>
            <w:shd w:val="clear" w:color="auto" w:fill="auto"/>
            <w:noWrap/>
            <w:vAlign w:val="bottom"/>
            <w:hideMark/>
          </w:tcPr>
          <w:p w14:paraId="5694D5AB" w14:textId="77777777" w:rsidR="00D43F40" w:rsidRPr="00D43F40" w:rsidRDefault="00D43F40" w:rsidP="00D43F40">
            <w:pPr>
              <w:spacing w:before="0" w:after="0" w:line="240" w:lineRule="auto"/>
              <w:jc w:val="right"/>
              <w:rPr>
                <w:rFonts w:ascii="Times New Roman" w:hAnsi="Times New Roman"/>
                <w:sz w:val="20"/>
              </w:rPr>
            </w:pPr>
          </w:p>
        </w:tc>
        <w:tc>
          <w:tcPr>
            <w:tcW w:w="1018" w:type="dxa"/>
            <w:tcBorders>
              <w:top w:val="nil"/>
              <w:left w:val="nil"/>
              <w:bottom w:val="nil"/>
              <w:right w:val="nil"/>
            </w:tcBorders>
            <w:shd w:val="clear" w:color="auto" w:fill="auto"/>
            <w:noWrap/>
            <w:vAlign w:val="bottom"/>
            <w:hideMark/>
          </w:tcPr>
          <w:p w14:paraId="26D5E168" w14:textId="77777777" w:rsidR="00D43F40" w:rsidRPr="00D43F40" w:rsidRDefault="00D43F40" w:rsidP="00D43F40">
            <w:pPr>
              <w:spacing w:before="0" w:after="0" w:line="240" w:lineRule="auto"/>
              <w:jc w:val="right"/>
              <w:rPr>
                <w:rFonts w:ascii="Times New Roman" w:hAnsi="Times New Roman"/>
                <w:sz w:val="20"/>
              </w:rPr>
            </w:pPr>
          </w:p>
        </w:tc>
        <w:tc>
          <w:tcPr>
            <w:tcW w:w="938" w:type="dxa"/>
            <w:tcBorders>
              <w:top w:val="nil"/>
              <w:left w:val="nil"/>
              <w:bottom w:val="nil"/>
              <w:right w:val="nil"/>
            </w:tcBorders>
            <w:shd w:val="clear" w:color="auto" w:fill="auto"/>
            <w:noWrap/>
            <w:vAlign w:val="bottom"/>
            <w:hideMark/>
          </w:tcPr>
          <w:p w14:paraId="763515EA" w14:textId="77777777" w:rsidR="00D43F40" w:rsidRPr="00D43F40" w:rsidRDefault="00D43F40" w:rsidP="00D43F40">
            <w:pPr>
              <w:spacing w:before="0" w:after="0" w:line="240" w:lineRule="auto"/>
              <w:jc w:val="right"/>
              <w:rPr>
                <w:rFonts w:ascii="Times New Roman" w:hAnsi="Times New Roman"/>
                <w:sz w:val="20"/>
              </w:rPr>
            </w:pPr>
          </w:p>
        </w:tc>
      </w:tr>
    </w:tbl>
    <w:p w14:paraId="5C61FB7B" w14:textId="447796FD" w:rsidR="00D43F40" w:rsidRDefault="00D43F40" w:rsidP="00736DD8">
      <w:pPr>
        <w:pStyle w:val="TableGraphic"/>
      </w:pPr>
    </w:p>
    <w:p w14:paraId="13F54C2A" w14:textId="41155966" w:rsidR="00736DD8" w:rsidRPr="00D43F40" w:rsidRDefault="00D43F40" w:rsidP="003E7AD6">
      <w:pPr>
        <w:pStyle w:val="TableGraphic"/>
        <w:spacing w:after="20"/>
        <w:rPr>
          <w:rFonts w:ascii="Arial" w:hAnsi="Arial" w:cs="Arial"/>
          <w:b/>
          <w:sz w:val="20"/>
        </w:rPr>
      </w:pPr>
      <w:r>
        <w:br w:type="column"/>
      </w:r>
      <w:r w:rsidRPr="00D43F40">
        <w:rPr>
          <w:rFonts w:ascii="Arial" w:hAnsi="Arial" w:cs="Arial"/>
          <w:b/>
          <w:sz w:val="20"/>
        </w:rPr>
        <w:lastRenderedPageBreak/>
        <w:t xml:space="preserve">Table 1.1: Department of Health and Aged Care resource statement — Additional Estimates for 2023–24 as </w:t>
      </w:r>
      <w:proofErr w:type="gramStart"/>
      <w:r w:rsidRPr="00D43F40">
        <w:rPr>
          <w:rFonts w:ascii="Arial" w:hAnsi="Arial" w:cs="Arial"/>
          <w:b/>
          <w:sz w:val="20"/>
        </w:rPr>
        <w:t>at</w:t>
      </w:r>
      <w:proofErr w:type="gramEnd"/>
      <w:r w:rsidRPr="00D43F40">
        <w:rPr>
          <w:rFonts w:ascii="Arial" w:hAnsi="Arial" w:cs="Arial"/>
          <w:b/>
          <w:sz w:val="20"/>
        </w:rPr>
        <w:t xml:space="preserve"> February 2024</w:t>
      </w:r>
      <w:r>
        <w:rPr>
          <w:rFonts w:ascii="Arial" w:hAnsi="Arial" w:cs="Arial"/>
          <w:b/>
          <w:sz w:val="20"/>
        </w:rPr>
        <w:t xml:space="preserve"> (continued)</w:t>
      </w:r>
    </w:p>
    <w:tbl>
      <w:tblPr>
        <w:tblW w:w="7711" w:type="dxa"/>
        <w:jc w:val="center"/>
        <w:tblLayout w:type="fixed"/>
        <w:tblLook w:val="04A0" w:firstRow="1" w:lastRow="0" w:firstColumn="1" w:lastColumn="0" w:noHBand="0" w:noVBand="1"/>
      </w:tblPr>
      <w:tblGrid>
        <w:gridCol w:w="3414"/>
        <w:gridCol w:w="1234"/>
        <w:gridCol w:w="1048"/>
        <w:gridCol w:w="1009"/>
        <w:gridCol w:w="1006"/>
      </w:tblGrid>
      <w:tr w:rsidR="00D43F40" w:rsidRPr="00D43F40" w14:paraId="02273F50" w14:textId="77777777" w:rsidTr="000D3AD4">
        <w:trPr>
          <w:trHeight w:val="765"/>
          <w:jc w:val="center"/>
        </w:trPr>
        <w:tc>
          <w:tcPr>
            <w:tcW w:w="3414" w:type="dxa"/>
            <w:tcBorders>
              <w:top w:val="single" w:sz="4" w:space="0" w:color="auto"/>
              <w:left w:val="nil"/>
              <w:bottom w:val="nil"/>
              <w:right w:val="nil"/>
            </w:tcBorders>
            <w:shd w:val="clear" w:color="auto" w:fill="auto"/>
            <w:vAlign w:val="bottom"/>
            <w:hideMark/>
          </w:tcPr>
          <w:p w14:paraId="64DCB441" w14:textId="77777777" w:rsidR="00D43F40" w:rsidRPr="00D43F40" w:rsidRDefault="00D43F40" w:rsidP="000D3AD4">
            <w:pPr>
              <w:spacing w:before="24" w:after="0" w:line="240" w:lineRule="auto"/>
              <w:jc w:val="right"/>
              <w:rPr>
                <w:rFonts w:ascii="Arial" w:hAnsi="Arial" w:cs="Arial"/>
                <w:b/>
                <w:bCs/>
                <w:sz w:val="16"/>
                <w:szCs w:val="16"/>
              </w:rPr>
            </w:pPr>
            <w:r w:rsidRPr="00D43F40">
              <w:rPr>
                <w:rFonts w:ascii="Arial" w:hAnsi="Arial" w:cs="Arial"/>
                <w:b/>
                <w:bCs/>
                <w:sz w:val="16"/>
                <w:szCs w:val="16"/>
              </w:rPr>
              <w:t> </w:t>
            </w:r>
          </w:p>
        </w:tc>
        <w:tc>
          <w:tcPr>
            <w:tcW w:w="1234" w:type="dxa"/>
            <w:tcBorders>
              <w:top w:val="single" w:sz="4" w:space="0" w:color="auto"/>
              <w:left w:val="nil"/>
              <w:bottom w:val="single" w:sz="4" w:space="0" w:color="auto"/>
              <w:right w:val="nil"/>
            </w:tcBorders>
            <w:shd w:val="clear" w:color="auto" w:fill="auto"/>
            <w:tcMar>
              <w:left w:w="0" w:type="dxa"/>
            </w:tcMar>
            <w:vAlign w:val="bottom"/>
            <w:hideMark/>
          </w:tcPr>
          <w:p w14:paraId="01FC068C" w14:textId="05101F55"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2022–</w:t>
            </w:r>
            <w:r w:rsidR="00D43F40" w:rsidRPr="00D43F40">
              <w:rPr>
                <w:rFonts w:ascii="Arial" w:hAnsi="Arial" w:cs="Arial"/>
                <w:b/>
                <w:bCs/>
                <w:sz w:val="16"/>
                <w:szCs w:val="16"/>
              </w:rPr>
              <w:t>23</w:t>
            </w:r>
            <w:r w:rsidR="00D43F40" w:rsidRPr="00D43F40">
              <w:rPr>
                <w:rFonts w:ascii="Arial" w:hAnsi="Arial" w:cs="Arial"/>
                <w:b/>
                <w:bCs/>
                <w:sz w:val="16"/>
                <w:szCs w:val="16"/>
              </w:rPr>
              <w:br/>
              <w:t xml:space="preserve">Total </w:t>
            </w:r>
            <w:r w:rsidR="00D43F40" w:rsidRPr="00D43F40">
              <w:rPr>
                <w:rFonts w:ascii="Arial" w:hAnsi="Arial" w:cs="Arial"/>
                <w:b/>
                <w:bCs/>
                <w:sz w:val="16"/>
                <w:szCs w:val="16"/>
              </w:rPr>
              <w:br/>
              <w:t>available</w:t>
            </w:r>
            <w:r w:rsidR="00D43F40" w:rsidRPr="00D43F40">
              <w:rPr>
                <w:rFonts w:ascii="Arial" w:hAnsi="Arial" w:cs="Arial"/>
                <w:b/>
                <w:bCs/>
                <w:sz w:val="16"/>
                <w:szCs w:val="16"/>
              </w:rPr>
              <w:br/>
              <w:t>appropriation</w:t>
            </w:r>
            <w:r w:rsidR="00D43F40" w:rsidRPr="00D43F40">
              <w:rPr>
                <w:rFonts w:ascii="Arial" w:hAnsi="Arial" w:cs="Arial"/>
                <w:b/>
                <w:bCs/>
                <w:sz w:val="16"/>
                <w:szCs w:val="16"/>
              </w:rPr>
              <w:br/>
            </w:r>
            <w:r w:rsidR="00D43F40" w:rsidRPr="00D43F40">
              <w:rPr>
                <w:rFonts w:ascii="Arial" w:hAnsi="Arial" w:cs="Arial"/>
                <w:sz w:val="16"/>
                <w:szCs w:val="16"/>
              </w:rPr>
              <w:t>$'000</w:t>
            </w:r>
          </w:p>
        </w:tc>
        <w:tc>
          <w:tcPr>
            <w:tcW w:w="1048" w:type="dxa"/>
            <w:tcBorders>
              <w:top w:val="single" w:sz="4" w:space="0" w:color="auto"/>
              <w:left w:val="nil"/>
              <w:bottom w:val="single" w:sz="4" w:space="0" w:color="auto"/>
              <w:right w:val="nil"/>
            </w:tcBorders>
            <w:shd w:val="clear" w:color="auto" w:fill="auto"/>
            <w:tcMar>
              <w:left w:w="0" w:type="dxa"/>
            </w:tcMar>
            <w:vAlign w:val="bottom"/>
            <w:hideMark/>
          </w:tcPr>
          <w:p w14:paraId="3C93CFAC" w14:textId="5D3326D5"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2023–</w:t>
            </w:r>
            <w:r w:rsidR="00D43F40" w:rsidRPr="00D43F40">
              <w:rPr>
                <w:rFonts w:ascii="Arial" w:hAnsi="Arial" w:cs="Arial"/>
                <w:b/>
                <w:bCs/>
                <w:sz w:val="16"/>
                <w:szCs w:val="16"/>
              </w:rPr>
              <w:t>24</w:t>
            </w:r>
            <w:r w:rsidR="00D43F40" w:rsidRPr="00D43F40">
              <w:rPr>
                <w:rFonts w:ascii="Arial" w:hAnsi="Arial" w:cs="Arial"/>
                <w:b/>
                <w:bCs/>
                <w:sz w:val="16"/>
                <w:szCs w:val="16"/>
              </w:rPr>
              <w:br/>
              <w:t>Estimate as</w:t>
            </w:r>
            <w:r w:rsidR="00D43F40" w:rsidRPr="00D43F40">
              <w:rPr>
                <w:rFonts w:ascii="Arial" w:hAnsi="Arial" w:cs="Arial"/>
                <w:b/>
                <w:bCs/>
                <w:sz w:val="16"/>
                <w:szCs w:val="16"/>
              </w:rPr>
              <w:br/>
              <w:t>at Budget</w:t>
            </w:r>
            <w:r w:rsidR="00D43F40" w:rsidRPr="00D43F40">
              <w:rPr>
                <w:rFonts w:ascii="Arial" w:hAnsi="Arial" w:cs="Arial"/>
                <w:b/>
                <w:bCs/>
                <w:sz w:val="16"/>
                <w:szCs w:val="16"/>
              </w:rPr>
              <w:br/>
            </w:r>
            <w:r w:rsidR="00D43F40" w:rsidRPr="00D43F40">
              <w:rPr>
                <w:rFonts w:ascii="Arial" w:hAnsi="Arial" w:cs="Arial"/>
                <w:b/>
                <w:bCs/>
                <w:sz w:val="16"/>
                <w:szCs w:val="16"/>
              </w:rPr>
              <w:br/>
            </w:r>
            <w:r w:rsidR="00D43F40" w:rsidRPr="00D43F40">
              <w:rPr>
                <w:rFonts w:ascii="Arial" w:hAnsi="Arial" w:cs="Arial"/>
                <w:sz w:val="16"/>
                <w:szCs w:val="16"/>
              </w:rPr>
              <w:t>$'000</w:t>
            </w:r>
          </w:p>
        </w:tc>
        <w:tc>
          <w:tcPr>
            <w:tcW w:w="1009" w:type="dxa"/>
            <w:tcBorders>
              <w:top w:val="single" w:sz="4" w:space="0" w:color="auto"/>
              <w:left w:val="nil"/>
              <w:bottom w:val="single" w:sz="4" w:space="0" w:color="auto"/>
              <w:right w:val="nil"/>
            </w:tcBorders>
            <w:shd w:val="clear" w:color="000000" w:fill="D9D9D9"/>
            <w:vAlign w:val="bottom"/>
            <w:hideMark/>
          </w:tcPr>
          <w:p w14:paraId="0D92D6C7" w14:textId="1109D339"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2023-</w:t>
            </w:r>
            <w:r w:rsidR="00D43F40" w:rsidRPr="00D43F40">
              <w:rPr>
                <w:rFonts w:ascii="Arial" w:hAnsi="Arial" w:cs="Arial"/>
                <w:b/>
                <w:bCs/>
                <w:sz w:val="16"/>
                <w:szCs w:val="16"/>
              </w:rPr>
              <w:t>24</w:t>
            </w:r>
            <w:r w:rsidR="00D43F40" w:rsidRPr="00D43F40">
              <w:rPr>
                <w:rFonts w:ascii="Arial" w:hAnsi="Arial" w:cs="Arial"/>
                <w:b/>
                <w:bCs/>
                <w:sz w:val="16"/>
                <w:szCs w:val="16"/>
              </w:rPr>
              <w:br/>
              <w:t>Proposed</w:t>
            </w:r>
            <w:r w:rsidR="00D43F40" w:rsidRPr="00D43F40">
              <w:rPr>
                <w:rFonts w:ascii="Arial" w:hAnsi="Arial" w:cs="Arial"/>
                <w:b/>
                <w:bCs/>
                <w:sz w:val="16"/>
                <w:szCs w:val="16"/>
              </w:rPr>
              <w:br/>
              <w:t>Additional</w:t>
            </w:r>
            <w:r w:rsidR="00D43F40" w:rsidRPr="00D43F40">
              <w:rPr>
                <w:rFonts w:ascii="Arial" w:hAnsi="Arial" w:cs="Arial"/>
                <w:b/>
                <w:bCs/>
                <w:sz w:val="16"/>
                <w:szCs w:val="16"/>
              </w:rPr>
              <w:br/>
              <w:t>Estimates</w:t>
            </w:r>
            <w:r w:rsidR="00D43F40" w:rsidRPr="00D43F40">
              <w:rPr>
                <w:rFonts w:ascii="Arial" w:hAnsi="Arial" w:cs="Arial"/>
                <w:b/>
                <w:bCs/>
                <w:sz w:val="16"/>
                <w:szCs w:val="16"/>
              </w:rPr>
              <w:br/>
            </w:r>
            <w:r w:rsidR="00D43F40" w:rsidRPr="00D43F40">
              <w:rPr>
                <w:rFonts w:ascii="Arial" w:hAnsi="Arial" w:cs="Arial"/>
                <w:sz w:val="16"/>
                <w:szCs w:val="16"/>
              </w:rPr>
              <w:t>$'000</w:t>
            </w:r>
          </w:p>
        </w:tc>
        <w:tc>
          <w:tcPr>
            <w:tcW w:w="1006" w:type="dxa"/>
            <w:tcBorders>
              <w:top w:val="single" w:sz="4" w:space="0" w:color="auto"/>
              <w:left w:val="nil"/>
              <w:bottom w:val="single" w:sz="4" w:space="0" w:color="auto"/>
              <w:right w:val="nil"/>
            </w:tcBorders>
            <w:shd w:val="clear" w:color="auto" w:fill="auto"/>
            <w:vAlign w:val="bottom"/>
            <w:hideMark/>
          </w:tcPr>
          <w:p w14:paraId="554639E1" w14:textId="18E4DBE7" w:rsidR="00D43F40" w:rsidRPr="00D43F40" w:rsidRDefault="000D3AD4" w:rsidP="000D3AD4">
            <w:pPr>
              <w:spacing w:before="24" w:after="0" w:line="240" w:lineRule="auto"/>
              <w:jc w:val="right"/>
              <w:rPr>
                <w:rFonts w:ascii="Arial" w:hAnsi="Arial" w:cs="Arial"/>
                <w:b/>
                <w:bCs/>
                <w:sz w:val="16"/>
                <w:szCs w:val="16"/>
              </w:rPr>
            </w:pPr>
            <w:r>
              <w:rPr>
                <w:rFonts w:ascii="Arial" w:hAnsi="Arial" w:cs="Arial"/>
                <w:b/>
                <w:bCs/>
                <w:sz w:val="16"/>
                <w:szCs w:val="16"/>
              </w:rPr>
              <w:t>2023–</w:t>
            </w:r>
            <w:r w:rsidR="00D43F40" w:rsidRPr="00D43F40">
              <w:rPr>
                <w:rFonts w:ascii="Arial" w:hAnsi="Arial" w:cs="Arial"/>
                <w:b/>
                <w:bCs/>
                <w:sz w:val="16"/>
                <w:szCs w:val="16"/>
              </w:rPr>
              <w:t>24</w:t>
            </w:r>
            <w:r w:rsidR="00D43F40" w:rsidRPr="00D43F40">
              <w:rPr>
                <w:rFonts w:ascii="Arial" w:hAnsi="Arial" w:cs="Arial"/>
                <w:b/>
                <w:bCs/>
                <w:sz w:val="16"/>
                <w:szCs w:val="16"/>
              </w:rPr>
              <w:br/>
              <w:t>Total</w:t>
            </w:r>
            <w:r w:rsidR="00D43F40" w:rsidRPr="00D43F40">
              <w:rPr>
                <w:rFonts w:ascii="Arial" w:hAnsi="Arial" w:cs="Arial"/>
                <w:b/>
                <w:bCs/>
                <w:sz w:val="16"/>
                <w:szCs w:val="16"/>
              </w:rPr>
              <w:br/>
              <w:t>Estimate</w:t>
            </w:r>
            <w:r w:rsidR="00D43F40" w:rsidRPr="00D43F40">
              <w:rPr>
                <w:rFonts w:ascii="Arial" w:hAnsi="Arial" w:cs="Arial"/>
                <w:b/>
                <w:bCs/>
                <w:sz w:val="16"/>
                <w:szCs w:val="16"/>
              </w:rPr>
              <w:br/>
              <w:t>at AEs</w:t>
            </w:r>
            <w:r w:rsidR="00D43F40" w:rsidRPr="00D43F40">
              <w:rPr>
                <w:rFonts w:ascii="Arial" w:hAnsi="Arial" w:cs="Arial"/>
                <w:b/>
                <w:bCs/>
                <w:sz w:val="16"/>
                <w:szCs w:val="16"/>
              </w:rPr>
              <w:br/>
            </w:r>
            <w:r w:rsidR="00D43F40" w:rsidRPr="00D43F40">
              <w:rPr>
                <w:rFonts w:ascii="Arial" w:hAnsi="Arial" w:cs="Arial"/>
                <w:sz w:val="16"/>
                <w:szCs w:val="16"/>
              </w:rPr>
              <w:t>$'000</w:t>
            </w:r>
          </w:p>
        </w:tc>
      </w:tr>
      <w:tr w:rsidR="00D43F40" w:rsidRPr="00D43F40" w14:paraId="378F6BD6"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36B499FC"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ADMINISTERED</w:t>
            </w:r>
          </w:p>
        </w:tc>
        <w:tc>
          <w:tcPr>
            <w:tcW w:w="1234" w:type="dxa"/>
            <w:tcBorders>
              <w:top w:val="nil"/>
              <w:left w:val="nil"/>
              <w:bottom w:val="nil"/>
              <w:right w:val="nil"/>
            </w:tcBorders>
            <w:shd w:val="clear" w:color="auto" w:fill="auto"/>
            <w:noWrap/>
            <w:vAlign w:val="bottom"/>
            <w:hideMark/>
          </w:tcPr>
          <w:p w14:paraId="49841BAF" w14:textId="77777777" w:rsidR="00D43F40" w:rsidRPr="00D43F40" w:rsidRDefault="00D43F40" w:rsidP="00D43F40">
            <w:pPr>
              <w:spacing w:before="0" w:after="0" w:line="240" w:lineRule="auto"/>
              <w:rPr>
                <w:rFonts w:ascii="Arial" w:hAnsi="Arial" w:cs="Arial"/>
                <w:b/>
                <w:bCs/>
                <w:sz w:val="16"/>
                <w:szCs w:val="16"/>
              </w:rPr>
            </w:pPr>
          </w:p>
        </w:tc>
        <w:tc>
          <w:tcPr>
            <w:tcW w:w="1048" w:type="dxa"/>
            <w:tcBorders>
              <w:top w:val="nil"/>
              <w:left w:val="nil"/>
              <w:bottom w:val="nil"/>
              <w:right w:val="nil"/>
            </w:tcBorders>
            <w:shd w:val="clear" w:color="auto" w:fill="auto"/>
            <w:vAlign w:val="bottom"/>
            <w:hideMark/>
          </w:tcPr>
          <w:p w14:paraId="6C26EFD3" w14:textId="77777777" w:rsidR="00D43F40" w:rsidRPr="00D43F40" w:rsidRDefault="00D43F40" w:rsidP="00D43F40">
            <w:pPr>
              <w:spacing w:before="0" w:after="0" w:line="240" w:lineRule="auto"/>
              <w:jc w:val="right"/>
              <w:rPr>
                <w:rFonts w:ascii="Times New Roman" w:hAnsi="Times New Roman"/>
                <w:sz w:val="20"/>
              </w:rPr>
            </w:pPr>
          </w:p>
        </w:tc>
        <w:tc>
          <w:tcPr>
            <w:tcW w:w="1009" w:type="dxa"/>
            <w:tcBorders>
              <w:top w:val="nil"/>
              <w:left w:val="nil"/>
              <w:bottom w:val="nil"/>
              <w:right w:val="nil"/>
            </w:tcBorders>
            <w:shd w:val="clear" w:color="000000" w:fill="D9D9D9"/>
            <w:vAlign w:val="bottom"/>
            <w:hideMark/>
          </w:tcPr>
          <w:p w14:paraId="2CCB570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 </w:t>
            </w:r>
          </w:p>
        </w:tc>
        <w:tc>
          <w:tcPr>
            <w:tcW w:w="1006" w:type="dxa"/>
            <w:tcBorders>
              <w:top w:val="nil"/>
              <w:left w:val="nil"/>
              <w:bottom w:val="nil"/>
              <w:right w:val="nil"/>
            </w:tcBorders>
            <w:shd w:val="clear" w:color="auto" w:fill="auto"/>
            <w:noWrap/>
            <w:vAlign w:val="bottom"/>
            <w:hideMark/>
          </w:tcPr>
          <w:p w14:paraId="0FD69E9B"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039DF95A" w14:textId="77777777" w:rsidTr="00E4631A">
        <w:trPr>
          <w:trHeight w:val="283"/>
          <w:jc w:val="center"/>
        </w:trPr>
        <w:tc>
          <w:tcPr>
            <w:tcW w:w="3414" w:type="dxa"/>
            <w:tcBorders>
              <w:top w:val="nil"/>
              <w:left w:val="nil"/>
              <w:bottom w:val="nil"/>
              <w:right w:val="nil"/>
            </w:tcBorders>
            <w:shd w:val="clear" w:color="auto" w:fill="auto"/>
            <w:noWrap/>
            <w:vAlign w:val="bottom"/>
            <w:hideMark/>
          </w:tcPr>
          <w:p w14:paraId="1428CE2E"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Annual appropriations</w:t>
            </w:r>
          </w:p>
        </w:tc>
        <w:tc>
          <w:tcPr>
            <w:tcW w:w="1234" w:type="dxa"/>
            <w:tcBorders>
              <w:top w:val="nil"/>
              <w:left w:val="nil"/>
              <w:bottom w:val="nil"/>
              <w:right w:val="nil"/>
            </w:tcBorders>
            <w:shd w:val="clear" w:color="auto" w:fill="auto"/>
            <w:noWrap/>
            <w:vAlign w:val="bottom"/>
            <w:hideMark/>
          </w:tcPr>
          <w:p w14:paraId="7C7A8197" w14:textId="77777777" w:rsidR="00D43F40" w:rsidRPr="00D43F40" w:rsidRDefault="00D43F40" w:rsidP="00D43F40">
            <w:pPr>
              <w:spacing w:before="0" w:after="0" w:line="240" w:lineRule="auto"/>
              <w:rPr>
                <w:rFonts w:ascii="Arial" w:hAnsi="Arial" w:cs="Arial"/>
                <w:b/>
                <w:bCs/>
                <w:sz w:val="16"/>
                <w:szCs w:val="16"/>
              </w:rPr>
            </w:pPr>
          </w:p>
        </w:tc>
        <w:tc>
          <w:tcPr>
            <w:tcW w:w="1048" w:type="dxa"/>
            <w:tcBorders>
              <w:top w:val="nil"/>
              <w:left w:val="nil"/>
              <w:bottom w:val="nil"/>
              <w:right w:val="nil"/>
            </w:tcBorders>
            <w:shd w:val="clear" w:color="auto" w:fill="auto"/>
            <w:vAlign w:val="bottom"/>
            <w:hideMark/>
          </w:tcPr>
          <w:p w14:paraId="02CA779E" w14:textId="77777777" w:rsidR="00D43F40" w:rsidRPr="00D43F40" w:rsidRDefault="00D43F40" w:rsidP="00D43F40">
            <w:pPr>
              <w:spacing w:before="0" w:after="0" w:line="240" w:lineRule="auto"/>
              <w:jc w:val="right"/>
              <w:rPr>
                <w:rFonts w:ascii="Times New Roman" w:hAnsi="Times New Roman"/>
                <w:sz w:val="20"/>
              </w:rPr>
            </w:pPr>
          </w:p>
        </w:tc>
        <w:tc>
          <w:tcPr>
            <w:tcW w:w="1009" w:type="dxa"/>
            <w:tcBorders>
              <w:top w:val="nil"/>
              <w:left w:val="nil"/>
              <w:bottom w:val="nil"/>
              <w:right w:val="nil"/>
            </w:tcBorders>
            <w:shd w:val="clear" w:color="000000" w:fill="D9D9D9"/>
            <w:vAlign w:val="bottom"/>
            <w:hideMark/>
          </w:tcPr>
          <w:p w14:paraId="2C5BA252"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 </w:t>
            </w:r>
          </w:p>
        </w:tc>
        <w:tc>
          <w:tcPr>
            <w:tcW w:w="1006" w:type="dxa"/>
            <w:tcBorders>
              <w:top w:val="nil"/>
              <w:left w:val="nil"/>
              <w:bottom w:val="nil"/>
              <w:right w:val="nil"/>
            </w:tcBorders>
            <w:shd w:val="clear" w:color="auto" w:fill="auto"/>
            <w:noWrap/>
            <w:vAlign w:val="bottom"/>
            <w:hideMark/>
          </w:tcPr>
          <w:p w14:paraId="526EE6ED"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39246E55"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5E73B0B5" w14:textId="07E8BE96" w:rsidR="00D43F40" w:rsidRPr="00D43F40" w:rsidRDefault="00D43F40" w:rsidP="003D5790">
            <w:pPr>
              <w:spacing w:before="0" w:after="0" w:line="240" w:lineRule="auto"/>
              <w:ind w:leftChars="75" w:left="143"/>
              <w:rPr>
                <w:rFonts w:ascii="Arial" w:hAnsi="Arial" w:cs="Arial"/>
                <w:sz w:val="16"/>
                <w:szCs w:val="16"/>
              </w:rPr>
            </w:pPr>
            <w:r w:rsidRPr="00D43F40">
              <w:rPr>
                <w:rFonts w:ascii="Arial" w:hAnsi="Arial" w:cs="Arial"/>
                <w:sz w:val="16"/>
                <w:szCs w:val="16"/>
              </w:rPr>
              <w:t>Ordinary annual services</w:t>
            </w:r>
            <w:r w:rsidRPr="00D43F40">
              <w:rPr>
                <w:rFonts w:ascii="Arial" w:hAnsi="Arial" w:cs="Arial"/>
                <w:sz w:val="16"/>
                <w:szCs w:val="16"/>
                <w:vertAlign w:val="superscript"/>
              </w:rPr>
              <w:t>(c)</w:t>
            </w:r>
          </w:p>
        </w:tc>
        <w:tc>
          <w:tcPr>
            <w:tcW w:w="1234" w:type="dxa"/>
            <w:tcBorders>
              <w:top w:val="nil"/>
              <w:left w:val="nil"/>
              <w:bottom w:val="nil"/>
              <w:right w:val="nil"/>
            </w:tcBorders>
            <w:shd w:val="clear" w:color="auto" w:fill="auto"/>
            <w:noWrap/>
            <w:vAlign w:val="bottom"/>
            <w:hideMark/>
          </w:tcPr>
          <w:p w14:paraId="174F06BE" w14:textId="77777777" w:rsidR="00D43F40" w:rsidRPr="00D43F40" w:rsidRDefault="00D43F40" w:rsidP="00D43F40">
            <w:pPr>
              <w:spacing w:before="0" w:after="0" w:line="240" w:lineRule="auto"/>
              <w:ind w:firstLineChars="100" w:firstLine="160"/>
              <w:rPr>
                <w:rFonts w:ascii="Arial" w:hAnsi="Arial" w:cs="Arial"/>
                <w:sz w:val="16"/>
                <w:szCs w:val="16"/>
              </w:rPr>
            </w:pPr>
          </w:p>
        </w:tc>
        <w:tc>
          <w:tcPr>
            <w:tcW w:w="1048" w:type="dxa"/>
            <w:tcBorders>
              <w:top w:val="nil"/>
              <w:left w:val="nil"/>
              <w:bottom w:val="nil"/>
              <w:right w:val="nil"/>
            </w:tcBorders>
            <w:shd w:val="clear" w:color="auto" w:fill="auto"/>
            <w:vAlign w:val="bottom"/>
            <w:hideMark/>
          </w:tcPr>
          <w:p w14:paraId="4DC26B95" w14:textId="77777777" w:rsidR="00D43F40" w:rsidRPr="00D43F40" w:rsidRDefault="00D43F40" w:rsidP="00D43F40">
            <w:pPr>
              <w:spacing w:before="0" w:after="0" w:line="240" w:lineRule="auto"/>
              <w:jc w:val="right"/>
              <w:rPr>
                <w:rFonts w:ascii="Times New Roman" w:hAnsi="Times New Roman"/>
                <w:sz w:val="20"/>
              </w:rPr>
            </w:pPr>
          </w:p>
        </w:tc>
        <w:tc>
          <w:tcPr>
            <w:tcW w:w="1009" w:type="dxa"/>
            <w:tcBorders>
              <w:top w:val="nil"/>
              <w:left w:val="nil"/>
              <w:bottom w:val="nil"/>
              <w:right w:val="nil"/>
            </w:tcBorders>
            <w:shd w:val="clear" w:color="000000" w:fill="D9D9D9"/>
            <w:vAlign w:val="bottom"/>
            <w:hideMark/>
          </w:tcPr>
          <w:p w14:paraId="36A614B0"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 </w:t>
            </w:r>
          </w:p>
        </w:tc>
        <w:tc>
          <w:tcPr>
            <w:tcW w:w="1006" w:type="dxa"/>
            <w:tcBorders>
              <w:top w:val="nil"/>
              <w:left w:val="nil"/>
              <w:bottom w:val="nil"/>
              <w:right w:val="nil"/>
            </w:tcBorders>
            <w:shd w:val="clear" w:color="auto" w:fill="auto"/>
            <w:noWrap/>
            <w:vAlign w:val="bottom"/>
            <w:hideMark/>
          </w:tcPr>
          <w:p w14:paraId="1C746A73"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3F02A192" w14:textId="77777777" w:rsidTr="00E4631A">
        <w:trPr>
          <w:trHeight w:val="425"/>
          <w:jc w:val="center"/>
        </w:trPr>
        <w:tc>
          <w:tcPr>
            <w:tcW w:w="3414" w:type="dxa"/>
            <w:tcBorders>
              <w:top w:val="nil"/>
              <w:left w:val="nil"/>
              <w:bottom w:val="nil"/>
              <w:right w:val="nil"/>
            </w:tcBorders>
            <w:shd w:val="clear" w:color="auto" w:fill="auto"/>
            <w:vAlign w:val="bottom"/>
            <w:hideMark/>
          </w:tcPr>
          <w:p w14:paraId="45A98154"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 xml:space="preserve">Outcome 1: Health Policy, </w:t>
            </w:r>
            <w:proofErr w:type="gramStart"/>
            <w:r w:rsidRPr="00D43F40">
              <w:rPr>
                <w:rFonts w:ascii="Arial" w:hAnsi="Arial" w:cs="Arial"/>
                <w:sz w:val="16"/>
                <w:szCs w:val="16"/>
              </w:rPr>
              <w:t>Access</w:t>
            </w:r>
            <w:proofErr w:type="gramEnd"/>
            <w:r w:rsidRPr="00D43F40">
              <w:rPr>
                <w:rFonts w:ascii="Arial" w:hAnsi="Arial" w:cs="Arial"/>
                <w:sz w:val="16"/>
                <w:szCs w:val="16"/>
              </w:rPr>
              <w:t xml:space="preserve"> and Support</w:t>
            </w:r>
          </w:p>
        </w:tc>
        <w:tc>
          <w:tcPr>
            <w:tcW w:w="1234" w:type="dxa"/>
            <w:tcBorders>
              <w:top w:val="nil"/>
              <w:left w:val="nil"/>
              <w:bottom w:val="nil"/>
              <w:right w:val="nil"/>
            </w:tcBorders>
            <w:shd w:val="clear" w:color="auto" w:fill="auto"/>
            <w:noWrap/>
            <w:vAlign w:val="bottom"/>
            <w:hideMark/>
          </w:tcPr>
          <w:p w14:paraId="12D3542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10,595,802</w:t>
            </w:r>
          </w:p>
        </w:tc>
        <w:tc>
          <w:tcPr>
            <w:tcW w:w="1048" w:type="dxa"/>
            <w:tcBorders>
              <w:top w:val="nil"/>
              <w:left w:val="nil"/>
              <w:bottom w:val="nil"/>
              <w:right w:val="nil"/>
            </w:tcBorders>
            <w:shd w:val="clear" w:color="auto" w:fill="auto"/>
            <w:noWrap/>
            <w:vAlign w:val="bottom"/>
            <w:hideMark/>
          </w:tcPr>
          <w:p w14:paraId="505101F6"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7,856,270</w:t>
            </w:r>
          </w:p>
        </w:tc>
        <w:tc>
          <w:tcPr>
            <w:tcW w:w="1009" w:type="dxa"/>
            <w:tcBorders>
              <w:top w:val="nil"/>
              <w:left w:val="nil"/>
              <w:bottom w:val="nil"/>
              <w:right w:val="nil"/>
            </w:tcBorders>
            <w:shd w:val="clear" w:color="000000" w:fill="D9D9D9"/>
            <w:noWrap/>
            <w:vAlign w:val="bottom"/>
            <w:hideMark/>
          </w:tcPr>
          <w:p w14:paraId="4EC51C5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341,380</w:t>
            </w:r>
          </w:p>
        </w:tc>
        <w:tc>
          <w:tcPr>
            <w:tcW w:w="1006" w:type="dxa"/>
            <w:tcBorders>
              <w:top w:val="nil"/>
              <w:left w:val="nil"/>
              <w:bottom w:val="nil"/>
              <w:right w:val="nil"/>
            </w:tcBorders>
            <w:shd w:val="clear" w:color="auto" w:fill="auto"/>
            <w:noWrap/>
            <w:vAlign w:val="bottom"/>
            <w:hideMark/>
          </w:tcPr>
          <w:p w14:paraId="7ADE58D3"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8,197,650</w:t>
            </w:r>
          </w:p>
        </w:tc>
      </w:tr>
      <w:tr w:rsidR="00D43F40" w:rsidRPr="00D43F40" w14:paraId="22D08F89"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62FD2EE3"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 xml:space="preserve">Outcome 2: Individual Health Benefits </w:t>
            </w:r>
          </w:p>
        </w:tc>
        <w:tc>
          <w:tcPr>
            <w:tcW w:w="1234" w:type="dxa"/>
            <w:tcBorders>
              <w:top w:val="nil"/>
              <w:left w:val="nil"/>
              <w:bottom w:val="nil"/>
              <w:right w:val="nil"/>
            </w:tcBorders>
            <w:shd w:val="clear" w:color="auto" w:fill="auto"/>
            <w:noWrap/>
            <w:vAlign w:val="bottom"/>
            <w:hideMark/>
          </w:tcPr>
          <w:p w14:paraId="25FC93EE"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1,633,143</w:t>
            </w:r>
          </w:p>
        </w:tc>
        <w:tc>
          <w:tcPr>
            <w:tcW w:w="1048" w:type="dxa"/>
            <w:tcBorders>
              <w:top w:val="nil"/>
              <w:left w:val="nil"/>
              <w:bottom w:val="nil"/>
              <w:right w:val="nil"/>
            </w:tcBorders>
            <w:shd w:val="clear" w:color="auto" w:fill="auto"/>
            <w:noWrap/>
            <w:vAlign w:val="bottom"/>
            <w:hideMark/>
          </w:tcPr>
          <w:p w14:paraId="65C3E6A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1,720,973</w:t>
            </w:r>
          </w:p>
        </w:tc>
        <w:tc>
          <w:tcPr>
            <w:tcW w:w="1009" w:type="dxa"/>
            <w:tcBorders>
              <w:top w:val="nil"/>
              <w:left w:val="nil"/>
              <w:bottom w:val="nil"/>
              <w:right w:val="nil"/>
            </w:tcBorders>
            <w:shd w:val="clear" w:color="000000" w:fill="D9D9D9"/>
            <w:noWrap/>
            <w:vAlign w:val="bottom"/>
            <w:hideMark/>
          </w:tcPr>
          <w:p w14:paraId="277482AA"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113,988</w:t>
            </w:r>
          </w:p>
        </w:tc>
        <w:tc>
          <w:tcPr>
            <w:tcW w:w="1006" w:type="dxa"/>
            <w:tcBorders>
              <w:top w:val="nil"/>
              <w:left w:val="nil"/>
              <w:bottom w:val="nil"/>
              <w:right w:val="nil"/>
            </w:tcBorders>
            <w:shd w:val="clear" w:color="auto" w:fill="auto"/>
            <w:noWrap/>
            <w:vAlign w:val="bottom"/>
            <w:hideMark/>
          </w:tcPr>
          <w:p w14:paraId="3BC5801C"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1,834,961</w:t>
            </w:r>
          </w:p>
        </w:tc>
      </w:tr>
      <w:tr w:rsidR="00D43F40" w:rsidRPr="00D43F40" w14:paraId="3E516BE0"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361F3AAF"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Outcome 3: Ageing and Aged Care</w:t>
            </w:r>
          </w:p>
        </w:tc>
        <w:tc>
          <w:tcPr>
            <w:tcW w:w="1234" w:type="dxa"/>
            <w:tcBorders>
              <w:top w:val="nil"/>
              <w:left w:val="nil"/>
              <w:bottom w:val="nil"/>
              <w:right w:val="nil"/>
            </w:tcBorders>
            <w:shd w:val="clear" w:color="auto" w:fill="auto"/>
            <w:noWrap/>
            <w:vAlign w:val="bottom"/>
            <w:hideMark/>
          </w:tcPr>
          <w:p w14:paraId="671B231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6,260,027</w:t>
            </w:r>
          </w:p>
        </w:tc>
        <w:tc>
          <w:tcPr>
            <w:tcW w:w="1048" w:type="dxa"/>
            <w:tcBorders>
              <w:top w:val="nil"/>
              <w:left w:val="nil"/>
              <w:bottom w:val="nil"/>
              <w:right w:val="nil"/>
            </w:tcBorders>
            <w:shd w:val="clear" w:color="auto" w:fill="auto"/>
            <w:noWrap/>
            <w:vAlign w:val="bottom"/>
            <w:hideMark/>
          </w:tcPr>
          <w:p w14:paraId="171E093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6,285,028</w:t>
            </w:r>
          </w:p>
        </w:tc>
        <w:tc>
          <w:tcPr>
            <w:tcW w:w="1009" w:type="dxa"/>
            <w:tcBorders>
              <w:top w:val="nil"/>
              <w:left w:val="nil"/>
              <w:bottom w:val="nil"/>
              <w:right w:val="nil"/>
            </w:tcBorders>
            <w:shd w:val="clear" w:color="000000" w:fill="D9D9D9"/>
            <w:noWrap/>
            <w:vAlign w:val="bottom"/>
            <w:hideMark/>
          </w:tcPr>
          <w:p w14:paraId="76535C7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465,864</w:t>
            </w:r>
          </w:p>
        </w:tc>
        <w:tc>
          <w:tcPr>
            <w:tcW w:w="1006" w:type="dxa"/>
            <w:tcBorders>
              <w:top w:val="nil"/>
              <w:left w:val="nil"/>
              <w:bottom w:val="nil"/>
              <w:right w:val="nil"/>
            </w:tcBorders>
            <w:shd w:val="clear" w:color="auto" w:fill="auto"/>
            <w:noWrap/>
            <w:vAlign w:val="bottom"/>
            <w:hideMark/>
          </w:tcPr>
          <w:p w14:paraId="77101062"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6,750,892</w:t>
            </w:r>
          </w:p>
        </w:tc>
      </w:tr>
      <w:tr w:rsidR="00D43F40" w:rsidRPr="00D43F40" w14:paraId="6C7C7D2E"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54A435FC"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Outcome 4: Sport and Recreation</w:t>
            </w:r>
          </w:p>
        </w:tc>
        <w:tc>
          <w:tcPr>
            <w:tcW w:w="1234" w:type="dxa"/>
            <w:tcBorders>
              <w:top w:val="nil"/>
              <w:left w:val="nil"/>
              <w:bottom w:val="nil"/>
              <w:right w:val="nil"/>
            </w:tcBorders>
            <w:shd w:val="clear" w:color="auto" w:fill="auto"/>
            <w:noWrap/>
            <w:vAlign w:val="bottom"/>
            <w:hideMark/>
          </w:tcPr>
          <w:p w14:paraId="3AB7D492"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166,669</w:t>
            </w:r>
          </w:p>
        </w:tc>
        <w:tc>
          <w:tcPr>
            <w:tcW w:w="1048" w:type="dxa"/>
            <w:tcBorders>
              <w:top w:val="nil"/>
              <w:left w:val="nil"/>
              <w:bottom w:val="nil"/>
              <w:right w:val="nil"/>
            </w:tcBorders>
            <w:shd w:val="clear" w:color="auto" w:fill="auto"/>
            <w:noWrap/>
            <w:vAlign w:val="bottom"/>
            <w:hideMark/>
          </w:tcPr>
          <w:p w14:paraId="3962BE94"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41,706</w:t>
            </w:r>
          </w:p>
        </w:tc>
        <w:tc>
          <w:tcPr>
            <w:tcW w:w="1009" w:type="dxa"/>
            <w:tcBorders>
              <w:top w:val="nil"/>
              <w:left w:val="nil"/>
              <w:bottom w:val="nil"/>
              <w:right w:val="nil"/>
            </w:tcBorders>
            <w:shd w:val="clear" w:color="000000" w:fill="D9D9D9"/>
            <w:noWrap/>
            <w:vAlign w:val="bottom"/>
            <w:hideMark/>
          </w:tcPr>
          <w:p w14:paraId="1C360FEE"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56,742</w:t>
            </w:r>
          </w:p>
        </w:tc>
        <w:tc>
          <w:tcPr>
            <w:tcW w:w="1006" w:type="dxa"/>
            <w:tcBorders>
              <w:top w:val="nil"/>
              <w:left w:val="nil"/>
              <w:bottom w:val="nil"/>
              <w:right w:val="nil"/>
            </w:tcBorders>
            <w:shd w:val="clear" w:color="auto" w:fill="auto"/>
            <w:noWrap/>
            <w:vAlign w:val="bottom"/>
            <w:hideMark/>
          </w:tcPr>
          <w:p w14:paraId="610DE0F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98,448</w:t>
            </w:r>
          </w:p>
        </w:tc>
      </w:tr>
      <w:tr w:rsidR="00D43F40" w:rsidRPr="00D43F40" w14:paraId="44941636"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7EDB4DE9"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Payments to corporate entities</w:t>
            </w:r>
          </w:p>
        </w:tc>
        <w:tc>
          <w:tcPr>
            <w:tcW w:w="1234" w:type="dxa"/>
            <w:tcBorders>
              <w:top w:val="nil"/>
              <w:left w:val="nil"/>
              <w:bottom w:val="nil"/>
              <w:right w:val="nil"/>
            </w:tcBorders>
            <w:shd w:val="clear" w:color="auto" w:fill="auto"/>
            <w:noWrap/>
            <w:vAlign w:val="bottom"/>
            <w:hideMark/>
          </w:tcPr>
          <w:p w14:paraId="3E48DBC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598,650</w:t>
            </w:r>
          </w:p>
        </w:tc>
        <w:tc>
          <w:tcPr>
            <w:tcW w:w="1048" w:type="dxa"/>
            <w:tcBorders>
              <w:top w:val="nil"/>
              <w:left w:val="nil"/>
              <w:bottom w:val="nil"/>
              <w:right w:val="nil"/>
            </w:tcBorders>
            <w:shd w:val="clear" w:color="auto" w:fill="auto"/>
            <w:noWrap/>
            <w:vAlign w:val="bottom"/>
            <w:hideMark/>
          </w:tcPr>
          <w:p w14:paraId="0C235B8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673,287</w:t>
            </w:r>
          </w:p>
        </w:tc>
        <w:tc>
          <w:tcPr>
            <w:tcW w:w="1009" w:type="dxa"/>
            <w:tcBorders>
              <w:top w:val="nil"/>
              <w:left w:val="nil"/>
              <w:bottom w:val="nil"/>
              <w:right w:val="nil"/>
            </w:tcBorders>
            <w:shd w:val="clear" w:color="000000" w:fill="D9D9D9"/>
            <w:noWrap/>
            <w:vAlign w:val="bottom"/>
            <w:hideMark/>
          </w:tcPr>
          <w:p w14:paraId="437BDAE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(7,961)</w:t>
            </w:r>
          </w:p>
        </w:tc>
        <w:tc>
          <w:tcPr>
            <w:tcW w:w="1006" w:type="dxa"/>
            <w:tcBorders>
              <w:top w:val="nil"/>
              <w:left w:val="nil"/>
              <w:bottom w:val="nil"/>
              <w:right w:val="nil"/>
            </w:tcBorders>
            <w:shd w:val="clear" w:color="auto" w:fill="auto"/>
            <w:noWrap/>
            <w:vAlign w:val="bottom"/>
            <w:hideMark/>
          </w:tcPr>
          <w:p w14:paraId="018ACAD6"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665,326</w:t>
            </w:r>
          </w:p>
        </w:tc>
      </w:tr>
      <w:tr w:rsidR="00D43F40" w:rsidRPr="00D43F40" w14:paraId="45CCFBFD" w14:textId="77777777" w:rsidTr="00E4631A">
        <w:trPr>
          <w:trHeight w:val="283"/>
          <w:jc w:val="center"/>
        </w:trPr>
        <w:tc>
          <w:tcPr>
            <w:tcW w:w="3414" w:type="dxa"/>
            <w:tcBorders>
              <w:top w:val="nil"/>
              <w:left w:val="nil"/>
              <w:bottom w:val="nil"/>
              <w:right w:val="nil"/>
            </w:tcBorders>
            <w:shd w:val="clear" w:color="auto" w:fill="auto"/>
            <w:noWrap/>
            <w:vAlign w:val="bottom"/>
            <w:hideMark/>
          </w:tcPr>
          <w:p w14:paraId="0024DE61" w14:textId="77777777" w:rsidR="00D43F40" w:rsidRPr="00D43F40" w:rsidRDefault="00D43F40" w:rsidP="000D3AD4">
            <w:pPr>
              <w:spacing w:before="0" w:after="0" w:line="240" w:lineRule="auto"/>
              <w:ind w:leftChars="75" w:left="143"/>
              <w:rPr>
                <w:rFonts w:ascii="Arial" w:hAnsi="Arial" w:cs="Arial"/>
                <w:sz w:val="16"/>
                <w:szCs w:val="16"/>
              </w:rPr>
            </w:pPr>
            <w:r w:rsidRPr="00D43F40">
              <w:rPr>
                <w:rFonts w:ascii="Arial" w:hAnsi="Arial" w:cs="Arial"/>
                <w:sz w:val="16"/>
                <w:szCs w:val="16"/>
              </w:rPr>
              <w:t xml:space="preserve">Other services </w:t>
            </w:r>
            <w:r w:rsidRPr="00D43F40">
              <w:rPr>
                <w:rFonts w:ascii="Arial" w:hAnsi="Arial" w:cs="Arial"/>
                <w:sz w:val="16"/>
                <w:szCs w:val="16"/>
                <w:vertAlign w:val="superscript"/>
              </w:rPr>
              <w:t>(e)</w:t>
            </w:r>
          </w:p>
        </w:tc>
        <w:tc>
          <w:tcPr>
            <w:tcW w:w="1234" w:type="dxa"/>
            <w:tcBorders>
              <w:top w:val="nil"/>
              <w:left w:val="nil"/>
              <w:bottom w:val="nil"/>
              <w:right w:val="nil"/>
            </w:tcBorders>
            <w:shd w:val="clear" w:color="auto" w:fill="auto"/>
            <w:noWrap/>
            <w:vAlign w:val="bottom"/>
            <w:hideMark/>
          </w:tcPr>
          <w:p w14:paraId="2173D621" w14:textId="77777777" w:rsidR="00D43F40" w:rsidRPr="00D43F40" w:rsidRDefault="00D43F40" w:rsidP="00D43F40">
            <w:pPr>
              <w:spacing w:before="0" w:after="0" w:line="240" w:lineRule="auto"/>
              <w:ind w:firstLineChars="100" w:firstLine="160"/>
              <w:rPr>
                <w:rFonts w:ascii="Arial" w:hAnsi="Arial" w:cs="Arial"/>
                <w:sz w:val="16"/>
                <w:szCs w:val="16"/>
              </w:rPr>
            </w:pPr>
          </w:p>
        </w:tc>
        <w:tc>
          <w:tcPr>
            <w:tcW w:w="1048" w:type="dxa"/>
            <w:tcBorders>
              <w:top w:val="nil"/>
              <w:left w:val="nil"/>
              <w:bottom w:val="nil"/>
              <w:right w:val="nil"/>
            </w:tcBorders>
            <w:shd w:val="clear" w:color="auto" w:fill="auto"/>
            <w:vAlign w:val="bottom"/>
            <w:hideMark/>
          </w:tcPr>
          <w:p w14:paraId="73EA6DE1" w14:textId="77777777" w:rsidR="00D43F40" w:rsidRPr="00D43F40" w:rsidRDefault="00D43F40" w:rsidP="00D43F40">
            <w:pPr>
              <w:spacing w:before="0" w:after="0" w:line="240" w:lineRule="auto"/>
              <w:jc w:val="right"/>
              <w:rPr>
                <w:rFonts w:ascii="Times New Roman" w:hAnsi="Times New Roman"/>
                <w:sz w:val="20"/>
              </w:rPr>
            </w:pPr>
          </w:p>
        </w:tc>
        <w:tc>
          <w:tcPr>
            <w:tcW w:w="1009" w:type="dxa"/>
            <w:tcBorders>
              <w:top w:val="nil"/>
              <w:left w:val="nil"/>
              <w:bottom w:val="nil"/>
              <w:right w:val="nil"/>
            </w:tcBorders>
            <w:shd w:val="clear" w:color="000000" w:fill="D9D9D9"/>
            <w:vAlign w:val="bottom"/>
            <w:hideMark/>
          </w:tcPr>
          <w:p w14:paraId="03863A5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 </w:t>
            </w:r>
          </w:p>
        </w:tc>
        <w:tc>
          <w:tcPr>
            <w:tcW w:w="1006" w:type="dxa"/>
            <w:tcBorders>
              <w:top w:val="nil"/>
              <w:left w:val="nil"/>
              <w:bottom w:val="nil"/>
              <w:right w:val="nil"/>
            </w:tcBorders>
            <w:shd w:val="clear" w:color="auto" w:fill="auto"/>
            <w:noWrap/>
            <w:vAlign w:val="bottom"/>
            <w:hideMark/>
          </w:tcPr>
          <w:p w14:paraId="4F77E65A" w14:textId="77777777" w:rsidR="00D43F40" w:rsidRPr="00D43F40" w:rsidRDefault="00D43F40" w:rsidP="00D43F40">
            <w:pPr>
              <w:spacing w:before="0" w:after="0" w:line="240" w:lineRule="auto"/>
              <w:jc w:val="right"/>
              <w:rPr>
                <w:rFonts w:ascii="Arial" w:hAnsi="Arial" w:cs="Arial"/>
                <w:sz w:val="16"/>
                <w:szCs w:val="16"/>
              </w:rPr>
            </w:pPr>
          </w:p>
        </w:tc>
      </w:tr>
      <w:tr w:rsidR="00D43F40" w:rsidRPr="00D43F40" w14:paraId="485703DC"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63EBE4F6"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Administered assets and liabilities</w:t>
            </w:r>
          </w:p>
        </w:tc>
        <w:tc>
          <w:tcPr>
            <w:tcW w:w="1234" w:type="dxa"/>
            <w:tcBorders>
              <w:top w:val="nil"/>
              <w:left w:val="nil"/>
              <w:bottom w:val="nil"/>
              <w:right w:val="nil"/>
            </w:tcBorders>
            <w:shd w:val="clear" w:color="auto" w:fill="auto"/>
            <w:noWrap/>
            <w:vAlign w:val="bottom"/>
            <w:hideMark/>
          </w:tcPr>
          <w:p w14:paraId="6BBB993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1,006,137</w:t>
            </w:r>
          </w:p>
        </w:tc>
        <w:tc>
          <w:tcPr>
            <w:tcW w:w="1048" w:type="dxa"/>
            <w:tcBorders>
              <w:top w:val="nil"/>
              <w:left w:val="nil"/>
              <w:bottom w:val="nil"/>
              <w:right w:val="nil"/>
            </w:tcBorders>
            <w:shd w:val="clear" w:color="auto" w:fill="auto"/>
            <w:noWrap/>
            <w:vAlign w:val="bottom"/>
            <w:hideMark/>
          </w:tcPr>
          <w:p w14:paraId="16F1C9B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3,749</w:t>
            </w:r>
          </w:p>
        </w:tc>
        <w:tc>
          <w:tcPr>
            <w:tcW w:w="1009" w:type="dxa"/>
            <w:tcBorders>
              <w:top w:val="nil"/>
              <w:left w:val="nil"/>
              <w:bottom w:val="nil"/>
              <w:right w:val="nil"/>
            </w:tcBorders>
            <w:shd w:val="clear" w:color="000000" w:fill="D9D9D9"/>
            <w:noWrap/>
            <w:vAlign w:val="bottom"/>
            <w:hideMark/>
          </w:tcPr>
          <w:p w14:paraId="54D5541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40,138</w:t>
            </w:r>
          </w:p>
        </w:tc>
        <w:tc>
          <w:tcPr>
            <w:tcW w:w="1006" w:type="dxa"/>
            <w:tcBorders>
              <w:top w:val="nil"/>
              <w:left w:val="nil"/>
              <w:bottom w:val="nil"/>
              <w:right w:val="nil"/>
            </w:tcBorders>
            <w:shd w:val="clear" w:color="auto" w:fill="auto"/>
            <w:noWrap/>
            <w:vAlign w:val="bottom"/>
            <w:hideMark/>
          </w:tcPr>
          <w:p w14:paraId="1708D16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43,887</w:t>
            </w:r>
          </w:p>
        </w:tc>
      </w:tr>
      <w:tr w:rsidR="00D43F40" w:rsidRPr="00D43F40" w14:paraId="57099C85" w14:textId="77777777" w:rsidTr="000D3AD4">
        <w:trPr>
          <w:trHeight w:val="225"/>
          <w:jc w:val="center"/>
        </w:trPr>
        <w:tc>
          <w:tcPr>
            <w:tcW w:w="3414" w:type="dxa"/>
            <w:tcBorders>
              <w:top w:val="nil"/>
              <w:left w:val="nil"/>
              <w:bottom w:val="nil"/>
              <w:right w:val="nil"/>
            </w:tcBorders>
            <w:shd w:val="clear" w:color="auto" w:fill="auto"/>
            <w:noWrap/>
            <w:vAlign w:val="bottom"/>
            <w:hideMark/>
          </w:tcPr>
          <w:p w14:paraId="4D3BF0C7"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sz w:val="16"/>
                <w:szCs w:val="16"/>
              </w:rPr>
              <w:t>Payments to corporate entities</w:t>
            </w:r>
          </w:p>
        </w:tc>
        <w:tc>
          <w:tcPr>
            <w:tcW w:w="1234" w:type="dxa"/>
            <w:tcBorders>
              <w:top w:val="nil"/>
              <w:left w:val="nil"/>
              <w:bottom w:val="nil"/>
              <w:right w:val="nil"/>
            </w:tcBorders>
            <w:shd w:val="clear" w:color="auto" w:fill="auto"/>
            <w:noWrap/>
            <w:vAlign w:val="bottom"/>
            <w:hideMark/>
          </w:tcPr>
          <w:p w14:paraId="0F90E4A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28,740</w:t>
            </w:r>
          </w:p>
        </w:tc>
        <w:tc>
          <w:tcPr>
            <w:tcW w:w="1048" w:type="dxa"/>
            <w:tcBorders>
              <w:top w:val="nil"/>
              <w:left w:val="nil"/>
              <w:bottom w:val="nil"/>
              <w:right w:val="nil"/>
            </w:tcBorders>
            <w:shd w:val="clear" w:color="auto" w:fill="auto"/>
            <w:noWrap/>
            <w:vAlign w:val="bottom"/>
            <w:hideMark/>
          </w:tcPr>
          <w:p w14:paraId="44A1874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62,143</w:t>
            </w:r>
          </w:p>
        </w:tc>
        <w:tc>
          <w:tcPr>
            <w:tcW w:w="1009" w:type="dxa"/>
            <w:tcBorders>
              <w:top w:val="nil"/>
              <w:left w:val="nil"/>
              <w:bottom w:val="nil"/>
              <w:right w:val="nil"/>
            </w:tcBorders>
            <w:shd w:val="clear" w:color="000000" w:fill="D9D9D9"/>
            <w:noWrap/>
            <w:vAlign w:val="bottom"/>
            <w:hideMark/>
          </w:tcPr>
          <w:p w14:paraId="03CFA51C"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(28,822)</w:t>
            </w:r>
          </w:p>
        </w:tc>
        <w:tc>
          <w:tcPr>
            <w:tcW w:w="1006" w:type="dxa"/>
            <w:tcBorders>
              <w:top w:val="nil"/>
              <w:left w:val="nil"/>
              <w:bottom w:val="nil"/>
              <w:right w:val="nil"/>
            </w:tcBorders>
            <w:shd w:val="clear" w:color="auto" w:fill="auto"/>
            <w:noWrap/>
            <w:vAlign w:val="bottom"/>
            <w:hideMark/>
          </w:tcPr>
          <w:p w14:paraId="4FFDCF61"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33,321</w:t>
            </w:r>
          </w:p>
        </w:tc>
      </w:tr>
      <w:tr w:rsidR="00D43F40" w:rsidRPr="00D43F40" w14:paraId="370F7D7C" w14:textId="77777777" w:rsidTr="00E4631A">
        <w:trPr>
          <w:trHeight w:val="283"/>
          <w:jc w:val="center"/>
        </w:trPr>
        <w:tc>
          <w:tcPr>
            <w:tcW w:w="3414" w:type="dxa"/>
            <w:tcBorders>
              <w:top w:val="nil"/>
              <w:left w:val="nil"/>
              <w:bottom w:val="nil"/>
              <w:right w:val="nil"/>
            </w:tcBorders>
            <w:shd w:val="clear" w:color="auto" w:fill="auto"/>
            <w:noWrap/>
            <w:vAlign w:val="bottom"/>
            <w:hideMark/>
          </w:tcPr>
          <w:p w14:paraId="26C683D1" w14:textId="77777777" w:rsidR="00D43F40" w:rsidRPr="00D43F40" w:rsidRDefault="00D43F40" w:rsidP="00D43F40">
            <w:pPr>
              <w:spacing w:before="0" w:after="0" w:line="240" w:lineRule="auto"/>
              <w:rPr>
                <w:rFonts w:ascii="Arial" w:hAnsi="Arial" w:cs="Arial"/>
                <w:b/>
                <w:bCs/>
                <w:sz w:val="16"/>
                <w:szCs w:val="16"/>
              </w:rPr>
            </w:pPr>
            <w:r w:rsidRPr="00D43F40">
              <w:rPr>
                <w:rFonts w:ascii="Arial" w:hAnsi="Arial" w:cs="Arial"/>
                <w:b/>
                <w:bCs/>
                <w:sz w:val="16"/>
                <w:szCs w:val="16"/>
              </w:rPr>
              <w:t>Total administered annual appropriations</w:t>
            </w:r>
          </w:p>
        </w:tc>
        <w:tc>
          <w:tcPr>
            <w:tcW w:w="1234" w:type="dxa"/>
            <w:tcBorders>
              <w:top w:val="single" w:sz="4" w:space="0" w:color="auto"/>
              <w:left w:val="nil"/>
              <w:bottom w:val="single" w:sz="4" w:space="0" w:color="auto"/>
              <w:right w:val="nil"/>
            </w:tcBorders>
            <w:shd w:val="clear" w:color="auto" w:fill="auto"/>
            <w:noWrap/>
            <w:vAlign w:val="bottom"/>
            <w:hideMark/>
          </w:tcPr>
          <w:p w14:paraId="28BBB92D"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20,289,168</w:t>
            </w:r>
          </w:p>
        </w:tc>
        <w:tc>
          <w:tcPr>
            <w:tcW w:w="1048" w:type="dxa"/>
            <w:tcBorders>
              <w:top w:val="single" w:sz="4" w:space="0" w:color="auto"/>
              <w:left w:val="nil"/>
              <w:bottom w:val="single" w:sz="4" w:space="0" w:color="auto"/>
              <w:right w:val="nil"/>
            </w:tcBorders>
            <w:shd w:val="clear" w:color="auto" w:fill="auto"/>
            <w:noWrap/>
            <w:vAlign w:val="bottom"/>
            <w:hideMark/>
          </w:tcPr>
          <w:p w14:paraId="44BBBB6E"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16,643,156</w:t>
            </w:r>
          </w:p>
        </w:tc>
        <w:tc>
          <w:tcPr>
            <w:tcW w:w="1009" w:type="dxa"/>
            <w:tcBorders>
              <w:top w:val="single" w:sz="4" w:space="0" w:color="auto"/>
              <w:left w:val="nil"/>
              <w:bottom w:val="single" w:sz="4" w:space="0" w:color="auto"/>
              <w:right w:val="nil"/>
            </w:tcBorders>
            <w:shd w:val="clear" w:color="000000" w:fill="D9D9D9"/>
            <w:noWrap/>
            <w:vAlign w:val="bottom"/>
            <w:hideMark/>
          </w:tcPr>
          <w:p w14:paraId="71123AC2"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981,329</w:t>
            </w:r>
          </w:p>
        </w:tc>
        <w:tc>
          <w:tcPr>
            <w:tcW w:w="1006" w:type="dxa"/>
            <w:tcBorders>
              <w:top w:val="single" w:sz="4" w:space="0" w:color="auto"/>
              <w:left w:val="nil"/>
              <w:bottom w:val="single" w:sz="4" w:space="0" w:color="auto"/>
              <w:right w:val="nil"/>
            </w:tcBorders>
            <w:shd w:val="clear" w:color="auto" w:fill="auto"/>
            <w:noWrap/>
            <w:tcMar>
              <w:left w:w="0" w:type="dxa"/>
            </w:tcMar>
            <w:vAlign w:val="bottom"/>
            <w:hideMark/>
          </w:tcPr>
          <w:p w14:paraId="63650F79"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17,624,485</w:t>
            </w:r>
          </w:p>
        </w:tc>
      </w:tr>
      <w:tr w:rsidR="00D43F40" w:rsidRPr="00D43F40" w14:paraId="7239B870" w14:textId="77777777" w:rsidTr="00E4631A">
        <w:trPr>
          <w:trHeight w:val="454"/>
          <w:jc w:val="center"/>
        </w:trPr>
        <w:tc>
          <w:tcPr>
            <w:tcW w:w="3414" w:type="dxa"/>
            <w:tcBorders>
              <w:top w:val="nil"/>
              <w:left w:val="nil"/>
              <w:bottom w:val="nil"/>
              <w:right w:val="nil"/>
            </w:tcBorders>
            <w:shd w:val="clear" w:color="auto" w:fill="auto"/>
            <w:vAlign w:val="bottom"/>
            <w:hideMark/>
          </w:tcPr>
          <w:p w14:paraId="684DC06E" w14:textId="77777777" w:rsidR="00D43F40" w:rsidRPr="00D43F40" w:rsidRDefault="00D43F40" w:rsidP="000D3AD4">
            <w:pPr>
              <w:spacing w:before="0" w:after="0" w:line="240" w:lineRule="auto"/>
              <w:ind w:leftChars="75" w:left="143"/>
              <w:rPr>
                <w:rFonts w:ascii="Arial" w:hAnsi="Arial" w:cs="Arial"/>
                <w:b/>
                <w:bCs/>
                <w:sz w:val="16"/>
                <w:szCs w:val="16"/>
              </w:rPr>
            </w:pPr>
            <w:r w:rsidRPr="00D43F40">
              <w:rPr>
                <w:rFonts w:ascii="Arial" w:hAnsi="Arial" w:cs="Arial"/>
                <w:b/>
                <w:bCs/>
                <w:sz w:val="16"/>
                <w:szCs w:val="16"/>
              </w:rPr>
              <w:t>Special appropriations limited by criteria/entitlement</w:t>
            </w:r>
          </w:p>
        </w:tc>
        <w:tc>
          <w:tcPr>
            <w:tcW w:w="1234" w:type="dxa"/>
            <w:tcBorders>
              <w:top w:val="nil"/>
              <w:left w:val="nil"/>
              <w:bottom w:val="nil"/>
              <w:right w:val="nil"/>
            </w:tcBorders>
            <w:shd w:val="clear" w:color="auto" w:fill="auto"/>
            <w:noWrap/>
            <w:vAlign w:val="bottom"/>
            <w:hideMark/>
          </w:tcPr>
          <w:p w14:paraId="09DC399F" w14:textId="77777777" w:rsidR="00D43F40" w:rsidRPr="00D43F40" w:rsidRDefault="00D43F40" w:rsidP="00D43F40">
            <w:pPr>
              <w:spacing w:before="0" w:after="0" w:line="240" w:lineRule="auto"/>
              <w:ind w:firstLineChars="100" w:firstLine="161"/>
              <w:rPr>
                <w:rFonts w:ascii="Arial" w:hAnsi="Arial" w:cs="Arial"/>
                <w:b/>
                <w:bCs/>
                <w:sz w:val="16"/>
                <w:szCs w:val="16"/>
              </w:rPr>
            </w:pPr>
          </w:p>
        </w:tc>
        <w:tc>
          <w:tcPr>
            <w:tcW w:w="1048" w:type="dxa"/>
            <w:tcBorders>
              <w:top w:val="nil"/>
              <w:left w:val="nil"/>
              <w:bottom w:val="nil"/>
              <w:right w:val="nil"/>
            </w:tcBorders>
            <w:shd w:val="clear" w:color="auto" w:fill="auto"/>
            <w:vAlign w:val="bottom"/>
            <w:hideMark/>
          </w:tcPr>
          <w:p w14:paraId="609B2D53" w14:textId="77777777" w:rsidR="00D43F40" w:rsidRPr="00D43F40" w:rsidRDefault="00D43F40" w:rsidP="00D43F40">
            <w:pPr>
              <w:spacing w:before="0" w:after="0" w:line="240" w:lineRule="auto"/>
              <w:jc w:val="right"/>
              <w:rPr>
                <w:rFonts w:ascii="Times New Roman" w:hAnsi="Times New Roman"/>
                <w:sz w:val="20"/>
              </w:rPr>
            </w:pPr>
          </w:p>
        </w:tc>
        <w:tc>
          <w:tcPr>
            <w:tcW w:w="1009" w:type="dxa"/>
            <w:tcBorders>
              <w:top w:val="nil"/>
              <w:left w:val="nil"/>
              <w:bottom w:val="nil"/>
              <w:right w:val="nil"/>
            </w:tcBorders>
            <w:shd w:val="clear" w:color="000000" w:fill="D9D9D9"/>
            <w:vAlign w:val="bottom"/>
            <w:hideMark/>
          </w:tcPr>
          <w:p w14:paraId="3C26BB92" w14:textId="77777777" w:rsidR="00D43F40" w:rsidRPr="00D43F40" w:rsidRDefault="00D43F40" w:rsidP="00D43F40">
            <w:pPr>
              <w:spacing w:before="0" w:after="0" w:line="240" w:lineRule="auto"/>
              <w:jc w:val="right"/>
              <w:rPr>
                <w:rFonts w:ascii="Arial" w:hAnsi="Arial" w:cs="Arial"/>
                <w:b/>
                <w:bCs/>
                <w:sz w:val="16"/>
                <w:szCs w:val="16"/>
              </w:rPr>
            </w:pPr>
            <w:r w:rsidRPr="00D43F40">
              <w:rPr>
                <w:rFonts w:ascii="Arial" w:hAnsi="Arial" w:cs="Arial"/>
                <w:b/>
                <w:bCs/>
                <w:sz w:val="16"/>
                <w:szCs w:val="16"/>
              </w:rPr>
              <w:t> </w:t>
            </w:r>
          </w:p>
        </w:tc>
        <w:tc>
          <w:tcPr>
            <w:tcW w:w="1006" w:type="dxa"/>
            <w:tcBorders>
              <w:top w:val="nil"/>
              <w:left w:val="nil"/>
              <w:bottom w:val="nil"/>
              <w:right w:val="nil"/>
            </w:tcBorders>
            <w:shd w:val="clear" w:color="auto" w:fill="auto"/>
            <w:noWrap/>
            <w:vAlign w:val="bottom"/>
            <w:hideMark/>
          </w:tcPr>
          <w:p w14:paraId="34F69187" w14:textId="77777777" w:rsidR="00D43F40" w:rsidRPr="00D43F40" w:rsidRDefault="00D43F40" w:rsidP="00D43F40">
            <w:pPr>
              <w:spacing w:before="0" w:after="0" w:line="240" w:lineRule="auto"/>
              <w:jc w:val="right"/>
              <w:rPr>
                <w:rFonts w:ascii="Arial" w:hAnsi="Arial" w:cs="Arial"/>
                <w:b/>
                <w:bCs/>
                <w:sz w:val="16"/>
                <w:szCs w:val="16"/>
              </w:rPr>
            </w:pPr>
          </w:p>
        </w:tc>
      </w:tr>
      <w:tr w:rsidR="00D43F40" w:rsidRPr="00D43F40" w14:paraId="5BC1B781" w14:textId="77777777" w:rsidTr="00E4631A">
        <w:trPr>
          <w:trHeight w:val="624"/>
          <w:jc w:val="center"/>
        </w:trPr>
        <w:tc>
          <w:tcPr>
            <w:tcW w:w="3414" w:type="dxa"/>
            <w:tcBorders>
              <w:top w:val="nil"/>
              <w:left w:val="nil"/>
              <w:bottom w:val="nil"/>
              <w:right w:val="nil"/>
            </w:tcBorders>
            <w:shd w:val="clear" w:color="auto" w:fill="auto"/>
            <w:vAlign w:val="bottom"/>
            <w:hideMark/>
          </w:tcPr>
          <w:p w14:paraId="2B659D12"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i/>
                <w:iCs/>
                <w:sz w:val="16"/>
                <w:szCs w:val="16"/>
              </w:rPr>
              <w:t>National Health Act 1953</w:t>
            </w:r>
            <w:r w:rsidRPr="00D43F40">
              <w:rPr>
                <w:rFonts w:ascii="Arial" w:hAnsi="Arial" w:cs="Arial"/>
                <w:sz w:val="16"/>
                <w:szCs w:val="16"/>
              </w:rPr>
              <w:t xml:space="preserve"> - blood fractionation products and blood related products to National Blood Authority</w:t>
            </w:r>
          </w:p>
        </w:tc>
        <w:tc>
          <w:tcPr>
            <w:tcW w:w="1234" w:type="dxa"/>
            <w:tcBorders>
              <w:top w:val="nil"/>
              <w:left w:val="nil"/>
              <w:bottom w:val="nil"/>
              <w:right w:val="nil"/>
            </w:tcBorders>
            <w:shd w:val="clear" w:color="auto" w:fill="auto"/>
            <w:noWrap/>
            <w:vAlign w:val="bottom"/>
            <w:hideMark/>
          </w:tcPr>
          <w:p w14:paraId="7447831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979,366</w:t>
            </w:r>
          </w:p>
        </w:tc>
        <w:tc>
          <w:tcPr>
            <w:tcW w:w="1048" w:type="dxa"/>
            <w:tcBorders>
              <w:top w:val="nil"/>
              <w:left w:val="nil"/>
              <w:bottom w:val="nil"/>
              <w:right w:val="nil"/>
            </w:tcBorders>
            <w:shd w:val="clear" w:color="auto" w:fill="auto"/>
            <w:noWrap/>
            <w:vAlign w:val="bottom"/>
            <w:hideMark/>
          </w:tcPr>
          <w:p w14:paraId="767D1B76"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1,072,573</w:t>
            </w:r>
          </w:p>
        </w:tc>
        <w:tc>
          <w:tcPr>
            <w:tcW w:w="1009" w:type="dxa"/>
            <w:tcBorders>
              <w:top w:val="nil"/>
              <w:left w:val="nil"/>
              <w:bottom w:val="nil"/>
              <w:right w:val="nil"/>
            </w:tcBorders>
            <w:shd w:val="clear" w:color="000000" w:fill="D9D9D9"/>
            <w:noWrap/>
            <w:vAlign w:val="bottom"/>
            <w:hideMark/>
          </w:tcPr>
          <w:p w14:paraId="389385DD"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(5,358)</w:t>
            </w:r>
          </w:p>
        </w:tc>
        <w:tc>
          <w:tcPr>
            <w:tcW w:w="1006" w:type="dxa"/>
            <w:tcBorders>
              <w:top w:val="nil"/>
              <w:left w:val="nil"/>
              <w:bottom w:val="nil"/>
              <w:right w:val="nil"/>
            </w:tcBorders>
            <w:shd w:val="clear" w:color="auto" w:fill="auto"/>
            <w:noWrap/>
            <w:vAlign w:val="bottom"/>
            <w:hideMark/>
          </w:tcPr>
          <w:p w14:paraId="0E833CD7"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1,067,215</w:t>
            </w:r>
          </w:p>
        </w:tc>
      </w:tr>
      <w:tr w:rsidR="00D43F40" w:rsidRPr="00D43F40" w14:paraId="283B45A5" w14:textId="77777777" w:rsidTr="00E4631A">
        <w:trPr>
          <w:trHeight w:val="624"/>
          <w:jc w:val="center"/>
        </w:trPr>
        <w:tc>
          <w:tcPr>
            <w:tcW w:w="3414" w:type="dxa"/>
            <w:tcBorders>
              <w:top w:val="nil"/>
              <w:left w:val="nil"/>
              <w:bottom w:val="nil"/>
              <w:right w:val="nil"/>
            </w:tcBorders>
            <w:shd w:val="clear" w:color="auto" w:fill="auto"/>
            <w:vAlign w:val="bottom"/>
            <w:hideMark/>
          </w:tcPr>
          <w:p w14:paraId="31A9C0EE" w14:textId="77777777" w:rsidR="00D43F40" w:rsidRPr="00D43F40" w:rsidRDefault="00D43F40" w:rsidP="000D3AD4">
            <w:pPr>
              <w:spacing w:before="0" w:after="0" w:line="240" w:lineRule="auto"/>
              <w:ind w:leftChars="150" w:left="285"/>
              <w:rPr>
                <w:rFonts w:ascii="Arial" w:hAnsi="Arial" w:cs="Arial"/>
                <w:sz w:val="16"/>
                <w:szCs w:val="16"/>
              </w:rPr>
            </w:pPr>
            <w:r w:rsidRPr="00D43F40">
              <w:rPr>
                <w:rFonts w:ascii="Arial" w:hAnsi="Arial" w:cs="Arial"/>
                <w:i/>
                <w:iCs/>
                <w:sz w:val="16"/>
                <w:szCs w:val="16"/>
              </w:rPr>
              <w:t xml:space="preserve">Public Governance, Performance and Accountability Act 2013 </w:t>
            </w:r>
            <w:r w:rsidRPr="00D43F40">
              <w:rPr>
                <w:rFonts w:ascii="Arial" w:hAnsi="Arial" w:cs="Arial"/>
                <w:sz w:val="16"/>
                <w:szCs w:val="16"/>
              </w:rPr>
              <w:t>- s77 - repayments</w:t>
            </w:r>
          </w:p>
        </w:tc>
        <w:tc>
          <w:tcPr>
            <w:tcW w:w="1234" w:type="dxa"/>
            <w:tcBorders>
              <w:top w:val="nil"/>
              <w:left w:val="nil"/>
              <w:bottom w:val="single" w:sz="4" w:space="0" w:color="auto"/>
              <w:right w:val="nil"/>
            </w:tcBorders>
            <w:shd w:val="clear" w:color="auto" w:fill="auto"/>
            <w:noWrap/>
            <w:vAlign w:val="bottom"/>
            <w:hideMark/>
          </w:tcPr>
          <w:p w14:paraId="585B47F8"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2,000</w:t>
            </w:r>
          </w:p>
        </w:tc>
        <w:tc>
          <w:tcPr>
            <w:tcW w:w="1048" w:type="dxa"/>
            <w:tcBorders>
              <w:top w:val="nil"/>
              <w:left w:val="nil"/>
              <w:bottom w:val="single" w:sz="4" w:space="0" w:color="auto"/>
              <w:right w:val="nil"/>
            </w:tcBorders>
            <w:shd w:val="clear" w:color="auto" w:fill="auto"/>
            <w:noWrap/>
            <w:vAlign w:val="bottom"/>
            <w:hideMark/>
          </w:tcPr>
          <w:p w14:paraId="40E4E94F"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2,000</w:t>
            </w:r>
          </w:p>
        </w:tc>
        <w:tc>
          <w:tcPr>
            <w:tcW w:w="1009" w:type="dxa"/>
            <w:tcBorders>
              <w:top w:val="nil"/>
              <w:left w:val="nil"/>
              <w:bottom w:val="single" w:sz="4" w:space="0" w:color="auto"/>
              <w:right w:val="nil"/>
            </w:tcBorders>
            <w:shd w:val="clear" w:color="000000" w:fill="D9D9D9"/>
            <w:noWrap/>
            <w:vAlign w:val="bottom"/>
            <w:hideMark/>
          </w:tcPr>
          <w:p w14:paraId="28D74AFA"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w:t>
            </w:r>
          </w:p>
        </w:tc>
        <w:tc>
          <w:tcPr>
            <w:tcW w:w="1006" w:type="dxa"/>
            <w:tcBorders>
              <w:top w:val="nil"/>
              <w:left w:val="nil"/>
              <w:bottom w:val="single" w:sz="4" w:space="0" w:color="auto"/>
              <w:right w:val="nil"/>
            </w:tcBorders>
            <w:shd w:val="clear" w:color="auto" w:fill="auto"/>
            <w:noWrap/>
            <w:vAlign w:val="bottom"/>
            <w:hideMark/>
          </w:tcPr>
          <w:p w14:paraId="6664130A" w14:textId="77777777" w:rsidR="00D43F40" w:rsidRPr="00D43F40" w:rsidRDefault="00D43F40" w:rsidP="00D43F40">
            <w:pPr>
              <w:spacing w:before="0" w:after="0" w:line="240" w:lineRule="auto"/>
              <w:jc w:val="right"/>
              <w:rPr>
                <w:rFonts w:ascii="Arial" w:hAnsi="Arial" w:cs="Arial"/>
                <w:sz w:val="16"/>
                <w:szCs w:val="16"/>
              </w:rPr>
            </w:pPr>
            <w:r w:rsidRPr="00D43F40">
              <w:rPr>
                <w:rFonts w:ascii="Arial" w:hAnsi="Arial" w:cs="Arial"/>
                <w:sz w:val="16"/>
                <w:szCs w:val="16"/>
              </w:rPr>
              <w:t>2,000</w:t>
            </w:r>
          </w:p>
        </w:tc>
      </w:tr>
    </w:tbl>
    <w:p w14:paraId="603E8915" w14:textId="77777777" w:rsidR="00D43F40" w:rsidRPr="00D43F40" w:rsidRDefault="00D43F40" w:rsidP="00D43F40"/>
    <w:p w14:paraId="35F98EE7" w14:textId="224C6031" w:rsidR="00736DD8" w:rsidRDefault="00D43F40" w:rsidP="00736DD8">
      <w:pPr>
        <w:pStyle w:val="TableHeading"/>
      </w:pPr>
      <w:bookmarkStart w:id="201" w:name="OLE_LINK10"/>
      <w:bookmarkStart w:id="202" w:name="OLE_LINK11"/>
      <w:r>
        <w:br w:type="column"/>
      </w:r>
      <w:r w:rsidR="00736DD8" w:rsidRPr="00564C0F">
        <w:lastRenderedPageBreak/>
        <w:t xml:space="preserve">Table 1.1: </w:t>
      </w:r>
      <w:r w:rsidR="00CB40A9">
        <w:t>Department of Health and Aged Care</w:t>
      </w:r>
      <w:r w:rsidR="00CB40A9" w:rsidRPr="00564C0F">
        <w:t xml:space="preserve"> </w:t>
      </w:r>
      <w:r w:rsidR="00736DD8" w:rsidRPr="00564C0F">
        <w:t xml:space="preserve">resource statement — Additional Estimates for </w:t>
      </w:r>
      <w:r w:rsidR="00736DD8">
        <w:t>2023–24</w:t>
      </w:r>
      <w:r w:rsidR="00736DD8" w:rsidRPr="00564C0F">
        <w:t xml:space="preserve"> as </w:t>
      </w:r>
      <w:proofErr w:type="gramStart"/>
      <w:r w:rsidR="00736DD8" w:rsidRPr="00152EC3">
        <w:t>at</w:t>
      </w:r>
      <w:proofErr w:type="gramEnd"/>
      <w:r w:rsidR="00736DD8" w:rsidRPr="00152EC3">
        <w:t xml:space="preserve"> </w:t>
      </w:r>
      <w:r w:rsidR="00736DD8" w:rsidRPr="00055E5F">
        <w:t>February 202</w:t>
      </w:r>
      <w:r w:rsidR="00736DD8">
        <w:t>4</w:t>
      </w:r>
      <w:r w:rsidR="003150EE">
        <w:t xml:space="preserve"> (continued)</w:t>
      </w:r>
    </w:p>
    <w:tbl>
      <w:tblPr>
        <w:tblW w:w="7680" w:type="dxa"/>
        <w:jc w:val="center"/>
        <w:tblLayout w:type="fixed"/>
        <w:tblLook w:val="04A0" w:firstRow="1" w:lastRow="0" w:firstColumn="1" w:lastColumn="0" w:noHBand="0" w:noVBand="1"/>
      </w:tblPr>
      <w:tblGrid>
        <w:gridCol w:w="3460"/>
        <w:gridCol w:w="1200"/>
        <w:gridCol w:w="1060"/>
        <w:gridCol w:w="1020"/>
        <w:gridCol w:w="940"/>
      </w:tblGrid>
      <w:tr w:rsidR="00714C47" w:rsidRPr="00714C47" w14:paraId="07EC6F9A" w14:textId="77777777" w:rsidTr="009D129A">
        <w:trPr>
          <w:trHeight w:val="765"/>
          <w:jc w:val="center"/>
        </w:trPr>
        <w:tc>
          <w:tcPr>
            <w:tcW w:w="3460" w:type="dxa"/>
            <w:tcBorders>
              <w:top w:val="single" w:sz="4" w:space="0" w:color="auto"/>
              <w:left w:val="nil"/>
              <w:bottom w:val="nil"/>
              <w:right w:val="nil"/>
            </w:tcBorders>
            <w:shd w:val="clear" w:color="auto" w:fill="auto"/>
            <w:vAlign w:val="bottom"/>
            <w:hideMark/>
          </w:tcPr>
          <w:p w14:paraId="3BD0C55A" w14:textId="77777777" w:rsidR="00714C47" w:rsidRPr="00714C47" w:rsidRDefault="00714C47" w:rsidP="009D129A">
            <w:pPr>
              <w:spacing w:before="24" w:after="0" w:line="240" w:lineRule="auto"/>
              <w:jc w:val="right"/>
              <w:rPr>
                <w:rFonts w:ascii="Arial" w:hAnsi="Arial" w:cs="Arial"/>
                <w:b/>
                <w:bCs/>
                <w:sz w:val="16"/>
                <w:szCs w:val="16"/>
              </w:rPr>
            </w:pPr>
            <w:r w:rsidRPr="00714C47">
              <w:rPr>
                <w:rFonts w:ascii="Arial" w:hAnsi="Arial"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vAlign w:val="bottom"/>
            <w:hideMark/>
          </w:tcPr>
          <w:p w14:paraId="532FCF68" w14:textId="05DEFEF8"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2022–</w:t>
            </w:r>
            <w:r w:rsidR="00714C47" w:rsidRPr="00714C47">
              <w:rPr>
                <w:rFonts w:ascii="Arial" w:hAnsi="Arial" w:cs="Arial"/>
                <w:b/>
                <w:bCs/>
                <w:sz w:val="16"/>
                <w:szCs w:val="16"/>
              </w:rPr>
              <w:t>23</w:t>
            </w:r>
            <w:r w:rsidR="00714C47" w:rsidRPr="00714C47">
              <w:rPr>
                <w:rFonts w:ascii="Arial" w:hAnsi="Arial" w:cs="Arial"/>
                <w:b/>
                <w:bCs/>
                <w:sz w:val="16"/>
                <w:szCs w:val="16"/>
              </w:rPr>
              <w:br/>
              <w:t xml:space="preserve">Total </w:t>
            </w:r>
            <w:r w:rsidR="00714C47" w:rsidRPr="00714C47">
              <w:rPr>
                <w:rFonts w:ascii="Arial" w:hAnsi="Arial" w:cs="Arial"/>
                <w:b/>
                <w:bCs/>
                <w:sz w:val="16"/>
                <w:szCs w:val="16"/>
              </w:rPr>
              <w:br/>
              <w:t>available</w:t>
            </w:r>
            <w:r w:rsidR="00714C47" w:rsidRPr="00714C47">
              <w:rPr>
                <w:rFonts w:ascii="Arial" w:hAnsi="Arial" w:cs="Arial"/>
                <w:b/>
                <w:bCs/>
                <w:sz w:val="16"/>
                <w:szCs w:val="16"/>
              </w:rPr>
              <w:br/>
              <w:t>appropriation</w:t>
            </w:r>
            <w:r w:rsidR="00714C47" w:rsidRPr="00714C47">
              <w:rPr>
                <w:rFonts w:ascii="Arial" w:hAnsi="Arial" w:cs="Arial"/>
                <w:b/>
                <w:bCs/>
                <w:sz w:val="16"/>
                <w:szCs w:val="16"/>
              </w:rPr>
              <w:br/>
            </w:r>
            <w:r w:rsidR="00714C47" w:rsidRPr="00714C47">
              <w:rPr>
                <w:rFonts w:ascii="Arial" w:hAnsi="Arial"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vAlign w:val="bottom"/>
            <w:hideMark/>
          </w:tcPr>
          <w:p w14:paraId="6C34AE15" w14:textId="33B004AF"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Estimate as</w:t>
            </w:r>
            <w:r w:rsidR="00714C47" w:rsidRPr="00714C47">
              <w:rPr>
                <w:rFonts w:ascii="Arial" w:hAnsi="Arial" w:cs="Arial"/>
                <w:b/>
                <w:bCs/>
                <w:sz w:val="16"/>
                <w:szCs w:val="16"/>
              </w:rPr>
              <w:br/>
              <w:t>at Budget</w:t>
            </w:r>
            <w:r w:rsidR="00714C47" w:rsidRPr="00714C47">
              <w:rPr>
                <w:rFonts w:ascii="Arial" w:hAnsi="Arial" w:cs="Arial"/>
                <w:b/>
                <w:bCs/>
                <w:sz w:val="16"/>
                <w:szCs w:val="16"/>
              </w:rPr>
              <w:br/>
            </w:r>
            <w:r w:rsidR="00714C47" w:rsidRPr="00714C47">
              <w:rPr>
                <w:rFonts w:ascii="Arial" w:hAnsi="Arial" w:cs="Arial"/>
                <w:b/>
                <w:bCs/>
                <w:sz w:val="16"/>
                <w:szCs w:val="16"/>
              </w:rPr>
              <w:br/>
            </w:r>
            <w:r w:rsidR="00714C47" w:rsidRPr="00714C47">
              <w:rPr>
                <w:rFonts w:ascii="Arial" w:hAnsi="Arial" w:cs="Arial"/>
                <w:sz w:val="16"/>
                <w:szCs w:val="16"/>
              </w:rPr>
              <w:t>$'000</w:t>
            </w:r>
          </w:p>
        </w:tc>
        <w:tc>
          <w:tcPr>
            <w:tcW w:w="1020" w:type="dxa"/>
            <w:tcBorders>
              <w:top w:val="single" w:sz="4" w:space="0" w:color="auto"/>
              <w:left w:val="nil"/>
              <w:bottom w:val="single" w:sz="4" w:space="0" w:color="auto"/>
              <w:right w:val="nil"/>
            </w:tcBorders>
            <w:shd w:val="clear" w:color="000000" w:fill="D9D9D9"/>
            <w:vAlign w:val="bottom"/>
            <w:hideMark/>
          </w:tcPr>
          <w:p w14:paraId="3C074BA6" w14:textId="2D60A730"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Proposed</w:t>
            </w:r>
            <w:r w:rsidR="00714C47" w:rsidRPr="00714C47">
              <w:rPr>
                <w:rFonts w:ascii="Arial" w:hAnsi="Arial" w:cs="Arial"/>
                <w:b/>
                <w:bCs/>
                <w:sz w:val="16"/>
                <w:szCs w:val="16"/>
              </w:rPr>
              <w:br/>
              <w:t>Additional</w:t>
            </w:r>
            <w:r w:rsidR="00714C47" w:rsidRPr="00714C47">
              <w:rPr>
                <w:rFonts w:ascii="Arial" w:hAnsi="Arial" w:cs="Arial"/>
                <w:b/>
                <w:bCs/>
                <w:sz w:val="16"/>
                <w:szCs w:val="16"/>
              </w:rPr>
              <w:br/>
              <w:t>Estimates</w:t>
            </w:r>
            <w:r w:rsidR="00714C47" w:rsidRPr="00714C47">
              <w:rPr>
                <w:rFonts w:ascii="Arial" w:hAnsi="Arial" w:cs="Arial"/>
                <w:b/>
                <w:bCs/>
                <w:sz w:val="16"/>
                <w:szCs w:val="16"/>
              </w:rPr>
              <w:br/>
            </w:r>
            <w:r w:rsidR="00714C47" w:rsidRPr="00714C47">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7EEDE80E" w14:textId="03C5337A"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Total</w:t>
            </w:r>
            <w:r w:rsidR="00714C47" w:rsidRPr="00714C47">
              <w:rPr>
                <w:rFonts w:ascii="Arial" w:hAnsi="Arial" w:cs="Arial"/>
                <w:b/>
                <w:bCs/>
                <w:sz w:val="16"/>
                <w:szCs w:val="16"/>
              </w:rPr>
              <w:br/>
              <w:t>Estimate</w:t>
            </w:r>
            <w:r w:rsidR="00714C47" w:rsidRPr="00714C47">
              <w:rPr>
                <w:rFonts w:ascii="Arial" w:hAnsi="Arial" w:cs="Arial"/>
                <w:b/>
                <w:bCs/>
                <w:sz w:val="16"/>
                <w:szCs w:val="16"/>
              </w:rPr>
              <w:br/>
              <w:t>at AEs</w:t>
            </w:r>
            <w:r w:rsidR="00714C47" w:rsidRPr="00714C47">
              <w:rPr>
                <w:rFonts w:ascii="Arial" w:hAnsi="Arial" w:cs="Arial"/>
                <w:b/>
                <w:bCs/>
                <w:sz w:val="16"/>
                <w:szCs w:val="16"/>
              </w:rPr>
              <w:br/>
            </w:r>
            <w:r w:rsidR="00714C47" w:rsidRPr="00714C47">
              <w:rPr>
                <w:rFonts w:ascii="Arial" w:hAnsi="Arial" w:cs="Arial"/>
                <w:sz w:val="16"/>
                <w:szCs w:val="16"/>
              </w:rPr>
              <w:t>$'000</w:t>
            </w:r>
          </w:p>
        </w:tc>
      </w:tr>
      <w:tr w:rsidR="00714C47" w:rsidRPr="00714C47" w14:paraId="69AE8BC9" w14:textId="77777777" w:rsidTr="00867E2E">
        <w:trPr>
          <w:trHeight w:val="454"/>
          <w:jc w:val="center"/>
        </w:trPr>
        <w:tc>
          <w:tcPr>
            <w:tcW w:w="3460" w:type="dxa"/>
            <w:tcBorders>
              <w:top w:val="nil"/>
              <w:left w:val="nil"/>
              <w:bottom w:val="nil"/>
              <w:right w:val="nil"/>
            </w:tcBorders>
            <w:shd w:val="clear" w:color="auto" w:fill="auto"/>
            <w:vAlign w:val="bottom"/>
            <w:hideMark/>
          </w:tcPr>
          <w:p w14:paraId="14822D02" w14:textId="77777777" w:rsidR="00714C47" w:rsidRPr="00714C47" w:rsidRDefault="00714C47" w:rsidP="009D129A">
            <w:pPr>
              <w:spacing w:before="0" w:after="0" w:line="240" w:lineRule="auto"/>
              <w:ind w:leftChars="75" w:left="143"/>
              <w:rPr>
                <w:rFonts w:ascii="Arial" w:hAnsi="Arial" w:cs="Arial"/>
                <w:b/>
                <w:bCs/>
                <w:sz w:val="16"/>
                <w:szCs w:val="16"/>
              </w:rPr>
            </w:pPr>
            <w:r w:rsidRPr="00714C47">
              <w:rPr>
                <w:rFonts w:ascii="Arial" w:hAnsi="Arial" w:cs="Arial"/>
                <w:b/>
                <w:bCs/>
                <w:sz w:val="16"/>
                <w:szCs w:val="16"/>
              </w:rPr>
              <w:t>Special appropriations limited by criteria/entitlement (continued)</w:t>
            </w:r>
          </w:p>
        </w:tc>
        <w:tc>
          <w:tcPr>
            <w:tcW w:w="1200" w:type="dxa"/>
            <w:tcBorders>
              <w:top w:val="nil"/>
              <w:left w:val="nil"/>
              <w:bottom w:val="nil"/>
              <w:right w:val="nil"/>
            </w:tcBorders>
            <w:shd w:val="clear" w:color="auto" w:fill="auto"/>
            <w:noWrap/>
            <w:vAlign w:val="bottom"/>
            <w:hideMark/>
          </w:tcPr>
          <w:p w14:paraId="610552D5" w14:textId="77777777" w:rsidR="00714C47" w:rsidRPr="00714C47" w:rsidRDefault="00714C47" w:rsidP="00714C47">
            <w:pPr>
              <w:spacing w:before="0" w:after="0" w:line="240" w:lineRule="auto"/>
              <w:ind w:firstLineChars="100" w:firstLine="161"/>
              <w:rPr>
                <w:rFonts w:ascii="Arial" w:hAnsi="Arial" w:cs="Arial"/>
                <w:b/>
                <w:bCs/>
                <w:sz w:val="16"/>
                <w:szCs w:val="16"/>
              </w:rPr>
            </w:pPr>
          </w:p>
        </w:tc>
        <w:tc>
          <w:tcPr>
            <w:tcW w:w="1060" w:type="dxa"/>
            <w:tcBorders>
              <w:top w:val="nil"/>
              <w:left w:val="nil"/>
              <w:bottom w:val="nil"/>
              <w:right w:val="nil"/>
            </w:tcBorders>
            <w:shd w:val="clear" w:color="auto" w:fill="auto"/>
            <w:vAlign w:val="bottom"/>
            <w:hideMark/>
          </w:tcPr>
          <w:p w14:paraId="24479C8F" w14:textId="77777777" w:rsidR="00714C47" w:rsidRPr="00714C47" w:rsidRDefault="00714C47" w:rsidP="00714C47">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000000" w:fill="D9D9D9"/>
            <w:vAlign w:val="bottom"/>
            <w:hideMark/>
          </w:tcPr>
          <w:p w14:paraId="6A4DD1FE"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14:paraId="467DF861" w14:textId="77777777" w:rsidR="00714C47" w:rsidRPr="00714C47" w:rsidRDefault="00714C47" w:rsidP="00714C47">
            <w:pPr>
              <w:spacing w:before="0" w:after="0" w:line="240" w:lineRule="auto"/>
              <w:jc w:val="right"/>
              <w:rPr>
                <w:rFonts w:ascii="Arial" w:hAnsi="Arial" w:cs="Arial"/>
                <w:b/>
                <w:bCs/>
                <w:sz w:val="16"/>
                <w:szCs w:val="16"/>
              </w:rPr>
            </w:pPr>
          </w:p>
        </w:tc>
      </w:tr>
      <w:tr w:rsidR="00714C47" w:rsidRPr="00714C47" w14:paraId="5A5A6F62" w14:textId="77777777" w:rsidTr="00867E2E">
        <w:trPr>
          <w:trHeight w:val="454"/>
          <w:jc w:val="center"/>
        </w:trPr>
        <w:tc>
          <w:tcPr>
            <w:tcW w:w="3460" w:type="dxa"/>
            <w:tcBorders>
              <w:top w:val="nil"/>
              <w:left w:val="nil"/>
              <w:bottom w:val="nil"/>
              <w:right w:val="nil"/>
            </w:tcBorders>
            <w:shd w:val="clear" w:color="auto" w:fill="auto"/>
            <w:vAlign w:val="bottom"/>
            <w:hideMark/>
          </w:tcPr>
          <w:p w14:paraId="68358318"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Private Health Insurance Act 2007</w:t>
            </w:r>
            <w:r w:rsidRPr="00714C47">
              <w:rPr>
                <w:rFonts w:ascii="Arial" w:hAnsi="Arial" w:cs="Arial"/>
                <w:sz w:val="16"/>
                <w:szCs w:val="16"/>
              </w:rPr>
              <w:t xml:space="preserve"> - incentive payments and rebate</w:t>
            </w:r>
          </w:p>
        </w:tc>
        <w:tc>
          <w:tcPr>
            <w:tcW w:w="1200" w:type="dxa"/>
            <w:tcBorders>
              <w:top w:val="nil"/>
              <w:left w:val="nil"/>
              <w:bottom w:val="nil"/>
              <w:right w:val="nil"/>
            </w:tcBorders>
            <w:shd w:val="clear" w:color="auto" w:fill="auto"/>
            <w:noWrap/>
            <w:vAlign w:val="bottom"/>
            <w:hideMark/>
          </w:tcPr>
          <w:p w14:paraId="67F33131"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6,718,793</w:t>
            </w:r>
          </w:p>
        </w:tc>
        <w:tc>
          <w:tcPr>
            <w:tcW w:w="1060" w:type="dxa"/>
            <w:tcBorders>
              <w:top w:val="nil"/>
              <w:left w:val="nil"/>
              <w:bottom w:val="nil"/>
              <w:right w:val="nil"/>
            </w:tcBorders>
            <w:shd w:val="clear" w:color="auto" w:fill="auto"/>
            <w:noWrap/>
            <w:vAlign w:val="bottom"/>
            <w:hideMark/>
          </w:tcPr>
          <w:p w14:paraId="77B32034"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6,885,379</w:t>
            </w:r>
          </w:p>
        </w:tc>
        <w:tc>
          <w:tcPr>
            <w:tcW w:w="1020" w:type="dxa"/>
            <w:tcBorders>
              <w:top w:val="nil"/>
              <w:left w:val="nil"/>
              <w:bottom w:val="nil"/>
              <w:right w:val="nil"/>
            </w:tcBorders>
            <w:shd w:val="clear" w:color="000000" w:fill="D9D9D9"/>
            <w:noWrap/>
            <w:vAlign w:val="bottom"/>
            <w:hideMark/>
          </w:tcPr>
          <w:p w14:paraId="2DE77150"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153,609</w:t>
            </w:r>
          </w:p>
        </w:tc>
        <w:tc>
          <w:tcPr>
            <w:tcW w:w="940" w:type="dxa"/>
            <w:tcBorders>
              <w:top w:val="nil"/>
              <w:left w:val="nil"/>
              <w:bottom w:val="nil"/>
              <w:right w:val="nil"/>
            </w:tcBorders>
            <w:shd w:val="clear" w:color="auto" w:fill="auto"/>
            <w:noWrap/>
            <w:vAlign w:val="bottom"/>
            <w:hideMark/>
          </w:tcPr>
          <w:p w14:paraId="22F2DECF"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7,038,988</w:t>
            </w:r>
          </w:p>
        </w:tc>
      </w:tr>
      <w:tr w:rsidR="00714C47" w:rsidRPr="00714C47" w14:paraId="2E873996" w14:textId="77777777" w:rsidTr="00867E2E">
        <w:trPr>
          <w:trHeight w:val="283"/>
          <w:jc w:val="center"/>
        </w:trPr>
        <w:tc>
          <w:tcPr>
            <w:tcW w:w="3460" w:type="dxa"/>
            <w:tcBorders>
              <w:top w:val="nil"/>
              <w:left w:val="nil"/>
              <w:bottom w:val="nil"/>
              <w:right w:val="nil"/>
            </w:tcBorders>
            <w:shd w:val="clear" w:color="auto" w:fill="auto"/>
            <w:noWrap/>
            <w:vAlign w:val="bottom"/>
            <w:hideMark/>
          </w:tcPr>
          <w:p w14:paraId="5A6FE7AE" w14:textId="77777777" w:rsidR="00714C47" w:rsidRPr="00714C47" w:rsidRDefault="00714C47" w:rsidP="009D129A">
            <w:pPr>
              <w:spacing w:before="0" w:after="0" w:line="240" w:lineRule="auto"/>
              <w:ind w:leftChars="225" w:left="428"/>
              <w:rPr>
                <w:rFonts w:ascii="Arial" w:hAnsi="Arial" w:cs="Arial"/>
                <w:i/>
                <w:iCs/>
                <w:sz w:val="16"/>
                <w:szCs w:val="16"/>
              </w:rPr>
            </w:pPr>
            <w:r w:rsidRPr="00714C47">
              <w:rPr>
                <w:rFonts w:ascii="Arial" w:hAnsi="Arial" w:cs="Arial"/>
                <w:i/>
                <w:iCs/>
                <w:sz w:val="16"/>
                <w:szCs w:val="16"/>
              </w:rPr>
              <w:t xml:space="preserve">Medical Indemnity Act 2002 </w:t>
            </w:r>
          </w:p>
        </w:tc>
        <w:tc>
          <w:tcPr>
            <w:tcW w:w="1200" w:type="dxa"/>
            <w:tcBorders>
              <w:top w:val="nil"/>
              <w:left w:val="nil"/>
              <w:bottom w:val="nil"/>
              <w:right w:val="nil"/>
            </w:tcBorders>
            <w:shd w:val="clear" w:color="auto" w:fill="auto"/>
            <w:noWrap/>
            <w:vAlign w:val="bottom"/>
            <w:hideMark/>
          </w:tcPr>
          <w:p w14:paraId="1217D954"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106,328</w:t>
            </w:r>
          </w:p>
        </w:tc>
        <w:tc>
          <w:tcPr>
            <w:tcW w:w="1060" w:type="dxa"/>
            <w:tcBorders>
              <w:top w:val="nil"/>
              <w:left w:val="nil"/>
              <w:bottom w:val="nil"/>
              <w:right w:val="nil"/>
            </w:tcBorders>
            <w:shd w:val="clear" w:color="auto" w:fill="auto"/>
            <w:noWrap/>
            <w:vAlign w:val="bottom"/>
            <w:hideMark/>
          </w:tcPr>
          <w:p w14:paraId="37F91A32"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104,764</w:t>
            </w:r>
          </w:p>
        </w:tc>
        <w:tc>
          <w:tcPr>
            <w:tcW w:w="1020" w:type="dxa"/>
            <w:tcBorders>
              <w:top w:val="nil"/>
              <w:left w:val="nil"/>
              <w:bottom w:val="nil"/>
              <w:right w:val="nil"/>
            </w:tcBorders>
            <w:shd w:val="clear" w:color="000000" w:fill="D9D9D9"/>
            <w:noWrap/>
            <w:vAlign w:val="bottom"/>
            <w:hideMark/>
          </w:tcPr>
          <w:p w14:paraId="6A6ED038"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3836EF4D"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104,764</w:t>
            </w:r>
          </w:p>
        </w:tc>
      </w:tr>
      <w:tr w:rsidR="00714C47" w:rsidRPr="00714C47" w14:paraId="17A02847" w14:textId="77777777" w:rsidTr="00867E2E">
        <w:trPr>
          <w:trHeight w:val="624"/>
          <w:jc w:val="center"/>
        </w:trPr>
        <w:tc>
          <w:tcPr>
            <w:tcW w:w="3460" w:type="dxa"/>
            <w:tcBorders>
              <w:top w:val="nil"/>
              <w:left w:val="nil"/>
              <w:bottom w:val="nil"/>
              <w:right w:val="nil"/>
            </w:tcBorders>
            <w:shd w:val="clear" w:color="auto" w:fill="auto"/>
            <w:vAlign w:val="bottom"/>
            <w:hideMark/>
          </w:tcPr>
          <w:p w14:paraId="14B8F674" w14:textId="77777777" w:rsidR="00714C47" w:rsidRPr="00714C47" w:rsidRDefault="00714C47" w:rsidP="009D129A">
            <w:pPr>
              <w:spacing w:before="0" w:after="0" w:line="240" w:lineRule="auto"/>
              <w:ind w:leftChars="225" w:left="428"/>
              <w:rPr>
                <w:rFonts w:ascii="Arial" w:hAnsi="Arial" w:cs="Arial"/>
                <w:i/>
                <w:iCs/>
                <w:sz w:val="16"/>
                <w:szCs w:val="16"/>
              </w:rPr>
            </w:pPr>
            <w:r w:rsidRPr="00714C47">
              <w:rPr>
                <w:rFonts w:ascii="Arial" w:hAnsi="Arial" w:cs="Arial"/>
                <w:i/>
                <w:iCs/>
                <w:sz w:val="16"/>
                <w:szCs w:val="16"/>
              </w:rPr>
              <w:t>Midwife Professional Indemnity (Commonwealth Contribution) Scheme Act 2010</w:t>
            </w:r>
          </w:p>
        </w:tc>
        <w:tc>
          <w:tcPr>
            <w:tcW w:w="1200" w:type="dxa"/>
            <w:tcBorders>
              <w:top w:val="nil"/>
              <w:left w:val="nil"/>
              <w:bottom w:val="nil"/>
              <w:right w:val="nil"/>
            </w:tcBorders>
            <w:shd w:val="clear" w:color="auto" w:fill="auto"/>
            <w:noWrap/>
            <w:vAlign w:val="bottom"/>
            <w:hideMark/>
          </w:tcPr>
          <w:p w14:paraId="16D37425"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1,309</w:t>
            </w:r>
          </w:p>
        </w:tc>
        <w:tc>
          <w:tcPr>
            <w:tcW w:w="1060" w:type="dxa"/>
            <w:tcBorders>
              <w:top w:val="nil"/>
              <w:left w:val="nil"/>
              <w:bottom w:val="nil"/>
              <w:right w:val="nil"/>
            </w:tcBorders>
            <w:shd w:val="clear" w:color="auto" w:fill="auto"/>
            <w:noWrap/>
            <w:vAlign w:val="bottom"/>
            <w:hideMark/>
          </w:tcPr>
          <w:p w14:paraId="491B652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1,294</w:t>
            </w:r>
          </w:p>
        </w:tc>
        <w:tc>
          <w:tcPr>
            <w:tcW w:w="1020" w:type="dxa"/>
            <w:tcBorders>
              <w:top w:val="nil"/>
              <w:left w:val="nil"/>
              <w:bottom w:val="nil"/>
              <w:right w:val="nil"/>
            </w:tcBorders>
            <w:shd w:val="clear" w:color="000000" w:fill="D9D9D9"/>
            <w:noWrap/>
            <w:vAlign w:val="bottom"/>
            <w:hideMark/>
          </w:tcPr>
          <w:p w14:paraId="3B04DF2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44F21F1B"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1,294</w:t>
            </w:r>
          </w:p>
        </w:tc>
      </w:tr>
      <w:tr w:rsidR="00714C47" w:rsidRPr="00714C47" w14:paraId="1A541FB0" w14:textId="77777777" w:rsidTr="00867E2E">
        <w:trPr>
          <w:trHeight w:val="283"/>
          <w:jc w:val="center"/>
        </w:trPr>
        <w:tc>
          <w:tcPr>
            <w:tcW w:w="3460" w:type="dxa"/>
            <w:tcBorders>
              <w:top w:val="nil"/>
              <w:left w:val="nil"/>
              <w:bottom w:val="nil"/>
              <w:right w:val="nil"/>
            </w:tcBorders>
            <w:shd w:val="clear" w:color="auto" w:fill="auto"/>
            <w:noWrap/>
            <w:vAlign w:val="bottom"/>
            <w:hideMark/>
          </w:tcPr>
          <w:p w14:paraId="7635DA9F" w14:textId="77777777" w:rsidR="00714C47" w:rsidRPr="00714C47" w:rsidRDefault="00714C47" w:rsidP="009D129A">
            <w:pPr>
              <w:spacing w:before="0" w:after="0" w:line="240" w:lineRule="auto"/>
              <w:ind w:leftChars="225" w:left="428"/>
              <w:rPr>
                <w:rFonts w:ascii="Arial" w:hAnsi="Arial" w:cs="Arial"/>
                <w:i/>
                <w:iCs/>
                <w:sz w:val="16"/>
                <w:szCs w:val="16"/>
              </w:rPr>
            </w:pPr>
            <w:r w:rsidRPr="00714C47">
              <w:rPr>
                <w:rFonts w:ascii="Arial" w:hAnsi="Arial" w:cs="Arial"/>
                <w:i/>
                <w:iCs/>
                <w:sz w:val="16"/>
                <w:szCs w:val="16"/>
              </w:rPr>
              <w:t>Dental Benefits Act 2008</w:t>
            </w:r>
          </w:p>
        </w:tc>
        <w:tc>
          <w:tcPr>
            <w:tcW w:w="1200" w:type="dxa"/>
            <w:tcBorders>
              <w:top w:val="nil"/>
              <w:left w:val="nil"/>
              <w:bottom w:val="nil"/>
              <w:right w:val="nil"/>
            </w:tcBorders>
            <w:shd w:val="clear" w:color="auto" w:fill="auto"/>
            <w:noWrap/>
            <w:vAlign w:val="bottom"/>
            <w:hideMark/>
          </w:tcPr>
          <w:p w14:paraId="0B10F3C3"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343,788</w:t>
            </w:r>
          </w:p>
        </w:tc>
        <w:tc>
          <w:tcPr>
            <w:tcW w:w="1060" w:type="dxa"/>
            <w:tcBorders>
              <w:top w:val="nil"/>
              <w:left w:val="nil"/>
              <w:bottom w:val="nil"/>
              <w:right w:val="nil"/>
            </w:tcBorders>
            <w:shd w:val="clear" w:color="auto" w:fill="auto"/>
            <w:noWrap/>
            <w:vAlign w:val="bottom"/>
            <w:hideMark/>
          </w:tcPr>
          <w:p w14:paraId="246425D5"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349,835</w:t>
            </w:r>
          </w:p>
        </w:tc>
        <w:tc>
          <w:tcPr>
            <w:tcW w:w="1020" w:type="dxa"/>
            <w:tcBorders>
              <w:top w:val="nil"/>
              <w:left w:val="nil"/>
              <w:bottom w:val="nil"/>
              <w:right w:val="nil"/>
            </w:tcBorders>
            <w:shd w:val="clear" w:color="000000" w:fill="D9D9D9"/>
            <w:noWrap/>
            <w:vAlign w:val="bottom"/>
            <w:hideMark/>
          </w:tcPr>
          <w:p w14:paraId="310C1361"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50</w:t>
            </w:r>
          </w:p>
        </w:tc>
        <w:tc>
          <w:tcPr>
            <w:tcW w:w="940" w:type="dxa"/>
            <w:tcBorders>
              <w:top w:val="nil"/>
              <w:left w:val="nil"/>
              <w:bottom w:val="nil"/>
              <w:right w:val="nil"/>
            </w:tcBorders>
            <w:shd w:val="clear" w:color="auto" w:fill="auto"/>
            <w:noWrap/>
            <w:vAlign w:val="bottom"/>
            <w:hideMark/>
          </w:tcPr>
          <w:p w14:paraId="37503027"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349,885</w:t>
            </w:r>
          </w:p>
        </w:tc>
      </w:tr>
      <w:tr w:rsidR="00714C47" w:rsidRPr="00714C47" w14:paraId="7532B5A6" w14:textId="77777777" w:rsidTr="00867E2E">
        <w:trPr>
          <w:trHeight w:val="454"/>
          <w:jc w:val="center"/>
        </w:trPr>
        <w:tc>
          <w:tcPr>
            <w:tcW w:w="3460" w:type="dxa"/>
            <w:tcBorders>
              <w:top w:val="nil"/>
              <w:left w:val="nil"/>
              <w:bottom w:val="nil"/>
              <w:right w:val="nil"/>
            </w:tcBorders>
            <w:shd w:val="clear" w:color="auto" w:fill="auto"/>
            <w:vAlign w:val="bottom"/>
            <w:hideMark/>
          </w:tcPr>
          <w:p w14:paraId="28505C69"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National Health Act 1953</w:t>
            </w:r>
            <w:r w:rsidRPr="00714C47">
              <w:rPr>
                <w:rFonts w:ascii="Arial" w:hAnsi="Arial" w:cs="Arial"/>
                <w:sz w:val="16"/>
                <w:szCs w:val="16"/>
              </w:rPr>
              <w:t xml:space="preserve"> - aids and appliances</w:t>
            </w:r>
          </w:p>
        </w:tc>
        <w:tc>
          <w:tcPr>
            <w:tcW w:w="1200" w:type="dxa"/>
            <w:tcBorders>
              <w:top w:val="nil"/>
              <w:left w:val="nil"/>
              <w:bottom w:val="nil"/>
              <w:right w:val="nil"/>
            </w:tcBorders>
            <w:shd w:val="clear" w:color="auto" w:fill="auto"/>
            <w:noWrap/>
            <w:vAlign w:val="bottom"/>
            <w:hideMark/>
          </w:tcPr>
          <w:p w14:paraId="2DF5E7D6"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508,388</w:t>
            </w:r>
          </w:p>
        </w:tc>
        <w:tc>
          <w:tcPr>
            <w:tcW w:w="1060" w:type="dxa"/>
            <w:tcBorders>
              <w:top w:val="nil"/>
              <w:left w:val="nil"/>
              <w:bottom w:val="nil"/>
              <w:right w:val="nil"/>
            </w:tcBorders>
            <w:shd w:val="clear" w:color="auto" w:fill="auto"/>
            <w:noWrap/>
            <w:vAlign w:val="bottom"/>
            <w:hideMark/>
          </w:tcPr>
          <w:p w14:paraId="4DCBBF5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494,816</w:t>
            </w:r>
          </w:p>
        </w:tc>
        <w:tc>
          <w:tcPr>
            <w:tcW w:w="1020" w:type="dxa"/>
            <w:tcBorders>
              <w:top w:val="nil"/>
              <w:left w:val="nil"/>
              <w:bottom w:val="nil"/>
              <w:right w:val="nil"/>
            </w:tcBorders>
            <w:shd w:val="clear" w:color="000000" w:fill="D9D9D9"/>
            <w:noWrap/>
            <w:vAlign w:val="bottom"/>
            <w:hideMark/>
          </w:tcPr>
          <w:p w14:paraId="1C78CBE5"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w:t>
            </w:r>
          </w:p>
        </w:tc>
        <w:tc>
          <w:tcPr>
            <w:tcW w:w="940" w:type="dxa"/>
            <w:tcBorders>
              <w:top w:val="nil"/>
              <w:left w:val="nil"/>
              <w:bottom w:val="nil"/>
              <w:right w:val="nil"/>
            </w:tcBorders>
            <w:shd w:val="clear" w:color="auto" w:fill="auto"/>
            <w:noWrap/>
            <w:vAlign w:val="bottom"/>
            <w:hideMark/>
          </w:tcPr>
          <w:p w14:paraId="6132CEC1"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494,816</w:t>
            </w:r>
          </w:p>
        </w:tc>
      </w:tr>
      <w:tr w:rsidR="00714C47" w:rsidRPr="00714C47" w14:paraId="21ACCF6C" w14:textId="77777777" w:rsidTr="00867E2E">
        <w:trPr>
          <w:trHeight w:val="454"/>
          <w:jc w:val="center"/>
        </w:trPr>
        <w:tc>
          <w:tcPr>
            <w:tcW w:w="3460" w:type="dxa"/>
            <w:tcBorders>
              <w:top w:val="nil"/>
              <w:left w:val="nil"/>
              <w:bottom w:val="nil"/>
              <w:right w:val="nil"/>
            </w:tcBorders>
            <w:shd w:val="clear" w:color="auto" w:fill="auto"/>
            <w:vAlign w:val="bottom"/>
            <w:hideMark/>
          </w:tcPr>
          <w:p w14:paraId="356FA4F4"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National Health Act 1953</w:t>
            </w:r>
            <w:r w:rsidRPr="00714C47">
              <w:rPr>
                <w:rFonts w:ascii="Arial" w:hAnsi="Arial" w:cs="Arial"/>
                <w:sz w:val="16"/>
                <w:szCs w:val="16"/>
              </w:rPr>
              <w:t xml:space="preserve"> - essential vaccines</w:t>
            </w:r>
          </w:p>
        </w:tc>
        <w:tc>
          <w:tcPr>
            <w:tcW w:w="1200" w:type="dxa"/>
            <w:tcBorders>
              <w:top w:val="nil"/>
              <w:left w:val="nil"/>
              <w:bottom w:val="nil"/>
              <w:right w:val="nil"/>
            </w:tcBorders>
            <w:shd w:val="clear" w:color="auto" w:fill="auto"/>
            <w:noWrap/>
            <w:vAlign w:val="bottom"/>
            <w:hideMark/>
          </w:tcPr>
          <w:p w14:paraId="17180407"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440,827</w:t>
            </w:r>
          </w:p>
        </w:tc>
        <w:tc>
          <w:tcPr>
            <w:tcW w:w="1060" w:type="dxa"/>
            <w:tcBorders>
              <w:top w:val="nil"/>
              <w:left w:val="nil"/>
              <w:bottom w:val="nil"/>
              <w:right w:val="nil"/>
            </w:tcBorders>
            <w:shd w:val="clear" w:color="auto" w:fill="auto"/>
            <w:noWrap/>
            <w:vAlign w:val="bottom"/>
            <w:hideMark/>
          </w:tcPr>
          <w:p w14:paraId="0F5F3CC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512,149</w:t>
            </w:r>
          </w:p>
        </w:tc>
        <w:tc>
          <w:tcPr>
            <w:tcW w:w="1020" w:type="dxa"/>
            <w:tcBorders>
              <w:top w:val="nil"/>
              <w:left w:val="nil"/>
              <w:bottom w:val="nil"/>
              <w:right w:val="nil"/>
            </w:tcBorders>
            <w:shd w:val="clear" w:color="000000" w:fill="D9D9D9"/>
            <w:noWrap/>
            <w:vAlign w:val="bottom"/>
            <w:hideMark/>
          </w:tcPr>
          <w:p w14:paraId="53ABC65B"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129,294</w:t>
            </w:r>
          </w:p>
        </w:tc>
        <w:tc>
          <w:tcPr>
            <w:tcW w:w="940" w:type="dxa"/>
            <w:tcBorders>
              <w:top w:val="nil"/>
              <w:left w:val="nil"/>
              <w:bottom w:val="nil"/>
              <w:right w:val="nil"/>
            </w:tcBorders>
            <w:shd w:val="clear" w:color="auto" w:fill="auto"/>
            <w:noWrap/>
            <w:vAlign w:val="bottom"/>
            <w:hideMark/>
          </w:tcPr>
          <w:p w14:paraId="7FE57B01"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641,443</w:t>
            </w:r>
          </w:p>
        </w:tc>
      </w:tr>
      <w:tr w:rsidR="00714C47" w:rsidRPr="00714C47" w14:paraId="3F4F69A6" w14:textId="77777777" w:rsidTr="00867E2E">
        <w:trPr>
          <w:trHeight w:val="454"/>
          <w:jc w:val="center"/>
        </w:trPr>
        <w:tc>
          <w:tcPr>
            <w:tcW w:w="3460" w:type="dxa"/>
            <w:tcBorders>
              <w:top w:val="nil"/>
              <w:left w:val="nil"/>
              <w:bottom w:val="nil"/>
              <w:right w:val="nil"/>
            </w:tcBorders>
            <w:shd w:val="clear" w:color="auto" w:fill="auto"/>
            <w:vAlign w:val="bottom"/>
            <w:hideMark/>
          </w:tcPr>
          <w:p w14:paraId="7D9E3806"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Aged Care Act 1997</w:t>
            </w:r>
            <w:r w:rsidRPr="00714C47">
              <w:rPr>
                <w:rFonts w:ascii="Arial" w:hAnsi="Arial" w:cs="Arial"/>
                <w:sz w:val="16"/>
                <w:szCs w:val="16"/>
              </w:rPr>
              <w:t xml:space="preserve"> - residential and home care  </w:t>
            </w:r>
          </w:p>
        </w:tc>
        <w:tc>
          <w:tcPr>
            <w:tcW w:w="1200" w:type="dxa"/>
            <w:tcBorders>
              <w:top w:val="nil"/>
              <w:left w:val="nil"/>
              <w:bottom w:val="nil"/>
              <w:right w:val="nil"/>
            </w:tcBorders>
            <w:shd w:val="clear" w:color="auto" w:fill="auto"/>
            <w:noWrap/>
            <w:vAlign w:val="bottom"/>
            <w:hideMark/>
          </w:tcPr>
          <w:p w14:paraId="39D83D8F"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21,231,247</w:t>
            </w:r>
          </w:p>
        </w:tc>
        <w:tc>
          <w:tcPr>
            <w:tcW w:w="1060" w:type="dxa"/>
            <w:tcBorders>
              <w:top w:val="nil"/>
              <w:left w:val="nil"/>
              <w:bottom w:val="nil"/>
              <w:right w:val="nil"/>
            </w:tcBorders>
            <w:shd w:val="clear" w:color="auto" w:fill="auto"/>
            <w:noWrap/>
            <w:vAlign w:val="bottom"/>
            <w:hideMark/>
          </w:tcPr>
          <w:p w14:paraId="37BE68B2"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26,707,751</w:t>
            </w:r>
          </w:p>
        </w:tc>
        <w:tc>
          <w:tcPr>
            <w:tcW w:w="1020" w:type="dxa"/>
            <w:tcBorders>
              <w:top w:val="nil"/>
              <w:left w:val="nil"/>
              <w:bottom w:val="nil"/>
              <w:right w:val="nil"/>
            </w:tcBorders>
            <w:shd w:val="clear" w:color="000000" w:fill="D9D9D9"/>
            <w:noWrap/>
            <w:vAlign w:val="bottom"/>
            <w:hideMark/>
          </w:tcPr>
          <w:p w14:paraId="1EC35506"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294,953</w:t>
            </w:r>
          </w:p>
        </w:tc>
        <w:tc>
          <w:tcPr>
            <w:tcW w:w="940" w:type="dxa"/>
            <w:tcBorders>
              <w:top w:val="nil"/>
              <w:left w:val="nil"/>
              <w:bottom w:val="nil"/>
              <w:right w:val="nil"/>
            </w:tcBorders>
            <w:shd w:val="clear" w:color="auto" w:fill="auto"/>
            <w:noWrap/>
            <w:vAlign w:val="bottom"/>
            <w:hideMark/>
          </w:tcPr>
          <w:p w14:paraId="46A19149"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27,002,704</w:t>
            </w:r>
          </w:p>
        </w:tc>
      </w:tr>
      <w:tr w:rsidR="00714C47" w:rsidRPr="00714C47" w14:paraId="428713F7" w14:textId="77777777" w:rsidTr="00867E2E">
        <w:trPr>
          <w:trHeight w:val="454"/>
          <w:jc w:val="center"/>
        </w:trPr>
        <w:tc>
          <w:tcPr>
            <w:tcW w:w="3460" w:type="dxa"/>
            <w:tcBorders>
              <w:top w:val="nil"/>
              <w:left w:val="nil"/>
              <w:bottom w:val="nil"/>
              <w:right w:val="nil"/>
            </w:tcBorders>
            <w:shd w:val="clear" w:color="auto" w:fill="auto"/>
            <w:vAlign w:val="bottom"/>
            <w:hideMark/>
          </w:tcPr>
          <w:p w14:paraId="6494CDC2"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National Health Act 1953</w:t>
            </w:r>
            <w:r w:rsidRPr="00714C47">
              <w:rPr>
                <w:rFonts w:ascii="Arial" w:hAnsi="Arial" w:cs="Arial"/>
                <w:sz w:val="16"/>
                <w:szCs w:val="16"/>
              </w:rPr>
              <w:t xml:space="preserve"> - continence aids payments</w:t>
            </w:r>
          </w:p>
        </w:tc>
        <w:tc>
          <w:tcPr>
            <w:tcW w:w="1200" w:type="dxa"/>
            <w:tcBorders>
              <w:top w:val="nil"/>
              <w:left w:val="nil"/>
              <w:bottom w:val="nil"/>
              <w:right w:val="nil"/>
            </w:tcBorders>
            <w:shd w:val="clear" w:color="auto" w:fill="auto"/>
            <w:noWrap/>
            <w:vAlign w:val="bottom"/>
            <w:hideMark/>
          </w:tcPr>
          <w:p w14:paraId="3BA67E1E"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104,871</w:t>
            </w:r>
          </w:p>
        </w:tc>
        <w:tc>
          <w:tcPr>
            <w:tcW w:w="1060" w:type="dxa"/>
            <w:tcBorders>
              <w:top w:val="nil"/>
              <w:left w:val="nil"/>
              <w:bottom w:val="nil"/>
              <w:right w:val="nil"/>
            </w:tcBorders>
            <w:shd w:val="clear" w:color="auto" w:fill="auto"/>
            <w:noWrap/>
            <w:vAlign w:val="bottom"/>
            <w:hideMark/>
          </w:tcPr>
          <w:p w14:paraId="7D411B4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103,276</w:t>
            </w:r>
          </w:p>
        </w:tc>
        <w:tc>
          <w:tcPr>
            <w:tcW w:w="1020" w:type="dxa"/>
            <w:tcBorders>
              <w:top w:val="nil"/>
              <w:left w:val="nil"/>
              <w:bottom w:val="nil"/>
              <w:right w:val="nil"/>
            </w:tcBorders>
            <w:shd w:val="clear" w:color="000000" w:fill="D9D9D9"/>
            <w:noWrap/>
            <w:vAlign w:val="bottom"/>
            <w:hideMark/>
          </w:tcPr>
          <w:p w14:paraId="45C0D048"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7,179</w:t>
            </w:r>
          </w:p>
        </w:tc>
        <w:tc>
          <w:tcPr>
            <w:tcW w:w="940" w:type="dxa"/>
            <w:tcBorders>
              <w:top w:val="nil"/>
              <w:left w:val="nil"/>
              <w:bottom w:val="nil"/>
              <w:right w:val="nil"/>
            </w:tcBorders>
            <w:shd w:val="clear" w:color="auto" w:fill="auto"/>
            <w:noWrap/>
            <w:vAlign w:val="bottom"/>
            <w:hideMark/>
          </w:tcPr>
          <w:p w14:paraId="1103314D"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110,455</w:t>
            </w:r>
          </w:p>
        </w:tc>
      </w:tr>
      <w:tr w:rsidR="00714C47" w:rsidRPr="00714C47" w14:paraId="048AD119" w14:textId="77777777" w:rsidTr="00867E2E">
        <w:trPr>
          <w:trHeight w:val="283"/>
          <w:jc w:val="center"/>
        </w:trPr>
        <w:tc>
          <w:tcPr>
            <w:tcW w:w="3460" w:type="dxa"/>
            <w:tcBorders>
              <w:top w:val="nil"/>
              <w:left w:val="nil"/>
              <w:bottom w:val="nil"/>
              <w:right w:val="nil"/>
            </w:tcBorders>
            <w:shd w:val="clear" w:color="auto" w:fill="auto"/>
            <w:vAlign w:val="bottom"/>
            <w:hideMark/>
          </w:tcPr>
          <w:p w14:paraId="5315BF06" w14:textId="77777777" w:rsidR="00714C47" w:rsidRPr="00714C47" w:rsidRDefault="00714C47" w:rsidP="009D129A">
            <w:pPr>
              <w:spacing w:before="0" w:after="0" w:line="240" w:lineRule="auto"/>
              <w:ind w:leftChars="225" w:left="428"/>
              <w:rPr>
                <w:rFonts w:ascii="Arial" w:hAnsi="Arial" w:cs="Arial"/>
                <w:sz w:val="16"/>
                <w:szCs w:val="16"/>
              </w:rPr>
            </w:pPr>
            <w:r w:rsidRPr="00714C47">
              <w:rPr>
                <w:rFonts w:ascii="Arial" w:hAnsi="Arial" w:cs="Arial"/>
                <w:i/>
                <w:iCs/>
                <w:sz w:val="16"/>
                <w:szCs w:val="16"/>
              </w:rPr>
              <w:t xml:space="preserve">Aged Care Act 1997 </w:t>
            </w:r>
            <w:r w:rsidRPr="00714C47">
              <w:rPr>
                <w:rFonts w:ascii="Arial" w:hAnsi="Arial" w:cs="Arial"/>
                <w:sz w:val="16"/>
                <w:szCs w:val="16"/>
              </w:rPr>
              <w:t xml:space="preserve">- flexible care </w:t>
            </w:r>
          </w:p>
        </w:tc>
        <w:tc>
          <w:tcPr>
            <w:tcW w:w="1200" w:type="dxa"/>
            <w:tcBorders>
              <w:top w:val="nil"/>
              <w:left w:val="nil"/>
              <w:bottom w:val="nil"/>
              <w:right w:val="nil"/>
            </w:tcBorders>
            <w:shd w:val="clear" w:color="auto" w:fill="auto"/>
            <w:noWrap/>
            <w:vAlign w:val="bottom"/>
            <w:hideMark/>
          </w:tcPr>
          <w:p w14:paraId="044E3049"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717,024</w:t>
            </w:r>
          </w:p>
        </w:tc>
        <w:tc>
          <w:tcPr>
            <w:tcW w:w="1060" w:type="dxa"/>
            <w:tcBorders>
              <w:top w:val="nil"/>
              <w:left w:val="nil"/>
              <w:bottom w:val="nil"/>
              <w:right w:val="nil"/>
            </w:tcBorders>
            <w:shd w:val="clear" w:color="auto" w:fill="auto"/>
            <w:noWrap/>
            <w:vAlign w:val="bottom"/>
            <w:hideMark/>
          </w:tcPr>
          <w:p w14:paraId="469F1199"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822,584</w:t>
            </w:r>
          </w:p>
        </w:tc>
        <w:tc>
          <w:tcPr>
            <w:tcW w:w="1020" w:type="dxa"/>
            <w:tcBorders>
              <w:top w:val="nil"/>
              <w:left w:val="nil"/>
              <w:bottom w:val="nil"/>
              <w:right w:val="nil"/>
            </w:tcBorders>
            <w:shd w:val="clear" w:color="000000" w:fill="D9D9D9"/>
            <w:noWrap/>
            <w:vAlign w:val="bottom"/>
            <w:hideMark/>
          </w:tcPr>
          <w:p w14:paraId="5F72F372"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9,392</w:t>
            </w:r>
          </w:p>
        </w:tc>
        <w:tc>
          <w:tcPr>
            <w:tcW w:w="940" w:type="dxa"/>
            <w:tcBorders>
              <w:top w:val="nil"/>
              <w:left w:val="nil"/>
              <w:bottom w:val="nil"/>
              <w:right w:val="nil"/>
            </w:tcBorders>
            <w:shd w:val="clear" w:color="auto" w:fill="auto"/>
            <w:noWrap/>
            <w:vAlign w:val="bottom"/>
            <w:hideMark/>
          </w:tcPr>
          <w:p w14:paraId="57F24696"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831,976</w:t>
            </w:r>
          </w:p>
        </w:tc>
      </w:tr>
      <w:tr w:rsidR="00714C47" w:rsidRPr="00714C47" w14:paraId="4465F0F9" w14:textId="77777777" w:rsidTr="00867E2E">
        <w:trPr>
          <w:trHeight w:val="454"/>
          <w:jc w:val="center"/>
        </w:trPr>
        <w:tc>
          <w:tcPr>
            <w:tcW w:w="3460" w:type="dxa"/>
            <w:tcBorders>
              <w:top w:val="nil"/>
              <w:left w:val="nil"/>
              <w:bottom w:val="nil"/>
              <w:right w:val="nil"/>
            </w:tcBorders>
            <w:shd w:val="clear" w:color="auto" w:fill="auto"/>
            <w:vAlign w:val="bottom"/>
            <w:hideMark/>
          </w:tcPr>
          <w:p w14:paraId="5C844F12" w14:textId="77777777" w:rsidR="00714C47" w:rsidRPr="00714C47" w:rsidRDefault="00714C47" w:rsidP="009D129A">
            <w:pPr>
              <w:spacing w:before="0" w:after="0" w:line="240" w:lineRule="auto"/>
              <w:ind w:leftChars="225" w:left="428"/>
              <w:rPr>
                <w:rFonts w:ascii="Arial" w:hAnsi="Arial" w:cs="Arial"/>
                <w:b/>
                <w:bCs/>
                <w:sz w:val="16"/>
                <w:szCs w:val="16"/>
              </w:rPr>
            </w:pPr>
            <w:r w:rsidRPr="00714C47">
              <w:rPr>
                <w:rFonts w:ascii="Arial" w:hAnsi="Arial" w:cs="Arial"/>
                <w:b/>
                <w:bCs/>
                <w:sz w:val="16"/>
                <w:szCs w:val="16"/>
              </w:rPr>
              <w:t xml:space="preserve">Total administered special appropriations </w:t>
            </w:r>
          </w:p>
        </w:tc>
        <w:tc>
          <w:tcPr>
            <w:tcW w:w="1200" w:type="dxa"/>
            <w:tcBorders>
              <w:top w:val="single" w:sz="4" w:space="0" w:color="auto"/>
              <w:left w:val="nil"/>
              <w:bottom w:val="single" w:sz="4" w:space="0" w:color="auto"/>
              <w:right w:val="nil"/>
            </w:tcBorders>
            <w:shd w:val="clear" w:color="auto" w:fill="auto"/>
            <w:noWrap/>
            <w:vAlign w:val="bottom"/>
            <w:hideMark/>
          </w:tcPr>
          <w:p w14:paraId="5ADA5F12"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31,153,941</w:t>
            </w:r>
          </w:p>
        </w:tc>
        <w:tc>
          <w:tcPr>
            <w:tcW w:w="1060" w:type="dxa"/>
            <w:tcBorders>
              <w:top w:val="single" w:sz="4" w:space="0" w:color="auto"/>
              <w:left w:val="nil"/>
              <w:bottom w:val="single" w:sz="4" w:space="0" w:color="auto"/>
              <w:right w:val="nil"/>
            </w:tcBorders>
            <w:shd w:val="clear" w:color="auto" w:fill="auto"/>
            <w:noWrap/>
            <w:vAlign w:val="bottom"/>
            <w:hideMark/>
          </w:tcPr>
          <w:p w14:paraId="067E2736"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37,056,421</w:t>
            </w:r>
          </w:p>
        </w:tc>
        <w:tc>
          <w:tcPr>
            <w:tcW w:w="1020" w:type="dxa"/>
            <w:tcBorders>
              <w:top w:val="single" w:sz="4" w:space="0" w:color="auto"/>
              <w:left w:val="nil"/>
              <w:bottom w:val="single" w:sz="4" w:space="0" w:color="auto"/>
              <w:right w:val="nil"/>
            </w:tcBorders>
            <w:shd w:val="clear" w:color="000000" w:fill="D9D9D9"/>
            <w:noWrap/>
            <w:vAlign w:val="bottom"/>
            <w:hideMark/>
          </w:tcPr>
          <w:p w14:paraId="30B2E4C9"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589,119</w:t>
            </w:r>
          </w:p>
        </w:tc>
        <w:tc>
          <w:tcPr>
            <w:tcW w:w="940" w:type="dxa"/>
            <w:tcBorders>
              <w:top w:val="single" w:sz="4" w:space="0" w:color="auto"/>
              <w:left w:val="nil"/>
              <w:bottom w:val="single" w:sz="4" w:space="0" w:color="auto"/>
              <w:right w:val="nil"/>
            </w:tcBorders>
            <w:shd w:val="clear" w:color="auto" w:fill="auto"/>
            <w:noWrap/>
            <w:tcMar>
              <w:left w:w="0" w:type="dxa"/>
            </w:tcMar>
            <w:vAlign w:val="bottom"/>
            <w:hideMark/>
          </w:tcPr>
          <w:p w14:paraId="59FFC643"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37,645,540</w:t>
            </w:r>
          </w:p>
        </w:tc>
      </w:tr>
      <w:tr w:rsidR="00714C47" w:rsidRPr="00714C47" w14:paraId="7706D81B" w14:textId="77777777" w:rsidTr="00867E2E">
        <w:trPr>
          <w:trHeight w:val="283"/>
          <w:jc w:val="center"/>
        </w:trPr>
        <w:tc>
          <w:tcPr>
            <w:tcW w:w="3460" w:type="dxa"/>
            <w:tcBorders>
              <w:top w:val="nil"/>
              <w:left w:val="nil"/>
              <w:bottom w:val="nil"/>
              <w:right w:val="nil"/>
            </w:tcBorders>
            <w:shd w:val="clear" w:color="auto" w:fill="auto"/>
            <w:vAlign w:val="bottom"/>
            <w:hideMark/>
          </w:tcPr>
          <w:p w14:paraId="15DA6B3C" w14:textId="77777777" w:rsidR="00714C47" w:rsidRPr="00714C47" w:rsidRDefault="00714C47" w:rsidP="00714C47">
            <w:pPr>
              <w:spacing w:before="0" w:after="0" w:line="240" w:lineRule="auto"/>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7508A0D" w14:textId="77777777" w:rsidR="00714C47" w:rsidRPr="00714C47" w:rsidRDefault="00714C47" w:rsidP="00714C47">
            <w:pPr>
              <w:spacing w:before="0" w:after="0" w:line="240" w:lineRule="auto"/>
              <w:ind w:firstLineChars="200" w:firstLine="400"/>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67CD09D5" w14:textId="77777777" w:rsidR="00714C47" w:rsidRPr="00714C47" w:rsidRDefault="00714C47" w:rsidP="00714C47">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FFF2CFC" w14:textId="77777777" w:rsidR="00714C47" w:rsidRPr="00714C47" w:rsidRDefault="00714C47" w:rsidP="00714C47">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B6D9C02" w14:textId="77777777" w:rsidR="00714C47" w:rsidRPr="00714C47" w:rsidRDefault="00714C47" w:rsidP="00714C47">
            <w:pPr>
              <w:spacing w:before="0" w:after="0" w:line="240" w:lineRule="auto"/>
              <w:jc w:val="right"/>
              <w:rPr>
                <w:rFonts w:ascii="Times New Roman" w:hAnsi="Times New Roman"/>
                <w:sz w:val="20"/>
              </w:rPr>
            </w:pPr>
          </w:p>
        </w:tc>
      </w:tr>
    </w:tbl>
    <w:p w14:paraId="14BC60FA" w14:textId="724CEB85" w:rsidR="00714C47" w:rsidRDefault="00714C47" w:rsidP="00736DD8">
      <w:pPr>
        <w:pStyle w:val="TableGraphic"/>
        <w:rPr>
          <w:b/>
          <w:bCs/>
          <w:color w:val="0000FF"/>
        </w:rPr>
      </w:pPr>
    </w:p>
    <w:p w14:paraId="67DC4839" w14:textId="1A0B2F31" w:rsidR="00736DD8" w:rsidRPr="009D129A" w:rsidRDefault="00714C47" w:rsidP="00736DD8">
      <w:pPr>
        <w:pStyle w:val="TableHeading"/>
      </w:pPr>
      <w:r>
        <w:rPr>
          <w:b w:val="0"/>
          <w:bCs/>
          <w:color w:val="0000FF"/>
        </w:rPr>
        <w:br w:type="column"/>
      </w:r>
      <w:r w:rsidR="00736DD8" w:rsidRPr="009D129A">
        <w:rPr>
          <w:rFonts w:cs="Arial"/>
        </w:rPr>
        <w:lastRenderedPageBreak/>
        <w:t xml:space="preserve">Table 1.1: </w:t>
      </w:r>
      <w:r w:rsidR="00CB40A9" w:rsidRPr="009D129A">
        <w:rPr>
          <w:rFonts w:cs="Arial"/>
        </w:rPr>
        <w:t xml:space="preserve">Department of Health and Aged Care </w:t>
      </w:r>
      <w:r w:rsidR="00736DD8" w:rsidRPr="009D129A">
        <w:rPr>
          <w:rFonts w:cs="Arial"/>
        </w:rPr>
        <w:t xml:space="preserve">resource statement — Additional Estimates for 2023–24 as </w:t>
      </w:r>
      <w:proofErr w:type="gramStart"/>
      <w:r w:rsidR="00736DD8" w:rsidRPr="009D129A">
        <w:rPr>
          <w:rFonts w:cs="Arial"/>
        </w:rPr>
        <w:t>at</w:t>
      </w:r>
      <w:proofErr w:type="gramEnd"/>
      <w:r w:rsidR="00736DD8" w:rsidRPr="009D129A">
        <w:rPr>
          <w:rFonts w:cs="Arial"/>
        </w:rPr>
        <w:t xml:space="preserve"> February</w:t>
      </w:r>
      <w:r w:rsidR="00736DD8" w:rsidRPr="009D129A" w:rsidDel="00237790">
        <w:rPr>
          <w:rFonts w:cs="Arial"/>
        </w:rPr>
        <w:t xml:space="preserve"> </w:t>
      </w:r>
      <w:r w:rsidR="00736DD8" w:rsidRPr="009D129A">
        <w:rPr>
          <w:rFonts w:cs="Arial"/>
        </w:rPr>
        <w:t>2024 (continued)</w:t>
      </w:r>
    </w:p>
    <w:tbl>
      <w:tblPr>
        <w:tblW w:w="7711" w:type="dxa"/>
        <w:jc w:val="center"/>
        <w:tblLayout w:type="fixed"/>
        <w:tblLook w:val="04A0" w:firstRow="1" w:lastRow="0" w:firstColumn="1" w:lastColumn="0" w:noHBand="0" w:noVBand="1"/>
      </w:tblPr>
      <w:tblGrid>
        <w:gridCol w:w="3350"/>
        <w:gridCol w:w="1245"/>
        <w:gridCol w:w="1104"/>
        <w:gridCol w:w="996"/>
        <w:gridCol w:w="1016"/>
      </w:tblGrid>
      <w:tr w:rsidR="00714C47" w:rsidRPr="00714C47" w14:paraId="7534FCF8" w14:textId="77777777" w:rsidTr="009D129A">
        <w:trPr>
          <w:trHeight w:val="737"/>
          <w:jc w:val="center"/>
        </w:trPr>
        <w:tc>
          <w:tcPr>
            <w:tcW w:w="3350" w:type="dxa"/>
            <w:tcBorders>
              <w:top w:val="single" w:sz="4" w:space="0" w:color="auto"/>
              <w:left w:val="nil"/>
              <w:bottom w:val="nil"/>
              <w:right w:val="nil"/>
            </w:tcBorders>
            <w:shd w:val="clear" w:color="auto" w:fill="auto"/>
            <w:vAlign w:val="bottom"/>
            <w:hideMark/>
          </w:tcPr>
          <w:p w14:paraId="1C2637C1" w14:textId="77777777" w:rsidR="00714C47" w:rsidRPr="00714C47" w:rsidRDefault="00714C47" w:rsidP="009D129A">
            <w:pPr>
              <w:spacing w:before="24" w:after="0" w:line="240" w:lineRule="auto"/>
              <w:jc w:val="right"/>
              <w:rPr>
                <w:rFonts w:ascii="Arial" w:hAnsi="Arial" w:cs="Arial"/>
                <w:b/>
                <w:bCs/>
                <w:sz w:val="16"/>
                <w:szCs w:val="16"/>
              </w:rPr>
            </w:pPr>
            <w:r w:rsidRPr="00714C47">
              <w:rPr>
                <w:rFonts w:ascii="Arial" w:hAnsi="Arial" w:cs="Arial"/>
                <w:b/>
                <w:bCs/>
                <w:sz w:val="16"/>
                <w:szCs w:val="16"/>
              </w:rPr>
              <w:t> </w:t>
            </w:r>
          </w:p>
        </w:tc>
        <w:tc>
          <w:tcPr>
            <w:tcW w:w="1245" w:type="dxa"/>
            <w:tcBorders>
              <w:top w:val="single" w:sz="4" w:space="0" w:color="auto"/>
              <w:left w:val="nil"/>
              <w:bottom w:val="single" w:sz="4" w:space="0" w:color="auto"/>
              <w:right w:val="nil"/>
            </w:tcBorders>
            <w:shd w:val="clear" w:color="auto" w:fill="auto"/>
            <w:tcMar>
              <w:left w:w="0" w:type="dxa"/>
            </w:tcMar>
            <w:vAlign w:val="bottom"/>
            <w:hideMark/>
          </w:tcPr>
          <w:p w14:paraId="0135A4B5" w14:textId="6A2D7381" w:rsidR="00714C47" w:rsidRPr="00714C47" w:rsidRDefault="00714C47" w:rsidP="009D129A">
            <w:pPr>
              <w:spacing w:before="24" w:after="0" w:line="240" w:lineRule="auto"/>
              <w:jc w:val="right"/>
              <w:rPr>
                <w:rFonts w:ascii="Arial" w:hAnsi="Arial" w:cs="Arial"/>
                <w:b/>
                <w:bCs/>
                <w:sz w:val="16"/>
                <w:szCs w:val="16"/>
              </w:rPr>
            </w:pPr>
            <w:r w:rsidRPr="00714C47">
              <w:rPr>
                <w:rFonts w:ascii="Arial" w:hAnsi="Arial" w:cs="Arial"/>
                <w:b/>
                <w:bCs/>
                <w:sz w:val="16"/>
                <w:szCs w:val="16"/>
              </w:rPr>
              <w:t>2023</w:t>
            </w:r>
            <w:r w:rsidR="009D129A">
              <w:rPr>
                <w:rFonts w:ascii="Arial" w:hAnsi="Arial" w:cs="Arial"/>
                <w:b/>
                <w:bCs/>
                <w:sz w:val="16"/>
                <w:szCs w:val="16"/>
              </w:rPr>
              <w:t>–</w:t>
            </w:r>
            <w:r w:rsidRPr="00714C47">
              <w:rPr>
                <w:rFonts w:ascii="Arial" w:hAnsi="Arial" w:cs="Arial"/>
                <w:b/>
                <w:bCs/>
                <w:sz w:val="16"/>
                <w:szCs w:val="16"/>
              </w:rPr>
              <w:t>24</w:t>
            </w:r>
            <w:r w:rsidRPr="00714C47">
              <w:rPr>
                <w:rFonts w:ascii="Arial" w:hAnsi="Arial" w:cs="Arial"/>
                <w:b/>
                <w:bCs/>
                <w:sz w:val="16"/>
                <w:szCs w:val="16"/>
              </w:rPr>
              <w:br/>
              <w:t xml:space="preserve">Total </w:t>
            </w:r>
            <w:r w:rsidRPr="00714C47">
              <w:rPr>
                <w:rFonts w:ascii="Arial" w:hAnsi="Arial" w:cs="Arial"/>
                <w:b/>
                <w:bCs/>
                <w:sz w:val="16"/>
                <w:szCs w:val="16"/>
              </w:rPr>
              <w:br/>
              <w:t>available</w:t>
            </w:r>
            <w:r w:rsidRPr="00714C47">
              <w:rPr>
                <w:rFonts w:ascii="Arial" w:hAnsi="Arial" w:cs="Arial"/>
                <w:b/>
                <w:bCs/>
                <w:sz w:val="16"/>
                <w:szCs w:val="16"/>
              </w:rPr>
              <w:br/>
              <w:t>appropriation</w:t>
            </w:r>
            <w:r w:rsidRPr="00714C47">
              <w:rPr>
                <w:rFonts w:ascii="Arial" w:hAnsi="Arial" w:cs="Arial"/>
                <w:b/>
                <w:bCs/>
                <w:sz w:val="16"/>
                <w:szCs w:val="16"/>
              </w:rPr>
              <w:br/>
            </w:r>
            <w:r w:rsidRPr="00714C47">
              <w:rPr>
                <w:rFonts w:ascii="Arial" w:hAnsi="Arial" w:cs="Arial"/>
                <w:sz w:val="16"/>
                <w:szCs w:val="16"/>
              </w:rPr>
              <w:t>$'000</w:t>
            </w:r>
          </w:p>
        </w:tc>
        <w:tc>
          <w:tcPr>
            <w:tcW w:w="1104" w:type="dxa"/>
            <w:tcBorders>
              <w:top w:val="single" w:sz="4" w:space="0" w:color="auto"/>
              <w:left w:val="nil"/>
              <w:bottom w:val="single" w:sz="4" w:space="0" w:color="auto"/>
              <w:right w:val="nil"/>
            </w:tcBorders>
            <w:shd w:val="clear" w:color="auto" w:fill="auto"/>
            <w:tcMar>
              <w:left w:w="0" w:type="dxa"/>
            </w:tcMar>
            <w:vAlign w:val="bottom"/>
            <w:hideMark/>
          </w:tcPr>
          <w:p w14:paraId="01FC7313" w14:textId="3066CA1B" w:rsidR="00714C47" w:rsidRPr="00714C47" w:rsidRDefault="00714C47" w:rsidP="009D129A">
            <w:pPr>
              <w:spacing w:before="24" w:after="0" w:line="240" w:lineRule="auto"/>
              <w:jc w:val="right"/>
              <w:rPr>
                <w:rFonts w:ascii="Arial" w:hAnsi="Arial" w:cs="Arial"/>
                <w:b/>
                <w:bCs/>
                <w:sz w:val="16"/>
                <w:szCs w:val="16"/>
              </w:rPr>
            </w:pPr>
            <w:r w:rsidRPr="00714C47">
              <w:rPr>
                <w:rFonts w:ascii="Arial" w:hAnsi="Arial" w:cs="Arial"/>
                <w:b/>
                <w:bCs/>
                <w:sz w:val="16"/>
                <w:szCs w:val="16"/>
              </w:rPr>
              <w:t>2</w:t>
            </w:r>
            <w:r w:rsidR="009D129A">
              <w:rPr>
                <w:rFonts w:ascii="Arial" w:hAnsi="Arial" w:cs="Arial"/>
                <w:b/>
                <w:bCs/>
                <w:sz w:val="16"/>
                <w:szCs w:val="16"/>
              </w:rPr>
              <w:t>023–</w:t>
            </w:r>
            <w:r w:rsidRPr="00714C47">
              <w:rPr>
                <w:rFonts w:ascii="Arial" w:hAnsi="Arial" w:cs="Arial"/>
                <w:b/>
                <w:bCs/>
                <w:sz w:val="16"/>
                <w:szCs w:val="16"/>
              </w:rPr>
              <w:t>24</w:t>
            </w:r>
            <w:r w:rsidRPr="00714C47">
              <w:rPr>
                <w:rFonts w:ascii="Arial" w:hAnsi="Arial" w:cs="Arial"/>
                <w:b/>
                <w:bCs/>
                <w:sz w:val="16"/>
                <w:szCs w:val="16"/>
              </w:rPr>
              <w:br/>
              <w:t>Estimate as</w:t>
            </w:r>
            <w:r w:rsidRPr="00714C47">
              <w:rPr>
                <w:rFonts w:ascii="Arial" w:hAnsi="Arial" w:cs="Arial"/>
                <w:b/>
                <w:bCs/>
                <w:sz w:val="16"/>
                <w:szCs w:val="16"/>
              </w:rPr>
              <w:br/>
              <w:t>at Budget</w:t>
            </w:r>
            <w:r w:rsidRPr="00714C47">
              <w:rPr>
                <w:rFonts w:ascii="Arial" w:hAnsi="Arial" w:cs="Arial"/>
                <w:b/>
                <w:bCs/>
                <w:sz w:val="16"/>
                <w:szCs w:val="16"/>
              </w:rPr>
              <w:br/>
            </w:r>
            <w:r w:rsidRPr="00714C47">
              <w:rPr>
                <w:rFonts w:ascii="Arial" w:hAnsi="Arial" w:cs="Arial"/>
                <w:b/>
                <w:bCs/>
                <w:sz w:val="16"/>
                <w:szCs w:val="16"/>
              </w:rPr>
              <w:br/>
            </w:r>
            <w:r w:rsidRPr="00714C47">
              <w:rPr>
                <w:rFonts w:ascii="Arial" w:hAnsi="Arial" w:cs="Arial"/>
                <w:sz w:val="16"/>
                <w:szCs w:val="16"/>
              </w:rPr>
              <w:t>$'000</w:t>
            </w:r>
          </w:p>
        </w:tc>
        <w:tc>
          <w:tcPr>
            <w:tcW w:w="996" w:type="dxa"/>
            <w:tcBorders>
              <w:top w:val="single" w:sz="4" w:space="0" w:color="auto"/>
              <w:left w:val="nil"/>
              <w:bottom w:val="single" w:sz="4" w:space="0" w:color="auto"/>
              <w:right w:val="nil"/>
            </w:tcBorders>
            <w:shd w:val="clear" w:color="000000" w:fill="D9D9D9"/>
            <w:tcMar>
              <w:left w:w="0" w:type="dxa"/>
            </w:tcMar>
            <w:vAlign w:val="bottom"/>
            <w:hideMark/>
          </w:tcPr>
          <w:p w14:paraId="4CD73FAC" w14:textId="5C2BC0FD"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Proposed</w:t>
            </w:r>
            <w:r w:rsidR="00714C47" w:rsidRPr="00714C47">
              <w:rPr>
                <w:rFonts w:ascii="Arial" w:hAnsi="Arial" w:cs="Arial"/>
                <w:b/>
                <w:bCs/>
                <w:sz w:val="16"/>
                <w:szCs w:val="16"/>
              </w:rPr>
              <w:br/>
              <w:t>Additional</w:t>
            </w:r>
            <w:r w:rsidR="00714C47" w:rsidRPr="00714C47">
              <w:rPr>
                <w:rFonts w:ascii="Arial" w:hAnsi="Arial" w:cs="Arial"/>
                <w:b/>
                <w:bCs/>
                <w:sz w:val="16"/>
                <w:szCs w:val="16"/>
              </w:rPr>
              <w:br/>
              <w:t>Estimates</w:t>
            </w:r>
            <w:r w:rsidR="00714C47" w:rsidRPr="00714C47">
              <w:rPr>
                <w:rFonts w:ascii="Arial" w:hAnsi="Arial" w:cs="Arial"/>
                <w:b/>
                <w:bCs/>
                <w:sz w:val="16"/>
                <w:szCs w:val="16"/>
              </w:rPr>
              <w:br/>
            </w:r>
            <w:r w:rsidR="00714C47" w:rsidRPr="00714C47">
              <w:rPr>
                <w:rFonts w:ascii="Arial" w:hAnsi="Arial" w:cs="Arial"/>
                <w:sz w:val="16"/>
                <w:szCs w:val="16"/>
              </w:rPr>
              <w:t>$'000</w:t>
            </w:r>
          </w:p>
        </w:tc>
        <w:tc>
          <w:tcPr>
            <w:tcW w:w="1016" w:type="dxa"/>
            <w:tcBorders>
              <w:top w:val="single" w:sz="4" w:space="0" w:color="auto"/>
              <w:left w:val="nil"/>
              <w:bottom w:val="single" w:sz="4" w:space="0" w:color="auto"/>
              <w:right w:val="nil"/>
            </w:tcBorders>
            <w:shd w:val="clear" w:color="auto" w:fill="auto"/>
            <w:vAlign w:val="bottom"/>
            <w:hideMark/>
          </w:tcPr>
          <w:p w14:paraId="78B28F6B" w14:textId="044CDB9D" w:rsidR="00714C47" w:rsidRPr="00714C47" w:rsidRDefault="009D129A" w:rsidP="009D129A">
            <w:pPr>
              <w:spacing w:before="24"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Total</w:t>
            </w:r>
            <w:r w:rsidR="00714C47" w:rsidRPr="00714C47">
              <w:rPr>
                <w:rFonts w:ascii="Arial" w:hAnsi="Arial" w:cs="Arial"/>
                <w:b/>
                <w:bCs/>
                <w:sz w:val="16"/>
                <w:szCs w:val="16"/>
              </w:rPr>
              <w:br/>
              <w:t>Estimate</w:t>
            </w:r>
            <w:r w:rsidR="00714C47" w:rsidRPr="00714C47">
              <w:rPr>
                <w:rFonts w:ascii="Arial" w:hAnsi="Arial" w:cs="Arial"/>
                <w:b/>
                <w:bCs/>
                <w:sz w:val="16"/>
                <w:szCs w:val="16"/>
              </w:rPr>
              <w:br/>
              <w:t>at AEs</w:t>
            </w:r>
            <w:r w:rsidR="00714C47" w:rsidRPr="00714C47">
              <w:rPr>
                <w:rFonts w:ascii="Arial" w:hAnsi="Arial" w:cs="Arial"/>
                <w:b/>
                <w:bCs/>
                <w:sz w:val="16"/>
                <w:szCs w:val="16"/>
              </w:rPr>
              <w:br/>
            </w:r>
            <w:r w:rsidR="00714C47" w:rsidRPr="00714C47">
              <w:rPr>
                <w:rFonts w:ascii="Arial" w:hAnsi="Arial" w:cs="Arial"/>
                <w:sz w:val="16"/>
                <w:szCs w:val="16"/>
              </w:rPr>
              <w:t>$'000</w:t>
            </w:r>
          </w:p>
        </w:tc>
      </w:tr>
      <w:tr w:rsidR="00714C47" w:rsidRPr="00714C47" w14:paraId="58AE323B" w14:textId="77777777" w:rsidTr="000D0A63">
        <w:trPr>
          <w:trHeight w:val="283"/>
          <w:jc w:val="center"/>
        </w:trPr>
        <w:tc>
          <w:tcPr>
            <w:tcW w:w="3350" w:type="dxa"/>
            <w:tcBorders>
              <w:top w:val="nil"/>
              <w:left w:val="nil"/>
              <w:bottom w:val="nil"/>
              <w:right w:val="nil"/>
            </w:tcBorders>
            <w:shd w:val="clear" w:color="auto" w:fill="auto"/>
            <w:noWrap/>
            <w:vAlign w:val="bottom"/>
            <w:hideMark/>
          </w:tcPr>
          <w:p w14:paraId="0CD9B51A" w14:textId="77777777" w:rsidR="00714C47" w:rsidRPr="00714C47" w:rsidRDefault="00714C47" w:rsidP="009D129A">
            <w:pPr>
              <w:spacing w:before="0" w:after="0" w:line="240" w:lineRule="auto"/>
              <w:ind w:leftChars="75" w:left="143"/>
              <w:rPr>
                <w:rFonts w:ascii="Arial" w:hAnsi="Arial" w:cs="Arial"/>
                <w:b/>
                <w:bCs/>
                <w:sz w:val="16"/>
                <w:szCs w:val="16"/>
              </w:rPr>
            </w:pPr>
            <w:r w:rsidRPr="00714C47">
              <w:rPr>
                <w:rFonts w:ascii="Arial" w:hAnsi="Arial" w:cs="Arial"/>
                <w:b/>
                <w:bCs/>
                <w:sz w:val="16"/>
                <w:szCs w:val="16"/>
              </w:rPr>
              <w:t>Special accounts</w:t>
            </w:r>
            <w:r w:rsidRPr="00714C47">
              <w:rPr>
                <w:rFonts w:ascii="Arial" w:hAnsi="Arial" w:cs="Arial"/>
                <w:b/>
                <w:bCs/>
                <w:sz w:val="16"/>
                <w:szCs w:val="16"/>
                <w:vertAlign w:val="superscript"/>
              </w:rPr>
              <w:t xml:space="preserve"> (f)</w:t>
            </w:r>
          </w:p>
        </w:tc>
        <w:tc>
          <w:tcPr>
            <w:tcW w:w="1245" w:type="dxa"/>
            <w:tcBorders>
              <w:top w:val="nil"/>
              <w:left w:val="nil"/>
              <w:bottom w:val="nil"/>
              <w:right w:val="nil"/>
            </w:tcBorders>
            <w:shd w:val="clear" w:color="auto" w:fill="auto"/>
            <w:noWrap/>
            <w:vAlign w:val="bottom"/>
            <w:hideMark/>
          </w:tcPr>
          <w:p w14:paraId="1705556E" w14:textId="77777777" w:rsidR="00714C47" w:rsidRPr="00714C47" w:rsidRDefault="00714C47" w:rsidP="00714C47">
            <w:pPr>
              <w:spacing w:before="0" w:after="0" w:line="240" w:lineRule="auto"/>
              <w:ind w:firstLineChars="100" w:firstLine="161"/>
              <w:rPr>
                <w:rFonts w:ascii="Arial" w:hAnsi="Arial" w:cs="Arial"/>
                <w:b/>
                <w:bCs/>
                <w:sz w:val="16"/>
                <w:szCs w:val="16"/>
              </w:rPr>
            </w:pPr>
          </w:p>
        </w:tc>
        <w:tc>
          <w:tcPr>
            <w:tcW w:w="1104" w:type="dxa"/>
            <w:tcBorders>
              <w:top w:val="nil"/>
              <w:left w:val="nil"/>
              <w:bottom w:val="nil"/>
              <w:right w:val="nil"/>
            </w:tcBorders>
            <w:shd w:val="clear" w:color="auto" w:fill="auto"/>
            <w:noWrap/>
            <w:vAlign w:val="bottom"/>
            <w:hideMark/>
          </w:tcPr>
          <w:p w14:paraId="42AB0C2A" w14:textId="77777777" w:rsidR="00714C47" w:rsidRPr="00714C47" w:rsidRDefault="00714C47" w:rsidP="00714C47">
            <w:pPr>
              <w:spacing w:before="0" w:after="0" w:line="240" w:lineRule="auto"/>
              <w:jc w:val="right"/>
              <w:rPr>
                <w:rFonts w:ascii="Times New Roman" w:hAnsi="Times New Roman"/>
                <w:sz w:val="20"/>
              </w:rPr>
            </w:pPr>
          </w:p>
        </w:tc>
        <w:tc>
          <w:tcPr>
            <w:tcW w:w="996" w:type="dxa"/>
            <w:tcBorders>
              <w:top w:val="nil"/>
              <w:left w:val="nil"/>
              <w:bottom w:val="nil"/>
              <w:right w:val="nil"/>
            </w:tcBorders>
            <w:shd w:val="clear" w:color="000000" w:fill="D9D9D9"/>
            <w:noWrap/>
            <w:vAlign w:val="bottom"/>
            <w:hideMark/>
          </w:tcPr>
          <w:p w14:paraId="36FE91BB"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 </w:t>
            </w:r>
          </w:p>
        </w:tc>
        <w:tc>
          <w:tcPr>
            <w:tcW w:w="1016" w:type="dxa"/>
            <w:tcBorders>
              <w:top w:val="nil"/>
              <w:left w:val="nil"/>
              <w:bottom w:val="nil"/>
              <w:right w:val="nil"/>
            </w:tcBorders>
            <w:shd w:val="clear" w:color="auto" w:fill="auto"/>
            <w:noWrap/>
            <w:vAlign w:val="bottom"/>
            <w:hideMark/>
          </w:tcPr>
          <w:p w14:paraId="5F29910B" w14:textId="77777777" w:rsidR="00714C47" w:rsidRPr="00714C47" w:rsidRDefault="00714C47" w:rsidP="00714C47">
            <w:pPr>
              <w:spacing w:before="0" w:after="0" w:line="240" w:lineRule="auto"/>
              <w:jc w:val="right"/>
              <w:rPr>
                <w:rFonts w:ascii="Arial" w:hAnsi="Arial" w:cs="Arial"/>
                <w:b/>
                <w:bCs/>
                <w:sz w:val="16"/>
                <w:szCs w:val="16"/>
              </w:rPr>
            </w:pPr>
          </w:p>
        </w:tc>
      </w:tr>
      <w:tr w:rsidR="00714C47" w:rsidRPr="00714C47" w14:paraId="4A475444" w14:textId="77777777" w:rsidTr="000D0A63">
        <w:trPr>
          <w:trHeight w:val="227"/>
          <w:jc w:val="center"/>
        </w:trPr>
        <w:tc>
          <w:tcPr>
            <w:tcW w:w="3350" w:type="dxa"/>
            <w:tcBorders>
              <w:top w:val="nil"/>
              <w:left w:val="nil"/>
              <w:bottom w:val="nil"/>
              <w:right w:val="nil"/>
            </w:tcBorders>
            <w:shd w:val="clear" w:color="auto" w:fill="auto"/>
            <w:noWrap/>
            <w:vAlign w:val="bottom"/>
            <w:hideMark/>
          </w:tcPr>
          <w:p w14:paraId="2DC9D61B" w14:textId="77777777" w:rsidR="00714C47" w:rsidRPr="00714C47" w:rsidRDefault="00714C47" w:rsidP="009D129A">
            <w:pPr>
              <w:spacing w:before="0" w:after="0" w:line="240" w:lineRule="auto"/>
              <w:ind w:leftChars="150" w:left="285"/>
              <w:rPr>
                <w:rFonts w:ascii="Arial" w:hAnsi="Arial" w:cs="Arial"/>
                <w:sz w:val="16"/>
                <w:szCs w:val="16"/>
              </w:rPr>
            </w:pPr>
            <w:r w:rsidRPr="00714C47">
              <w:rPr>
                <w:rFonts w:ascii="Arial" w:hAnsi="Arial" w:cs="Arial"/>
                <w:sz w:val="16"/>
                <w:szCs w:val="16"/>
              </w:rPr>
              <w:t xml:space="preserve">Opening balance </w:t>
            </w:r>
            <w:r w:rsidRPr="00714C47">
              <w:rPr>
                <w:rFonts w:ascii="Arial" w:hAnsi="Arial" w:cs="Arial"/>
                <w:sz w:val="16"/>
                <w:szCs w:val="16"/>
                <w:vertAlign w:val="superscript"/>
              </w:rPr>
              <w:t>(b)</w:t>
            </w:r>
          </w:p>
        </w:tc>
        <w:tc>
          <w:tcPr>
            <w:tcW w:w="1245" w:type="dxa"/>
            <w:tcBorders>
              <w:top w:val="nil"/>
              <w:left w:val="nil"/>
              <w:bottom w:val="nil"/>
              <w:right w:val="nil"/>
            </w:tcBorders>
            <w:shd w:val="clear" w:color="auto" w:fill="auto"/>
            <w:noWrap/>
            <w:vAlign w:val="bottom"/>
            <w:hideMark/>
          </w:tcPr>
          <w:p w14:paraId="33278707"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3,281,361</w:t>
            </w:r>
          </w:p>
        </w:tc>
        <w:tc>
          <w:tcPr>
            <w:tcW w:w="1104" w:type="dxa"/>
            <w:tcBorders>
              <w:top w:val="nil"/>
              <w:left w:val="nil"/>
              <w:bottom w:val="nil"/>
              <w:right w:val="nil"/>
            </w:tcBorders>
            <w:shd w:val="clear" w:color="auto" w:fill="auto"/>
            <w:noWrap/>
            <w:vAlign w:val="bottom"/>
            <w:hideMark/>
          </w:tcPr>
          <w:p w14:paraId="0E73DA62"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5,364,420</w:t>
            </w:r>
          </w:p>
        </w:tc>
        <w:tc>
          <w:tcPr>
            <w:tcW w:w="996" w:type="dxa"/>
            <w:tcBorders>
              <w:top w:val="nil"/>
              <w:left w:val="nil"/>
              <w:bottom w:val="nil"/>
              <w:right w:val="nil"/>
            </w:tcBorders>
            <w:shd w:val="clear" w:color="000000" w:fill="D9D9D9"/>
            <w:noWrap/>
            <w:vAlign w:val="bottom"/>
            <w:hideMark/>
          </w:tcPr>
          <w:p w14:paraId="0D8D95FB"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w:t>
            </w:r>
          </w:p>
        </w:tc>
        <w:tc>
          <w:tcPr>
            <w:tcW w:w="1016" w:type="dxa"/>
            <w:tcBorders>
              <w:top w:val="nil"/>
              <w:left w:val="nil"/>
              <w:bottom w:val="nil"/>
              <w:right w:val="nil"/>
            </w:tcBorders>
            <w:shd w:val="clear" w:color="auto" w:fill="auto"/>
            <w:noWrap/>
            <w:tcMar>
              <w:left w:w="0" w:type="dxa"/>
            </w:tcMar>
            <w:vAlign w:val="bottom"/>
            <w:hideMark/>
          </w:tcPr>
          <w:p w14:paraId="0BBF7064"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5,364,420</w:t>
            </w:r>
          </w:p>
        </w:tc>
      </w:tr>
      <w:tr w:rsidR="00714C47" w:rsidRPr="00714C47" w14:paraId="4E2D2B93" w14:textId="77777777" w:rsidTr="009D129A">
        <w:trPr>
          <w:trHeight w:val="225"/>
          <w:jc w:val="center"/>
        </w:trPr>
        <w:tc>
          <w:tcPr>
            <w:tcW w:w="3350" w:type="dxa"/>
            <w:tcBorders>
              <w:top w:val="nil"/>
              <w:left w:val="nil"/>
              <w:bottom w:val="nil"/>
              <w:right w:val="nil"/>
            </w:tcBorders>
            <w:shd w:val="clear" w:color="auto" w:fill="auto"/>
            <w:noWrap/>
            <w:vAlign w:val="bottom"/>
            <w:hideMark/>
          </w:tcPr>
          <w:p w14:paraId="2D78876D" w14:textId="77777777" w:rsidR="00714C47" w:rsidRPr="00714C47" w:rsidRDefault="00714C47" w:rsidP="009D129A">
            <w:pPr>
              <w:spacing w:before="0" w:after="0" w:line="240" w:lineRule="auto"/>
              <w:ind w:leftChars="150" w:left="285"/>
              <w:rPr>
                <w:rFonts w:ascii="Arial" w:hAnsi="Arial" w:cs="Arial"/>
                <w:sz w:val="16"/>
                <w:szCs w:val="16"/>
              </w:rPr>
            </w:pPr>
            <w:r w:rsidRPr="00714C47">
              <w:rPr>
                <w:rFonts w:ascii="Arial" w:hAnsi="Arial" w:cs="Arial"/>
                <w:sz w:val="16"/>
                <w:szCs w:val="16"/>
              </w:rPr>
              <w:t>Appropriation receipts</w:t>
            </w:r>
            <w:r w:rsidRPr="00714C47">
              <w:rPr>
                <w:rFonts w:ascii="Arial" w:hAnsi="Arial" w:cs="Arial"/>
                <w:sz w:val="18"/>
                <w:szCs w:val="18"/>
                <w:vertAlign w:val="superscript"/>
              </w:rPr>
              <w:t xml:space="preserve"> </w:t>
            </w:r>
            <w:r w:rsidRPr="00714C47">
              <w:rPr>
                <w:rFonts w:ascii="Arial" w:hAnsi="Arial" w:cs="Arial"/>
                <w:sz w:val="16"/>
                <w:szCs w:val="16"/>
                <w:vertAlign w:val="superscript"/>
              </w:rPr>
              <w:t>(g)</w:t>
            </w:r>
          </w:p>
        </w:tc>
        <w:tc>
          <w:tcPr>
            <w:tcW w:w="1245" w:type="dxa"/>
            <w:tcBorders>
              <w:top w:val="nil"/>
              <w:left w:val="nil"/>
              <w:bottom w:val="nil"/>
              <w:right w:val="nil"/>
            </w:tcBorders>
            <w:shd w:val="clear" w:color="auto" w:fill="auto"/>
            <w:noWrap/>
            <w:vAlign w:val="bottom"/>
            <w:hideMark/>
          </w:tcPr>
          <w:p w14:paraId="03F02875"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7,133</w:t>
            </w:r>
          </w:p>
        </w:tc>
        <w:tc>
          <w:tcPr>
            <w:tcW w:w="1104" w:type="dxa"/>
            <w:tcBorders>
              <w:top w:val="nil"/>
              <w:left w:val="nil"/>
              <w:bottom w:val="nil"/>
              <w:right w:val="nil"/>
            </w:tcBorders>
            <w:shd w:val="clear" w:color="auto" w:fill="auto"/>
            <w:noWrap/>
            <w:vAlign w:val="bottom"/>
            <w:hideMark/>
          </w:tcPr>
          <w:p w14:paraId="2F4CCB66"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7,133</w:t>
            </w:r>
          </w:p>
        </w:tc>
        <w:tc>
          <w:tcPr>
            <w:tcW w:w="996" w:type="dxa"/>
            <w:tcBorders>
              <w:top w:val="nil"/>
              <w:left w:val="nil"/>
              <w:bottom w:val="nil"/>
              <w:right w:val="nil"/>
            </w:tcBorders>
            <w:shd w:val="clear" w:color="000000" w:fill="D9D9D9"/>
            <w:noWrap/>
            <w:vAlign w:val="bottom"/>
            <w:hideMark/>
          </w:tcPr>
          <w:p w14:paraId="3023D90E"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69,621</w:t>
            </w:r>
          </w:p>
        </w:tc>
        <w:tc>
          <w:tcPr>
            <w:tcW w:w="1016" w:type="dxa"/>
            <w:tcBorders>
              <w:top w:val="nil"/>
              <w:left w:val="nil"/>
              <w:bottom w:val="nil"/>
              <w:right w:val="nil"/>
            </w:tcBorders>
            <w:shd w:val="clear" w:color="auto" w:fill="auto"/>
            <w:noWrap/>
            <w:tcMar>
              <w:left w:w="0" w:type="dxa"/>
            </w:tcMar>
            <w:vAlign w:val="bottom"/>
            <w:hideMark/>
          </w:tcPr>
          <w:p w14:paraId="6A4AAF1F"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76,754</w:t>
            </w:r>
          </w:p>
        </w:tc>
      </w:tr>
      <w:tr w:rsidR="00714C47" w:rsidRPr="00714C47" w14:paraId="0400214E" w14:textId="77777777" w:rsidTr="009D129A">
        <w:trPr>
          <w:trHeight w:val="225"/>
          <w:jc w:val="center"/>
        </w:trPr>
        <w:tc>
          <w:tcPr>
            <w:tcW w:w="3350" w:type="dxa"/>
            <w:tcBorders>
              <w:top w:val="nil"/>
              <w:left w:val="nil"/>
              <w:bottom w:val="nil"/>
              <w:right w:val="nil"/>
            </w:tcBorders>
            <w:shd w:val="clear" w:color="auto" w:fill="auto"/>
            <w:noWrap/>
            <w:vAlign w:val="bottom"/>
            <w:hideMark/>
          </w:tcPr>
          <w:p w14:paraId="35ED9526" w14:textId="77777777" w:rsidR="00714C47" w:rsidRPr="00714C47" w:rsidRDefault="00714C47" w:rsidP="009D129A">
            <w:pPr>
              <w:spacing w:before="0" w:after="0" w:line="240" w:lineRule="auto"/>
              <w:ind w:leftChars="150" w:left="285"/>
              <w:rPr>
                <w:rFonts w:ascii="Arial" w:hAnsi="Arial" w:cs="Arial"/>
                <w:sz w:val="16"/>
                <w:szCs w:val="16"/>
              </w:rPr>
            </w:pPr>
            <w:r w:rsidRPr="00714C47">
              <w:rPr>
                <w:rFonts w:ascii="Arial" w:hAnsi="Arial" w:cs="Arial"/>
                <w:sz w:val="16"/>
                <w:szCs w:val="16"/>
              </w:rPr>
              <w:t>Non-appropriation receipts</w:t>
            </w:r>
          </w:p>
        </w:tc>
        <w:tc>
          <w:tcPr>
            <w:tcW w:w="1245" w:type="dxa"/>
            <w:tcBorders>
              <w:top w:val="nil"/>
              <w:left w:val="nil"/>
              <w:bottom w:val="nil"/>
              <w:right w:val="nil"/>
            </w:tcBorders>
            <w:shd w:val="clear" w:color="auto" w:fill="auto"/>
            <w:noWrap/>
            <w:vAlign w:val="bottom"/>
            <w:hideMark/>
          </w:tcPr>
          <w:p w14:paraId="767F981C"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46,266,544</w:t>
            </w:r>
          </w:p>
        </w:tc>
        <w:tc>
          <w:tcPr>
            <w:tcW w:w="1104" w:type="dxa"/>
            <w:tcBorders>
              <w:top w:val="nil"/>
              <w:left w:val="nil"/>
              <w:bottom w:val="nil"/>
              <w:right w:val="nil"/>
            </w:tcBorders>
            <w:shd w:val="clear" w:color="auto" w:fill="auto"/>
            <w:noWrap/>
            <w:vAlign w:val="bottom"/>
            <w:hideMark/>
          </w:tcPr>
          <w:p w14:paraId="17FB6B0D"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48,174,897</w:t>
            </w:r>
          </w:p>
        </w:tc>
        <w:tc>
          <w:tcPr>
            <w:tcW w:w="996" w:type="dxa"/>
            <w:tcBorders>
              <w:top w:val="nil"/>
              <w:left w:val="nil"/>
              <w:bottom w:val="nil"/>
              <w:right w:val="nil"/>
            </w:tcBorders>
            <w:shd w:val="clear" w:color="000000" w:fill="D9D9D9"/>
            <w:noWrap/>
            <w:vAlign w:val="bottom"/>
            <w:hideMark/>
          </w:tcPr>
          <w:p w14:paraId="23469563"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90,873</w:t>
            </w:r>
          </w:p>
        </w:tc>
        <w:tc>
          <w:tcPr>
            <w:tcW w:w="1016" w:type="dxa"/>
            <w:tcBorders>
              <w:top w:val="nil"/>
              <w:left w:val="nil"/>
              <w:bottom w:val="nil"/>
              <w:right w:val="nil"/>
            </w:tcBorders>
            <w:shd w:val="clear" w:color="auto" w:fill="auto"/>
            <w:noWrap/>
            <w:tcMar>
              <w:left w:w="0" w:type="dxa"/>
            </w:tcMar>
            <w:vAlign w:val="bottom"/>
            <w:hideMark/>
          </w:tcPr>
          <w:p w14:paraId="65DDAB43"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48,265,770</w:t>
            </w:r>
          </w:p>
        </w:tc>
      </w:tr>
      <w:tr w:rsidR="00714C47" w:rsidRPr="00714C47" w14:paraId="0471499D" w14:textId="77777777" w:rsidTr="009D129A">
        <w:trPr>
          <w:trHeight w:val="225"/>
          <w:jc w:val="center"/>
        </w:trPr>
        <w:tc>
          <w:tcPr>
            <w:tcW w:w="3350" w:type="dxa"/>
            <w:tcBorders>
              <w:top w:val="nil"/>
              <w:left w:val="nil"/>
              <w:bottom w:val="nil"/>
              <w:right w:val="nil"/>
            </w:tcBorders>
            <w:shd w:val="clear" w:color="auto" w:fill="auto"/>
            <w:noWrap/>
            <w:vAlign w:val="bottom"/>
            <w:hideMark/>
          </w:tcPr>
          <w:p w14:paraId="140A5966" w14:textId="77777777" w:rsidR="00714C47" w:rsidRPr="00714C47" w:rsidRDefault="00714C47" w:rsidP="009D129A">
            <w:pPr>
              <w:spacing w:before="0" w:after="0" w:line="240" w:lineRule="auto"/>
              <w:ind w:leftChars="150" w:left="285"/>
              <w:rPr>
                <w:rFonts w:ascii="Arial" w:hAnsi="Arial" w:cs="Arial"/>
                <w:b/>
                <w:bCs/>
                <w:sz w:val="16"/>
                <w:szCs w:val="16"/>
              </w:rPr>
            </w:pPr>
            <w:r w:rsidRPr="00714C47">
              <w:rPr>
                <w:rFonts w:ascii="Arial" w:hAnsi="Arial" w:cs="Arial"/>
                <w:b/>
                <w:bCs/>
                <w:sz w:val="16"/>
                <w:szCs w:val="16"/>
              </w:rPr>
              <w:t>Total special accounts</w:t>
            </w:r>
          </w:p>
        </w:tc>
        <w:tc>
          <w:tcPr>
            <w:tcW w:w="1245" w:type="dxa"/>
            <w:tcBorders>
              <w:top w:val="nil"/>
              <w:left w:val="nil"/>
              <w:bottom w:val="nil"/>
              <w:right w:val="nil"/>
            </w:tcBorders>
            <w:shd w:val="clear" w:color="auto" w:fill="auto"/>
            <w:noWrap/>
            <w:vAlign w:val="bottom"/>
            <w:hideMark/>
          </w:tcPr>
          <w:p w14:paraId="6C144A09"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49,555,038</w:t>
            </w:r>
          </w:p>
        </w:tc>
        <w:tc>
          <w:tcPr>
            <w:tcW w:w="1104" w:type="dxa"/>
            <w:tcBorders>
              <w:top w:val="nil"/>
              <w:left w:val="nil"/>
              <w:bottom w:val="nil"/>
              <w:right w:val="nil"/>
            </w:tcBorders>
            <w:shd w:val="clear" w:color="auto" w:fill="auto"/>
            <w:noWrap/>
            <w:vAlign w:val="bottom"/>
            <w:hideMark/>
          </w:tcPr>
          <w:p w14:paraId="61692D02"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53,546,450</w:t>
            </w:r>
          </w:p>
        </w:tc>
        <w:tc>
          <w:tcPr>
            <w:tcW w:w="996" w:type="dxa"/>
            <w:tcBorders>
              <w:top w:val="nil"/>
              <w:left w:val="nil"/>
              <w:bottom w:val="nil"/>
              <w:right w:val="nil"/>
            </w:tcBorders>
            <w:shd w:val="clear" w:color="000000" w:fill="D9D9D9"/>
            <w:noWrap/>
            <w:vAlign w:val="bottom"/>
            <w:hideMark/>
          </w:tcPr>
          <w:p w14:paraId="1AF09BBE"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160,494</w:t>
            </w:r>
          </w:p>
        </w:tc>
        <w:tc>
          <w:tcPr>
            <w:tcW w:w="1016" w:type="dxa"/>
            <w:tcBorders>
              <w:top w:val="nil"/>
              <w:left w:val="nil"/>
              <w:bottom w:val="nil"/>
              <w:right w:val="nil"/>
            </w:tcBorders>
            <w:shd w:val="clear" w:color="auto" w:fill="auto"/>
            <w:noWrap/>
            <w:tcMar>
              <w:left w:w="0" w:type="dxa"/>
            </w:tcMar>
            <w:vAlign w:val="bottom"/>
            <w:hideMark/>
          </w:tcPr>
          <w:p w14:paraId="1B937EB9"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53,706,944</w:t>
            </w:r>
          </w:p>
        </w:tc>
      </w:tr>
      <w:tr w:rsidR="00714C47" w:rsidRPr="00714C47" w14:paraId="5854AE61" w14:textId="77777777" w:rsidTr="000D0A63">
        <w:trPr>
          <w:trHeight w:val="283"/>
          <w:jc w:val="center"/>
        </w:trPr>
        <w:tc>
          <w:tcPr>
            <w:tcW w:w="3350" w:type="dxa"/>
            <w:tcBorders>
              <w:top w:val="nil"/>
              <w:left w:val="nil"/>
              <w:bottom w:val="nil"/>
              <w:right w:val="nil"/>
            </w:tcBorders>
            <w:shd w:val="clear" w:color="auto" w:fill="auto"/>
            <w:noWrap/>
            <w:vAlign w:val="bottom"/>
            <w:hideMark/>
          </w:tcPr>
          <w:p w14:paraId="0921CDAD" w14:textId="77777777" w:rsidR="00714C47" w:rsidRPr="00714C47" w:rsidRDefault="00714C47" w:rsidP="009D129A">
            <w:pPr>
              <w:spacing w:before="0" w:after="0" w:line="240" w:lineRule="auto"/>
              <w:ind w:leftChars="75" w:left="143"/>
              <w:rPr>
                <w:rFonts w:ascii="Arial" w:hAnsi="Arial" w:cs="Arial"/>
                <w:b/>
                <w:bCs/>
                <w:sz w:val="16"/>
                <w:szCs w:val="16"/>
              </w:rPr>
            </w:pPr>
            <w:r w:rsidRPr="00714C47">
              <w:rPr>
                <w:rFonts w:ascii="Arial" w:hAnsi="Arial" w:cs="Arial"/>
                <w:b/>
                <w:bCs/>
                <w:sz w:val="16"/>
                <w:szCs w:val="16"/>
              </w:rPr>
              <w:t xml:space="preserve">Total administered resourcing </w:t>
            </w:r>
          </w:p>
        </w:tc>
        <w:tc>
          <w:tcPr>
            <w:tcW w:w="1245" w:type="dxa"/>
            <w:tcBorders>
              <w:top w:val="single" w:sz="4" w:space="0" w:color="auto"/>
              <w:left w:val="nil"/>
              <w:bottom w:val="single" w:sz="4" w:space="0" w:color="auto"/>
              <w:right w:val="nil"/>
            </w:tcBorders>
            <w:shd w:val="clear" w:color="auto" w:fill="auto"/>
            <w:noWrap/>
            <w:vAlign w:val="bottom"/>
            <w:hideMark/>
          </w:tcPr>
          <w:p w14:paraId="70DC1DD1"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100,998,147</w:t>
            </w:r>
          </w:p>
        </w:tc>
        <w:tc>
          <w:tcPr>
            <w:tcW w:w="1015" w:type="dxa"/>
            <w:tcBorders>
              <w:top w:val="single" w:sz="4" w:space="0" w:color="auto"/>
              <w:left w:val="nil"/>
              <w:bottom w:val="single" w:sz="4" w:space="0" w:color="auto"/>
              <w:right w:val="nil"/>
            </w:tcBorders>
            <w:shd w:val="clear" w:color="auto" w:fill="auto"/>
            <w:noWrap/>
            <w:tcMar>
              <w:left w:w="0" w:type="dxa"/>
            </w:tcMar>
            <w:vAlign w:val="bottom"/>
            <w:hideMark/>
          </w:tcPr>
          <w:p w14:paraId="4770CF11"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107,246,027</w:t>
            </w:r>
          </w:p>
        </w:tc>
        <w:tc>
          <w:tcPr>
            <w:tcW w:w="996" w:type="dxa"/>
            <w:tcBorders>
              <w:top w:val="single" w:sz="4" w:space="0" w:color="auto"/>
              <w:left w:val="nil"/>
              <w:bottom w:val="single" w:sz="4" w:space="0" w:color="auto"/>
              <w:right w:val="nil"/>
            </w:tcBorders>
            <w:shd w:val="clear" w:color="000000" w:fill="D9D9D9"/>
            <w:noWrap/>
            <w:vAlign w:val="bottom"/>
            <w:hideMark/>
          </w:tcPr>
          <w:p w14:paraId="4DC487A2"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1,730,942</w:t>
            </w:r>
          </w:p>
        </w:tc>
        <w:tc>
          <w:tcPr>
            <w:tcW w:w="1016" w:type="dxa"/>
            <w:tcBorders>
              <w:top w:val="single" w:sz="4" w:space="0" w:color="auto"/>
              <w:left w:val="nil"/>
              <w:bottom w:val="single" w:sz="4" w:space="0" w:color="auto"/>
              <w:right w:val="nil"/>
            </w:tcBorders>
            <w:shd w:val="clear" w:color="auto" w:fill="auto"/>
            <w:noWrap/>
            <w:tcMar>
              <w:left w:w="0" w:type="dxa"/>
            </w:tcMar>
            <w:vAlign w:val="bottom"/>
            <w:hideMark/>
          </w:tcPr>
          <w:p w14:paraId="07941E22" w14:textId="09171F41" w:rsidR="00714C47" w:rsidRPr="00714C47" w:rsidRDefault="009D129A" w:rsidP="00714C47">
            <w:pPr>
              <w:spacing w:before="0" w:after="0" w:line="240" w:lineRule="auto"/>
              <w:jc w:val="right"/>
              <w:rPr>
                <w:rFonts w:ascii="Arial" w:hAnsi="Arial" w:cs="Arial"/>
                <w:b/>
                <w:bCs/>
                <w:sz w:val="16"/>
                <w:szCs w:val="16"/>
              </w:rPr>
            </w:pPr>
            <w:r>
              <w:rPr>
                <w:rFonts w:ascii="Arial" w:hAnsi="Arial" w:cs="Arial"/>
                <w:b/>
                <w:bCs/>
                <w:sz w:val="16"/>
                <w:szCs w:val="16"/>
              </w:rPr>
              <w:t>108,976,969</w:t>
            </w:r>
          </w:p>
        </w:tc>
      </w:tr>
      <w:tr w:rsidR="00714C47" w:rsidRPr="00714C47" w14:paraId="51FE1ED8" w14:textId="77777777" w:rsidTr="000D0A63">
        <w:trPr>
          <w:trHeight w:val="964"/>
          <w:jc w:val="center"/>
        </w:trPr>
        <w:tc>
          <w:tcPr>
            <w:tcW w:w="3350" w:type="dxa"/>
            <w:tcBorders>
              <w:top w:val="nil"/>
              <w:left w:val="nil"/>
              <w:bottom w:val="nil"/>
              <w:right w:val="nil"/>
            </w:tcBorders>
            <w:shd w:val="clear" w:color="auto" w:fill="auto"/>
            <w:vAlign w:val="bottom"/>
            <w:hideMark/>
          </w:tcPr>
          <w:p w14:paraId="43B2A9A3" w14:textId="77777777" w:rsidR="00714C47" w:rsidRPr="00714C47" w:rsidRDefault="00714C47" w:rsidP="009D129A">
            <w:pPr>
              <w:spacing w:before="0" w:after="0" w:line="240" w:lineRule="auto"/>
              <w:ind w:leftChars="75" w:left="143"/>
              <w:rPr>
                <w:rFonts w:ascii="Arial" w:hAnsi="Arial" w:cs="Arial"/>
                <w:sz w:val="16"/>
                <w:szCs w:val="16"/>
              </w:rPr>
            </w:pPr>
            <w:r w:rsidRPr="00714C47">
              <w:rPr>
                <w:rFonts w:ascii="Arial" w:hAnsi="Arial" w:cs="Arial"/>
                <w:sz w:val="16"/>
                <w:szCs w:val="16"/>
              </w:rPr>
              <w:t>Less appropriations drawn from annual or special appropriations above and credited to special accounts and/or payments to corporate entities through annual appropriations</w:t>
            </w:r>
            <w:r w:rsidRPr="00714C47">
              <w:rPr>
                <w:rFonts w:ascii="Arial" w:hAnsi="Arial" w:cs="Arial"/>
                <w:sz w:val="16"/>
                <w:szCs w:val="16"/>
                <w:vertAlign w:val="superscript"/>
              </w:rPr>
              <w:t xml:space="preserve"> </w:t>
            </w:r>
          </w:p>
        </w:tc>
        <w:tc>
          <w:tcPr>
            <w:tcW w:w="1245" w:type="dxa"/>
            <w:tcBorders>
              <w:top w:val="nil"/>
              <w:left w:val="nil"/>
              <w:bottom w:val="nil"/>
              <w:right w:val="nil"/>
            </w:tcBorders>
            <w:shd w:val="clear" w:color="auto" w:fill="auto"/>
            <w:noWrap/>
            <w:vAlign w:val="bottom"/>
            <w:hideMark/>
          </w:tcPr>
          <w:p w14:paraId="3822A95B"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(634,523)</w:t>
            </w:r>
          </w:p>
        </w:tc>
        <w:tc>
          <w:tcPr>
            <w:tcW w:w="1015" w:type="dxa"/>
            <w:tcBorders>
              <w:top w:val="nil"/>
              <w:left w:val="nil"/>
              <w:bottom w:val="nil"/>
              <w:right w:val="nil"/>
            </w:tcBorders>
            <w:shd w:val="clear" w:color="auto" w:fill="auto"/>
            <w:noWrap/>
            <w:vAlign w:val="bottom"/>
            <w:hideMark/>
          </w:tcPr>
          <w:p w14:paraId="24C7EB6A"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(742,563)</w:t>
            </w:r>
          </w:p>
        </w:tc>
        <w:tc>
          <w:tcPr>
            <w:tcW w:w="996" w:type="dxa"/>
            <w:tcBorders>
              <w:top w:val="nil"/>
              <w:left w:val="nil"/>
              <w:bottom w:val="nil"/>
              <w:right w:val="nil"/>
            </w:tcBorders>
            <w:shd w:val="clear" w:color="000000" w:fill="D9D9D9"/>
            <w:noWrap/>
            <w:vAlign w:val="bottom"/>
            <w:hideMark/>
          </w:tcPr>
          <w:p w14:paraId="249F15CE"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(32,838)</w:t>
            </w:r>
          </w:p>
        </w:tc>
        <w:tc>
          <w:tcPr>
            <w:tcW w:w="1016" w:type="dxa"/>
            <w:tcBorders>
              <w:top w:val="nil"/>
              <w:left w:val="nil"/>
              <w:bottom w:val="nil"/>
              <w:right w:val="nil"/>
            </w:tcBorders>
            <w:shd w:val="clear" w:color="auto" w:fill="auto"/>
            <w:noWrap/>
            <w:vAlign w:val="bottom"/>
            <w:hideMark/>
          </w:tcPr>
          <w:p w14:paraId="06144094" w14:textId="77777777" w:rsidR="00714C47" w:rsidRPr="00714C47" w:rsidRDefault="00714C47" w:rsidP="00714C47">
            <w:pPr>
              <w:spacing w:before="0" w:after="0" w:line="240" w:lineRule="auto"/>
              <w:jc w:val="right"/>
              <w:rPr>
                <w:rFonts w:ascii="Arial" w:hAnsi="Arial" w:cs="Arial"/>
                <w:sz w:val="16"/>
                <w:szCs w:val="16"/>
              </w:rPr>
            </w:pPr>
            <w:r w:rsidRPr="00714C47">
              <w:rPr>
                <w:rFonts w:ascii="Arial" w:hAnsi="Arial" w:cs="Arial"/>
                <w:sz w:val="16"/>
                <w:szCs w:val="16"/>
              </w:rPr>
              <w:t>(775,401)</w:t>
            </w:r>
          </w:p>
        </w:tc>
      </w:tr>
      <w:tr w:rsidR="00714C47" w:rsidRPr="00714C47" w14:paraId="7344A25B" w14:textId="77777777" w:rsidTr="000D0A63">
        <w:trPr>
          <w:trHeight w:val="283"/>
          <w:jc w:val="center"/>
        </w:trPr>
        <w:tc>
          <w:tcPr>
            <w:tcW w:w="3350" w:type="dxa"/>
            <w:tcBorders>
              <w:top w:val="nil"/>
              <w:left w:val="nil"/>
              <w:bottom w:val="nil"/>
              <w:right w:val="nil"/>
            </w:tcBorders>
            <w:shd w:val="clear" w:color="auto" w:fill="auto"/>
            <w:noWrap/>
            <w:vAlign w:val="bottom"/>
            <w:hideMark/>
          </w:tcPr>
          <w:p w14:paraId="1CF21D56" w14:textId="4BB3CA8A"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Total administered resourcing for Health</w:t>
            </w:r>
            <w:r w:rsidR="00825974">
              <w:rPr>
                <w:rFonts w:ascii="Arial" w:hAnsi="Arial" w:cs="Arial"/>
                <w:b/>
                <w:bCs/>
                <w:sz w:val="16"/>
                <w:szCs w:val="16"/>
              </w:rPr>
              <w:t xml:space="preserve"> and Aged Care</w:t>
            </w:r>
          </w:p>
        </w:tc>
        <w:tc>
          <w:tcPr>
            <w:tcW w:w="1245" w:type="dxa"/>
            <w:tcBorders>
              <w:top w:val="single" w:sz="4" w:space="0" w:color="auto"/>
              <w:left w:val="nil"/>
              <w:bottom w:val="single" w:sz="4" w:space="0" w:color="auto"/>
              <w:right w:val="nil"/>
            </w:tcBorders>
            <w:shd w:val="clear" w:color="auto" w:fill="auto"/>
            <w:noWrap/>
            <w:vAlign w:val="bottom"/>
            <w:hideMark/>
          </w:tcPr>
          <w:p w14:paraId="0F5C300E"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100,363,624</w:t>
            </w:r>
          </w:p>
        </w:tc>
        <w:tc>
          <w:tcPr>
            <w:tcW w:w="1015" w:type="dxa"/>
            <w:tcBorders>
              <w:top w:val="single" w:sz="4" w:space="0" w:color="auto"/>
              <w:left w:val="nil"/>
              <w:bottom w:val="single" w:sz="4" w:space="0" w:color="auto"/>
              <w:right w:val="nil"/>
            </w:tcBorders>
            <w:shd w:val="clear" w:color="auto" w:fill="auto"/>
            <w:noWrap/>
            <w:tcMar>
              <w:left w:w="0" w:type="dxa"/>
            </w:tcMar>
            <w:vAlign w:val="bottom"/>
            <w:hideMark/>
          </w:tcPr>
          <w:p w14:paraId="5EAC4B52"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106,503,464</w:t>
            </w:r>
          </w:p>
        </w:tc>
        <w:tc>
          <w:tcPr>
            <w:tcW w:w="996" w:type="dxa"/>
            <w:tcBorders>
              <w:top w:val="single" w:sz="4" w:space="0" w:color="auto"/>
              <w:left w:val="nil"/>
              <w:bottom w:val="single" w:sz="4" w:space="0" w:color="auto"/>
              <w:right w:val="nil"/>
            </w:tcBorders>
            <w:shd w:val="clear" w:color="000000" w:fill="D9D9D9"/>
            <w:noWrap/>
            <w:vAlign w:val="bottom"/>
            <w:hideMark/>
          </w:tcPr>
          <w:p w14:paraId="12D27883"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1,698,104</w:t>
            </w:r>
          </w:p>
        </w:tc>
        <w:tc>
          <w:tcPr>
            <w:tcW w:w="1016" w:type="dxa"/>
            <w:tcBorders>
              <w:top w:val="single" w:sz="4" w:space="0" w:color="auto"/>
              <w:left w:val="nil"/>
              <w:bottom w:val="single" w:sz="4" w:space="0" w:color="auto"/>
              <w:right w:val="nil"/>
            </w:tcBorders>
            <w:shd w:val="clear" w:color="auto" w:fill="auto"/>
            <w:noWrap/>
            <w:tcMar>
              <w:left w:w="0" w:type="dxa"/>
            </w:tcMar>
            <w:vAlign w:val="bottom"/>
            <w:hideMark/>
          </w:tcPr>
          <w:p w14:paraId="2F65E666" w14:textId="74330FA4" w:rsidR="00714C47" w:rsidRPr="00714C47" w:rsidRDefault="009D129A" w:rsidP="00714C47">
            <w:pPr>
              <w:spacing w:before="0" w:after="0" w:line="240" w:lineRule="auto"/>
              <w:jc w:val="right"/>
              <w:rPr>
                <w:rFonts w:ascii="Arial" w:hAnsi="Arial" w:cs="Arial"/>
                <w:b/>
                <w:bCs/>
                <w:sz w:val="16"/>
                <w:szCs w:val="16"/>
              </w:rPr>
            </w:pPr>
            <w:r>
              <w:rPr>
                <w:rFonts w:ascii="Arial" w:hAnsi="Arial" w:cs="Arial"/>
                <w:b/>
                <w:bCs/>
                <w:sz w:val="16"/>
                <w:szCs w:val="16"/>
              </w:rPr>
              <w:t>108,201,568</w:t>
            </w:r>
          </w:p>
        </w:tc>
      </w:tr>
      <w:tr w:rsidR="00714C47" w:rsidRPr="00714C47" w14:paraId="370E946D" w14:textId="77777777" w:rsidTr="000D0A63">
        <w:trPr>
          <w:trHeight w:val="283"/>
          <w:jc w:val="center"/>
        </w:trPr>
        <w:tc>
          <w:tcPr>
            <w:tcW w:w="3350" w:type="dxa"/>
            <w:tcBorders>
              <w:top w:val="nil"/>
              <w:left w:val="nil"/>
              <w:bottom w:val="single" w:sz="4" w:space="0" w:color="auto"/>
              <w:right w:val="nil"/>
            </w:tcBorders>
            <w:shd w:val="clear" w:color="auto" w:fill="auto"/>
            <w:noWrap/>
            <w:vAlign w:val="bottom"/>
            <w:hideMark/>
          </w:tcPr>
          <w:p w14:paraId="2B156BF4" w14:textId="7872B66B"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Total resourcing for Health</w:t>
            </w:r>
            <w:r w:rsidR="00825974">
              <w:rPr>
                <w:rFonts w:ascii="Arial" w:hAnsi="Arial" w:cs="Arial"/>
                <w:b/>
                <w:bCs/>
                <w:sz w:val="16"/>
                <w:szCs w:val="16"/>
              </w:rPr>
              <w:t xml:space="preserve"> and Aged Care</w:t>
            </w:r>
          </w:p>
        </w:tc>
        <w:tc>
          <w:tcPr>
            <w:tcW w:w="1245" w:type="dxa"/>
            <w:tcBorders>
              <w:top w:val="nil"/>
              <w:left w:val="nil"/>
              <w:bottom w:val="single" w:sz="4" w:space="0" w:color="auto"/>
              <w:right w:val="nil"/>
            </w:tcBorders>
            <w:shd w:val="clear" w:color="auto" w:fill="auto"/>
            <w:noWrap/>
            <w:vAlign w:val="bottom"/>
            <w:hideMark/>
          </w:tcPr>
          <w:p w14:paraId="6FDB42E2"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102,070,300</w:t>
            </w:r>
          </w:p>
        </w:tc>
        <w:tc>
          <w:tcPr>
            <w:tcW w:w="1015" w:type="dxa"/>
            <w:tcBorders>
              <w:top w:val="nil"/>
              <w:left w:val="nil"/>
              <w:bottom w:val="single" w:sz="4" w:space="0" w:color="auto"/>
              <w:right w:val="nil"/>
            </w:tcBorders>
            <w:shd w:val="clear" w:color="auto" w:fill="auto"/>
            <w:noWrap/>
            <w:tcMar>
              <w:left w:w="0" w:type="dxa"/>
            </w:tcMar>
            <w:vAlign w:val="bottom"/>
            <w:hideMark/>
          </w:tcPr>
          <w:p w14:paraId="49A1D0BC"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108,383,405</w:t>
            </w:r>
          </w:p>
        </w:tc>
        <w:tc>
          <w:tcPr>
            <w:tcW w:w="996" w:type="dxa"/>
            <w:tcBorders>
              <w:top w:val="nil"/>
              <w:left w:val="nil"/>
              <w:bottom w:val="single" w:sz="4" w:space="0" w:color="auto"/>
              <w:right w:val="nil"/>
            </w:tcBorders>
            <w:shd w:val="clear" w:color="000000" w:fill="D9D9D9"/>
            <w:noWrap/>
            <w:vAlign w:val="bottom"/>
            <w:hideMark/>
          </w:tcPr>
          <w:p w14:paraId="5FD1A738"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1,942,011</w:t>
            </w:r>
          </w:p>
        </w:tc>
        <w:tc>
          <w:tcPr>
            <w:tcW w:w="1016" w:type="dxa"/>
            <w:tcBorders>
              <w:top w:val="nil"/>
              <w:left w:val="nil"/>
              <w:bottom w:val="single" w:sz="4" w:space="0" w:color="auto"/>
              <w:right w:val="nil"/>
            </w:tcBorders>
            <w:shd w:val="clear" w:color="auto" w:fill="auto"/>
            <w:noWrap/>
            <w:tcMar>
              <w:left w:w="0" w:type="dxa"/>
            </w:tcMar>
            <w:vAlign w:val="bottom"/>
            <w:hideMark/>
          </w:tcPr>
          <w:p w14:paraId="0908F0E7" w14:textId="27232737" w:rsidR="00714C47" w:rsidRPr="00714C47" w:rsidRDefault="009D129A" w:rsidP="00714C47">
            <w:pPr>
              <w:spacing w:before="0" w:after="0" w:line="240" w:lineRule="auto"/>
              <w:jc w:val="right"/>
              <w:rPr>
                <w:rFonts w:ascii="Arial" w:hAnsi="Arial" w:cs="Arial"/>
                <w:b/>
                <w:bCs/>
                <w:sz w:val="16"/>
                <w:szCs w:val="16"/>
              </w:rPr>
            </w:pPr>
            <w:r>
              <w:rPr>
                <w:rFonts w:ascii="Arial" w:hAnsi="Arial" w:cs="Arial"/>
                <w:b/>
                <w:bCs/>
                <w:sz w:val="16"/>
                <w:szCs w:val="16"/>
              </w:rPr>
              <w:t>110,325,416</w:t>
            </w:r>
          </w:p>
        </w:tc>
      </w:tr>
      <w:tr w:rsidR="00714C47" w:rsidRPr="00714C47" w14:paraId="296F6258" w14:textId="77777777" w:rsidTr="009D129A">
        <w:trPr>
          <w:trHeight w:val="225"/>
          <w:jc w:val="center"/>
        </w:trPr>
        <w:tc>
          <w:tcPr>
            <w:tcW w:w="3350" w:type="dxa"/>
            <w:tcBorders>
              <w:top w:val="nil"/>
              <w:left w:val="nil"/>
              <w:bottom w:val="single" w:sz="4" w:space="0" w:color="auto"/>
              <w:right w:val="nil"/>
            </w:tcBorders>
            <w:shd w:val="clear" w:color="auto" w:fill="auto"/>
            <w:noWrap/>
            <w:vAlign w:val="bottom"/>
            <w:hideMark/>
          </w:tcPr>
          <w:p w14:paraId="4560F084" w14:textId="77777777"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 </w:t>
            </w:r>
          </w:p>
        </w:tc>
        <w:tc>
          <w:tcPr>
            <w:tcW w:w="1245" w:type="dxa"/>
            <w:tcBorders>
              <w:top w:val="nil"/>
              <w:left w:val="nil"/>
              <w:bottom w:val="single" w:sz="4" w:space="0" w:color="auto"/>
              <w:right w:val="nil"/>
            </w:tcBorders>
            <w:shd w:val="clear" w:color="auto" w:fill="auto"/>
            <w:noWrap/>
            <w:vAlign w:val="bottom"/>
            <w:hideMark/>
          </w:tcPr>
          <w:p w14:paraId="32F7C667" w14:textId="77777777"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 </w:t>
            </w:r>
          </w:p>
        </w:tc>
        <w:tc>
          <w:tcPr>
            <w:tcW w:w="1015" w:type="dxa"/>
            <w:tcBorders>
              <w:top w:val="nil"/>
              <w:left w:val="nil"/>
              <w:bottom w:val="nil"/>
              <w:right w:val="nil"/>
            </w:tcBorders>
            <w:shd w:val="clear" w:color="auto" w:fill="auto"/>
            <w:noWrap/>
            <w:vAlign w:val="bottom"/>
            <w:hideMark/>
          </w:tcPr>
          <w:p w14:paraId="66833E13" w14:textId="77777777" w:rsidR="00714C47" w:rsidRPr="00714C47" w:rsidRDefault="00714C47" w:rsidP="00714C47">
            <w:pPr>
              <w:spacing w:before="0" w:after="0" w:line="240" w:lineRule="auto"/>
              <w:jc w:val="right"/>
              <w:rPr>
                <w:rFonts w:ascii="Arial" w:hAnsi="Arial" w:cs="Arial"/>
                <w:b/>
                <w:bCs/>
                <w:sz w:val="16"/>
                <w:szCs w:val="16"/>
              </w:rPr>
            </w:pPr>
            <w:r w:rsidRPr="00714C47">
              <w:rPr>
                <w:rFonts w:ascii="Arial" w:hAnsi="Arial" w:cs="Arial"/>
                <w:b/>
                <w:bCs/>
                <w:sz w:val="16"/>
                <w:szCs w:val="16"/>
              </w:rPr>
              <w:t> </w:t>
            </w:r>
          </w:p>
        </w:tc>
        <w:tc>
          <w:tcPr>
            <w:tcW w:w="996" w:type="dxa"/>
            <w:tcBorders>
              <w:top w:val="nil"/>
              <w:left w:val="nil"/>
              <w:bottom w:val="nil"/>
              <w:right w:val="nil"/>
            </w:tcBorders>
            <w:shd w:val="clear" w:color="auto" w:fill="auto"/>
            <w:noWrap/>
            <w:vAlign w:val="bottom"/>
            <w:hideMark/>
          </w:tcPr>
          <w:p w14:paraId="53F144E1" w14:textId="77777777"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 </w:t>
            </w:r>
          </w:p>
        </w:tc>
        <w:tc>
          <w:tcPr>
            <w:tcW w:w="1016" w:type="dxa"/>
            <w:tcBorders>
              <w:top w:val="nil"/>
              <w:left w:val="nil"/>
              <w:bottom w:val="nil"/>
              <w:right w:val="nil"/>
            </w:tcBorders>
            <w:shd w:val="clear" w:color="auto" w:fill="auto"/>
            <w:noWrap/>
            <w:vAlign w:val="bottom"/>
            <w:hideMark/>
          </w:tcPr>
          <w:p w14:paraId="69EC4DBE" w14:textId="77777777" w:rsidR="00714C47" w:rsidRPr="00714C47" w:rsidRDefault="00714C47" w:rsidP="00714C47">
            <w:pPr>
              <w:spacing w:before="0" w:after="0" w:line="240" w:lineRule="auto"/>
              <w:rPr>
                <w:rFonts w:ascii="Arial" w:hAnsi="Arial" w:cs="Arial"/>
                <w:b/>
                <w:bCs/>
                <w:sz w:val="16"/>
                <w:szCs w:val="16"/>
              </w:rPr>
            </w:pPr>
            <w:r w:rsidRPr="00714C47">
              <w:rPr>
                <w:rFonts w:ascii="Arial" w:hAnsi="Arial" w:cs="Arial"/>
                <w:b/>
                <w:bCs/>
                <w:sz w:val="16"/>
                <w:szCs w:val="16"/>
              </w:rPr>
              <w:t> </w:t>
            </w:r>
          </w:p>
        </w:tc>
      </w:tr>
      <w:tr w:rsidR="00714C47" w:rsidRPr="00714C47" w14:paraId="67772F2A" w14:textId="77777777" w:rsidTr="000D0A63">
        <w:trPr>
          <w:trHeight w:val="425"/>
          <w:jc w:val="center"/>
        </w:trPr>
        <w:tc>
          <w:tcPr>
            <w:tcW w:w="3350" w:type="dxa"/>
            <w:tcBorders>
              <w:top w:val="nil"/>
              <w:left w:val="nil"/>
              <w:bottom w:val="nil"/>
              <w:right w:val="nil"/>
            </w:tcBorders>
            <w:shd w:val="clear" w:color="auto" w:fill="auto"/>
            <w:noWrap/>
            <w:vAlign w:val="bottom"/>
            <w:hideMark/>
          </w:tcPr>
          <w:p w14:paraId="311C8829" w14:textId="77777777" w:rsidR="00714C47" w:rsidRPr="00714C47" w:rsidRDefault="00714C47" w:rsidP="00714C47">
            <w:pPr>
              <w:spacing w:before="0" w:after="0" w:line="240" w:lineRule="auto"/>
              <w:rPr>
                <w:rFonts w:ascii="Arial" w:hAnsi="Arial" w:cs="Arial"/>
                <w:b/>
                <w:bCs/>
                <w:sz w:val="16"/>
                <w:szCs w:val="16"/>
              </w:rPr>
            </w:pPr>
          </w:p>
        </w:tc>
        <w:tc>
          <w:tcPr>
            <w:tcW w:w="1245" w:type="dxa"/>
            <w:tcBorders>
              <w:top w:val="nil"/>
              <w:left w:val="nil"/>
              <w:bottom w:val="single" w:sz="4" w:space="0" w:color="auto"/>
              <w:right w:val="nil"/>
            </w:tcBorders>
            <w:shd w:val="clear" w:color="auto" w:fill="auto"/>
            <w:vAlign w:val="bottom"/>
            <w:hideMark/>
          </w:tcPr>
          <w:p w14:paraId="2EA05D98" w14:textId="110C8D54" w:rsidR="00714C47" w:rsidRPr="00714C47" w:rsidRDefault="009D129A" w:rsidP="009D129A">
            <w:pPr>
              <w:spacing w:before="0" w:after="0" w:line="240" w:lineRule="auto"/>
              <w:jc w:val="right"/>
              <w:rPr>
                <w:rFonts w:ascii="Arial" w:hAnsi="Arial" w:cs="Arial"/>
                <w:b/>
                <w:bCs/>
                <w:sz w:val="16"/>
                <w:szCs w:val="16"/>
              </w:rPr>
            </w:pPr>
            <w:r>
              <w:rPr>
                <w:rFonts w:ascii="Arial" w:hAnsi="Arial" w:cs="Arial"/>
                <w:b/>
                <w:bCs/>
                <w:sz w:val="16"/>
                <w:szCs w:val="16"/>
              </w:rPr>
              <w:t>2022–</w:t>
            </w:r>
            <w:r w:rsidR="00714C47" w:rsidRPr="00714C47">
              <w:rPr>
                <w:rFonts w:ascii="Arial" w:hAnsi="Arial" w:cs="Arial"/>
                <w:b/>
                <w:bCs/>
                <w:sz w:val="16"/>
                <w:szCs w:val="16"/>
              </w:rPr>
              <w:t>23</w:t>
            </w:r>
            <w:r w:rsidR="00714C47" w:rsidRPr="00714C47">
              <w:rPr>
                <w:rFonts w:ascii="Arial" w:hAnsi="Arial" w:cs="Arial"/>
                <w:b/>
                <w:bCs/>
                <w:sz w:val="16"/>
                <w:szCs w:val="16"/>
              </w:rPr>
              <w:br/>
              <w:t>Actual</w:t>
            </w:r>
          </w:p>
        </w:tc>
        <w:tc>
          <w:tcPr>
            <w:tcW w:w="1015" w:type="dxa"/>
            <w:tcBorders>
              <w:top w:val="single" w:sz="4" w:space="0" w:color="auto"/>
              <w:left w:val="nil"/>
              <w:bottom w:val="single" w:sz="4" w:space="0" w:color="auto"/>
              <w:right w:val="nil"/>
            </w:tcBorders>
            <w:shd w:val="clear" w:color="auto" w:fill="auto"/>
            <w:vAlign w:val="bottom"/>
            <w:hideMark/>
          </w:tcPr>
          <w:p w14:paraId="59335BBF" w14:textId="77777777" w:rsidR="00714C47" w:rsidRPr="00714C47" w:rsidRDefault="00714C47" w:rsidP="00714C47">
            <w:pPr>
              <w:spacing w:before="0" w:after="0" w:line="240" w:lineRule="auto"/>
              <w:rPr>
                <w:rFonts w:ascii="Arial" w:hAnsi="Arial" w:cs="Arial"/>
                <w:sz w:val="16"/>
                <w:szCs w:val="16"/>
              </w:rPr>
            </w:pPr>
            <w:r w:rsidRPr="00714C47">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vAlign w:val="bottom"/>
            <w:hideMark/>
          </w:tcPr>
          <w:p w14:paraId="22538BD3" w14:textId="77777777" w:rsidR="00714C47" w:rsidRPr="00714C47" w:rsidRDefault="00714C47" w:rsidP="00714C47">
            <w:pPr>
              <w:spacing w:before="0" w:after="0" w:line="240" w:lineRule="auto"/>
              <w:rPr>
                <w:rFonts w:ascii="Arial" w:hAnsi="Arial" w:cs="Arial"/>
                <w:sz w:val="16"/>
                <w:szCs w:val="16"/>
              </w:rPr>
            </w:pPr>
            <w:r w:rsidRPr="00714C47">
              <w:rPr>
                <w:rFonts w:ascii="Arial" w:hAnsi="Arial" w:cs="Arial"/>
                <w:sz w:val="16"/>
                <w:szCs w:val="16"/>
              </w:rPr>
              <w:t> </w:t>
            </w:r>
          </w:p>
        </w:tc>
        <w:tc>
          <w:tcPr>
            <w:tcW w:w="1016" w:type="dxa"/>
            <w:tcBorders>
              <w:top w:val="single" w:sz="4" w:space="0" w:color="auto"/>
              <w:left w:val="nil"/>
              <w:bottom w:val="single" w:sz="4" w:space="0" w:color="auto"/>
              <w:right w:val="nil"/>
            </w:tcBorders>
            <w:shd w:val="clear" w:color="auto" w:fill="auto"/>
            <w:vAlign w:val="bottom"/>
            <w:hideMark/>
          </w:tcPr>
          <w:p w14:paraId="7A27E488" w14:textId="225075A3" w:rsidR="00714C47" w:rsidRPr="00714C47" w:rsidRDefault="009D129A" w:rsidP="00714C47">
            <w:pPr>
              <w:spacing w:before="0" w:after="0" w:line="240" w:lineRule="auto"/>
              <w:jc w:val="right"/>
              <w:rPr>
                <w:rFonts w:ascii="Arial" w:hAnsi="Arial" w:cs="Arial"/>
                <w:b/>
                <w:bCs/>
                <w:sz w:val="16"/>
                <w:szCs w:val="16"/>
              </w:rPr>
            </w:pPr>
            <w:r>
              <w:rPr>
                <w:rFonts w:ascii="Arial" w:hAnsi="Arial" w:cs="Arial"/>
                <w:b/>
                <w:bCs/>
                <w:sz w:val="16"/>
                <w:szCs w:val="16"/>
              </w:rPr>
              <w:t>2023–</w:t>
            </w:r>
            <w:r w:rsidR="00714C47" w:rsidRPr="00714C47">
              <w:rPr>
                <w:rFonts w:ascii="Arial" w:hAnsi="Arial" w:cs="Arial"/>
                <w:b/>
                <w:bCs/>
                <w:sz w:val="16"/>
                <w:szCs w:val="16"/>
              </w:rPr>
              <w:t>24</w:t>
            </w:r>
            <w:r w:rsidR="00714C47" w:rsidRPr="00714C47">
              <w:rPr>
                <w:rFonts w:ascii="Arial" w:hAnsi="Arial" w:cs="Arial"/>
                <w:b/>
                <w:bCs/>
                <w:sz w:val="16"/>
                <w:szCs w:val="16"/>
              </w:rPr>
              <w:br/>
              <w:t>Revised</w:t>
            </w:r>
          </w:p>
        </w:tc>
      </w:tr>
      <w:tr w:rsidR="00714C47" w:rsidRPr="00714C47" w14:paraId="3B7FBA2E" w14:textId="77777777" w:rsidTr="009D129A">
        <w:trPr>
          <w:trHeight w:val="225"/>
          <w:jc w:val="center"/>
        </w:trPr>
        <w:tc>
          <w:tcPr>
            <w:tcW w:w="3350" w:type="dxa"/>
            <w:tcBorders>
              <w:top w:val="nil"/>
              <w:left w:val="nil"/>
              <w:bottom w:val="single" w:sz="4" w:space="0" w:color="auto"/>
              <w:right w:val="nil"/>
            </w:tcBorders>
            <w:shd w:val="clear" w:color="auto" w:fill="auto"/>
            <w:noWrap/>
            <w:vAlign w:val="bottom"/>
            <w:hideMark/>
          </w:tcPr>
          <w:p w14:paraId="62593E8A" w14:textId="77777777" w:rsidR="00714C47" w:rsidRPr="00714C47" w:rsidRDefault="00714C47" w:rsidP="00714C47">
            <w:pPr>
              <w:spacing w:before="0" w:after="0" w:line="240" w:lineRule="auto"/>
              <w:rPr>
                <w:rFonts w:ascii="Arial" w:hAnsi="Arial" w:cs="Arial"/>
                <w:b/>
                <w:bCs/>
                <w:color w:val="000000"/>
                <w:sz w:val="16"/>
                <w:szCs w:val="16"/>
              </w:rPr>
            </w:pPr>
            <w:r w:rsidRPr="00714C47">
              <w:rPr>
                <w:rFonts w:ascii="Arial" w:hAnsi="Arial" w:cs="Arial"/>
                <w:b/>
                <w:bCs/>
                <w:color w:val="000000"/>
                <w:sz w:val="16"/>
                <w:szCs w:val="16"/>
              </w:rPr>
              <w:t xml:space="preserve">Average </w:t>
            </w:r>
            <w:r w:rsidRPr="00714C47">
              <w:rPr>
                <w:rFonts w:ascii="Arial" w:hAnsi="Arial" w:cs="Arial"/>
                <w:b/>
                <w:bCs/>
                <w:sz w:val="16"/>
                <w:szCs w:val="16"/>
              </w:rPr>
              <w:t>s</w:t>
            </w:r>
            <w:r w:rsidRPr="00714C47">
              <w:rPr>
                <w:rFonts w:ascii="Arial" w:hAnsi="Arial" w:cs="Arial"/>
                <w:b/>
                <w:bCs/>
                <w:color w:val="000000"/>
                <w:sz w:val="16"/>
                <w:szCs w:val="16"/>
              </w:rPr>
              <w:t xml:space="preserve">taffing </w:t>
            </w:r>
            <w:r w:rsidRPr="00714C47">
              <w:rPr>
                <w:rFonts w:ascii="Arial" w:hAnsi="Arial" w:cs="Arial"/>
                <w:b/>
                <w:bCs/>
                <w:sz w:val="16"/>
                <w:szCs w:val="16"/>
              </w:rPr>
              <w:t>l</w:t>
            </w:r>
            <w:r w:rsidRPr="00714C47">
              <w:rPr>
                <w:rFonts w:ascii="Arial" w:hAnsi="Arial" w:cs="Arial"/>
                <w:b/>
                <w:bCs/>
                <w:color w:val="000000"/>
                <w:sz w:val="16"/>
                <w:szCs w:val="16"/>
              </w:rPr>
              <w:t>evel (number)</w:t>
            </w:r>
          </w:p>
        </w:tc>
        <w:tc>
          <w:tcPr>
            <w:tcW w:w="1245" w:type="dxa"/>
            <w:tcBorders>
              <w:top w:val="nil"/>
              <w:left w:val="nil"/>
              <w:bottom w:val="single" w:sz="4" w:space="0" w:color="auto"/>
              <w:right w:val="nil"/>
            </w:tcBorders>
            <w:shd w:val="clear" w:color="auto" w:fill="auto"/>
            <w:noWrap/>
            <w:vAlign w:val="bottom"/>
            <w:hideMark/>
          </w:tcPr>
          <w:p w14:paraId="14C11DA3" w14:textId="77777777" w:rsidR="00714C47" w:rsidRPr="00714C47" w:rsidRDefault="00714C47" w:rsidP="00714C47">
            <w:pPr>
              <w:spacing w:before="0" w:after="0" w:line="240" w:lineRule="auto"/>
              <w:jc w:val="right"/>
              <w:rPr>
                <w:rFonts w:ascii="Arial" w:hAnsi="Arial" w:cs="Arial"/>
                <w:color w:val="000000"/>
                <w:sz w:val="16"/>
                <w:szCs w:val="16"/>
              </w:rPr>
            </w:pPr>
            <w:r w:rsidRPr="00714C47">
              <w:rPr>
                <w:rFonts w:ascii="Arial" w:hAnsi="Arial" w:cs="Arial"/>
                <w:color w:val="000000"/>
                <w:sz w:val="16"/>
                <w:szCs w:val="16"/>
              </w:rPr>
              <w:t>5,386</w:t>
            </w:r>
          </w:p>
        </w:tc>
        <w:tc>
          <w:tcPr>
            <w:tcW w:w="1015" w:type="dxa"/>
            <w:tcBorders>
              <w:top w:val="nil"/>
              <w:left w:val="nil"/>
              <w:bottom w:val="single" w:sz="4" w:space="0" w:color="auto"/>
              <w:right w:val="nil"/>
            </w:tcBorders>
            <w:shd w:val="clear" w:color="auto" w:fill="auto"/>
            <w:vAlign w:val="bottom"/>
            <w:hideMark/>
          </w:tcPr>
          <w:p w14:paraId="4F9AA019" w14:textId="77777777" w:rsidR="00714C47" w:rsidRPr="00714C47" w:rsidRDefault="00714C47" w:rsidP="00714C47">
            <w:pPr>
              <w:spacing w:before="0" w:after="0" w:line="240" w:lineRule="auto"/>
              <w:rPr>
                <w:rFonts w:ascii="Arial" w:hAnsi="Arial" w:cs="Arial"/>
                <w:sz w:val="16"/>
                <w:szCs w:val="16"/>
              </w:rPr>
            </w:pPr>
            <w:r w:rsidRPr="00714C47">
              <w:rPr>
                <w:rFonts w:ascii="Arial" w:hAnsi="Arial" w:cs="Arial"/>
                <w:sz w:val="16"/>
                <w:szCs w:val="16"/>
              </w:rPr>
              <w:t> </w:t>
            </w:r>
          </w:p>
        </w:tc>
        <w:tc>
          <w:tcPr>
            <w:tcW w:w="996" w:type="dxa"/>
            <w:tcBorders>
              <w:top w:val="nil"/>
              <w:left w:val="nil"/>
              <w:bottom w:val="single" w:sz="4" w:space="0" w:color="auto"/>
              <w:right w:val="nil"/>
            </w:tcBorders>
            <w:shd w:val="clear" w:color="auto" w:fill="auto"/>
            <w:vAlign w:val="bottom"/>
            <w:hideMark/>
          </w:tcPr>
          <w:p w14:paraId="79FCCD86" w14:textId="77777777" w:rsidR="00714C47" w:rsidRPr="00714C47" w:rsidRDefault="00714C47" w:rsidP="00714C47">
            <w:pPr>
              <w:spacing w:before="0" w:after="0" w:line="240" w:lineRule="auto"/>
              <w:rPr>
                <w:rFonts w:ascii="Arial" w:hAnsi="Arial" w:cs="Arial"/>
                <w:sz w:val="16"/>
                <w:szCs w:val="16"/>
              </w:rPr>
            </w:pPr>
            <w:r w:rsidRPr="00714C47">
              <w:rPr>
                <w:rFonts w:ascii="Arial" w:hAnsi="Arial" w:cs="Arial"/>
                <w:sz w:val="16"/>
                <w:szCs w:val="16"/>
              </w:rPr>
              <w:t> </w:t>
            </w:r>
          </w:p>
        </w:tc>
        <w:tc>
          <w:tcPr>
            <w:tcW w:w="1016" w:type="dxa"/>
            <w:tcBorders>
              <w:top w:val="nil"/>
              <w:left w:val="nil"/>
              <w:bottom w:val="single" w:sz="4" w:space="0" w:color="auto"/>
              <w:right w:val="nil"/>
            </w:tcBorders>
            <w:shd w:val="clear" w:color="auto" w:fill="auto"/>
            <w:noWrap/>
            <w:vAlign w:val="bottom"/>
            <w:hideMark/>
          </w:tcPr>
          <w:p w14:paraId="726583D7" w14:textId="77777777" w:rsidR="00714C47" w:rsidRPr="00714C47" w:rsidRDefault="00714C47" w:rsidP="00714C47">
            <w:pPr>
              <w:spacing w:before="0" w:after="0" w:line="240" w:lineRule="auto"/>
              <w:jc w:val="right"/>
              <w:rPr>
                <w:rFonts w:ascii="Arial" w:hAnsi="Arial" w:cs="Arial"/>
                <w:color w:val="000000"/>
                <w:sz w:val="16"/>
                <w:szCs w:val="16"/>
              </w:rPr>
            </w:pPr>
            <w:r w:rsidRPr="00714C47">
              <w:rPr>
                <w:rFonts w:ascii="Arial" w:hAnsi="Arial" w:cs="Arial"/>
                <w:color w:val="000000"/>
                <w:sz w:val="16"/>
                <w:szCs w:val="16"/>
              </w:rPr>
              <w:t>5,884</w:t>
            </w:r>
          </w:p>
        </w:tc>
      </w:tr>
    </w:tbl>
    <w:p w14:paraId="4FD53A0C" w14:textId="673C3D52" w:rsidR="009D129A" w:rsidRDefault="009D129A" w:rsidP="009D129A">
      <w:pPr>
        <w:pStyle w:val="FootnoteText"/>
        <w:spacing w:before="120"/>
      </w:pPr>
      <w:r>
        <w:t>All figures are GST exclusive.</w:t>
      </w:r>
      <w:r>
        <w:tab/>
      </w:r>
    </w:p>
    <w:p w14:paraId="4220B174" w14:textId="4A9C1A62" w:rsidR="009D129A" w:rsidRDefault="009D129A" w:rsidP="009D129A">
      <w:pPr>
        <w:pStyle w:val="FootnoteText"/>
      </w:pPr>
      <w:r w:rsidRPr="009D129A">
        <w:rPr>
          <w:vertAlign w:val="superscript"/>
        </w:rPr>
        <w:t>(a)</w:t>
      </w:r>
      <w:r>
        <w:tab/>
        <w:t xml:space="preserve">The estimate of prior year amounts available constitutes opening balance at bank and appropriation receivable for the core department (excluding special accounts). </w:t>
      </w:r>
    </w:p>
    <w:p w14:paraId="7B4499D6" w14:textId="123B64CB" w:rsidR="009D129A" w:rsidRDefault="009D129A" w:rsidP="009D129A">
      <w:pPr>
        <w:pStyle w:val="FootnoteText"/>
      </w:pPr>
      <w:r w:rsidRPr="009D129A">
        <w:rPr>
          <w:vertAlign w:val="superscript"/>
        </w:rPr>
        <w:t>(b)</w:t>
      </w:r>
      <w:r>
        <w:tab/>
        <w:t>The estimate at Budget has been revised to reflect the Department's 2022–23 Annual Report.</w:t>
      </w:r>
    </w:p>
    <w:p w14:paraId="11CE99C3" w14:textId="5C1785DC" w:rsidR="009D129A" w:rsidRDefault="009D129A" w:rsidP="009D129A">
      <w:pPr>
        <w:pStyle w:val="FootnoteText"/>
      </w:pPr>
      <w:r w:rsidRPr="009D129A">
        <w:rPr>
          <w:vertAlign w:val="superscript"/>
        </w:rPr>
        <w:t>(c)</w:t>
      </w:r>
      <w:r>
        <w:tab/>
      </w:r>
      <w:r w:rsidRPr="00740335">
        <w:rPr>
          <w:i/>
        </w:rPr>
        <w:t>Appropriation Act (No. 1) 2023–24</w:t>
      </w:r>
      <w:r>
        <w:t>, Appropriation Bill (No. 3) 2023–24 and associated Bills.</w:t>
      </w:r>
    </w:p>
    <w:p w14:paraId="3DED7A6C" w14:textId="4AAB56F5" w:rsidR="009D129A" w:rsidRDefault="009D129A" w:rsidP="009D129A">
      <w:pPr>
        <w:pStyle w:val="FootnoteText"/>
      </w:pPr>
      <w:r w:rsidRPr="009D129A">
        <w:rPr>
          <w:vertAlign w:val="superscript"/>
        </w:rPr>
        <w:t>(d)</w:t>
      </w:r>
      <w:r>
        <w:rPr>
          <w:vertAlign w:val="superscript"/>
        </w:rPr>
        <w:tab/>
      </w:r>
      <w:r>
        <w:t xml:space="preserve">Estimated retained revenue receipts under the section 74 of the </w:t>
      </w:r>
      <w:r w:rsidRPr="009D129A">
        <w:rPr>
          <w:i/>
        </w:rPr>
        <w:t xml:space="preserve">Public Governance, Performance and Accountability Act 2013 </w:t>
      </w:r>
      <w:r>
        <w:t>(PGPA Act).</w:t>
      </w:r>
    </w:p>
    <w:p w14:paraId="5A7E5DFF" w14:textId="493F45CD" w:rsidR="009D129A" w:rsidRDefault="009D129A" w:rsidP="009D129A">
      <w:pPr>
        <w:pStyle w:val="FootnoteText"/>
      </w:pPr>
      <w:r w:rsidRPr="009D129A">
        <w:rPr>
          <w:vertAlign w:val="superscript"/>
        </w:rPr>
        <w:t>(e)</w:t>
      </w:r>
      <w:r>
        <w:tab/>
      </w:r>
      <w:r w:rsidRPr="00740335">
        <w:rPr>
          <w:i/>
        </w:rPr>
        <w:t>Appropriation Act (No. 2) 2023</w:t>
      </w:r>
      <w:r w:rsidR="00CF107A" w:rsidRPr="00740335">
        <w:rPr>
          <w:i/>
        </w:rPr>
        <w:t>–</w:t>
      </w:r>
      <w:r w:rsidRPr="00740335">
        <w:rPr>
          <w:i/>
        </w:rPr>
        <w:t>24</w:t>
      </w:r>
      <w:r>
        <w:t>, Appropriation Bill (No. 4) 2023–24 and associated Bills.</w:t>
      </w:r>
    </w:p>
    <w:p w14:paraId="3CE8D488" w14:textId="19D228F9" w:rsidR="009D129A" w:rsidRDefault="009D129A" w:rsidP="009D129A">
      <w:pPr>
        <w:pStyle w:val="FootnoteText"/>
      </w:pPr>
      <w:r w:rsidRPr="009D129A">
        <w:rPr>
          <w:vertAlign w:val="superscript"/>
        </w:rPr>
        <w:t>(f)</w:t>
      </w:r>
      <w:r>
        <w:rPr>
          <w:vertAlign w:val="superscript"/>
        </w:rPr>
        <w:tab/>
      </w:r>
      <w:r>
        <w:t>Excludes Services for Other Entities and Trust Moneys Special Account as this account is not considered resourcing for the Department of Health</w:t>
      </w:r>
      <w:r w:rsidR="008B28CC">
        <w:t xml:space="preserve"> and Aged Care</w:t>
      </w:r>
      <w:r>
        <w:t>. For further information on special accounts ref</w:t>
      </w:r>
      <w:r w:rsidR="008B28CC">
        <w:t>er to the Department of Health and Aged Care’s</w:t>
      </w:r>
      <w:r>
        <w:t xml:space="preserve"> Table 3.1: Estimates of Special Account Flows.</w:t>
      </w:r>
    </w:p>
    <w:p w14:paraId="34AF20F0" w14:textId="159C5A82" w:rsidR="009D129A" w:rsidRPr="009D129A" w:rsidRDefault="009D129A" w:rsidP="009D129A">
      <w:pPr>
        <w:pStyle w:val="FootnoteText"/>
      </w:pPr>
      <w:r w:rsidRPr="009D129A">
        <w:rPr>
          <w:vertAlign w:val="superscript"/>
        </w:rPr>
        <w:t>(g)</w:t>
      </w:r>
      <w:r>
        <w:tab/>
        <w:t>Amounts credited to the special account(s) from Department of Health</w:t>
      </w:r>
      <w:r w:rsidR="00825974">
        <w:t xml:space="preserve"> and Aged Care</w:t>
      </w:r>
      <w:r>
        <w:t>'s annual and special appropriations.</w:t>
      </w:r>
    </w:p>
    <w:p w14:paraId="08CB8EDF" w14:textId="7E917E08" w:rsidR="00736DD8" w:rsidRPr="00643B7D" w:rsidRDefault="00736DD8" w:rsidP="00736DD8">
      <w:pPr>
        <w:pStyle w:val="TableGraphic"/>
      </w:pPr>
      <w:r w:rsidRPr="006D6BD2">
        <w:br w:type="page"/>
      </w:r>
      <w:bookmarkStart w:id="203" w:name="_Toc531094585"/>
      <w:bookmarkStart w:id="204" w:name="_Toc531095064"/>
      <w:bookmarkStart w:id="205" w:name="_Toc152600106"/>
      <w:bookmarkStart w:id="206" w:name="OLE_LINK14"/>
      <w:bookmarkStart w:id="207" w:name="OLE_LINK15"/>
      <w:bookmarkEnd w:id="201"/>
      <w:bookmarkEnd w:id="202"/>
      <w:r w:rsidR="008E7F4F" w:rsidRPr="008E7F4F">
        <w:rPr>
          <w:rFonts w:ascii="Arial" w:hAnsi="Arial" w:cs="Arial"/>
          <w:b/>
          <w:sz w:val="22"/>
          <w:szCs w:val="22"/>
        </w:rPr>
        <w:lastRenderedPageBreak/>
        <w:fldChar w:fldCharType="begin"/>
      </w:r>
      <w:r w:rsidR="008E7F4F" w:rsidRPr="008E7F4F">
        <w:rPr>
          <w:rFonts w:ascii="Arial" w:hAnsi="Arial" w:cs="Arial"/>
          <w:b/>
          <w:sz w:val="22"/>
          <w:szCs w:val="22"/>
        </w:rPr>
        <w:instrText xml:space="preserve"> </w:instrText>
      </w:r>
      <w:proofErr w:type="gramStart"/>
      <w:r w:rsidR="008E7F4F" w:rsidRPr="008E7F4F">
        <w:rPr>
          <w:rFonts w:ascii="Arial" w:hAnsi="Arial" w:cs="Arial"/>
          <w:b/>
          <w:sz w:val="22"/>
          <w:szCs w:val="22"/>
        </w:rPr>
        <w:instrText>TC  "</w:instrText>
      </w:r>
      <w:bookmarkStart w:id="208" w:name="_Toc155882367"/>
      <w:proofErr w:type="gramEnd"/>
      <w:r w:rsidR="008E7F4F" w:rsidRPr="008E7F4F">
        <w:rPr>
          <w:rFonts w:ascii="Arial" w:hAnsi="Arial" w:cs="Arial"/>
          <w:b/>
          <w:sz w:val="22"/>
          <w:szCs w:val="22"/>
        </w:rPr>
        <w:instrText>1.3</w:instrText>
      </w:r>
      <w:r w:rsidR="008E7F4F" w:rsidRPr="008E7F4F">
        <w:rPr>
          <w:rFonts w:ascii="Arial" w:hAnsi="Arial" w:cs="Arial"/>
          <w:b/>
          <w:sz w:val="22"/>
          <w:szCs w:val="22"/>
        </w:rPr>
        <w:tab/>
        <w:instrText>Entity measures</w:instrText>
      </w:r>
      <w:bookmarkEnd w:id="208"/>
      <w:r w:rsidR="008E7F4F" w:rsidRPr="008E7F4F">
        <w:rPr>
          <w:rFonts w:ascii="Arial" w:hAnsi="Arial" w:cs="Arial"/>
          <w:b/>
          <w:sz w:val="22"/>
          <w:szCs w:val="22"/>
        </w:rPr>
        <w:instrText xml:space="preserve">" \f </w:instrText>
      </w:r>
      <w:proofErr w:type="spellStart"/>
      <w:r w:rsidR="008E7F4F" w:rsidRPr="008E7F4F">
        <w:rPr>
          <w:rFonts w:ascii="Arial" w:hAnsi="Arial" w:cs="Arial"/>
          <w:b/>
          <w:sz w:val="22"/>
          <w:szCs w:val="22"/>
        </w:rPr>
        <w:instrText>dohac</w:instrText>
      </w:r>
      <w:proofErr w:type="spellEnd"/>
      <w:r w:rsidR="008E7F4F" w:rsidRPr="008E7F4F">
        <w:rPr>
          <w:rFonts w:ascii="Arial" w:hAnsi="Arial" w:cs="Arial"/>
          <w:b/>
          <w:sz w:val="22"/>
          <w:szCs w:val="22"/>
        </w:rPr>
        <w:instrText xml:space="preserve"> \l 2 </w:instrText>
      </w:r>
      <w:r w:rsidR="008E7F4F" w:rsidRPr="008E7F4F">
        <w:rPr>
          <w:rFonts w:ascii="Arial" w:hAnsi="Arial" w:cs="Arial"/>
          <w:b/>
          <w:sz w:val="22"/>
          <w:szCs w:val="22"/>
        </w:rPr>
        <w:fldChar w:fldCharType="end"/>
      </w:r>
      <w:r w:rsidRPr="000E4453">
        <w:rPr>
          <w:rFonts w:ascii="Arial Bold" w:hAnsi="Arial Bold"/>
          <w:b/>
          <w:sz w:val="22"/>
        </w:rPr>
        <w:t>1.3</w:t>
      </w:r>
      <w:r w:rsidRPr="000E4453">
        <w:rPr>
          <w:rFonts w:ascii="Arial Bold" w:hAnsi="Arial Bold"/>
          <w:b/>
          <w:sz w:val="22"/>
        </w:rPr>
        <w:tab/>
        <w:t>Entity measures</w:t>
      </w:r>
      <w:bookmarkEnd w:id="203"/>
      <w:bookmarkEnd w:id="204"/>
      <w:bookmarkEnd w:id="205"/>
    </w:p>
    <w:p w14:paraId="0434C487" w14:textId="7866FFC7" w:rsidR="00736DD8" w:rsidRDefault="00736DD8" w:rsidP="00736DD8">
      <w:pPr>
        <w:rPr>
          <w:sz w:val="20"/>
        </w:rPr>
      </w:pPr>
      <w:r w:rsidRPr="00093FC7">
        <w:rPr>
          <w:sz w:val="20"/>
        </w:rPr>
        <w:t>Table 1.2 summarises new Government measures taken since the 2023–24 Budget. The table is split into receipt and payment measures, with the affected program identified.</w:t>
      </w:r>
    </w:p>
    <w:p w14:paraId="226F7A25" w14:textId="048C58D5" w:rsidR="00AE35DB" w:rsidRPr="00C5652B" w:rsidRDefault="00AE35DB" w:rsidP="00D36C41">
      <w:pPr>
        <w:spacing w:after="20"/>
        <w:rPr>
          <w:rFonts w:ascii="Arial" w:hAnsi="Arial" w:cs="Arial"/>
          <w:b/>
          <w:sz w:val="20"/>
        </w:rPr>
      </w:pPr>
      <w:r w:rsidRPr="00445161">
        <w:rPr>
          <w:rFonts w:ascii="Arial" w:hAnsi="Arial" w:cs="Arial"/>
          <w:b/>
          <w:sz w:val="20"/>
        </w:rPr>
        <w:t>Table 1.2: Department of Health and Aged Care</w:t>
      </w:r>
      <w:r w:rsidR="00535A9A" w:rsidRPr="00445161">
        <w:rPr>
          <w:rFonts w:ascii="Arial" w:hAnsi="Arial" w:cs="Arial"/>
          <w:b/>
          <w:sz w:val="20"/>
        </w:rPr>
        <w:t xml:space="preserve"> measures since the</w:t>
      </w:r>
      <w:r w:rsidRPr="00445161">
        <w:rPr>
          <w:rFonts w:ascii="Arial" w:hAnsi="Arial" w:cs="Arial"/>
          <w:b/>
          <w:sz w:val="20"/>
        </w:rPr>
        <w:t xml:space="preserve"> 2023–24 Budget</w:t>
      </w:r>
    </w:p>
    <w:tbl>
      <w:tblPr>
        <w:tblW w:w="8000" w:type="dxa"/>
        <w:jc w:val="center"/>
        <w:tblLayout w:type="fixed"/>
        <w:tblLook w:val="04A0" w:firstRow="1" w:lastRow="0" w:firstColumn="1" w:lastColumn="0" w:noHBand="0" w:noVBand="1"/>
      </w:tblPr>
      <w:tblGrid>
        <w:gridCol w:w="3580"/>
        <w:gridCol w:w="360"/>
        <w:gridCol w:w="940"/>
        <w:gridCol w:w="1060"/>
        <w:gridCol w:w="1020"/>
        <w:gridCol w:w="1040"/>
      </w:tblGrid>
      <w:tr w:rsidR="005C0800" w:rsidRPr="005C0800" w14:paraId="77E1394E" w14:textId="77777777" w:rsidTr="00740335">
        <w:trPr>
          <w:trHeight w:val="397"/>
          <w:jc w:val="center"/>
        </w:trPr>
        <w:tc>
          <w:tcPr>
            <w:tcW w:w="3940" w:type="dxa"/>
            <w:gridSpan w:val="2"/>
            <w:tcBorders>
              <w:top w:val="single" w:sz="4" w:space="0" w:color="000000"/>
              <w:left w:val="nil"/>
              <w:bottom w:val="nil"/>
              <w:right w:val="nil"/>
            </w:tcBorders>
            <w:shd w:val="clear" w:color="auto" w:fill="auto"/>
            <w:vAlign w:val="bottom"/>
            <w:hideMark/>
          </w:tcPr>
          <w:p w14:paraId="73BDD694" w14:textId="77777777" w:rsidR="005C0800" w:rsidRPr="005C0800" w:rsidRDefault="005C0800" w:rsidP="00CC4401">
            <w:pPr>
              <w:spacing w:before="24" w:after="0" w:line="240" w:lineRule="auto"/>
              <w:jc w:val="right"/>
              <w:rPr>
                <w:rFonts w:ascii="Arial" w:hAnsi="Arial" w:cs="Arial"/>
                <w:b/>
                <w:bCs/>
                <w:sz w:val="16"/>
                <w:szCs w:val="16"/>
              </w:rPr>
            </w:pPr>
            <w:r w:rsidRPr="005C0800">
              <w:rPr>
                <w:rFonts w:ascii="Arial" w:hAnsi="Arial" w:cs="Arial"/>
                <w:b/>
                <w:bCs/>
                <w:sz w:val="16"/>
                <w:szCs w:val="16"/>
              </w:rPr>
              <w:t xml:space="preserve">Outcome/ </w:t>
            </w:r>
            <w:r w:rsidRPr="005C0800">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vAlign w:val="bottom"/>
            <w:hideMark/>
          </w:tcPr>
          <w:p w14:paraId="54DDDC28" w14:textId="0DECA7B7" w:rsidR="005C0800" w:rsidRPr="005C0800" w:rsidRDefault="005C0800" w:rsidP="00CC4401">
            <w:pPr>
              <w:spacing w:before="24" w:after="0" w:line="240" w:lineRule="auto"/>
              <w:jc w:val="right"/>
              <w:rPr>
                <w:rFonts w:ascii="Arial" w:hAnsi="Arial" w:cs="Arial"/>
                <w:b/>
                <w:bCs/>
                <w:sz w:val="16"/>
                <w:szCs w:val="16"/>
              </w:rPr>
            </w:pPr>
            <w:r>
              <w:rPr>
                <w:rFonts w:ascii="Arial" w:hAnsi="Arial" w:cs="Arial"/>
                <w:b/>
                <w:bCs/>
                <w:sz w:val="16"/>
                <w:szCs w:val="16"/>
              </w:rPr>
              <w:t>2023–</w:t>
            </w:r>
            <w:r w:rsidRPr="005C0800">
              <w:rPr>
                <w:rFonts w:ascii="Arial" w:hAnsi="Arial" w:cs="Arial"/>
                <w:b/>
                <w:bCs/>
                <w:sz w:val="16"/>
                <w:szCs w:val="16"/>
              </w:rPr>
              <w:t>24</w:t>
            </w:r>
            <w:r w:rsidRPr="005C0800">
              <w:rPr>
                <w:rFonts w:ascii="Arial" w:hAnsi="Arial" w:cs="Arial"/>
                <w:b/>
                <w:bCs/>
                <w:sz w:val="16"/>
                <w:szCs w:val="16"/>
              </w:rPr>
              <w:br/>
            </w:r>
            <w:r w:rsidRPr="005C0800">
              <w:rPr>
                <w:rFonts w:ascii="Arial" w:hAnsi="Arial" w:cs="Arial"/>
                <w:sz w:val="16"/>
                <w:szCs w:val="16"/>
              </w:rPr>
              <w:t>$'000</w:t>
            </w:r>
          </w:p>
        </w:tc>
        <w:tc>
          <w:tcPr>
            <w:tcW w:w="1060" w:type="dxa"/>
            <w:tcBorders>
              <w:top w:val="single" w:sz="4" w:space="0" w:color="000000"/>
              <w:left w:val="nil"/>
              <w:bottom w:val="single" w:sz="4" w:space="0" w:color="000000"/>
              <w:right w:val="nil"/>
            </w:tcBorders>
            <w:shd w:val="clear" w:color="auto" w:fill="auto"/>
            <w:vAlign w:val="bottom"/>
            <w:hideMark/>
          </w:tcPr>
          <w:p w14:paraId="5E53D60D" w14:textId="06F02171" w:rsidR="005C0800" w:rsidRPr="005C0800" w:rsidRDefault="005C0800" w:rsidP="00CC4401">
            <w:pPr>
              <w:spacing w:before="24" w:after="0" w:line="240" w:lineRule="auto"/>
              <w:jc w:val="right"/>
              <w:rPr>
                <w:rFonts w:ascii="Arial" w:hAnsi="Arial" w:cs="Arial"/>
                <w:b/>
                <w:bCs/>
                <w:sz w:val="16"/>
                <w:szCs w:val="16"/>
              </w:rPr>
            </w:pPr>
            <w:r>
              <w:rPr>
                <w:rFonts w:ascii="Arial" w:hAnsi="Arial" w:cs="Arial"/>
                <w:b/>
                <w:bCs/>
                <w:sz w:val="16"/>
                <w:szCs w:val="16"/>
              </w:rPr>
              <w:t>2024–</w:t>
            </w:r>
            <w:r w:rsidRPr="005C0800">
              <w:rPr>
                <w:rFonts w:ascii="Arial" w:hAnsi="Arial" w:cs="Arial"/>
                <w:b/>
                <w:bCs/>
                <w:sz w:val="16"/>
                <w:szCs w:val="16"/>
              </w:rPr>
              <w:t>25</w:t>
            </w:r>
            <w:r w:rsidRPr="005C0800">
              <w:rPr>
                <w:rFonts w:ascii="Arial" w:hAnsi="Arial" w:cs="Arial"/>
                <w:b/>
                <w:bCs/>
                <w:sz w:val="16"/>
                <w:szCs w:val="16"/>
              </w:rPr>
              <w:br/>
            </w:r>
            <w:r w:rsidRPr="005C0800">
              <w:rPr>
                <w:rFonts w:ascii="Arial" w:hAnsi="Arial"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5147A3A9" w14:textId="2B8E7057" w:rsidR="005C0800" w:rsidRPr="005C0800" w:rsidRDefault="005C0800" w:rsidP="00CC4401">
            <w:pPr>
              <w:spacing w:before="24" w:after="0" w:line="240" w:lineRule="auto"/>
              <w:jc w:val="right"/>
              <w:rPr>
                <w:rFonts w:ascii="Arial" w:hAnsi="Arial" w:cs="Arial"/>
                <w:b/>
                <w:bCs/>
                <w:sz w:val="16"/>
                <w:szCs w:val="16"/>
              </w:rPr>
            </w:pPr>
            <w:r>
              <w:rPr>
                <w:rFonts w:ascii="Arial" w:hAnsi="Arial" w:cs="Arial"/>
                <w:b/>
                <w:bCs/>
                <w:sz w:val="16"/>
                <w:szCs w:val="16"/>
              </w:rPr>
              <w:t>2025–</w:t>
            </w:r>
            <w:r w:rsidRPr="005C0800">
              <w:rPr>
                <w:rFonts w:ascii="Arial" w:hAnsi="Arial" w:cs="Arial"/>
                <w:b/>
                <w:bCs/>
                <w:sz w:val="16"/>
                <w:szCs w:val="16"/>
              </w:rPr>
              <w:t>26</w:t>
            </w:r>
            <w:r w:rsidRPr="005C0800">
              <w:rPr>
                <w:rFonts w:ascii="Arial" w:hAnsi="Arial" w:cs="Arial"/>
                <w:b/>
                <w:bCs/>
                <w:sz w:val="16"/>
                <w:szCs w:val="16"/>
              </w:rPr>
              <w:br/>
            </w:r>
            <w:r w:rsidRPr="005C0800">
              <w:rPr>
                <w:rFonts w:ascii="Arial" w:hAnsi="Arial" w:cs="Arial"/>
                <w:sz w:val="16"/>
                <w:szCs w:val="16"/>
              </w:rPr>
              <w:t>$'000</w:t>
            </w:r>
          </w:p>
        </w:tc>
        <w:tc>
          <w:tcPr>
            <w:tcW w:w="1040" w:type="dxa"/>
            <w:tcBorders>
              <w:top w:val="single" w:sz="4" w:space="0" w:color="000000"/>
              <w:left w:val="nil"/>
              <w:bottom w:val="single" w:sz="4" w:space="0" w:color="000000"/>
              <w:right w:val="nil"/>
            </w:tcBorders>
            <w:shd w:val="clear" w:color="auto" w:fill="auto"/>
            <w:vAlign w:val="bottom"/>
            <w:hideMark/>
          </w:tcPr>
          <w:p w14:paraId="445E7CA9" w14:textId="1E7792C2" w:rsidR="005C0800" w:rsidRPr="005C0800" w:rsidRDefault="005C0800" w:rsidP="00CC4401">
            <w:pPr>
              <w:spacing w:before="24" w:after="0" w:line="240" w:lineRule="auto"/>
              <w:jc w:val="right"/>
              <w:rPr>
                <w:rFonts w:ascii="Arial" w:hAnsi="Arial" w:cs="Arial"/>
                <w:b/>
                <w:bCs/>
                <w:sz w:val="16"/>
                <w:szCs w:val="16"/>
              </w:rPr>
            </w:pPr>
            <w:r>
              <w:rPr>
                <w:rFonts w:ascii="Arial" w:hAnsi="Arial" w:cs="Arial"/>
                <w:b/>
                <w:bCs/>
                <w:sz w:val="16"/>
                <w:szCs w:val="16"/>
              </w:rPr>
              <w:t>2026–</w:t>
            </w:r>
            <w:r w:rsidRPr="005C0800">
              <w:rPr>
                <w:rFonts w:ascii="Arial" w:hAnsi="Arial" w:cs="Arial"/>
                <w:b/>
                <w:bCs/>
                <w:sz w:val="16"/>
                <w:szCs w:val="16"/>
              </w:rPr>
              <w:t>27</w:t>
            </w:r>
            <w:r w:rsidRPr="005C0800">
              <w:rPr>
                <w:rFonts w:ascii="Arial" w:hAnsi="Arial" w:cs="Arial"/>
                <w:b/>
                <w:bCs/>
                <w:sz w:val="16"/>
                <w:szCs w:val="16"/>
              </w:rPr>
              <w:br/>
            </w:r>
            <w:r w:rsidRPr="005C0800">
              <w:rPr>
                <w:rFonts w:ascii="Arial" w:hAnsi="Arial" w:cs="Arial"/>
                <w:sz w:val="16"/>
                <w:szCs w:val="16"/>
              </w:rPr>
              <w:t>$'000</w:t>
            </w:r>
          </w:p>
        </w:tc>
      </w:tr>
      <w:tr w:rsidR="005C0800" w:rsidRPr="005C0800" w14:paraId="0AF632F4"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16606458" w14:textId="674D1A05" w:rsidR="005C0800" w:rsidRPr="005C0800" w:rsidRDefault="005C0800" w:rsidP="005C0800">
            <w:pPr>
              <w:spacing w:before="0" w:after="0" w:line="240" w:lineRule="auto"/>
              <w:rPr>
                <w:rFonts w:ascii="Arial" w:hAnsi="Arial" w:cs="Arial"/>
                <w:b/>
                <w:bCs/>
                <w:sz w:val="16"/>
                <w:szCs w:val="16"/>
              </w:rPr>
            </w:pPr>
            <w:r w:rsidRPr="005C0800">
              <w:rPr>
                <w:rFonts w:ascii="Arial" w:hAnsi="Arial" w:cs="Arial"/>
                <w:b/>
                <w:bCs/>
                <w:sz w:val="16"/>
                <w:szCs w:val="16"/>
              </w:rPr>
              <w:t>A</w:t>
            </w:r>
            <w:r w:rsidR="003D5790">
              <w:rPr>
                <w:rFonts w:ascii="Arial" w:hAnsi="Arial" w:cs="Arial"/>
                <w:b/>
                <w:bCs/>
                <w:sz w:val="16"/>
                <w:szCs w:val="16"/>
              </w:rPr>
              <w:t>chieving Better Health Outcomes</w:t>
            </w:r>
            <w:r w:rsidRPr="005C0800">
              <w:rPr>
                <w:rFonts w:ascii="Arial" w:hAnsi="Arial" w:cs="Arial"/>
                <w:b/>
                <w:bCs/>
                <w:sz w:val="16"/>
                <w:szCs w:val="16"/>
                <w:vertAlign w:val="superscript"/>
              </w:rPr>
              <w:t>(a)</w:t>
            </w:r>
          </w:p>
        </w:tc>
      </w:tr>
      <w:tr w:rsidR="005C0800" w:rsidRPr="005C0800" w14:paraId="1E982031"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220D69D9" w14:textId="5EA8DA3C"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Health</w:t>
            </w:r>
            <w:r>
              <w:rPr>
                <w:rFonts w:ascii="Arial" w:hAnsi="Arial" w:cs="Arial"/>
                <w:sz w:val="16"/>
                <w:szCs w:val="16"/>
              </w:rPr>
              <w:t xml:space="preserve"> and Aged Care</w:t>
            </w:r>
            <w:r w:rsidRPr="005C0800">
              <w:rPr>
                <w:rFonts w:ascii="Arial" w:hAnsi="Arial" w:cs="Arial"/>
                <w:sz w:val="16"/>
                <w:szCs w:val="16"/>
              </w:rPr>
              <w:t xml:space="preserve"> </w:t>
            </w:r>
          </w:p>
        </w:tc>
        <w:tc>
          <w:tcPr>
            <w:tcW w:w="360" w:type="dxa"/>
            <w:tcBorders>
              <w:top w:val="nil"/>
              <w:left w:val="nil"/>
              <w:bottom w:val="nil"/>
              <w:right w:val="nil"/>
            </w:tcBorders>
            <w:shd w:val="clear" w:color="auto" w:fill="auto"/>
            <w:noWrap/>
            <w:vAlign w:val="bottom"/>
            <w:hideMark/>
          </w:tcPr>
          <w:p w14:paraId="77A26DF0"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D6094AA" w14:textId="77777777" w:rsidR="005C0800" w:rsidRPr="005C0800" w:rsidRDefault="005C0800" w:rsidP="005C0800">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6D33F6A0" w14:textId="77777777" w:rsidR="005C0800" w:rsidRPr="005C0800" w:rsidRDefault="005C0800" w:rsidP="005C0800">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D895327"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8480943"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16C7B169"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4D17AAE7"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2004351D"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1.1</w:t>
            </w:r>
          </w:p>
        </w:tc>
        <w:tc>
          <w:tcPr>
            <w:tcW w:w="940" w:type="dxa"/>
            <w:tcBorders>
              <w:top w:val="nil"/>
              <w:left w:val="nil"/>
              <w:bottom w:val="nil"/>
              <w:right w:val="nil"/>
            </w:tcBorders>
            <w:shd w:val="clear" w:color="000000" w:fill="D9D9D9"/>
            <w:noWrap/>
            <w:vAlign w:val="bottom"/>
            <w:hideMark/>
          </w:tcPr>
          <w:p w14:paraId="5C76612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47A7AF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29CC7FD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25505B3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1262B04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5EDC29E"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0D4FE71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1.3</w:t>
            </w:r>
          </w:p>
        </w:tc>
        <w:tc>
          <w:tcPr>
            <w:tcW w:w="940" w:type="dxa"/>
            <w:tcBorders>
              <w:top w:val="nil"/>
              <w:left w:val="nil"/>
              <w:bottom w:val="nil"/>
              <w:right w:val="nil"/>
            </w:tcBorders>
            <w:shd w:val="clear" w:color="000000" w:fill="D9D9D9"/>
            <w:noWrap/>
            <w:vAlign w:val="bottom"/>
            <w:hideMark/>
          </w:tcPr>
          <w:p w14:paraId="4D611FF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21432E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7BF2930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23FF40B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47639C70"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6F118109"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0D90300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1.4</w:t>
            </w:r>
          </w:p>
        </w:tc>
        <w:tc>
          <w:tcPr>
            <w:tcW w:w="940" w:type="dxa"/>
            <w:tcBorders>
              <w:top w:val="nil"/>
              <w:left w:val="nil"/>
              <w:bottom w:val="nil"/>
              <w:right w:val="nil"/>
            </w:tcBorders>
            <w:shd w:val="clear" w:color="000000" w:fill="D9D9D9"/>
            <w:noWrap/>
            <w:vAlign w:val="bottom"/>
            <w:hideMark/>
          </w:tcPr>
          <w:p w14:paraId="6F8F5CD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9E8F42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28EB4C6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65DF6CF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1BC846CD"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3755FAF"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58E4A51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569E98D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1D59FAA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1FF2636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30DCA59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5AE35060"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6D50F6DE"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561B9F0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7CB0BD7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361439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656BBFA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1A4D09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63E3EEA5"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D8F6823"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the Treasury</w:t>
            </w:r>
          </w:p>
        </w:tc>
        <w:tc>
          <w:tcPr>
            <w:tcW w:w="360" w:type="dxa"/>
            <w:tcBorders>
              <w:top w:val="nil"/>
              <w:left w:val="nil"/>
              <w:bottom w:val="nil"/>
              <w:right w:val="nil"/>
            </w:tcBorders>
            <w:shd w:val="clear" w:color="auto" w:fill="auto"/>
            <w:noWrap/>
            <w:tcMar>
              <w:left w:w="0" w:type="dxa"/>
            </w:tcMar>
            <w:vAlign w:val="bottom"/>
            <w:hideMark/>
          </w:tcPr>
          <w:p w14:paraId="619AEAD1"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F2F478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23D85D64"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3E837A27"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4F2062E"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72D901D1"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3A472B46"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5753F585"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AFEC80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B4CB72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2,000 </w:t>
            </w:r>
          </w:p>
        </w:tc>
        <w:tc>
          <w:tcPr>
            <w:tcW w:w="1020" w:type="dxa"/>
            <w:tcBorders>
              <w:top w:val="nil"/>
              <w:left w:val="nil"/>
              <w:bottom w:val="nil"/>
              <w:right w:val="nil"/>
            </w:tcBorders>
            <w:shd w:val="clear" w:color="auto" w:fill="auto"/>
            <w:noWrap/>
            <w:vAlign w:val="bottom"/>
            <w:hideMark/>
          </w:tcPr>
          <w:p w14:paraId="391AD0E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2,000 </w:t>
            </w:r>
          </w:p>
        </w:tc>
        <w:tc>
          <w:tcPr>
            <w:tcW w:w="1040" w:type="dxa"/>
            <w:tcBorders>
              <w:top w:val="nil"/>
              <w:left w:val="nil"/>
              <w:bottom w:val="nil"/>
              <w:right w:val="nil"/>
            </w:tcBorders>
            <w:shd w:val="clear" w:color="auto" w:fill="auto"/>
            <w:noWrap/>
            <w:vAlign w:val="bottom"/>
            <w:hideMark/>
          </w:tcPr>
          <w:p w14:paraId="54CDB65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2,000 </w:t>
            </w:r>
          </w:p>
        </w:tc>
      </w:tr>
      <w:tr w:rsidR="005C0800" w:rsidRPr="005C0800" w14:paraId="77E41D47"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A27A371" w14:textId="77777777" w:rsidR="005C0800" w:rsidRPr="005C0800" w:rsidRDefault="005C0800" w:rsidP="005C0800">
            <w:pPr>
              <w:spacing w:before="0" w:after="0" w:line="240" w:lineRule="auto"/>
              <w:rPr>
                <w:rFonts w:ascii="Arial" w:hAnsi="Arial" w:cs="Arial"/>
                <w:b/>
                <w:bCs/>
                <w:sz w:val="16"/>
                <w:szCs w:val="16"/>
              </w:rPr>
            </w:pPr>
            <w:r w:rsidRPr="005C0800">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2DB5EAE9" w14:textId="77777777" w:rsidR="005C0800" w:rsidRPr="005C0800" w:rsidRDefault="005C0800" w:rsidP="005C0800">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3701C3B6"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w:t>
            </w:r>
          </w:p>
        </w:tc>
        <w:tc>
          <w:tcPr>
            <w:tcW w:w="1060" w:type="dxa"/>
            <w:tcBorders>
              <w:top w:val="single" w:sz="4" w:space="0" w:color="000000"/>
              <w:left w:val="nil"/>
              <w:bottom w:val="single" w:sz="4" w:space="0" w:color="000000"/>
              <w:right w:val="nil"/>
            </w:tcBorders>
            <w:shd w:val="clear" w:color="auto" w:fill="auto"/>
            <w:noWrap/>
            <w:vAlign w:val="bottom"/>
            <w:hideMark/>
          </w:tcPr>
          <w:p w14:paraId="59BDF981"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2,000 </w:t>
            </w:r>
          </w:p>
        </w:tc>
        <w:tc>
          <w:tcPr>
            <w:tcW w:w="1020" w:type="dxa"/>
            <w:tcBorders>
              <w:top w:val="single" w:sz="4" w:space="0" w:color="000000"/>
              <w:left w:val="nil"/>
              <w:bottom w:val="single" w:sz="4" w:space="0" w:color="000000"/>
              <w:right w:val="nil"/>
            </w:tcBorders>
            <w:shd w:val="clear" w:color="auto" w:fill="auto"/>
            <w:noWrap/>
            <w:vAlign w:val="bottom"/>
            <w:hideMark/>
          </w:tcPr>
          <w:p w14:paraId="6819A247"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2,000 </w:t>
            </w:r>
          </w:p>
        </w:tc>
        <w:tc>
          <w:tcPr>
            <w:tcW w:w="1040" w:type="dxa"/>
            <w:tcBorders>
              <w:top w:val="single" w:sz="4" w:space="0" w:color="000000"/>
              <w:left w:val="nil"/>
              <w:bottom w:val="single" w:sz="4" w:space="0" w:color="000000"/>
              <w:right w:val="nil"/>
            </w:tcBorders>
            <w:shd w:val="clear" w:color="auto" w:fill="auto"/>
            <w:noWrap/>
            <w:vAlign w:val="bottom"/>
            <w:hideMark/>
          </w:tcPr>
          <w:p w14:paraId="3A736485"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2,000 </w:t>
            </w:r>
          </w:p>
        </w:tc>
      </w:tr>
      <w:tr w:rsidR="005C0800" w:rsidRPr="005C0800" w14:paraId="20B064B8" w14:textId="77777777" w:rsidTr="005C0800">
        <w:trPr>
          <w:trHeight w:val="34"/>
          <w:jc w:val="center"/>
        </w:trPr>
        <w:tc>
          <w:tcPr>
            <w:tcW w:w="8000" w:type="dxa"/>
            <w:gridSpan w:val="6"/>
            <w:tcBorders>
              <w:top w:val="nil"/>
              <w:left w:val="nil"/>
              <w:bottom w:val="nil"/>
              <w:right w:val="nil"/>
            </w:tcBorders>
            <w:shd w:val="clear" w:color="auto" w:fill="auto"/>
            <w:vAlign w:val="bottom"/>
            <w:hideMark/>
          </w:tcPr>
          <w:p w14:paraId="05441A44" w14:textId="77777777" w:rsidR="005C0800" w:rsidRPr="005C0800" w:rsidRDefault="005C0800" w:rsidP="001F07D1">
            <w:pPr>
              <w:spacing w:before="24" w:after="0" w:line="240" w:lineRule="auto"/>
              <w:rPr>
                <w:rFonts w:ascii="Arial" w:hAnsi="Arial" w:cs="Arial"/>
                <w:b/>
                <w:bCs/>
                <w:sz w:val="16"/>
                <w:szCs w:val="16"/>
              </w:rPr>
            </w:pPr>
            <w:r w:rsidRPr="005C0800">
              <w:rPr>
                <w:rFonts w:ascii="Arial" w:hAnsi="Arial" w:cs="Arial"/>
                <w:b/>
                <w:bCs/>
                <w:sz w:val="16"/>
                <w:szCs w:val="16"/>
              </w:rPr>
              <w:t>An Effective and Clinically appropriate Medicare</w:t>
            </w:r>
          </w:p>
        </w:tc>
      </w:tr>
      <w:tr w:rsidR="005C0800" w:rsidRPr="005C0800" w14:paraId="3EC2666E"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2A149B4C" w14:textId="16C19F8C"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73966BC7"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CB1A1D5" w14:textId="77777777" w:rsidR="005C0800" w:rsidRPr="005C0800" w:rsidRDefault="005C0800" w:rsidP="005C0800">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59A61FC" w14:textId="77777777" w:rsidR="005C0800" w:rsidRPr="005C0800" w:rsidRDefault="005C0800" w:rsidP="005C0800">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EADF942"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340246E"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0847B8B0"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42E054F7"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33285AC1"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2E2E5B7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130 </w:t>
            </w:r>
          </w:p>
        </w:tc>
        <w:tc>
          <w:tcPr>
            <w:tcW w:w="1060" w:type="dxa"/>
            <w:tcBorders>
              <w:top w:val="nil"/>
              <w:left w:val="nil"/>
              <w:bottom w:val="nil"/>
              <w:right w:val="nil"/>
            </w:tcBorders>
            <w:shd w:val="clear" w:color="auto" w:fill="auto"/>
            <w:noWrap/>
            <w:vAlign w:val="bottom"/>
            <w:hideMark/>
          </w:tcPr>
          <w:p w14:paraId="43784E7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(3,092)</w:t>
            </w:r>
          </w:p>
        </w:tc>
        <w:tc>
          <w:tcPr>
            <w:tcW w:w="1020" w:type="dxa"/>
            <w:tcBorders>
              <w:top w:val="nil"/>
              <w:left w:val="nil"/>
              <w:bottom w:val="nil"/>
              <w:right w:val="nil"/>
            </w:tcBorders>
            <w:shd w:val="clear" w:color="auto" w:fill="auto"/>
            <w:noWrap/>
            <w:vAlign w:val="bottom"/>
            <w:hideMark/>
          </w:tcPr>
          <w:p w14:paraId="7966B0F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(8,362)</w:t>
            </w:r>
          </w:p>
        </w:tc>
        <w:tc>
          <w:tcPr>
            <w:tcW w:w="1040" w:type="dxa"/>
            <w:tcBorders>
              <w:top w:val="nil"/>
              <w:left w:val="nil"/>
              <w:bottom w:val="nil"/>
              <w:right w:val="nil"/>
            </w:tcBorders>
            <w:shd w:val="clear" w:color="auto" w:fill="auto"/>
            <w:noWrap/>
            <w:vAlign w:val="bottom"/>
            <w:hideMark/>
          </w:tcPr>
          <w:p w14:paraId="73A1265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(8,776)</w:t>
            </w:r>
          </w:p>
        </w:tc>
      </w:tr>
      <w:tr w:rsidR="005C0800" w:rsidRPr="005C0800" w14:paraId="7CBF616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4284E186" w14:textId="77777777" w:rsidR="005C0800" w:rsidRPr="005C0800" w:rsidRDefault="005C0800" w:rsidP="005C0800">
            <w:pPr>
              <w:spacing w:before="0" w:after="0" w:line="240" w:lineRule="auto"/>
              <w:ind w:leftChars="75" w:left="143"/>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7ECCA43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0BC60B8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(3,799)</w:t>
            </w:r>
          </w:p>
        </w:tc>
        <w:tc>
          <w:tcPr>
            <w:tcW w:w="1060" w:type="dxa"/>
            <w:tcBorders>
              <w:top w:val="nil"/>
              <w:left w:val="nil"/>
              <w:bottom w:val="nil"/>
              <w:right w:val="nil"/>
            </w:tcBorders>
            <w:shd w:val="clear" w:color="auto" w:fill="auto"/>
            <w:noWrap/>
            <w:vAlign w:val="bottom"/>
            <w:hideMark/>
          </w:tcPr>
          <w:p w14:paraId="47B549F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10E3F96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14E3A86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5B2F41DF"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508E09F"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509E07C1"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2</w:t>
            </w:r>
          </w:p>
        </w:tc>
        <w:tc>
          <w:tcPr>
            <w:tcW w:w="940" w:type="dxa"/>
            <w:tcBorders>
              <w:top w:val="nil"/>
              <w:left w:val="nil"/>
              <w:bottom w:val="nil"/>
              <w:right w:val="nil"/>
            </w:tcBorders>
            <w:shd w:val="clear" w:color="000000" w:fill="D9D9D9"/>
            <w:noWrap/>
            <w:vAlign w:val="bottom"/>
            <w:hideMark/>
          </w:tcPr>
          <w:p w14:paraId="599C68B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428 </w:t>
            </w:r>
          </w:p>
        </w:tc>
        <w:tc>
          <w:tcPr>
            <w:tcW w:w="1060" w:type="dxa"/>
            <w:tcBorders>
              <w:top w:val="nil"/>
              <w:left w:val="nil"/>
              <w:bottom w:val="nil"/>
              <w:right w:val="nil"/>
            </w:tcBorders>
            <w:shd w:val="clear" w:color="auto" w:fill="auto"/>
            <w:noWrap/>
            <w:vAlign w:val="bottom"/>
            <w:hideMark/>
          </w:tcPr>
          <w:p w14:paraId="6069A951"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876 </w:t>
            </w:r>
          </w:p>
        </w:tc>
        <w:tc>
          <w:tcPr>
            <w:tcW w:w="1020" w:type="dxa"/>
            <w:tcBorders>
              <w:top w:val="nil"/>
              <w:left w:val="nil"/>
              <w:bottom w:val="nil"/>
              <w:right w:val="nil"/>
            </w:tcBorders>
            <w:shd w:val="clear" w:color="auto" w:fill="auto"/>
            <w:noWrap/>
            <w:vAlign w:val="bottom"/>
            <w:hideMark/>
          </w:tcPr>
          <w:p w14:paraId="50915FC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414C0A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480A5431"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3EFEF03D"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Veterans’ Affairs</w:t>
            </w:r>
          </w:p>
        </w:tc>
        <w:tc>
          <w:tcPr>
            <w:tcW w:w="360" w:type="dxa"/>
            <w:tcBorders>
              <w:top w:val="nil"/>
              <w:left w:val="nil"/>
              <w:bottom w:val="nil"/>
              <w:right w:val="nil"/>
            </w:tcBorders>
            <w:shd w:val="clear" w:color="auto" w:fill="auto"/>
            <w:noWrap/>
            <w:tcMar>
              <w:left w:w="0" w:type="dxa"/>
            </w:tcMar>
            <w:vAlign w:val="bottom"/>
            <w:hideMark/>
          </w:tcPr>
          <w:p w14:paraId="55532109"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1273E0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9841BCB"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C2AEE86"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060D51DE"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6428B06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4F4CAB86"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4B5D17B5"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D63676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w:t>
            </w:r>
          </w:p>
        </w:tc>
        <w:tc>
          <w:tcPr>
            <w:tcW w:w="1060" w:type="dxa"/>
            <w:tcBorders>
              <w:top w:val="nil"/>
              <w:left w:val="nil"/>
              <w:bottom w:val="nil"/>
              <w:right w:val="nil"/>
            </w:tcBorders>
            <w:shd w:val="clear" w:color="auto" w:fill="auto"/>
            <w:noWrap/>
            <w:vAlign w:val="bottom"/>
            <w:hideMark/>
          </w:tcPr>
          <w:p w14:paraId="79829C6D"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18 </w:t>
            </w:r>
          </w:p>
        </w:tc>
        <w:tc>
          <w:tcPr>
            <w:tcW w:w="1020" w:type="dxa"/>
            <w:tcBorders>
              <w:top w:val="nil"/>
              <w:left w:val="nil"/>
              <w:bottom w:val="nil"/>
              <w:right w:val="nil"/>
            </w:tcBorders>
            <w:shd w:val="clear" w:color="auto" w:fill="auto"/>
            <w:noWrap/>
            <w:vAlign w:val="bottom"/>
            <w:hideMark/>
          </w:tcPr>
          <w:p w14:paraId="22B802C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9 </w:t>
            </w:r>
          </w:p>
        </w:tc>
        <w:tc>
          <w:tcPr>
            <w:tcW w:w="1040" w:type="dxa"/>
            <w:tcBorders>
              <w:top w:val="nil"/>
              <w:left w:val="nil"/>
              <w:bottom w:val="nil"/>
              <w:right w:val="nil"/>
            </w:tcBorders>
            <w:shd w:val="clear" w:color="auto" w:fill="auto"/>
            <w:noWrap/>
            <w:vAlign w:val="bottom"/>
            <w:hideMark/>
          </w:tcPr>
          <w:p w14:paraId="084F457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4 </w:t>
            </w:r>
          </w:p>
        </w:tc>
      </w:tr>
      <w:tr w:rsidR="005C0800" w:rsidRPr="005C0800" w14:paraId="47C14FF4"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8047F3E"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Services Australia</w:t>
            </w:r>
          </w:p>
        </w:tc>
        <w:tc>
          <w:tcPr>
            <w:tcW w:w="360" w:type="dxa"/>
            <w:tcBorders>
              <w:top w:val="nil"/>
              <w:left w:val="nil"/>
              <w:bottom w:val="nil"/>
              <w:right w:val="nil"/>
            </w:tcBorders>
            <w:shd w:val="clear" w:color="auto" w:fill="auto"/>
            <w:noWrap/>
            <w:tcMar>
              <w:left w:w="0" w:type="dxa"/>
            </w:tcMar>
            <w:vAlign w:val="bottom"/>
            <w:hideMark/>
          </w:tcPr>
          <w:p w14:paraId="2F9231DC"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68F919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1CD08747"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6E25E3A"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54589B9"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2E5B26B2"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E2523FF"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51E2DE1A"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76F7DF1"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B3F28A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(964)</w:t>
            </w:r>
          </w:p>
        </w:tc>
        <w:tc>
          <w:tcPr>
            <w:tcW w:w="1020" w:type="dxa"/>
            <w:tcBorders>
              <w:top w:val="nil"/>
              <w:left w:val="nil"/>
              <w:bottom w:val="nil"/>
              <w:right w:val="nil"/>
            </w:tcBorders>
            <w:shd w:val="clear" w:color="auto" w:fill="auto"/>
            <w:noWrap/>
            <w:vAlign w:val="bottom"/>
            <w:hideMark/>
          </w:tcPr>
          <w:p w14:paraId="21070E3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(1,042)</w:t>
            </w:r>
          </w:p>
        </w:tc>
        <w:tc>
          <w:tcPr>
            <w:tcW w:w="1040" w:type="dxa"/>
            <w:tcBorders>
              <w:top w:val="nil"/>
              <w:left w:val="nil"/>
              <w:bottom w:val="nil"/>
              <w:right w:val="nil"/>
            </w:tcBorders>
            <w:shd w:val="clear" w:color="auto" w:fill="auto"/>
            <w:noWrap/>
            <w:vAlign w:val="bottom"/>
            <w:hideMark/>
          </w:tcPr>
          <w:p w14:paraId="26B950BD"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(1,070)</w:t>
            </w:r>
          </w:p>
        </w:tc>
      </w:tr>
      <w:tr w:rsidR="005C0800" w:rsidRPr="005C0800" w14:paraId="498AA1F7"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79E851CD" w14:textId="77777777" w:rsidR="005C0800" w:rsidRPr="005C0800" w:rsidRDefault="005C0800" w:rsidP="005C0800">
            <w:pPr>
              <w:spacing w:before="0" w:after="0" w:line="240" w:lineRule="auto"/>
              <w:rPr>
                <w:rFonts w:ascii="Arial" w:hAnsi="Arial" w:cs="Arial"/>
                <w:b/>
                <w:bCs/>
                <w:sz w:val="16"/>
                <w:szCs w:val="16"/>
              </w:rPr>
            </w:pPr>
            <w:r w:rsidRPr="005C0800">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60972F30" w14:textId="77777777" w:rsidR="005C0800" w:rsidRPr="005C0800" w:rsidRDefault="005C0800" w:rsidP="005C0800">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22FA3F3F"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(3,244)</w:t>
            </w:r>
          </w:p>
        </w:tc>
        <w:tc>
          <w:tcPr>
            <w:tcW w:w="1060" w:type="dxa"/>
            <w:tcBorders>
              <w:top w:val="single" w:sz="4" w:space="0" w:color="000000"/>
              <w:left w:val="nil"/>
              <w:bottom w:val="single" w:sz="4" w:space="0" w:color="000000"/>
              <w:right w:val="nil"/>
            </w:tcBorders>
            <w:shd w:val="clear" w:color="auto" w:fill="auto"/>
            <w:noWrap/>
            <w:vAlign w:val="bottom"/>
            <w:hideMark/>
          </w:tcPr>
          <w:p w14:paraId="7559228F"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(3,162)</w:t>
            </w:r>
          </w:p>
        </w:tc>
        <w:tc>
          <w:tcPr>
            <w:tcW w:w="1020" w:type="dxa"/>
            <w:tcBorders>
              <w:top w:val="single" w:sz="4" w:space="0" w:color="000000"/>
              <w:left w:val="nil"/>
              <w:bottom w:val="single" w:sz="4" w:space="0" w:color="000000"/>
              <w:right w:val="nil"/>
            </w:tcBorders>
            <w:shd w:val="clear" w:color="auto" w:fill="auto"/>
            <w:noWrap/>
            <w:vAlign w:val="bottom"/>
            <w:hideMark/>
          </w:tcPr>
          <w:p w14:paraId="778FBD82"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(9,395)</w:t>
            </w:r>
          </w:p>
        </w:tc>
        <w:tc>
          <w:tcPr>
            <w:tcW w:w="1040" w:type="dxa"/>
            <w:tcBorders>
              <w:top w:val="single" w:sz="4" w:space="0" w:color="000000"/>
              <w:left w:val="nil"/>
              <w:bottom w:val="single" w:sz="4" w:space="0" w:color="000000"/>
              <w:right w:val="nil"/>
            </w:tcBorders>
            <w:shd w:val="clear" w:color="auto" w:fill="auto"/>
            <w:noWrap/>
            <w:vAlign w:val="bottom"/>
            <w:hideMark/>
          </w:tcPr>
          <w:p w14:paraId="60662447"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(9,842)</w:t>
            </w:r>
          </w:p>
        </w:tc>
      </w:tr>
      <w:tr w:rsidR="005C0800" w:rsidRPr="005C0800" w14:paraId="1AF9AB3C" w14:textId="77777777" w:rsidTr="005C0800">
        <w:trPr>
          <w:trHeight w:val="34"/>
          <w:jc w:val="center"/>
        </w:trPr>
        <w:tc>
          <w:tcPr>
            <w:tcW w:w="8000" w:type="dxa"/>
            <w:gridSpan w:val="6"/>
            <w:tcBorders>
              <w:top w:val="nil"/>
              <w:left w:val="nil"/>
              <w:bottom w:val="nil"/>
              <w:right w:val="nil"/>
            </w:tcBorders>
            <w:shd w:val="clear" w:color="auto" w:fill="auto"/>
            <w:vAlign w:val="bottom"/>
            <w:hideMark/>
          </w:tcPr>
          <w:p w14:paraId="66746954" w14:textId="5A43C9F6" w:rsidR="005C0800" w:rsidRPr="005C0800" w:rsidRDefault="005C0800" w:rsidP="003D5790">
            <w:pPr>
              <w:spacing w:before="24" w:after="0" w:line="240" w:lineRule="auto"/>
              <w:rPr>
                <w:rFonts w:ascii="Arial" w:hAnsi="Arial" w:cs="Arial"/>
                <w:b/>
                <w:bCs/>
                <w:sz w:val="16"/>
                <w:szCs w:val="16"/>
              </w:rPr>
            </w:pPr>
            <w:r w:rsidRPr="005C0800">
              <w:rPr>
                <w:rFonts w:ascii="Arial" w:hAnsi="Arial" w:cs="Arial"/>
                <w:b/>
                <w:bCs/>
                <w:sz w:val="16"/>
                <w:szCs w:val="16"/>
              </w:rPr>
              <w:t>Channel 7 Perth Telethon</w:t>
            </w:r>
            <w:r w:rsidRPr="005C0800">
              <w:rPr>
                <w:rFonts w:ascii="Arial" w:hAnsi="Arial" w:cs="Arial"/>
                <w:b/>
                <w:bCs/>
                <w:sz w:val="16"/>
                <w:szCs w:val="16"/>
                <w:vertAlign w:val="superscript"/>
              </w:rPr>
              <w:t>(a)</w:t>
            </w:r>
          </w:p>
        </w:tc>
      </w:tr>
      <w:tr w:rsidR="005C0800" w:rsidRPr="005C0800" w14:paraId="7A82A33F"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772AEFF7" w14:textId="52C21F18"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Health</w:t>
            </w:r>
            <w:r>
              <w:rPr>
                <w:rFonts w:ascii="Arial" w:hAnsi="Arial" w:cs="Arial"/>
                <w:sz w:val="16"/>
                <w:szCs w:val="16"/>
              </w:rPr>
              <w:t xml:space="preserve"> and Aged Care</w:t>
            </w:r>
            <w:r w:rsidRPr="005C0800">
              <w:rPr>
                <w:rFonts w:ascii="Arial" w:hAnsi="Arial" w:cs="Arial"/>
                <w:sz w:val="16"/>
                <w:szCs w:val="16"/>
              </w:rPr>
              <w:t xml:space="preserve"> </w:t>
            </w:r>
          </w:p>
        </w:tc>
        <w:tc>
          <w:tcPr>
            <w:tcW w:w="360" w:type="dxa"/>
            <w:tcBorders>
              <w:top w:val="nil"/>
              <w:left w:val="nil"/>
              <w:bottom w:val="nil"/>
              <w:right w:val="nil"/>
            </w:tcBorders>
            <w:shd w:val="clear" w:color="auto" w:fill="auto"/>
            <w:noWrap/>
            <w:tcMar>
              <w:left w:w="0" w:type="dxa"/>
            </w:tcMar>
            <w:vAlign w:val="bottom"/>
            <w:hideMark/>
          </w:tcPr>
          <w:p w14:paraId="4544C866"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7AC8B9A8" w14:textId="77777777" w:rsidR="005C0800" w:rsidRPr="005C0800" w:rsidRDefault="005C0800" w:rsidP="005C0800">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187629D" w14:textId="77777777" w:rsidR="005C0800" w:rsidRPr="005C0800" w:rsidRDefault="005C0800" w:rsidP="005C0800">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1DEC8D3"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ACB0B71"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5A0F89CE"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0BDA6BF"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06B28E6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0B0EEFC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7114DC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4DE2322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9AC178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1202705E"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2126961B"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60593D5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5A93CB1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2E1FA1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6243C63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5D188DBD"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49DFE0BF"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29D7E6C" w14:textId="77777777" w:rsidR="005C0800" w:rsidRPr="005C0800" w:rsidRDefault="005C0800" w:rsidP="005C0800">
            <w:pPr>
              <w:spacing w:before="0" w:after="0" w:line="240" w:lineRule="auto"/>
              <w:rPr>
                <w:rFonts w:ascii="Arial" w:hAnsi="Arial" w:cs="Arial"/>
                <w:b/>
                <w:bCs/>
                <w:sz w:val="16"/>
                <w:szCs w:val="16"/>
              </w:rPr>
            </w:pPr>
            <w:r w:rsidRPr="005C0800">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6F07B884" w14:textId="77777777" w:rsidR="005C0800" w:rsidRPr="005C0800" w:rsidRDefault="005C0800" w:rsidP="005C0800">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163EA482"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7C39BFB4"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4E7C4A3C"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1138C4BA"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 </w:t>
            </w:r>
          </w:p>
        </w:tc>
      </w:tr>
      <w:tr w:rsidR="005C0800" w:rsidRPr="005C0800" w14:paraId="0AC791CC" w14:textId="77777777" w:rsidTr="005C0800">
        <w:trPr>
          <w:trHeight w:val="34"/>
          <w:jc w:val="center"/>
        </w:trPr>
        <w:tc>
          <w:tcPr>
            <w:tcW w:w="8000" w:type="dxa"/>
            <w:gridSpan w:val="6"/>
            <w:tcBorders>
              <w:top w:val="nil"/>
              <w:left w:val="nil"/>
              <w:bottom w:val="nil"/>
              <w:right w:val="nil"/>
            </w:tcBorders>
            <w:shd w:val="clear" w:color="auto" w:fill="auto"/>
            <w:vAlign w:val="bottom"/>
            <w:hideMark/>
          </w:tcPr>
          <w:p w14:paraId="2CBDDCAD" w14:textId="77777777" w:rsidR="005C0800" w:rsidRPr="005C0800" w:rsidRDefault="005C0800" w:rsidP="001F07D1">
            <w:pPr>
              <w:spacing w:before="24" w:after="0" w:line="240" w:lineRule="auto"/>
              <w:rPr>
                <w:rFonts w:ascii="Arial" w:hAnsi="Arial" w:cs="Arial"/>
                <w:b/>
                <w:bCs/>
                <w:sz w:val="16"/>
                <w:szCs w:val="16"/>
              </w:rPr>
            </w:pPr>
            <w:r w:rsidRPr="005C0800">
              <w:rPr>
                <w:rFonts w:ascii="Arial" w:hAnsi="Arial" w:cs="Arial"/>
                <w:b/>
                <w:bCs/>
                <w:sz w:val="16"/>
                <w:szCs w:val="16"/>
              </w:rPr>
              <w:t>Continuation of Aged Care Reform</w:t>
            </w:r>
          </w:p>
        </w:tc>
      </w:tr>
      <w:tr w:rsidR="005C0800" w:rsidRPr="005C0800" w14:paraId="2C949CC1"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2530F463" w14:textId="5BADE0B3"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621C330F"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EDFB005" w14:textId="77777777" w:rsidR="005C0800" w:rsidRPr="005C0800" w:rsidRDefault="005C0800" w:rsidP="005C0800">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1670AD66" w14:textId="77777777" w:rsidR="005C0800" w:rsidRPr="005C0800" w:rsidRDefault="005C0800" w:rsidP="005C0800">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BB8E603"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F5CF79F"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53172AAC"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C4E53AE"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43ED238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7B7A0D9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1469837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2EE4A1D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14210DB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2C31D342"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3ACCED7D"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62BFA88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3.1</w:t>
            </w:r>
          </w:p>
        </w:tc>
        <w:tc>
          <w:tcPr>
            <w:tcW w:w="940" w:type="dxa"/>
            <w:tcBorders>
              <w:top w:val="nil"/>
              <w:left w:val="nil"/>
              <w:bottom w:val="nil"/>
              <w:right w:val="nil"/>
            </w:tcBorders>
            <w:shd w:val="clear" w:color="000000" w:fill="D9D9D9"/>
            <w:noWrap/>
            <w:vAlign w:val="bottom"/>
            <w:hideMark/>
          </w:tcPr>
          <w:p w14:paraId="6DB228C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10,231 </w:t>
            </w:r>
          </w:p>
        </w:tc>
        <w:tc>
          <w:tcPr>
            <w:tcW w:w="1060" w:type="dxa"/>
            <w:tcBorders>
              <w:top w:val="nil"/>
              <w:left w:val="nil"/>
              <w:bottom w:val="nil"/>
              <w:right w:val="nil"/>
            </w:tcBorders>
            <w:shd w:val="clear" w:color="auto" w:fill="auto"/>
            <w:noWrap/>
            <w:vAlign w:val="bottom"/>
            <w:hideMark/>
          </w:tcPr>
          <w:p w14:paraId="66D22D6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856 </w:t>
            </w:r>
          </w:p>
        </w:tc>
        <w:tc>
          <w:tcPr>
            <w:tcW w:w="1020" w:type="dxa"/>
            <w:tcBorders>
              <w:top w:val="nil"/>
              <w:left w:val="nil"/>
              <w:bottom w:val="nil"/>
              <w:right w:val="nil"/>
            </w:tcBorders>
            <w:shd w:val="clear" w:color="auto" w:fill="auto"/>
            <w:noWrap/>
            <w:vAlign w:val="bottom"/>
            <w:hideMark/>
          </w:tcPr>
          <w:p w14:paraId="2825D38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4E3040C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0C98877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E8250F7"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3868B9D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3.2</w:t>
            </w:r>
          </w:p>
        </w:tc>
        <w:tc>
          <w:tcPr>
            <w:tcW w:w="940" w:type="dxa"/>
            <w:tcBorders>
              <w:top w:val="nil"/>
              <w:left w:val="nil"/>
              <w:bottom w:val="nil"/>
              <w:right w:val="nil"/>
            </w:tcBorders>
            <w:shd w:val="clear" w:color="000000" w:fill="D9D9D9"/>
            <w:noWrap/>
            <w:vAlign w:val="bottom"/>
            <w:hideMark/>
          </w:tcPr>
          <w:p w14:paraId="24AF64F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(72,412)</w:t>
            </w:r>
          </w:p>
        </w:tc>
        <w:tc>
          <w:tcPr>
            <w:tcW w:w="1060" w:type="dxa"/>
            <w:tcBorders>
              <w:top w:val="nil"/>
              <w:left w:val="nil"/>
              <w:bottom w:val="nil"/>
              <w:right w:val="nil"/>
            </w:tcBorders>
            <w:shd w:val="clear" w:color="auto" w:fill="auto"/>
            <w:noWrap/>
            <w:vAlign w:val="bottom"/>
            <w:hideMark/>
          </w:tcPr>
          <w:p w14:paraId="77C075F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43,681 </w:t>
            </w:r>
          </w:p>
        </w:tc>
        <w:tc>
          <w:tcPr>
            <w:tcW w:w="1020" w:type="dxa"/>
            <w:tcBorders>
              <w:top w:val="nil"/>
              <w:left w:val="nil"/>
              <w:bottom w:val="nil"/>
              <w:right w:val="nil"/>
            </w:tcBorders>
            <w:shd w:val="clear" w:color="auto" w:fill="auto"/>
            <w:noWrap/>
            <w:vAlign w:val="bottom"/>
            <w:hideMark/>
          </w:tcPr>
          <w:p w14:paraId="2D79C38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14,150 </w:t>
            </w:r>
          </w:p>
        </w:tc>
        <w:tc>
          <w:tcPr>
            <w:tcW w:w="1040" w:type="dxa"/>
            <w:tcBorders>
              <w:top w:val="nil"/>
              <w:left w:val="nil"/>
              <w:bottom w:val="nil"/>
              <w:right w:val="nil"/>
            </w:tcBorders>
            <w:shd w:val="clear" w:color="auto" w:fill="auto"/>
            <w:noWrap/>
            <w:vAlign w:val="bottom"/>
            <w:hideMark/>
          </w:tcPr>
          <w:p w14:paraId="334F847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14,504 </w:t>
            </w:r>
          </w:p>
        </w:tc>
      </w:tr>
      <w:tr w:rsidR="005C0800" w:rsidRPr="005C0800" w14:paraId="6C1969EF"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291C4B5" w14:textId="77777777" w:rsidR="005C0800" w:rsidRPr="005C0800" w:rsidRDefault="005C0800" w:rsidP="005C0800">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3D3443D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3.3</w:t>
            </w:r>
          </w:p>
        </w:tc>
        <w:tc>
          <w:tcPr>
            <w:tcW w:w="940" w:type="dxa"/>
            <w:tcBorders>
              <w:top w:val="nil"/>
              <w:left w:val="nil"/>
              <w:bottom w:val="nil"/>
              <w:right w:val="nil"/>
            </w:tcBorders>
            <w:shd w:val="clear" w:color="000000" w:fill="D9D9D9"/>
            <w:noWrap/>
            <w:vAlign w:val="bottom"/>
            <w:hideMark/>
          </w:tcPr>
          <w:p w14:paraId="191BAB7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81,230 </w:t>
            </w:r>
          </w:p>
        </w:tc>
        <w:tc>
          <w:tcPr>
            <w:tcW w:w="1060" w:type="dxa"/>
            <w:tcBorders>
              <w:top w:val="nil"/>
              <w:left w:val="nil"/>
              <w:bottom w:val="nil"/>
              <w:right w:val="nil"/>
            </w:tcBorders>
            <w:shd w:val="clear" w:color="auto" w:fill="auto"/>
            <w:noWrap/>
            <w:vAlign w:val="bottom"/>
            <w:hideMark/>
          </w:tcPr>
          <w:p w14:paraId="558E6AB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15,372 </w:t>
            </w:r>
          </w:p>
        </w:tc>
        <w:tc>
          <w:tcPr>
            <w:tcW w:w="1020" w:type="dxa"/>
            <w:tcBorders>
              <w:top w:val="nil"/>
              <w:left w:val="nil"/>
              <w:bottom w:val="nil"/>
              <w:right w:val="nil"/>
            </w:tcBorders>
            <w:shd w:val="clear" w:color="auto" w:fill="auto"/>
            <w:noWrap/>
            <w:vAlign w:val="bottom"/>
            <w:hideMark/>
          </w:tcPr>
          <w:p w14:paraId="53A1EBC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14,380 </w:t>
            </w:r>
          </w:p>
        </w:tc>
        <w:tc>
          <w:tcPr>
            <w:tcW w:w="1040" w:type="dxa"/>
            <w:tcBorders>
              <w:top w:val="nil"/>
              <w:left w:val="nil"/>
              <w:bottom w:val="nil"/>
              <w:right w:val="nil"/>
            </w:tcBorders>
            <w:shd w:val="clear" w:color="auto" w:fill="auto"/>
            <w:noWrap/>
            <w:vAlign w:val="bottom"/>
            <w:hideMark/>
          </w:tcPr>
          <w:p w14:paraId="05DF8C6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12,088 </w:t>
            </w:r>
          </w:p>
        </w:tc>
      </w:tr>
      <w:tr w:rsidR="005C0800" w:rsidRPr="005C0800" w14:paraId="7692ECC4"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2601E9F7"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3279713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77F80AB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60,909 </w:t>
            </w:r>
          </w:p>
        </w:tc>
        <w:tc>
          <w:tcPr>
            <w:tcW w:w="1060" w:type="dxa"/>
            <w:tcBorders>
              <w:top w:val="nil"/>
              <w:left w:val="nil"/>
              <w:bottom w:val="nil"/>
              <w:right w:val="nil"/>
            </w:tcBorders>
            <w:shd w:val="clear" w:color="auto" w:fill="auto"/>
            <w:noWrap/>
            <w:vAlign w:val="bottom"/>
            <w:hideMark/>
          </w:tcPr>
          <w:p w14:paraId="01BFE4E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25,106 </w:t>
            </w:r>
          </w:p>
        </w:tc>
        <w:tc>
          <w:tcPr>
            <w:tcW w:w="1020" w:type="dxa"/>
            <w:tcBorders>
              <w:top w:val="nil"/>
              <w:left w:val="nil"/>
              <w:bottom w:val="nil"/>
              <w:right w:val="nil"/>
            </w:tcBorders>
            <w:shd w:val="clear" w:color="auto" w:fill="auto"/>
            <w:noWrap/>
            <w:vAlign w:val="bottom"/>
            <w:hideMark/>
          </w:tcPr>
          <w:p w14:paraId="39BC297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13,883 </w:t>
            </w:r>
          </w:p>
        </w:tc>
        <w:tc>
          <w:tcPr>
            <w:tcW w:w="1040" w:type="dxa"/>
            <w:tcBorders>
              <w:top w:val="nil"/>
              <w:left w:val="nil"/>
              <w:bottom w:val="nil"/>
              <w:right w:val="nil"/>
            </w:tcBorders>
            <w:shd w:val="clear" w:color="auto" w:fill="auto"/>
            <w:noWrap/>
            <w:vAlign w:val="bottom"/>
            <w:hideMark/>
          </w:tcPr>
          <w:p w14:paraId="0290582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11,971 </w:t>
            </w:r>
          </w:p>
        </w:tc>
      </w:tr>
      <w:tr w:rsidR="005C0800" w:rsidRPr="005C0800" w14:paraId="1ECD7F7C"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7D920D2B"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capital payments</w:t>
            </w:r>
          </w:p>
        </w:tc>
        <w:tc>
          <w:tcPr>
            <w:tcW w:w="360" w:type="dxa"/>
            <w:tcBorders>
              <w:top w:val="nil"/>
              <w:left w:val="nil"/>
              <w:bottom w:val="nil"/>
              <w:right w:val="nil"/>
            </w:tcBorders>
            <w:shd w:val="clear" w:color="auto" w:fill="auto"/>
            <w:noWrap/>
            <w:vAlign w:val="bottom"/>
            <w:hideMark/>
          </w:tcPr>
          <w:p w14:paraId="6710260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718FBAA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105,544 </w:t>
            </w:r>
          </w:p>
        </w:tc>
        <w:tc>
          <w:tcPr>
            <w:tcW w:w="1060" w:type="dxa"/>
            <w:tcBorders>
              <w:top w:val="nil"/>
              <w:left w:val="nil"/>
              <w:bottom w:val="nil"/>
              <w:right w:val="nil"/>
            </w:tcBorders>
            <w:shd w:val="clear" w:color="auto" w:fill="auto"/>
            <w:noWrap/>
            <w:vAlign w:val="bottom"/>
            <w:hideMark/>
          </w:tcPr>
          <w:p w14:paraId="31F95A6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8,602 </w:t>
            </w:r>
          </w:p>
        </w:tc>
        <w:tc>
          <w:tcPr>
            <w:tcW w:w="1020" w:type="dxa"/>
            <w:tcBorders>
              <w:top w:val="nil"/>
              <w:left w:val="nil"/>
              <w:bottom w:val="nil"/>
              <w:right w:val="nil"/>
            </w:tcBorders>
            <w:shd w:val="clear" w:color="auto" w:fill="auto"/>
            <w:noWrap/>
            <w:vAlign w:val="bottom"/>
            <w:hideMark/>
          </w:tcPr>
          <w:p w14:paraId="460E46C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4,544 </w:t>
            </w:r>
          </w:p>
        </w:tc>
        <w:tc>
          <w:tcPr>
            <w:tcW w:w="1040" w:type="dxa"/>
            <w:tcBorders>
              <w:top w:val="nil"/>
              <w:left w:val="nil"/>
              <w:bottom w:val="nil"/>
              <w:right w:val="nil"/>
            </w:tcBorders>
            <w:shd w:val="clear" w:color="auto" w:fill="auto"/>
            <w:noWrap/>
            <w:vAlign w:val="bottom"/>
            <w:hideMark/>
          </w:tcPr>
          <w:p w14:paraId="2CBE624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490 </w:t>
            </w:r>
          </w:p>
        </w:tc>
      </w:tr>
      <w:tr w:rsidR="005C0800" w:rsidRPr="005C0800" w14:paraId="0E904D26" w14:textId="77777777" w:rsidTr="005C0800">
        <w:trPr>
          <w:trHeight w:val="34"/>
          <w:jc w:val="center"/>
        </w:trPr>
        <w:tc>
          <w:tcPr>
            <w:tcW w:w="3940" w:type="dxa"/>
            <w:gridSpan w:val="2"/>
            <w:tcBorders>
              <w:top w:val="nil"/>
              <w:left w:val="nil"/>
              <w:bottom w:val="nil"/>
              <w:right w:val="nil"/>
            </w:tcBorders>
            <w:shd w:val="clear" w:color="auto" w:fill="auto"/>
            <w:noWrap/>
            <w:vAlign w:val="bottom"/>
            <w:hideMark/>
          </w:tcPr>
          <w:p w14:paraId="4CA08047"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14:paraId="44660187"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18557ACD"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254CD63"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2A580A4F"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461D5027"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50EC531E"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153D751A"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1C219B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24,018 </w:t>
            </w:r>
          </w:p>
        </w:tc>
        <w:tc>
          <w:tcPr>
            <w:tcW w:w="1060" w:type="dxa"/>
            <w:tcBorders>
              <w:top w:val="nil"/>
              <w:left w:val="nil"/>
              <w:bottom w:val="nil"/>
              <w:right w:val="nil"/>
            </w:tcBorders>
            <w:shd w:val="clear" w:color="auto" w:fill="auto"/>
            <w:noWrap/>
            <w:vAlign w:val="bottom"/>
            <w:hideMark/>
          </w:tcPr>
          <w:p w14:paraId="3E60A4C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36,030 </w:t>
            </w:r>
          </w:p>
        </w:tc>
        <w:tc>
          <w:tcPr>
            <w:tcW w:w="1020" w:type="dxa"/>
            <w:tcBorders>
              <w:top w:val="nil"/>
              <w:left w:val="nil"/>
              <w:bottom w:val="nil"/>
              <w:right w:val="nil"/>
            </w:tcBorders>
            <w:shd w:val="clear" w:color="auto" w:fill="auto"/>
            <w:noWrap/>
            <w:vAlign w:val="bottom"/>
            <w:hideMark/>
          </w:tcPr>
          <w:p w14:paraId="1C9EE59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39,362 </w:t>
            </w:r>
          </w:p>
        </w:tc>
        <w:tc>
          <w:tcPr>
            <w:tcW w:w="1040" w:type="dxa"/>
            <w:tcBorders>
              <w:top w:val="nil"/>
              <w:left w:val="nil"/>
              <w:bottom w:val="nil"/>
              <w:right w:val="nil"/>
            </w:tcBorders>
            <w:shd w:val="clear" w:color="auto" w:fill="auto"/>
            <w:noWrap/>
            <w:vAlign w:val="bottom"/>
            <w:hideMark/>
          </w:tcPr>
          <w:p w14:paraId="16DA0C7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6,579 </w:t>
            </w:r>
          </w:p>
        </w:tc>
      </w:tr>
      <w:tr w:rsidR="005C0800" w:rsidRPr="005C0800" w14:paraId="58D2465A"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6D98CBF8"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Veterans’ Affairs</w:t>
            </w:r>
          </w:p>
        </w:tc>
        <w:tc>
          <w:tcPr>
            <w:tcW w:w="360" w:type="dxa"/>
            <w:tcBorders>
              <w:top w:val="nil"/>
              <w:left w:val="nil"/>
              <w:bottom w:val="nil"/>
              <w:right w:val="nil"/>
            </w:tcBorders>
            <w:shd w:val="clear" w:color="auto" w:fill="auto"/>
            <w:noWrap/>
            <w:vAlign w:val="bottom"/>
            <w:hideMark/>
          </w:tcPr>
          <w:p w14:paraId="19D5E733"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3E135DFA"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809207B"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612FCE4C"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020A1B9F"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18F51BFE"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15E1CF41"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12D8B1F4"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E2FA01B"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(445)</w:t>
            </w:r>
          </w:p>
        </w:tc>
        <w:tc>
          <w:tcPr>
            <w:tcW w:w="1060" w:type="dxa"/>
            <w:tcBorders>
              <w:top w:val="nil"/>
              <w:left w:val="nil"/>
              <w:bottom w:val="nil"/>
              <w:right w:val="nil"/>
            </w:tcBorders>
            <w:shd w:val="clear" w:color="auto" w:fill="auto"/>
            <w:noWrap/>
            <w:vAlign w:val="bottom"/>
            <w:hideMark/>
          </w:tcPr>
          <w:p w14:paraId="241DE3B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146 </w:t>
            </w:r>
          </w:p>
        </w:tc>
        <w:tc>
          <w:tcPr>
            <w:tcW w:w="1020" w:type="dxa"/>
            <w:tcBorders>
              <w:top w:val="nil"/>
              <w:left w:val="nil"/>
              <w:bottom w:val="nil"/>
              <w:right w:val="nil"/>
            </w:tcBorders>
            <w:shd w:val="clear" w:color="auto" w:fill="auto"/>
            <w:noWrap/>
            <w:vAlign w:val="bottom"/>
            <w:hideMark/>
          </w:tcPr>
          <w:p w14:paraId="29B55D9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129 </w:t>
            </w:r>
          </w:p>
        </w:tc>
        <w:tc>
          <w:tcPr>
            <w:tcW w:w="1040" w:type="dxa"/>
            <w:tcBorders>
              <w:top w:val="nil"/>
              <w:left w:val="nil"/>
              <w:bottom w:val="nil"/>
              <w:right w:val="nil"/>
            </w:tcBorders>
            <w:shd w:val="clear" w:color="auto" w:fill="auto"/>
            <w:noWrap/>
            <w:vAlign w:val="bottom"/>
            <w:hideMark/>
          </w:tcPr>
          <w:p w14:paraId="2DD329B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133 </w:t>
            </w:r>
          </w:p>
        </w:tc>
      </w:tr>
      <w:tr w:rsidR="005C0800" w:rsidRPr="005C0800" w14:paraId="56762670"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E3F9B12"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392CB311"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2DE6F7E"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663 </w:t>
            </w:r>
          </w:p>
        </w:tc>
        <w:tc>
          <w:tcPr>
            <w:tcW w:w="1060" w:type="dxa"/>
            <w:tcBorders>
              <w:top w:val="nil"/>
              <w:left w:val="nil"/>
              <w:bottom w:val="nil"/>
              <w:right w:val="nil"/>
            </w:tcBorders>
            <w:shd w:val="clear" w:color="auto" w:fill="auto"/>
            <w:noWrap/>
            <w:vAlign w:val="bottom"/>
            <w:hideMark/>
          </w:tcPr>
          <w:p w14:paraId="2A67DFDC"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790 </w:t>
            </w:r>
          </w:p>
        </w:tc>
        <w:tc>
          <w:tcPr>
            <w:tcW w:w="1020" w:type="dxa"/>
            <w:tcBorders>
              <w:top w:val="nil"/>
              <w:left w:val="nil"/>
              <w:bottom w:val="nil"/>
              <w:right w:val="nil"/>
            </w:tcBorders>
            <w:shd w:val="clear" w:color="auto" w:fill="auto"/>
            <w:noWrap/>
            <w:vAlign w:val="bottom"/>
            <w:hideMark/>
          </w:tcPr>
          <w:p w14:paraId="6E03BF6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596 </w:t>
            </w:r>
          </w:p>
        </w:tc>
        <w:tc>
          <w:tcPr>
            <w:tcW w:w="1040" w:type="dxa"/>
            <w:tcBorders>
              <w:top w:val="nil"/>
              <w:left w:val="nil"/>
              <w:bottom w:val="nil"/>
              <w:right w:val="nil"/>
            </w:tcBorders>
            <w:shd w:val="clear" w:color="auto" w:fill="auto"/>
            <w:noWrap/>
            <w:vAlign w:val="bottom"/>
            <w:hideMark/>
          </w:tcPr>
          <w:p w14:paraId="20D2EA6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604 </w:t>
            </w:r>
          </w:p>
        </w:tc>
      </w:tr>
      <w:tr w:rsidR="005C0800" w:rsidRPr="005C0800" w14:paraId="07ED5A3A"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DAD6E0F"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Services Australia</w:t>
            </w:r>
          </w:p>
        </w:tc>
        <w:tc>
          <w:tcPr>
            <w:tcW w:w="360" w:type="dxa"/>
            <w:tcBorders>
              <w:top w:val="nil"/>
              <w:left w:val="nil"/>
              <w:bottom w:val="nil"/>
              <w:right w:val="nil"/>
            </w:tcBorders>
            <w:shd w:val="clear" w:color="auto" w:fill="auto"/>
            <w:noWrap/>
            <w:vAlign w:val="bottom"/>
            <w:hideMark/>
          </w:tcPr>
          <w:p w14:paraId="5163E0FB"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FBAEB7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40E88F8C"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34D7BAD0"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32685F1"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3850BD4F"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37AB1739"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39A6A95E"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9BC55D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24,388 </w:t>
            </w:r>
          </w:p>
        </w:tc>
        <w:tc>
          <w:tcPr>
            <w:tcW w:w="1060" w:type="dxa"/>
            <w:tcBorders>
              <w:top w:val="nil"/>
              <w:left w:val="nil"/>
              <w:bottom w:val="nil"/>
              <w:right w:val="nil"/>
            </w:tcBorders>
            <w:shd w:val="clear" w:color="auto" w:fill="auto"/>
            <w:noWrap/>
            <w:vAlign w:val="bottom"/>
            <w:hideMark/>
          </w:tcPr>
          <w:p w14:paraId="5934DE28"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5,805 </w:t>
            </w:r>
          </w:p>
        </w:tc>
        <w:tc>
          <w:tcPr>
            <w:tcW w:w="1020" w:type="dxa"/>
            <w:tcBorders>
              <w:top w:val="nil"/>
              <w:left w:val="nil"/>
              <w:bottom w:val="nil"/>
              <w:right w:val="nil"/>
            </w:tcBorders>
            <w:shd w:val="clear" w:color="auto" w:fill="auto"/>
            <w:noWrap/>
            <w:vAlign w:val="bottom"/>
            <w:hideMark/>
          </w:tcPr>
          <w:p w14:paraId="5C3B9D5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2,956 </w:t>
            </w:r>
          </w:p>
        </w:tc>
        <w:tc>
          <w:tcPr>
            <w:tcW w:w="1040" w:type="dxa"/>
            <w:tcBorders>
              <w:top w:val="nil"/>
              <w:left w:val="nil"/>
              <w:bottom w:val="nil"/>
              <w:right w:val="nil"/>
            </w:tcBorders>
            <w:shd w:val="clear" w:color="auto" w:fill="auto"/>
            <w:noWrap/>
            <w:vAlign w:val="bottom"/>
            <w:hideMark/>
          </w:tcPr>
          <w:p w14:paraId="760EFEC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2,736 </w:t>
            </w:r>
          </w:p>
        </w:tc>
      </w:tr>
      <w:tr w:rsidR="005C0800" w:rsidRPr="005C0800" w14:paraId="399721EB"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0C7B4F5A"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the Treasury</w:t>
            </w:r>
          </w:p>
        </w:tc>
        <w:tc>
          <w:tcPr>
            <w:tcW w:w="360" w:type="dxa"/>
            <w:tcBorders>
              <w:top w:val="nil"/>
              <w:left w:val="nil"/>
              <w:bottom w:val="nil"/>
              <w:right w:val="nil"/>
            </w:tcBorders>
            <w:shd w:val="clear" w:color="auto" w:fill="auto"/>
            <w:noWrap/>
            <w:vAlign w:val="bottom"/>
            <w:hideMark/>
          </w:tcPr>
          <w:p w14:paraId="719FE664"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E567B1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76BD2FCB"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2DF640C"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F0E1060"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5514DAA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75FD158D"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0930B29E"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C411C8F"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10,000 </w:t>
            </w:r>
          </w:p>
        </w:tc>
        <w:tc>
          <w:tcPr>
            <w:tcW w:w="1060" w:type="dxa"/>
            <w:tcBorders>
              <w:top w:val="nil"/>
              <w:left w:val="nil"/>
              <w:bottom w:val="nil"/>
              <w:right w:val="nil"/>
            </w:tcBorders>
            <w:shd w:val="clear" w:color="auto" w:fill="auto"/>
            <w:noWrap/>
            <w:vAlign w:val="bottom"/>
            <w:hideMark/>
          </w:tcPr>
          <w:p w14:paraId="58F16686"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3FF714F2"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04EB61D5"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r>
      <w:tr w:rsidR="005C0800" w:rsidRPr="005C0800" w14:paraId="14040838"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1C15344D" w14:textId="77777777" w:rsidR="005C0800" w:rsidRPr="005C0800" w:rsidRDefault="005C0800" w:rsidP="005C0800">
            <w:pPr>
              <w:spacing w:before="0" w:after="0" w:line="240" w:lineRule="auto"/>
              <w:rPr>
                <w:rFonts w:ascii="Arial" w:hAnsi="Arial" w:cs="Arial"/>
                <w:sz w:val="16"/>
                <w:szCs w:val="16"/>
              </w:rPr>
            </w:pPr>
            <w:r w:rsidRPr="005C0800">
              <w:rPr>
                <w:rFonts w:ascii="Arial" w:hAnsi="Arial" w:cs="Arial"/>
                <w:sz w:val="16"/>
                <w:szCs w:val="16"/>
              </w:rPr>
              <w:t>Department of Social Services</w:t>
            </w:r>
          </w:p>
        </w:tc>
        <w:tc>
          <w:tcPr>
            <w:tcW w:w="360" w:type="dxa"/>
            <w:tcBorders>
              <w:top w:val="nil"/>
              <w:left w:val="nil"/>
              <w:bottom w:val="nil"/>
              <w:right w:val="nil"/>
            </w:tcBorders>
            <w:shd w:val="clear" w:color="auto" w:fill="auto"/>
            <w:noWrap/>
            <w:vAlign w:val="bottom"/>
            <w:hideMark/>
          </w:tcPr>
          <w:p w14:paraId="74843C92" w14:textId="77777777" w:rsidR="005C0800" w:rsidRPr="005C0800" w:rsidRDefault="005C0800" w:rsidP="005C0800">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0149BA3"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1A37397" w14:textId="77777777" w:rsidR="005C0800" w:rsidRPr="005C0800" w:rsidRDefault="005C0800" w:rsidP="005C0800">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7696243F" w14:textId="77777777" w:rsidR="005C0800" w:rsidRPr="005C0800" w:rsidRDefault="005C0800" w:rsidP="005C0800">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8F96E29" w14:textId="77777777" w:rsidR="005C0800" w:rsidRPr="005C0800" w:rsidRDefault="005C0800" w:rsidP="005C0800">
            <w:pPr>
              <w:spacing w:before="0" w:after="0" w:line="240" w:lineRule="auto"/>
              <w:jc w:val="right"/>
              <w:rPr>
                <w:rFonts w:ascii="Times New Roman" w:hAnsi="Times New Roman"/>
                <w:sz w:val="20"/>
              </w:rPr>
            </w:pPr>
          </w:p>
        </w:tc>
      </w:tr>
      <w:tr w:rsidR="005C0800" w:rsidRPr="005C0800" w14:paraId="750B53B9" w14:textId="77777777" w:rsidTr="005C0800">
        <w:trPr>
          <w:trHeight w:val="34"/>
          <w:jc w:val="center"/>
        </w:trPr>
        <w:tc>
          <w:tcPr>
            <w:tcW w:w="3580" w:type="dxa"/>
            <w:tcBorders>
              <w:top w:val="nil"/>
              <w:left w:val="nil"/>
              <w:bottom w:val="nil"/>
              <w:right w:val="nil"/>
            </w:tcBorders>
            <w:shd w:val="clear" w:color="auto" w:fill="auto"/>
            <w:noWrap/>
            <w:vAlign w:val="bottom"/>
            <w:hideMark/>
          </w:tcPr>
          <w:p w14:paraId="79BC006A" w14:textId="77777777" w:rsidR="005C0800" w:rsidRPr="005C0800" w:rsidRDefault="005C0800" w:rsidP="005C0800">
            <w:pPr>
              <w:spacing w:before="0" w:after="0" w:line="240" w:lineRule="auto"/>
              <w:ind w:leftChars="75" w:left="143"/>
              <w:rPr>
                <w:rFonts w:ascii="Arial" w:hAnsi="Arial" w:cs="Arial"/>
                <w:sz w:val="16"/>
                <w:szCs w:val="16"/>
              </w:rPr>
            </w:pPr>
            <w:r w:rsidRPr="005C0800">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3C68EBED" w14:textId="77777777" w:rsidR="005C0800" w:rsidRPr="005C0800" w:rsidRDefault="005C0800" w:rsidP="005C0800">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02FC209"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3338C1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(1,100)</w:t>
            </w:r>
          </w:p>
        </w:tc>
        <w:tc>
          <w:tcPr>
            <w:tcW w:w="1020" w:type="dxa"/>
            <w:tcBorders>
              <w:top w:val="nil"/>
              <w:left w:val="nil"/>
              <w:bottom w:val="nil"/>
              <w:right w:val="nil"/>
            </w:tcBorders>
            <w:shd w:val="clear" w:color="auto" w:fill="auto"/>
            <w:noWrap/>
            <w:vAlign w:val="bottom"/>
            <w:hideMark/>
          </w:tcPr>
          <w:p w14:paraId="4B9135E0"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(1,000)</w:t>
            </w:r>
          </w:p>
        </w:tc>
        <w:tc>
          <w:tcPr>
            <w:tcW w:w="1040" w:type="dxa"/>
            <w:tcBorders>
              <w:top w:val="nil"/>
              <w:left w:val="nil"/>
              <w:bottom w:val="nil"/>
              <w:right w:val="nil"/>
            </w:tcBorders>
            <w:shd w:val="clear" w:color="auto" w:fill="auto"/>
            <w:noWrap/>
            <w:vAlign w:val="bottom"/>
            <w:hideMark/>
          </w:tcPr>
          <w:p w14:paraId="1CCCBA14" w14:textId="77777777" w:rsidR="005C0800" w:rsidRPr="005C0800" w:rsidRDefault="005C0800" w:rsidP="005C0800">
            <w:pPr>
              <w:spacing w:before="0" w:after="0" w:line="240" w:lineRule="auto"/>
              <w:jc w:val="right"/>
              <w:rPr>
                <w:rFonts w:ascii="Arial" w:hAnsi="Arial" w:cs="Arial"/>
                <w:sz w:val="16"/>
                <w:szCs w:val="16"/>
              </w:rPr>
            </w:pPr>
            <w:r w:rsidRPr="005C0800">
              <w:rPr>
                <w:rFonts w:ascii="Arial" w:hAnsi="Arial" w:cs="Arial"/>
                <w:sz w:val="16"/>
                <w:szCs w:val="16"/>
              </w:rPr>
              <w:t>(1,000)</w:t>
            </w:r>
          </w:p>
        </w:tc>
      </w:tr>
      <w:tr w:rsidR="005C0800" w:rsidRPr="005C0800" w14:paraId="701F116C" w14:textId="77777777" w:rsidTr="009D6B5D">
        <w:trPr>
          <w:trHeight w:val="113"/>
          <w:jc w:val="center"/>
        </w:trPr>
        <w:tc>
          <w:tcPr>
            <w:tcW w:w="3580" w:type="dxa"/>
            <w:tcBorders>
              <w:top w:val="nil"/>
              <w:left w:val="nil"/>
              <w:bottom w:val="nil"/>
              <w:right w:val="nil"/>
            </w:tcBorders>
            <w:shd w:val="clear" w:color="auto" w:fill="auto"/>
            <w:noWrap/>
            <w:vAlign w:val="bottom"/>
            <w:hideMark/>
          </w:tcPr>
          <w:p w14:paraId="4E97E4D4" w14:textId="77777777" w:rsidR="005C0800" w:rsidRPr="005C0800" w:rsidRDefault="005C0800" w:rsidP="005C0800">
            <w:pPr>
              <w:spacing w:before="0" w:after="0" w:line="240" w:lineRule="auto"/>
              <w:rPr>
                <w:rFonts w:ascii="Arial" w:hAnsi="Arial" w:cs="Arial"/>
                <w:b/>
                <w:bCs/>
                <w:sz w:val="16"/>
                <w:szCs w:val="16"/>
              </w:rPr>
            </w:pPr>
            <w:r w:rsidRPr="005C0800">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34328656" w14:textId="77777777" w:rsidR="005C0800" w:rsidRPr="005C0800" w:rsidRDefault="005C0800" w:rsidP="005C0800">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11586B9C"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244,126 </w:t>
            </w:r>
          </w:p>
        </w:tc>
        <w:tc>
          <w:tcPr>
            <w:tcW w:w="1060" w:type="dxa"/>
            <w:tcBorders>
              <w:top w:val="single" w:sz="4" w:space="0" w:color="000000"/>
              <w:left w:val="nil"/>
              <w:bottom w:val="single" w:sz="4" w:space="0" w:color="000000"/>
              <w:right w:val="nil"/>
            </w:tcBorders>
            <w:shd w:val="clear" w:color="auto" w:fill="auto"/>
            <w:noWrap/>
            <w:vAlign w:val="bottom"/>
            <w:hideMark/>
          </w:tcPr>
          <w:p w14:paraId="0824F566"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135,288 </w:t>
            </w:r>
          </w:p>
        </w:tc>
        <w:tc>
          <w:tcPr>
            <w:tcW w:w="1020" w:type="dxa"/>
            <w:tcBorders>
              <w:top w:val="single" w:sz="4" w:space="0" w:color="000000"/>
              <w:left w:val="nil"/>
              <w:bottom w:val="single" w:sz="4" w:space="0" w:color="000000"/>
              <w:right w:val="nil"/>
            </w:tcBorders>
            <w:shd w:val="clear" w:color="auto" w:fill="auto"/>
            <w:noWrap/>
            <w:vAlign w:val="bottom"/>
            <w:hideMark/>
          </w:tcPr>
          <w:p w14:paraId="0CE7069A"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89,000 </w:t>
            </w:r>
          </w:p>
        </w:tc>
        <w:tc>
          <w:tcPr>
            <w:tcW w:w="1040" w:type="dxa"/>
            <w:tcBorders>
              <w:top w:val="single" w:sz="4" w:space="0" w:color="000000"/>
              <w:left w:val="nil"/>
              <w:bottom w:val="single" w:sz="4" w:space="0" w:color="000000"/>
              <w:right w:val="nil"/>
            </w:tcBorders>
            <w:shd w:val="clear" w:color="auto" w:fill="auto"/>
            <w:noWrap/>
            <w:vAlign w:val="bottom"/>
            <w:hideMark/>
          </w:tcPr>
          <w:p w14:paraId="15F4EC6F" w14:textId="77777777" w:rsidR="005C0800" w:rsidRPr="005C0800" w:rsidRDefault="005C0800" w:rsidP="005C0800">
            <w:pPr>
              <w:spacing w:before="0" w:after="0" w:line="240" w:lineRule="auto"/>
              <w:jc w:val="right"/>
              <w:rPr>
                <w:rFonts w:ascii="Arial" w:hAnsi="Arial" w:cs="Arial"/>
                <w:b/>
                <w:bCs/>
                <w:sz w:val="16"/>
                <w:szCs w:val="16"/>
              </w:rPr>
            </w:pPr>
            <w:r w:rsidRPr="005C0800">
              <w:rPr>
                <w:rFonts w:ascii="Arial" w:hAnsi="Arial" w:cs="Arial"/>
                <w:b/>
                <w:bCs/>
                <w:sz w:val="16"/>
                <w:szCs w:val="16"/>
              </w:rPr>
              <w:t xml:space="preserve">48,105 </w:t>
            </w:r>
          </w:p>
        </w:tc>
      </w:tr>
    </w:tbl>
    <w:p w14:paraId="44F56267" w14:textId="42E8506C" w:rsidR="00FA6354" w:rsidRDefault="00FA6354" w:rsidP="00BA4DF0">
      <w:pPr>
        <w:spacing w:before="0" w:after="0" w:line="240" w:lineRule="auto"/>
        <w:rPr>
          <w:rFonts w:ascii="Arial" w:hAnsi="Arial" w:cs="Arial"/>
          <w:b/>
          <w:sz w:val="20"/>
        </w:rPr>
      </w:pPr>
    </w:p>
    <w:p w14:paraId="76C7D5B9" w14:textId="516AFFF0" w:rsidR="005C0800" w:rsidRPr="005C0800" w:rsidRDefault="00FA6354" w:rsidP="00BA4DF0">
      <w:pPr>
        <w:spacing w:before="0" w:after="0" w:line="240" w:lineRule="auto"/>
        <w:rPr>
          <w:rFonts w:ascii="Arial" w:hAnsi="Arial" w:cs="Arial"/>
          <w:b/>
          <w:sz w:val="20"/>
        </w:rPr>
      </w:pPr>
      <w:r>
        <w:rPr>
          <w:rFonts w:ascii="Arial" w:hAnsi="Arial" w:cs="Arial"/>
          <w:b/>
          <w:sz w:val="20"/>
        </w:rPr>
        <w:br w:type="column"/>
      </w:r>
      <w:r w:rsidR="00535A9A" w:rsidRPr="007F0B7E">
        <w:rPr>
          <w:rFonts w:ascii="Arial" w:hAnsi="Arial" w:cs="Arial"/>
          <w:b/>
          <w:sz w:val="20"/>
        </w:rPr>
        <w:lastRenderedPageBreak/>
        <w:t>Table 1.2: Department of Health and Aged Care measures since the 2023–24 Budget</w:t>
      </w:r>
      <w:r w:rsidR="00535A9A">
        <w:rPr>
          <w:rFonts w:ascii="Arial" w:hAnsi="Arial" w:cs="Arial"/>
          <w:b/>
          <w:sz w:val="20"/>
        </w:rPr>
        <w:t xml:space="preserve"> </w:t>
      </w:r>
      <w:r w:rsidR="005C0800">
        <w:rPr>
          <w:rFonts w:ascii="Arial" w:hAnsi="Arial" w:cs="Arial"/>
          <w:b/>
          <w:sz w:val="20"/>
        </w:rPr>
        <w:t>(continued)</w:t>
      </w:r>
    </w:p>
    <w:tbl>
      <w:tblPr>
        <w:tblW w:w="8000" w:type="dxa"/>
        <w:jc w:val="center"/>
        <w:tblLayout w:type="fixed"/>
        <w:tblLook w:val="04A0" w:firstRow="1" w:lastRow="0" w:firstColumn="1" w:lastColumn="0" w:noHBand="0" w:noVBand="1"/>
      </w:tblPr>
      <w:tblGrid>
        <w:gridCol w:w="3580"/>
        <w:gridCol w:w="360"/>
        <w:gridCol w:w="940"/>
        <w:gridCol w:w="1060"/>
        <w:gridCol w:w="1020"/>
        <w:gridCol w:w="1040"/>
      </w:tblGrid>
      <w:tr w:rsidR="00CE37CC" w:rsidRPr="00CE37CC" w14:paraId="00884FB5" w14:textId="77777777" w:rsidTr="00CE37CC">
        <w:trPr>
          <w:trHeight w:val="340"/>
          <w:jc w:val="center"/>
        </w:trPr>
        <w:tc>
          <w:tcPr>
            <w:tcW w:w="3940" w:type="dxa"/>
            <w:gridSpan w:val="2"/>
            <w:tcBorders>
              <w:top w:val="single" w:sz="4" w:space="0" w:color="000000"/>
              <w:left w:val="nil"/>
              <w:bottom w:val="nil"/>
              <w:right w:val="nil"/>
            </w:tcBorders>
            <w:shd w:val="clear" w:color="auto" w:fill="auto"/>
            <w:vAlign w:val="bottom"/>
            <w:hideMark/>
          </w:tcPr>
          <w:p w14:paraId="1EA5D704" w14:textId="77777777" w:rsidR="00CE37CC" w:rsidRPr="00CE37CC" w:rsidRDefault="00CE37CC" w:rsidP="00CE37CC">
            <w:pPr>
              <w:spacing w:before="24" w:after="0" w:line="240" w:lineRule="auto"/>
              <w:jc w:val="right"/>
              <w:rPr>
                <w:rFonts w:ascii="Arial" w:hAnsi="Arial" w:cs="Arial"/>
                <w:b/>
                <w:bCs/>
                <w:sz w:val="16"/>
                <w:szCs w:val="16"/>
              </w:rPr>
            </w:pPr>
            <w:r w:rsidRPr="00CE37CC">
              <w:rPr>
                <w:rFonts w:ascii="Arial" w:hAnsi="Arial" w:cs="Arial"/>
                <w:b/>
                <w:bCs/>
                <w:sz w:val="16"/>
                <w:szCs w:val="16"/>
              </w:rPr>
              <w:t xml:space="preserve">Outcome/ </w:t>
            </w:r>
            <w:r w:rsidRPr="00CE37CC">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vAlign w:val="bottom"/>
            <w:hideMark/>
          </w:tcPr>
          <w:p w14:paraId="5B366A1A" w14:textId="02583A57" w:rsidR="00CE37CC" w:rsidRPr="00CE37CC" w:rsidRDefault="00CE37CC" w:rsidP="00CE37CC">
            <w:pPr>
              <w:spacing w:before="24" w:after="0" w:line="240" w:lineRule="auto"/>
              <w:jc w:val="right"/>
              <w:rPr>
                <w:rFonts w:ascii="Arial" w:hAnsi="Arial" w:cs="Arial"/>
                <w:b/>
                <w:bCs/>
                <w:sz w:val="16"/>
                <w:szCs w:val="16"/>
              </w:rPr>
            </w:pPr>
            <w:r>
              <w:rPr>
                <w:rFonts w:ascii="Arial" w:hAnsi="Arial" w:cs="Arial"/>
                <w:b/>
                <w:bCs/>
                <w:sz w:val="16"/>
                <w:szCs w:val="16"/>
              </w:rPr>
              <w:t>2023–</w:t>
            </w:r>
            <w:r w:rsidRPr="00CE37CC">
              <w:rPr>
                <w:rFonts w:ascii="Arial" w:hAnsi="Arial" w:cs="Arial"/>
                <w:b/>
                <w:bCs/>
                <w:sz w:val="16"/>
                <w:szCs w:val="16"/>
              </w:rPr>
              <w:t>24</w:t>
            </w:r>
            <w:r w:rsidRPr="00CE37CC">
              <w:rPr>
                <w:rFonts w:ascii="Arial" w:hAnsi="Arial" w:cs="Arial"/>
                <w:b/>
                <w:bCs/>
                <w:sz w:val="16"/>
                <w:szCs w:val="16"/>
              </w:rPr>
              <w:br/>
            </w:r>
            <w:r w:rsidRPr="00CE37CC">
              <w:rPr>
                <w:rFonts w:ascii="Arial" w:hAnsi="Arial" w:cs="Arial"/>
                <w:sz w:val="16"/>
                <w:szCs w:val="16"/>
              </w:rPr>
              <w:t>$'000</w:t>
            </w:r>
          </w:p>
        </w:tc>
        <w:tc>
          <w:tcPr>
            <w:tcW w:w="1060" w:type="dxa"/>
            <w:tcBorders>
              <w:top w:val="single" w:sz="4" w:space="0" w:color="000000"/>
              <w:left w:val="nil"/>
              <w:bottom w:val="single" w:sz="4" w:space="0" w:color="000000"/>
              <w:right w:val="nil"/>
            </w:tcBorders>
            <w:shd w:val="clear" w:color="auto" w:fill="auto"/>
            <w:vAlign w:val="bottom"/>
            <w:hideMark/>
          </w:tcPr>
          <w:p w14:paraId="51914362" w14:textId="17B42FDD" w:rsidR="00CE37CC" w:rsidRPr="00CE37CC" w:rsidRDefault="00CE37CC" w:rsidP="00CE37CC">
            <w:pPr>
              <w:spacing w:before="24" w:after="0" w:line="240" w:lineRule="auto"/>
              <w:jc w:val="right"/>
              <w:rPr>
                <w:rFonts w:ascii="Arial" w:hAnsi="Arial" w:cs="Arial"/>
                <w:b/>
                <w:bCs/>
                <w:sz w:val="16"/>
                <w:szCs w:val="16"/>
              </w:rPr>
            </w:pPr>
            <w:r>
              <w:rPr>
                <w:rFonts w:ascii="Arial" w:hAnsi="Arial" w:cs="Arial"/>
                <w:b/>
                <w:bCs/>
                <w:sz w:val="16"/>
                <w:szCs w:val="16"/>
              </w:rPr>
              <w:t>2024–</w:t>
            </w:r>
            <w:r w:rsidRPr="00CE37CC">
              <w:rPr>
                <w:rFonts w:ascii="Arial" w:hAnsi="Arial" w:cs="Arial"/>
                <w:b/>
                <w:bCs/>
                <w:sz w:val="16"/>
                <w:szCs w:val="16"/>
              </w:rPr>
              <w:t>25</w:t>
            </w:r>
            <w:r w:rsidRPr="00CE37CC">
              <w:rPr>
                <w:rFonts w:ascii="Arial" w:hAnsi="Arial" w:cs="Arial"/>
                <w:b/>
                <w:bCs/>
                <w:sz w:val="16"/>
                <w:szCs w:val="16"/>
              </w:rPr>
              <w:br/>
            </w:r>
            <w:r w:rsidRPr="00CE37CC">
              <w:rPr>
                <w:rFonts w:ascii="Arial" w:hAnsi="Arial"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4CD2DB92" w14:textId="78376879" w:rsidR="00CE37CC" w:rsidRPr="00CE37CC" w:rsidRDefault="00CE37CC" w:rsidP="00CE37CC">
            <w:pPr>
              <w:spacing w:before="24" w:after="0" w:line="240" w:lineRule="auto"/>
              <w:jc w:val="right"/>
              <w:rPr>
                <w:rFonts w:ascii="Arial" w:hAnsi="Arial" w:cs="Arial"/>
                <w:b/>
                <w:bCs/>
                <w:sz w:val="16"/>
                <w:szCs w:val="16"/>
              </w:rPr>
            </w:pPr>
            <w:r>
              <w:rPr>
                <w:rFonts w:ascii="Arial" w:hAnsi="Arial" w:cs="Arial"/>
                <w:b/>
                <w:bCs/>
                <w:sz w:val="16"/>
                <w:szCs w:val="16"/>
              </w:rPr>
              <w:t>2025–</w:t>
            </w:r>
            <w:r w:rsidRPr="00CE37CC">
              <w:rPr>
                <w:rFonts w:ascii="Arial" w:hAnsi="Arial" w:cs="Arial"/>
                <w:b/>
                <w:bCs/>
                <w:sz w:val="16"/>
                <w:szCs w:val="16"/>
              </w:rPr>
              <w:t>26</w:t>
            </w:r>
            <w:r w:rsidRPr="00CE37CC">
              <w:rPr>
                <w:rFonts w:ascii="Arial" w:hAnsi="Arial" w:cs="Arial"/>
                <w:b/>
                <w:bCs/>
                <w:sz w:val="16"/>
                <w:szCs w:val="16"/>
              </w:rPr>
              <w:br/>
            </w:r>
            <w:r w:rsidRPr="00CE37CC">
              <w:rPr>
                <w:rFonts w:ascii="Arial" w:hAnsi="Arial" w:cs="Arial"/>
                <w:sz w:val="16"/>
                <w:szCs w:val="16"/>
              </w:rPr>
              <w:t>$'000</w:t>
            </w:r>
          </w:p>
        </w:tc>
        <w:tc>
          <w:tcPr>
            <w:tcW w:w="1040" w:type="dxa"/>
            <w:tcBorders>
              <w:top w:val="single" w:sz="4" w:space="0" w:color="000000"/>
              <w:left w:val="nil"/>
              <w:bottom w:val="single" w:sz="4" w:space="0" w:color="000000"/>
              <w:right w:val="nil"/>
            </w:tcBorders>
            <w:shd w:val="clear" w:color="auto" w:fill="auto"/>
            <w:vAlign w:val="bottom"/>
            <w:hideMark/>
          </w:tcPr>
          <w:p w14:paraId="503E4921" w14:textId="23B2B7F5" w:rsidR="00CE37CC" w:rsidRPr="00CE37CC" w:rsidRDefault="00CE37CC" w:rsidP="00CE37CC">
            <w:pPr>
              <w:spacing w:before="24" w:after="0" w:line="240" w:lineRule="auto"/>
              <w:jc w:val="right"/>
              <w:rPr>
                <w:rFonts w:ascii="Arial" w:hAnsi="Arial" w:cs="Arial"/>
                <w:b/>
                <w:bCs/>
                <w:sz w:val="16"/>
                <w:szCs w:val="16"/>
              </w:rPr>
            </w:pPr>
            <w:r>
              <w:rPr>
                <w:rFonts w:ascii="Arial" w:hAnsi="Arial" w:cs="Arial"/>
                <w:b/>
                <w:bCs/>
                <w:sz w:val="16"/>
                <w:szCs w:val="16"/>
              </w:rPr>
              <w:t>2026–</w:t>
            </w:r>
            <w:r w:rsidRPr="00CE37CC">
              <w:rPr>
                <w:rFonts w:ascii="Arial" w:hAnsi="Arial" w:cs="Arial"/>
                <w:b/>
                <w:bCs/>
                <w:sz w:val="16"/>
                <w:szCs w:val="16"/>
              </w:rPr>
              <w:t>27</w:t>
            </w:r>
            <w:r w:rsidRPr="00CE37CC">
              <w:rPr>
                <w:rFonts w:ascii="Arial" w:hAnsi="Arial" w:cs="Arial"/>
                <w:b/>
                <w:bCs/>
                <w:sz w:val="16"/>
                <w:szCs w:val="16"/>
              </w:rPr>
              <w:br/>
            </w:r>
            <w:r w:rsidRPr="00CE37CC">
              <w:rPr>
                <w:rFonts w:ascii="Arial" w:hAnsi="Arial" w:cs="Arial"/>
                <w:sz w:val="16"/>
                <w:szCs w:val="16"/>
              </w:rPr>
              <w:t>$'000</w:t>
            </w:r>
          </w:p>
        </w:tc>
      </w:tr>
      <w:tr w:rsidR="00CE37CC" w:rsidRPr="00CE37CC" w14:paraId="609452F7"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086688A2"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 xml:space="preserve">Continued Support for the COVID-19 Response </w:t>
            </w:r>
            <w:r w:rsidRPr="00CE37CC">
              <w:rPr>
                <w:rFonts w:ascii="Arial" w:hAnsi="Arial" w:cs="Arial"/>
                <w:b/>
                <w:bCs/>
                <w:sz w:val="16"/>
                <w:szCs w:val="16"/>
                <w:vertAlign w:val="superscript"/>
              </w:rPr>
              <w:t>(d)</w:t>
            </w:r>
          </w:p>
        </w:tc>
      </w:tr>
      <w:tr w:rsidR="00CE37CC" w:rsidRPr="00CE37CC" w14:paraId="07575A6E"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53FC834" w14:textId="314228C9"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Health</w:t>
            </w:r>
            <w:r>
              <w:rPr>
                <w:rFonts w:ascii="Arial" w:hAnsi="Arial" w:cs="Arial"/>
                <w:sz w:val="16"/>
                <w:szCs w:val="16"/>
              </w:rPr>
              <w:t xml:space="preserve"> and Aged Care</w:t>
            </w:r>
          </w:p>
        </w:tc>
        <w:tc>
          <w:tcPr>
            <w:tcW w:w="360" w:type="dxa"/>
            <w:tcBorders>
              <w:top w:val="nil"/>
              <w:left w:val="nil"/>
              <w:bottom w:val="nil"/>
              <w:right w:val="nil"/>
            </w:tcBorders>
            <w:shd w:val="clear" w:color="auto" w:fill="auto"/>
            <w:noWrap/>
            <w:tcMar>
              <w:left w:w="0" w:type="dxa"/>
            </w:tcMar>
            <w:vAlign w:val="bottom"/>
            <w:hideMark/>
          </w:tcPr>
          <w:p w14:paraId="6AF0356D"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C3E7BD4" w14:textId="77777777" w:rsidR="00CE37CC" w:rsidRPr="00CE37CC" w:rsidRDefault="00CE37CC" w:rsidP="00CE37CC">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242136C7" w14:textId="77777777" w:rsidR="00CE37CC" w:rsidRPr="00CE37CC" w:rsidRDefault="00CE37CC" w:rsidP="00CE37C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293F4411"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B22F67F"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687404C4"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D34DDD7"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302F5D9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1.7</w:t>
            </w:r>
          </w:p>
        </w:tc>
        <w:tc>
          <w:tcPr>
            <w:tcW w:w="940" w:type="dxa"/>
            <w:tcBorders>
              <w:top w:val="nil"/>
              <w:left w:val="nil"/>
              <w:bottom w:val="nil"/>
              <w:right w:val="nil"/>
            </w:tcBorders>
            <w:shd w:val="clear" w:color="000000" w:fill="D9D9D9"/>
            <w:noWrap/>
            <w:vAlign w:val="bottom"/>
            <w:hideMark/>
          </w:tcPr>
          <w:p w14:paraId="24256310"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956190E"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70C096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2,100 </w:t>
            </w:r>
          </w:p>
        </w:tc>
        <w:tc>
          <w:tcPr>
            <w:tcW w:w="1040" w:type="dxa"/>
            <w:tcBorders>
              <w:top w:val="nil"/>
              <w:left w:val="nil"/>
              <w:bottom w:val="nil"/>
              <w:right w:val="nil"/>
            </w:tcBorders>
            <w:shd w:val="clear" w:color="auto" w:fill="auto"/>
            <w:noWrap/>
            <w:vAlign w:val="bottom"/>
            <w:hideMark/>
          </w:tcPr>
          <w:p w14:paraId="73D25E2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4,000 </w:t>
            </w:r>
          </w:p>
        </w:tc>
      </w:tr>
      <w:tr w:rsidR="00CE37CC" w:rsidRPr="00CE37CC" w14:paraId="19E2A510"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5E7CF5C" w14:textId="77777777" w:rsidR="00CE37CC" w:rsidRPr="00CE37CC" w:rsidRDefault="00CE37CC" w:rsidP="00CE37CC">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690AD56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5FAAFB6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40,508 </w:t>
            </w:r>
          </w:p>
        </w:tc>
        <w:tc>
          <w:tcPr>
            <w:tcW w:w="1060" w:type="dxa"/>
            <w:tcBorders>
              <w:top w:val="nil"/>
              <w:left w:val="nil"/>
              <w:bottom w:val="nil"/>
              <w:right w:val="nil"/>
            </w:tcBorders>
            <w:shd w:val="clear" w:color="auto" w:fill="auto"/>
            <w:noWrap/>
            <w:vAlign w:val="bottom"/>
            <w:hideMark/>
          </w:tcPr>
          <w:p w14:paraId="3D7CB1A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273 </w:t>
            </w:r>
          </w:p>
        </w:tc>
        <w:tc>
          <w:tcPr>
            <w:tcW w:w="1020" w:type="dxa"/>
            <w:tcBorders>
              <w:top w:val="nil"/>
              <w:left w:val="nil"/>
              <w:bottom w:val="nil"/>
              <w:right w:val="nil"/>
            </w:tcBorders>
            <w:shd w:val="clear" w:color="auto" w:fill="auto"/>
            <w:noWrap/>
            <w:vAlign w:val="bottom"/>
            <w:hideMark/>
          </w:tcPr>
          <w:p w14:paraId="73B950AD"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2758EF57"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64A19C98"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26E32317" w14:textId="77777777" w:rsidR="00CE37CC" w:rsidRPr="00CE37CC" w:rsidRDefault="00CE37CC" w:rsidP="00CE37CC">
            <w:pPr>
              <w:spacing w:before="0" w:after="0" w:line="240" w:lineRule="auto"/>
              <w:jc w:val="right"/>
              <w:rPr>
                <w:rFonts w:ascii="Times New Roman" w:hAnsi="Times New Roman"/>
                <w:sz w:val="20"/>
              </w:rPr>
            </w:pPr>
          </w:p>
        </w:tc>
        <w:tc>
          <w:tcPr>
            <w:tcW w:w="360" w:type="dxa"/>
            <w:tcBorders>
              <w:top w:val="nil"/>
              <w:left w:val="nil"/>
              <w:bottom w:val="nil"/>
              <w:right w:val="nil"/>
            </w:tcBorders>
            <w:shd w:val="clear" w:color="auto" w:fill="auto"/>
            <w:noWrap/>
            <w:tcMar>
              <w:left w:w="0" w:type="dxa"/>
            </w:tcMar>
            <w:vAlign w:val="bottom"/>
            <w:hideMark/>
          </w:tcPr>
          <w:p w14:paraId="72C5FFB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3.2</w:t>
            </w:r>
          </w:p>
        </w:tc>
        <w:tc>
          <w:tcPr>
            <w:tcW w:w="940" w:type="dxa"/>
            <w:tcBorders>
              <w:top w:val="nil"/>
              <w:left w:val="nil"/>
              <w:bottom w:val="nil"/>
              <w:right w:val="nil"/>
            </w:tcBorders>
            <w:shd w:val="clear" w:color="000000" w:fill="D9D9D9"/>
            <w:noWrap/>
            <w:vAlign w:val="bottom"/>
            <w:hideMark/>
          </w:tcPr>
          <w:p w14:paraId="30F12CC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92,204 </w:t>
            </w:r>
          </w:p>
        </w:tc>
        <w:tc>
          <w:tcPr>
            <w:tcW w:w="1060" w:type="dxa"/>
            <w:tcBorders>
              <w:top w:val="nil"/>
              <w:left w:val="nil"/>
              <w:bottom w:val="nil"/>
              <w:right w:val="nil"/>
            </w:tcBorders>
            <w:shd w:val="clear" w:color="auto" w:fill="auto"/>
            <w:noWrap/>
            <w:vAlign w:val="bottom"/>
            <w:hideMark/>
          </w:tcPr>
          <w:p w14:paraId="2F4FF22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92,225 </w:t>
            </w:r>
          </w:p>
        </w:tc>
        <w:tc>
          <w:tcPr>
            <w:tcW w:w="1020" w:type="dxa"/>
            <w:tcBorders>
              <w:top w:val="nil"/>
              <w:left w:val="nil"/>
              <w:bottom w:val="nil"/>
              <w:right w:val="nil"/>
            </w:tcBorders>
            <w:shd w:val="clear" w:color="auto" w:fill="auto"/>
            <w:noWrap/>
            <w:vAlign w:val="bottom"/>
            <w:hideMark/>
          </w:tcPr>
          <w:p w14:paraId="2909F240"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7D9F558A"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3ED5C2F2"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27017106" w14:textId="77777777" w:rsidR="00CE37CC" w:rsidRPr="00CE37CC" w:rsidRDefault="00CE37CC" w:rsidP="00CE37CC">
            <w:pPr>
              <w:spacing w:before="0" w:after="0" w:line="240" w:lineRule="auto"/>
              <w:jc w:val="right"/>
              <w:rPr>
                <w:rFonts w:ascii="Times New Roman" w:hAnsi="Times New Roman"/>
                <w:sz w:val="20"/>
              </w:rPr>
            </w:pPr>
          </w:p>
        </w:tc>
        <w:tc>
          <w:tcPr>
            <w:tcW w:w="360" w:type="dxa"/>
            <w:tcBorders>
              <w:top w:val="nil"/>
              <w:left w:val="nil"/>
              <w:bottom w:val="nil"/>
              <w:right w:val="nil"/>
            </w:tcBorders>
            <w:shd w:val="clear" w:color="auto" w:fill="auto"/>
            <w:noWrap/>
            <w:tcMar>
              <w:left w:w="0" w:type="dxa"/>
            </w:tcMar>
            <w:vAlign w:val="bottom"/>
            <w:hideMark/>
          </w:tcPr>
          <w:p w14:paraId="7D59CC0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3.3</w:t>
            </w:r>
          </w:p>
        </w:tc>
        <w:tc>
          <w:tcPr>
            <w:tcW w:w="940" w:type="dxa"/>
            <w:tcBorders>
              <w:top w:val="nil"/>
              <w:left w:val="nil"/>
              <w:bottom w:val="nil"/>
              <w:right w:val="nil"/>
            </w:tcBorders>
            <w:shd w:val="clear" w:color="000000" w:fill="D9D9D9"/>
            <w:noWrap/>
            <w:vAlign w:val="bottom"/>
            <w:hideMark/>
          </w:tcPr>
          <w:p w14:paraId="78F5AC2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78,901 </w:t>
            </w:r>
          </w:p>
        </w:tc>
        <w:tc>
          <w:tcPr>
            <w:tcW w:w="1060" w:type="dxa"/>
            <w:tcBorders>
              <w:top w:val="nil"/>
              <w:left w:val="nil"/>
              <w:bottom w:val="nil"/>
              <w:right w:val="nil"/>
            </w:tcBorders>
            <w:shd w:val="clear" w:color="auto" w:fill="auto"/>
            <w:noWrap/>
            <w:vAlign w:val="bottom"/>
            <w:hideMark/>
          </w:tcPr>
          <w:p w14:paraId="03DAD64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26,525 </w:t>
            </w:r>
          </w:p>
        </w:tc>
        <w:tc>
          <w:tcPr>
            <w:tcW w:w="1020" w:type="dxa"/>
            <w:tcBorders>
              <w:top w:val="nil"/>
              <w:left w:val="nil"/>
              <w:bottom w:val="nil"/>
              <w:right w:val="nil"/>
            </w:tcBorders>
            <w:shd w:val="clear" w:color="auto" w:fill="auto"/>
            <w:noWrap/>
            <w:vAlign w:val="bottom"/>
            <w:hideMark/>
          </w:tcPr>
          <w:p w14:paraId="7D5BF201"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4B600CBE"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489D29D1"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29A4834D"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274DDC1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7101444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8A47303"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3,276 </w:t>
            </w:r>
          </w:p>
        </w:tc>
        <w:tc>
          <w:tcPr>
            <w:tcW w:w="1020" w:type="dxa"/>
            <w:tcBorders>
              <w:top w:val="nil"/>
              <w:left w:val="nil"/>
              <w:bottom w:val="nil"/>
              <w:right w:val="nil"/>
            </w:tcBorders>
            <w:shd w:val="clear" w:color="auto" w:fill="auto"/>
            <w:noWrap/>
            <w:vAlign w:val="bottom"/>
            <w:hideMark/>
          </w:tcPr>
          <w:p w14:paraId="37DD2E9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3,269 </w:t>
            </w:r>
          </w:p>
        </w:tc>
        <w:tc>
          <w:tcPr>
            <w:tcW w:w="1040" w:type="dxa"/>
            <w:tcBorders>
              <w:top w:val="nil"/>
              <w:left w:val="nil"/>
              <w:bottom w:val="nil"/>
              <w:right w:val="nil"/>
            </w:tcBorders>
            <w:shd w:val="clear" w:color="auto" w:fill="auto"/>
            <w:noWrap/>
            <w:vAlign w:val="bottom"/>
            <w:hideMark/>
          </w:tcPr>
          <w:p w14:paraId="3B51B51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449 </w:t>
            </w:r>
          </w:p>
        </w:tc>
      </w:tr>
      <w:tr w:rsidR="00CE37CC" w:rsidRPr="00CE37CC" w14:paraId="6248B922"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505A176F" w14:textId="77777777" w:rsidR="00CE37CC" w:rsidRPr="00CE37CC" w:rsidRDefault="00CE37CC" w:rsidP="00CE37CC">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2B41D55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17A33B0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8,827 </w:t>
            </w:r>
          </w:p>
        </w:tc>
        <w:tc>
          <w:tcPr>
            <w:tcW w:w="1060" w:type="dxa"/>
            <w:tcBorders>
              <w:top w:val="nil"/>
              <w:left w:val="nil"/>
              <w:bottom w:val="nil"/>
              <w:right w:val="nil"/>
            </w:tcBorders>
            <w:shd w:val="clear" w:color="auto" w:fill="auto"/>
            <w:noWrap/>
            <w:vAlign w:val="bottom"/>
            <w:hideMark/>
          </w:tcPr>
          <w:p w14:paraId="6C1C917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4,228 </w:t>
            </w:r>
          </w:p>
        </w:tc>
        <w:tc>
          <w:tcPr>
            <w:tcW w:w="1020" w:type="dxa"/>
            <w:tcBorders>
              <w:top w:val="nil"/>
              <w:left w:val="nil"/>
              <w:bottom w:val="nil"/>
              <w:right w:val="nil"/>
            </w:tcBorders>
            <w:shd w:val="clear" w:color="auto" w:fill="auto"/>
            <w:noWrap/>
            <w:vAlign w:val="bottom"/>
            <w:hideMark/>
          </w:tcPr>
          <w:p w14:paraId="1F05BA8E"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39D2AD22"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2BA788AA"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1AF327A5"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capital payments</w:t>
            </w:r>
          </w:p>
        </w:tc>
        <w:tc>
          <w:tcPr>
            <w:tcW w:w="360" w:type="dxa"/>
            <w:tcBorders>
              <w:top w:val="nil"/>
              <w:left w:val="nil"/>
              <w:bottom w:val="nil"/>
              <w:right w:val="nil"/>
            </w:tcBorders>
            <w:shd w:val="clear" w:color="auto" w:fill="auto"/>
            <w:noWrap/>
            <w:tcMar>
              <w:left w:w="0" w:type="dxa"/>
            </w:tcMar>
            <w:vAlign w:val="bottom"/>
            <w:hideMark/>
          </w:tcPr>
          <w:p w14:paraId="7D4493B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4AE2FAB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1,807 </w:t>
            </w:r>
          </w:p>
        </w:tc>
        <w:tc>
          <w:tcPr>
            <w:tcW w:w="1060" w:type="dxa"/>
            <w:tcBorders>
              <w:top w:val="nil"/>
              <w:left w:val="nil"/>
              <w:bottom w:val="nil"/>
              <w:right w:val="nil"/>
            </w:tcBorders>
            <w:shd w:val="clear" w:color="auto" w:fill="auto"/>
            <w:noWrap/>
            <w:vAlign w:val="bottom"/>
            <w:hideMark/>
          </w:tcPr>
          <w:p w14:paraId="00B828D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1,988 </w:t>
            </w:r>
          </w:p>
        </w:tc>
        <w:tc>
          <w:tcPr>
            <w:tcW w:w="1020" w:type="dxa"/>
            <w:tcBorders>
              <w:top w:val="nil"/>
              <w:left w:val="nil"/>
              <w:bottom w:val="nil"/>
              <w:right w:val="nil"/>
            </w:tcBorders>
            <w:shd w:val="clear" w:color="auto" w:fill="auto"/>
            <w:noWrap/>
            <w:vAlign w:val="bottom"/>
            <w:hideMark/>
          </w:tcPr>
          <w:p w14:paraId="3403F0CA"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163934B4"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42DEAEED"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5532A47B" w14:textId="77777777"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Veterans’ Affairs</w:t>
            </w:r>
          </w:p>
        </w:tc>
        <w:tc>
          <w:tcPr>
            <w:tcW w:w="360" w:type="dxa"/>
            <w:tcBorders>
              <w:top w:val="nil"/>
              <w:left w:val="nil"/>
              <w:bottom w:val="nil"/>
              <w:right w:val="nil"/>
            </w:tcBorders>
            <w:shd w:val="clear" w:color="auto" w:fill="auto"/>
            <w:noWrap/>
            <w:tcMar>
              <w:left w:w="0" w:type="dxa"/>
            </w:tcMar>
            <w:vAlign w:val="bottom"/>
            <w:hideMark/>
          </w:tcPr>
          <w:p w14:paraId="12DCE627"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3F7631B2"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345D571A"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7BE34753"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93434E9"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641A1234"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73E9A398"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6535F4D4"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1FE578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4,389 </w:t>
            </w:r>
          </w:p>
        </w:tc>
        <w:tc>
          <w:tcPr>
            <w:tcW w:w="1060" w:type="dxa"/>
            <w:tcBorders>
              <w:top w:val="nil"/>
              <w:left w:val="nil"/>
              <w:bottom w:val="nil"/>
              <w:right w:val="nil"/>
            </w:tcBorders>
            <w:shd w:val="clear" w:color="auto" w:fill="auto"/>
            <w:noWrap/>
            <w:vAlign w:val="bottom"/>
            <w:hideMark/>
          </w:tcPr>
          <w:p w14:paraId="7570F98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3,369 </w:t>
            </w:r>
          </w:p>
        </w:tc>
        <w:tc>
          <w:tcPr>
            <w:tcW w:w="1020" w:type="dxa"/>
            <w:tcBorders>
              <w:top w:val="nil"/>
              <w:left w:val="nil"/>
              <w:bottom w:val="nil"/>
              <w:right w:val="nil"/>
            </w:tcBorders>
            <w:shd w:val="clear" w:color="auto" w:fill="auto"/>
            <w:noWrap/>
            <w:vAlign w:val="bottom"/>
            <w:hideMark/>
          </w:tcPr>
          <w:p w14:paraId="0A21E3A6" w14:textId="77777777" w:rsidR="00CE37CC" w:rsidRPr="00CE37CC" w:rsidRDefault="00CE37CC" w:rsidP="00CE37CC">
            <w:pPr>
              <w:spacing w:before="0" w:after="0" w:line="240" w:lineRule="auto"/>
              <w:jc w:val="right"/>
              <w:rPr>
                <w:rFonts w:ascii="Arial" w:hAnsi="Arial" w:cs="Arial"/>
                <w:sz w:val="16"/>
                <w:szCs w:val="16"/>
              </w:rPr>
            </w:pPr>
          </w:p>
        </w:tc>
        <w:tc>
          <w:tcPr>
            <w:tcW w:w="1040" w:type="dxa"/>
            <w:tcBorders>
              <w:top w:val="nil"/>
              <w:left w:val="nil"/>
              <w:bottom w:val="nil"/>
              <w:right w:val="nil"/>
            </w:tcBorders>
            <w:shd w:val="clear" w:color="auto" w:fill="auto"/>
            <w:noWrap/>
            <w:vAlign w:val="bottom"/>
            <w:hideMark/>
          </w:tcPr>
          <w:p w14:paraId="512719EA"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19869F5F"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573939D1" w14:textId="77777777"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Services Australia</w:t>
            </w:r>
          </w:p>
        </w:tc>
        <w:tc>
          <w:tcPr>
            <w:tcW w:w="360" w:type="dxa"/>
            <w:tcBorders>
              <w:top w:val="nil"/>
              <w:left w:val="nil"/>
              <w:bottom w:val="nil"/>
              <w:right w:val="nil"/>
            </w:tcBorders>
            <w:shd w:val="clear" w:color="auto" w:fill="auto"/>
            <w:noWrap/>
            <w:tcMar>
              <w:left w:w="0" w:type="dxa"/>
            </w:tcMar>
            <w:vAlign w:val="bottom"/>
            <w:hideMark/>
          </w:tcPr>
          <w:p w14:paraId="496BFA77"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E74848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670C9B43"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69AD34FA"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4D63A48"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0C99D85F"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5C9CB05D"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0226CA1D"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524645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7,539 </w:t>
            </w:r>
          </w:p>
        </w:tc>
        <w:tc>
          <w:tcPr>
            <w:tcW w:w="1060" w:type="dxa"/>
            <w:tcBorders>
              <w:top w:val="nil"/>
              <w:left w:val="nil"/>
              <w:bottom w:val="nil"/>
              <w:right w:val="nil"/>
            </w:tcBorders>
            <w:shd w:val="clear" w:color="auto" w:fill="auto"/>
            <w:noWrap/>
            <w:vAlign w:val="bottom"/>
            <w:hideMark/>
          </w:tcPr>
          <w:p w14:paraId="002A6B7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8,895 </w:t>
            </w:r>
          </w:p>
        </w:tc>
        <w:tc>
          <w:tcPr>
            <w:tcW w:w="1020" w:type="dxa"/>
            <w:tcBorders>
              <w:top w:val="nil"/>
              <w:left w:val="nil"/>
              <w:bottom w:val="nil"/>
              <w:right w:val="nil"/>
            </w:tcBorders>
            <w:shd w:val="clear" w:color="auto" w:fill="auto"/>
            <w:noWrap/>
            <w:vAlign w:val="bottom"/>
            <w:hideMark/>
          </w:tcPr>
          <w:p w14:paraId="7668DF55"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4,323 </w:t>
            </w:r>
          </w:p>
        </w:tc>
        <w:tc>
          <w:tcPr>
            <w:tcW w:w="1040" w:type="dxa"/>
            <w:tcBorders>
              <w:top w:val="nil"/>
              <w:left w:val="nil"/>
              <w:bottom w:val="nil"/>
              <w:right w:val="nil"/>
            </w:tcBorders>
            <w:shd w:val="clear" w:color="auto" w:fill="auto"/>
            <w:noWrap/>
            <w:vAlign w:val="bottom"/>
            <w:hideMark/>
          </w:tcPr>
          <w:p w14:paraId="304CC7C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2,542 </w:t>
            </w:r>
          </w:p>
        </w:tc>
      </w:tr>
      <w:tr w:rsidR="00CE37CC" w:rsidRPr="00CE37CC" w14:paraId="7BD0700A"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50E6046" w14:textId="77777777"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Social Services</w:t>
            </w:r>
          </w:p>
        </w:tc>
        <w:tc>
          <w:tcPr>
            <w:tcW w:w="360" w:type="dxa"/>
            <w:tcBorders>
              <w:top w:val="nil"/>
              <w:left w:val="nil"/>
              <w:bottom w:val="nil"/>
              <w:right w:val="nil"/>
            </w:tcBorders>
            <w:shd w:val="clear" w:color="auto" w:fill="auto"/>
            <w:noWrap/>
            <w:tcMar>
              <w:left w:w="0" w:type="dxa"/>
            </w:tcMar>
            <w:vAlign w:val="bottom"/>
            <w:hideMark/>
          </w:tcPr>
          <w:p w14:paraId="139013E8"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95860C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6E85A6A7"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857583F"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69E11ADD"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750561DC"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6673515"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406C2D70"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117EE1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300 </w:t>
            </w:r>
          </w:p>
        </w:tc>
        <w:tc>
          <w:tcPr>
            <w:tcW w:w="1060" w:type="dxa"/>
            <w:tcBorders>
              <w:top w:val="nil"/>
              <w:left w:val="nil"/>
              <w:bottom w:val="nil"/>
              <w:right w:val="nil"/>
            </w:tcBorders>
            <w:shd w:val="clear" w:color="auto" w:fill="auto"/>
            <w:noWrap/>
            <w:vAlign w:val="bottom"/>
            <w:hideMark/>
          </w:tcPr>
          <w:p w14:paraId="5E16B2D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206 </w:t>
            </w:r>
          </w:p>
        </w:tc>
        <w:tc>
          <w:tcPr>
            <w:tcW w:w="1020" w:type="dxa"/>
            <w:tcBorders>
              <w:top w:val="nil"/>
              <w:left w:val="nil"/>
              <w:bottom w:val="nil"/>
              <w:right w:val="nil"/>
            </w:tcBorders>
            <w:shd w:val="clear" w:color="auto" w:fill="auto"/>
            <w:noWrap/>
            <w:vAlign w:val="bottom"/>
            <w:hideMark/>
          </w:tcPr>
          <w:p w14:paraId="27D8AA7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3E0F88F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473C69FA"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6A882CBB"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0528ECDC"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E136F1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194 </w:t>
            </w:r>
          </w:p>
        </w:tc>
        <w:tc>
          <w:tcPr>
            <w:tcW w:w="1060" w:type="dxa"/>
            <w:tcBorders>
              <w:top w:val="nil"/>
              <w:left w:val="nil"/>
              <w:bottom w:val="nil"/>
              <w:right w:val="nil"/>
            </w:tcBorders>
            <w:shd w:val="clear" w:color="auto" w:fill="auto"/>
            <w:noWrap/>
            <w:vAlign w:val="bottom"/>
            <w:hideMark/>
          </w:tcPr>
          <w:p w14:paraId="1A9A986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142 </w:t>
            </w:r>
          </w:p>
        </w:tc>
        <w:tc>
          <w:tcPr>
            <w:tcW w:w="1020" w:type="dxa"/>
            <w:tcBorders>
              <w:top w:val="nil"/>
              <w:left w:val="nil"/>
              <w:bottom w:val="nil"/>
              <w:right w:val="nil"/>
            </w:tcBorders>
            <w:shd w:val="clear" w:color="auto" w:fill="auto"/>
            <w:noWrap/>
            <w:vAlign w:val="bottom"/>
            <w:hideMark/>
          </w:tcPr>
          <w:p w14:paraId="37D5A4B3"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1A1C357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28906EC6"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73BA81CB"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5512511D"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3ABEB5DA"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234,669 </w:t>
            </w:r>
          </w:p>
        </w:tc>
        <w:tc>
          <w:tcPr>
            <w:tcW w:w="1060" w:type="dxa"/>
            <w:tcBorders>
              <w:top w:val="single" w:sz="4" w:space="0" w:color="000000"/>
              <w:left w:val="nil"/>
              <w:bottom w:val="single" w:sz="4" w:space="0" w:color="000000"/>
              <w:right w:val="nil"/>
            </w:tcBorders>
            <w:shd w:val="clear" w:color="auto" w:fill="auto"/>
            <w:noWrap/>
            <w:vAlign w:val="bottom"/>
            <w:hideMark/>
          </w:tcPr>
          <w:p w14:paraId="415350C0"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141,127 </w:t>
            </w:r>
          </w:p>
        </w:tc>
        <w:tc>
          <w:tcPr>
            <w:tcW w:w="1020" w:type="dxa"/>
            <w:tcBorders>
              <w:top w:val="single" w:sz="4" w:space="0" w:color="000000"/>
              <w:left w:val="nil"/>
              <w:bottom w:val="single" w:sz="4" w:space="0" w:color="000000"/>
              <w:right w:val="nil"/>
            </w:tcBorders>
            <w:shd w:val="clear" w:color="auto" w:fill="auto"/>
            <w:noWrap/>
            <w:vAlign w:val="bottom"/>
            <w:hideMark/>
          </w:tcPr>
          <w:p w14:paraId="344DA673"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9,692 </w:t>
            </w:r>
          </w:p>
        </w:tc>
        <w:tc>
          <w:tcPr>
            <w:tcW w:w="1040" w:type="dxa"/>
            <w:tcBorders>
              <w:top w:val="single" w:sz="4" w:space="0" w:color="000000"/>
              <w:left w:val="nil"/>
              <w:bottom w:val="single" w:sz="4" w:space="0" w:color="000000"/>
              <w:right w:val="nil"/>
            </w:tcBorders>
            <w:shd w:val="clear" w:color="auto" w:fill="auto"/>
            <w:noWrap/>
            <w:vAlign w:val="bottom"/>
            <w:hideMark/>
          </w:tcPr>
          <w:p w14:paraId="21F7554F"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6,991 </w:t>
            </w:r>
          </w:p>
        </w:tc>
      </w:tr>
      <w:tr w:rsidR="00CE37CC" w:rsidRPr="00CE37CC" w14:paraId="531FC6F5" w14:textId="77777777" w:rsidTr="006F4FF0">
        <w:trPr>
          <w:trHeight w:val="28"/>
          <w:jc w:val="center"/>
        </w:trPr>
        <w:tc>
          <w:tcPr>
            <w:tcW w:w="8000" w:type="dxa"/>
            <w:gridSpan w:val="6"/>
            <w:tcBorders>
              <w:top w:val="nil"/>
              <w:left w:val="nil"/>
              <w:bottom w:val="nil"/>
              <w:right w:val="nil"/>
            </w:tcBorders>
            <w:shd w:val="clear" w:color="auto" w:fill="auto"/>
            <w:vAlign w:val="bottom"/>
            <w:hideMark/>
          </w:tcPr>
          <w:p w14:paraId="47F668D0" w14:textId="77777777" w:rsidR="00CE37CC" w:rsidRPr="00CE37CC" w:rsidRDefault="00CE37CC" w:rsidP="001F07D1">
            <w:pPr>
              <w:spacing w:before="24" w:after="0" w:line="240" w:lineRule="auto"/>
              <w:rPr>
                <w:rFonts w:ascii="Arial" w:hAnsi="Arial" w:cs="Arial"/>
                <w:b/>
                <w:bCs/>
                <w:sz w:val="16"/>
                <w:szCs w:val="16"/>
              </w:rPr>
            </w:pPr>
            <w:r w:rsidRPr="00CE37CC">
              <w:rPr>
                <w:rFonts w:ascii="Arial" w:hAnsi="Arial" w:cs="Arial"/>
                <w:b/>
                <w:bCs/>
                <w:sz w:val="16"/>
                <w:szCs w:val="16"/>
              </w:rPr>
              <w:t>Enhanced Regulatory Model for Vaping Products</w:t>
            </w:r>
          </w:p>
        </w:tc>
      </w:tr>
      <w:tr w:rsidR="00CE37CC" w:rsidRPr="00CE37CC" w14:paraId="772AB877"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5208537" w14:textId="03E21C46"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4BA34B26"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5286C52C" w14:textId="77777777" w:rsidR="00CE37CC" w:rsidRPr="00CE37CC" w:rsidRDefault="00CE37CC" w:rsidP="00CE37CC">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1747170F" w14:textId="77777777" w:rsidR="00CE37CC" w:rsidRPr="00CE37CC" w:rsidRDefault="00CE37CC" w:rsidP="00CE37C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1D4C4769"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25C3A06"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734D9EAF"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CF3A797"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6A71172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0F92486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900 </w:t>
            </w:r>
          </w:p>
        </w:tc>
        <w:tc>
          <w:tcPr>
            <w:tcW w:w="1060" w:type="dxa"/>
            <w:tcBorders>
              <w:top w:val="nil"/>
              <w:left w:val="nil"/>
              <w:bottom w:val="nil"/>
              <w:right w:val="nil"/>
            </w:tcBorders>
            <w:shd w:val="clear" w:color="auto" w:fill="auto"/>
            <w:noWrap/>
            <w:vAlign w:val="bottom"/>
            <w:hideMark/>
          </w:tcPr>
          <w:p w14:paraId="79F150D7"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(650)</w:t>
            </w:r>
          </w:p>
        </w:tc>
        <w:tc>
          <w:tcPr>
            <w:tcW w:w="1020" w:type="dxa"/>
            <w:tcBorders>
              <w:top w:val="nil"/>
              <w:left w:val="nil"/>
              <w:bottom w:val="nil"/>
              <w:right w:val="nil"/>
            </w:tcBorders>
            <w:shd w:val="clear" w:color="auto" w:fill="auto"/>
            <w:noWrap/>
            <w:vAlign w:val="bottom"/>
            <w:hideMark/>
          </w:tcPr>
          <w:p w14:paraId="39B740B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1,050 </w:t>
            </w:r>
          </w:p>
        </w:tc>
        <w:tc>
          <w:tcPr>
            <w:tcW w:w="1040" w:type="dxa"/>
            <w:tcBorders>
              <w:top w:val="nil"/>
              <w:left w:val="nil"/>
              <w:bottom w:val="nil"/>
              <w:right w:val="nil"/>
            </w:tcBorders>
            <w:shd w:val="clear" w:color="auto" w:fill="auto"/>
            <w:noWrap/>
            <w:vAlign w:val="bottom"/>
            <w:hideMark/>
          </w:tcPr>
          <w:p w14:paraId="463B7D95"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500 </w:t>
            </w:r>
          </w:p>
        </w:tc>
      </w:tr>
      <w:tr w:rsidR="00CE37CC" w:rsidRPr="00CE37CC" w14:paraId="7098EDBC"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3CD8C73"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7F91C867"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16C2133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4,301 </w:t>
            </w:r>
          </w:p>
        </w:tc>
        <w:tc>
          <w:tcPr>
            <w:tcW w:w="1060" w:type="dxa"/>
            <w:tcBorders>
              <w:top w:val="nil"/>
              <w:left w:val="nil"/>
              <w:bottom w:val="nil"/>
              <w:right w:val="nil"/>
            </w:tcBorders>
            <w:shd w:val="clear" w:color="auto" w:fill="auto"/>
            <w:noWrap/>
            <w:vAlign w:val="bottom"/>
            <w:hideMark/>
          </w:tcPr>
          <w:p w14:paraId="2E67681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17,367 </w:t>
            </w:r>
          </w:p>
        </w:tc>
        <w:tc>
          <w:tcPr>
            <w:tcW w:w="1020" w:type="dxa"/>
            <w:tcBorders>
              <w:top w:val="nil"/>
              <w:left w:val="nil"/>
              <w:bottom w:val="nil"/>
              <w:right w:val="nil"/>
            </w:tcBorders>
            <w:shd w:val="clear" w:color="auto" w:fill="auto"/>
            <w:noWrap/>
            <w:vAlign w:val="bottom"/>
            <w:hideMark/>
          </w:tcPr>
          <w:p w14:paraId="5010142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(13,182)</w:t>
            </w:r>
          </w:p>
        </w:tc>
        <w:tc>
          <w:tcPr>
            <w:tcW w:w="1040" w:type="dxa"/>
            <w:tcBorders>
              <w:top w:val="nil"/>
              <w:left w:val="nil"/>
              <w:bottom w:val="nil"/>
              <w:right w:val="nil"/>
            </w:tcBorders>
            <w:shd w:val="clear" w:color="auto" w:fill="auto"/>
            <w:noWrap/>
            <w:vAlign w:val="bottom"/>
            <w:hideMark/>
          </w:tcPr>
          <w:p w14:paraId="13E26DB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(13,093)</w:t>
            </w:r>
          </w:p>
        </w:tc>
      </w:tr>
      <w:tr w:rsidR="00CE37CC" w:rsidRPr="00CE37CC" w14:paraId="37B2DF85"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5E52BBA"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capital payments</w:t>
            </w:r>
          </w:p>
        </w:tc>
        <w:tc>
          <w:tcPr>
            <w:tcW w:w="360" w:type="dxa"/>
            <w:tcBorders>
              <w:top w:val="nil"/>
              <w:left w:val="nil"/>
              <w:bottom w:val="nil"/>
              <w:right w:val="nil"/>
            </w:tcBorders>
            <w:shd w:val="clear" w:color="auto" w:fill="auto"/>
            <w:noWrap/>
            <w:tcMar>
              <w:left w:w="0" w:type="dxa"/>
            </w:tcMar>
            <w:vAlign w:val="bottom"/>
            <w:hideMark/>
          </w:tcPr>
          <w:p w14:paraId="33CB3DB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170C33D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(1,397)</w:t>
            </w:r>
          </w:p>
        </w:tc>
        <w:tc>
          <w:tcPr>
            <w:tcW w:w="1060" w:type="dxa"/>
            <w:tcBorders>
              <w:top w:val="nil"/>
              <w:left w:val="nil"/>
              <w:bottom w:val="nil"/>
              <w:right w:val="nil"/>
            </w:tcBorders>
            <w:shd w:val="clear" w:color="auto" w:fill="auto"/>
            <w:noWrap/>
            <w:vAlign w:val="bottom"/>
            <w:hideMark/>
          </w:tcPr>
          <w:p w14:paraId="4A2E3B3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4,204 </w:t>
            </w:r>
          </w:p>
        </w:tc>
        <w:tc>
          <w:tcPr>
            <w:tcW w:w="1020" w:type="dxa"/>
            <w:tcBorders>
              <w:top w:val="nil"/>
              <w:left w:val="nil"/>
              <w:bottom w:val="nil"/>
              <w:right w:val="nil"/>
            </w:tcBorders>
            <w:shd w:val="clear" w:color="auto" w:fill="auto"/>
            <w:noWrap/>
            <w:vAlign w:val="bottom"/>
            <w:hideMark/>
          </w:tcPr>
          <w:p w14:paraId="6AA37577"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1BDE3C10"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0EF41F9A"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6435C383" w14:textId="77777777"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Home Affairs</w:t>
            </w:r>
          </w:p>
        </w:tc>
        <w:tc>
          <w:tcPr>
            <w:tcW w:w="360" w:type="dxa"/>
            <w:tcBorders>
              <w:top w:val="nil"/>
              <w:left w:val="nil"/>
              <w:bottom w:val="nil"/>
              <w:right w:val="nil"/>
            </w:tcBorders>
            <w:shd w:val="clear" w:color="auto" w:fill="auto"/>
            <w:noWrap/>
            <w:tcMar>
              <w:left w:w="0" w:type="dxa"/>
            </w:tcMar>
            <w:vAlign w:val="bottom"/>
            <w:hideMark/>
          </w:tcPr>
          <w:p w14:paraId="7D9A5C64"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5D7666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53817EC6"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9E95297"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7122A77"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5B60DB00"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66D20E6"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6393FC1B"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3F3B8ED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AE4CC8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6687A79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D3452F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0A314A64"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2DBE6B3D"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7D24CDA3"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07F1D530"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3,804 </w:t>
            </w:r>
          </w:p>
        </w:tc>
        <w:tc>
          <w:tcPr>
            <w:tcW w:w="1060" w:type="dxa"/>
            <w:tcBorders>
              <w:top w:val="single" w:sz="4" w:space="0" w:color="000000"/>
              <w:left w:val="nil"/>
              <w:bottom w:val="single" w:sz="4" w:space="0" w:color="000000"/>
              <w:right w:val="nil"/>
            </w:tcBorders>
            <w:shd w:val="clear" w:color="auto" w:fill="auto"/>
            <w:noWrap/>
            <w:vAlign w:val="bottom"/>
            <w:hideMark/>
          </w:tcPr>
          <w:p w14:paraId="638C465C"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20,921 </w:t>
            </w:r>
          </w:p>
        </w:tc>
        <w:tc>
          <w:tcPr>
            <w:tcW w:w="1020" w:type="dxa"/>
            <w:tcBorders>
              <w:top w:val="single" w:sz="4" w:space="0" w:color="000000"/>
              <w:left w:val="nil"/>
              <w:bottom w:val="single" w:sz="4" w:space="0" w:color="000000"/>
              <w:right w:val="nil"/>
            </w:tcBorders>
            <w:shd w:val="clear" w:color="auto" w:fill="auto"/>
            <w:noWrap/>
            <w:vAlign w:val="bottom"/>
            <w:hideMark/>
          </w:tcPr>
          <w:p w14:paraId="177432E8"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(12,132)</w:t>
            </w:r>
          </w:p>
        </w:tc>
        <w:tc>
          <w:tcPr>
            <w:tcW w:w="1040" w:type="dxa"/>
            <w:tcBorders>
              <w:top w:val="single" w:sz="4" w:space="0" w:color="000000"/>
              <w:left w:val="nil"/>
              <w:bottom w:val="single" w:sz="4" w:space="0" w:color="000000"/>
              <w:right w:val="nil"/>
            </w:tcBorders>
            <w:shd w:val="clear" w:color="auto" w:fill="auto"/>
            <w:noWrap/>
            <w:vAlign w:val="bottom"/>
            <w:hideMark/>
          </w:tcPr>
          <w:p w14:paraId="5FD1AEF1"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(12,593)</w:t>
            </w:r>
          </w:p>
        </w:tc>
      </w:tr>
      <w:tr w:rsidR="00CE37CC" w:rsidRPr="00CE37CC" w14:paraId="2B021814" w14:textId="77777777" w:rsidTr="006F4FF0">
        <w:trPr>
          <w:trHeight w:val="28"/>
          <w:jc w:val="center"/>
        </w:trPr>
        <w:tc>
          <w:tcPr>
            <w:tcW w:w="8000" w:type="dxa"/>
            <w:gridSpan w:val="6"/>
            <w:tcBorders>
              <w:top w:val="nil"/>
              <w:left w:val="nil"/>
              <w:bottom w:val="nil"/>
              <w:right w:val="nil"/>
            </w:tcBorders>
            <w:shd w:val="clear" w:color="auto" w:fill="auto"/>
            <w:vAlign w:val="bottom"/>
            <w:hideMark/>
          </w:tcPr>
          <w:p w14:paraId="1FFF94F4" w14:textId="77777777" w:rsidR="00CE37CC" w:rsidRPr="00CE37CC" w:rsidRDefault="00CE37CC" w:rsidP="001F07D1">
            <w:pPr>
              <w:spacing w:before="24" w:after="0" w:line="240" w:lineRule="auto"/>
              <w:rPr>
                <w:rFonts w:ascii="Arial" w:hAnsi="Arial" w:cs="Arial"/>
                <w:b/>
                <w:bCs/>
                <w:sz w:val="16"/>
                <w:szCs w:val="16"/>
              </w:rPr>
            </w:pPr>
            <w:r w:rsidRPr="00CE37CC">
              <w:rPr>
                <w:rFonts w:ascii="Arial" w:hAnsi="Arial" w:cs="Arial"/>
                <w:b/>
                <w:bCs/>
                <w:sz w:val="16"/>
                <w:szCs w:val="16"/>
              </w:rPr>
              <w:t xml:space="preserve">Ensuring Access to Medicines </w:t>
            </w:r>
            <w:r w:rsidRPr="00CE37CC">
              <w:rPr>
                <w:rFonts w:ascii="Arial" w:hAnsi="Arial" w:cs="Arial"/>
                <w:b/>
                <w:bCs/>
                <w:sz w:val="16"/>
                <w:szCs w:val="16"/>
                <w:vertAlign w:val="superscript"/>
              </w:rPr>
              <w:t>(d)</w:t>
            </w:r>
          </w:p>
        </w:tc>
      </w:tr>
      <w:tr w:rsidR="00CE37CC" w:rsidRPr="00CE37CC" w14:paraId="55F34AB1"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A627D07" w14:textId="1B6D48CB"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7F632D23"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AC78F61" w14:textId="77777777" w:rsidR="00CE37CC" w:rsidRPr="00CE37CC" w:rsidRDefault="00CE37CC" w:rsidP="00CE37CC">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4D432DC" w14:textId="77777777" w:rsidR="00CE37CC" w:rsidRPr="00CE37CC" w:rsidRDefault="00CE37CC" w:rsidP="00CE37C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0BB00BB9"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BBE7DF6"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48783B12"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718539BF"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1F053F3D"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1.7</w:t>
            </w:r>
          </w:p>
        </w:tc>
        <w:tc>
          <w:tcPr>
            <w:tcW w:w="940" w:type="dxa"/>
            <w:tcBorders>
              <w:top w:val="nil"/>
              <w:left w:val="nil"/>
              <w:bottom w:val="nil"/>
              <w:right w:val="nil"/>
            </w:tcBorders>
            <w:shd w:val="clear" w:color="000000" w:fill="D9D9D9"/>
            <w:noWrap/>
            <w:vAlign w:val="bottom"/>
            <w:hideMark/>
          </w:tcPr>
          <w:p w14:paraId="2757BB8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BC24F55"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186A648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449FFB4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63BABBCA"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77EFEAD" w14:textId="77777777" w:rsidR="00CE37CC" w:rsidRPr="00CE37CC" w:rsidRDefault="00CE37CC" w:rsidP="00CE37CC">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6DFD043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1E97BC3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30,208 </w:t>
            </w:r>
          </w:p>
        </w:tc>
        <w:tc>
          <w:tcPr>
            <w:tcW w:w="1060" w:type="dxa"/>
            <w:tcBorders>
              <w:top w:val="nil"/>
              <w:left w:val="nil"/>
              <w:bottom w:val="nil"/>
              <w:right w:val="nil"/>
            </w:tcBorders>
            <w:shd w:val="clear" w:color="auto" w:fill="auto"/>
            <w:noWrap/>
            <w:vAlign w:val="bottom"/>
            <w:hideMark/>
          </w:tcPr>
          <w:p w14:paraId="3E1CB57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48,259 </w:t>
            </w:r>
          </w:p>
        </w:tc>
        <w:tc>
          <w:tcPr>
            <w:tcW w:w="1020" w:type="dxa"/>
            <w:tcBorders>
              <w:top w:val="nil"/>
              <w:left w:val="nil"/>
              <w:bottom w:val="nil"/>
              <w:right w:val="nil"/>
            </w:tcBorders>
            <w:shd w:val="clear" w:color="auto" w:fill="auto"/>
            <w:noWrap/>
            <w:vAlign w:val="bottom"/>
            <w:hideMark/>
          </w:tcPr>
          <w:p w14:paraId="6E6B73F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48,382 </w:t>
            </w:r>
          </w:p>
        </w:tc>
        <w:tc>
          <w:tcPr>
            <w:tcW w:w="1040" w:type="dxa"/>
            <w:tcBorders>
              <w:top w:val="nil"/>
              <w:left w:val="nil"/>
              <w:bottom w:val="nil"/>
              <w:right w:val="nil"/>
            </w:tcBorders>
            <w:shd w:val="clear" w:color="auto" w:fill="auto"/>
            <w:noWrap/>
            <w:vAlign w:val="bottom"/>
            <w:hideMark/>
          </w:tcPr>
          <w:p w14:paraId="2B4DD395"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41,303 </w:t>
            </w:r>
          </w:p>
        </w:tc>
      </w:tr>
      <w:tr w:rsidR="00CE37CC" w:rsidRPr="00CE37CC" w14:paraId="5F693796"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DC32B39"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135DE055"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1373E051"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30,208 </w:t>
            </w:r>
          </w:p>
        </w:tc>
        <w:tc>
          <w:tcPr>
            <w:tcW w:w="1060" w:type="dxa"/>
            <w:tcBorders>
              <w:top w:val="single" w:sz="4" w:space="0" w:color="000000"/>
              <w:left w:val="nil"/>
              <w:bottom w:val="single" w:sz="4" w:space="0" w:color="000000"/>
              <w:right w:val="nil"/>
            </w:tcBorders>
            <w:shd w:val="clear" w:color="auto" w:fill="auto"/>
            <w:noWrap/>
            <w:vAlign w:val="bottom"/>
            <w:hideMark/>
          </w:tcPr>
          <w:p w14:paraId="5F71492F"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48,259 </w:t>
            </w:r>
          </w:p>
        </w:tc>
        <w:tc>
          <w:tcPr>
            <w:tcW w:w="1020" w:type="dxa"/>
            <w:tcBorders>
              <w:top w:val="single" w:sz="4" w:space="0" w:color="000000"/>
              <w:left w:val="nil"/>
              <w:bottom w:val="single" w:sz="4" w:space="0" w:color="000000"/>
              <w:right w:val="nil"/>
            </w:tcBorders>
            <w:shd w:val="clear" w:color="auto" w:fill="auto"/>
            <w:noWrap/>
            <w:vAlign w:val="bottom"/>
            <w:hideMark/>
          </w:tcPr>
          <w:p w14:paraId="18116E09"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48,382 </w:t>
            </w:r>
          </w:p>
        </w:tc>
        <w:tc>
          <w:tcPr>
            <w:tcW w:w="1040" w:type="dxa"/>
            <w:tcBorders>
              <w:top w:val="single" w:sz="4" w:space="0" w:color="000000"/>
              <w:left w:val="nil"/>
              <w:bottom w:val="single" w:sz="4" w:space="0" w:color="000000"/>
              <w:right w:val="nil"/>
            </w:tcBorders>
            <w:shd w:val="clear" w:color="auto" w:fill="auto"/>
            <w:noWrap/>
            <w:vAlign w:val="bottom"/>
            <w:hideMark/>
          </w:tcPr>
          <w:p w14:paraId="6FB72090"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41,303 </w:t>
            </w:r>
          </w:p>
        </w:tc>
      </w:tr>
      <w:tr w:rsidR="00CE37CC" w:rsidRPr="00CE37CC" w14:paraId="56F73208" w14:textId="77777777" w:rsidTr="006F4FF0">
        <w:trPr>
          <w:trHeight w:val="28"/>
          <w:jc w:val="center"/>
        </w:trPr>
        <w:tc>
          <w:tcPr>
            <w:tcW w:w="8000" w:type="dxa"/>
            <w:gridSpan w:val="6"/>
            <w:tcBorders>
              <w:top w:val="nil"/>
              <w:left w:val="nil"/>
              <w:bottom w:val="nil"/>
              <w:right w:val="nil"/>
            </w:tcBorders>
            <w:shd w:val="clear" w:color="auto" w:fill="auto"/>
            <w:vAlign w:val="bottom"/>
            <w:hideMark/>
          </w:tcPr>
          <w:p w14:paraId="62865852" w14:textId="77777777" w:rsidR="00CE37CC" w:rsidRPr="00CE37CC" w:rsidRDefault="00CE37CC" w:rsidP="001F07D1">
            <w:pPr>
              <w:spacing w:before="24" w:after="0" w:line="240" w:lineRule="auto"/>
              <w:rPr>
                <w:rFonts w:ascii="Arial" w:hAnsi="Arial" w:cs="Arial"/>
                <w:b/>
                <w:bCs/>
                <w:sz w:val="16"/>
                <w:szCs w:val="16"/>
              </w:rPr>
            </w:pPr>
            <w:r w:rsidRPr="00CE37CC">
              <w:rPr>
                <w:rFonts w:ascii="Arial" w:hAnsi="Arial" w:cs="Arial"/>
                <w:b/>
                <w:bCs/>
                <w:sz w:val="16"/>
                <w:szCs w:val="16"/>
              </w:rPr>
              <w:t xml:space="preserve">Genomics Australia </w:t>
            </w:r>
            <w:r w:rsidRPr="00CE37CC">
              <w:rPr>
                <w:rFonts w:ascii="Arial" w:hAnsi="Arial" w:cs="Arial"/>
                <w:b/>
                <w:bCs/>
                <w:sz w:val="16"/>
                <w:szCs w:val="16"/>
                <w:vertAlign w:val="superscript"/>
              </w:rPr>
              <w:t>(e)</w:t>
            </w:r>
          </w:p>
        </w:tc>
      </w:tr>
      <w:tr w:rsidR="00CE37CC" w:rsidRPr="00CE37CC" w14:paraId="028B18A0"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64473A7D" w14:textId="68F1CCA3"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Health</w:t>
            </w:r>
            <w:r w:rsidR="00535A9A">
              <w:rPr>
                <w:rFonts w:ascii="Arial" w:hAnsi="Arial" w:cs="Arial"/>
                <w:sz w:val="16"/>
                <w:szCs w:val="16"/>
              </w:rPr>
              <w:t xml:space="preserve"> and Aged Care</w:t>
            </w:r>
            <w:r w:rsidRPr="00CE37CC">
              <w:rPr>
                <w:rFonts w:ascii="Arial" w:hAnsi="Arial" w:cs="Arial"/>
                <w:sz w:val="16"/>
                <w:szCs w:val="16"/>
              </w:rPr>
              <w:t xml:space="preserve"> </w:t>
            </w:r>
          </w:p>
        </w:tc>
        <w:tc>
          <w:tcPr>
            <w:tcW w:w="360" w:type="dxa"/>
            <w:tcBorders>
              <w:top w:val="nil"/>
              <w:left w:val="nil"/>
              <w:bottom w:val="nil"/>
              <w:right w:val="nil"/>
            </w:tcBorders>
            <w:shd w:val="clear" w:color="auto" w:fill="auto"/>
            <w:noWrap/>
            <w:vAlign w:val="bottom"/>
            <w:hideMark/>
          </w:tcPr>
          <w:p w14:paraId="1B9BC898"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26B3A5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26AB2F79"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048EA16"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848F926"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6299DCE3"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2D3C623B"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00913C7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1.1</w:t>
            </w:r>
          </w:p>
        </w:tc>
        <w:tc>
          <w:tcPr>
            <w:tcW w:w="940" w:type="dxa"/>
            <w:tcBorders>
              <w:top w:val="nil"/>
              <w:left w:val="nil"/>
              <w:bottom w:val="nil"/>
              <w:right w:val="nil"/>
            </w:tcBorders>
            <w:shd w:val="clear" w:color="000000" w:fill="D9D9D9"/>
            <w:noWrap/>
            <w:vAlign w:val="bottom"/>
            <w:hideMark/>
          </w:tcPr>
          <w:p w14:paraId="5EC87EB6"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CB1E6C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FEF63B7"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DD1543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78EC3321"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3BBCECD"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16F95C40"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7754CB8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B11EB4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497C548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41C3359A"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33AF22AD"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18725F31"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76BAAB58"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724C5949"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760A2B58"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7F2DC979"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1A972690"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r>
      <w:tr w:rsidR="00CE37CC" w:rsidRPr="00CE37CC" w14:paraId="7867EFAB" w14:textId="77777777" w:rsidTr="006F4FF0">
        <w:trPr>
          <w:trHeight w:val="28"/>
          <w:jc w:val="center"/>
        </w:trPr>
        <w:tc>
          <w:tcPr>
            <w:tcW w:w="8000" w:type="dxa"/>
            <w:gridSpan w:val="6"/>
            <w:tcBorders>
              <w:top w:val="nil"/>
              <w:left w:val="nil"/>
              <w:bottom w:val="nil"/>
              <w:right w:val="nil"/>
            </w:tcBorders>
            <w:shd w:val="clear" w:color="auto" w:fill="auto"/>
            <w:vAlign w:val="bottom"/>
            <w:hideMark/>
          </w:tcPr>
          <w:p w14:paraId="60D221CF" w14:textId="77777777" w:rsidR="00CE37CC" w:rsidRPr="00CE37CC" w:rsidRDefault="00CE37CC" w:rsidP="001F07D1">
            <w:pPr>
              <w:spacing w:before="24" w:after="0" w:line="240" w:lineRule="auto"/>
              <w:rPr>
                <w:rFonts w:ascii="Arial" w:hAnsi="Arial" w:cs="Arial"/>
                <w:b/>
                <w:bCs/>
                <w:sz w:val="16"/>
                <w:szCs w:val="16"/>
              </w:rPr>
            </w:pPr>
            <w:r w:rsidRPr="00CE37CC">
              <w:rPr>
                <w:rFonts w:ascii="Arial" w:hAnsi="Arial" w:cs="Arial"/>
                <w:b/>
                <w:bCs/>
                <w:sz w:val="16"/>
                <w:szCs w:val="16"/>
              </w:rPr>
              <w:t xml:space="preserve">Improving Cancer Outcomes - cancer care nursing and navigation </w:t>
            </w:r>
            <w:r w:rsidRPr="00CE37CC">
              <w:rPr>
                <w:rFonts w:ascii="Arial" w:hAnsi="Arial" w:cs="Arial"/>
                <w:b/>
                <w:bCs/>
                <w:sz w:val="16"/>
                <w:szCs w:val="16"/>
                <w:vertAlign w:val="superscript"/>
              </w:rPr>
              <w:t>(e)</w:t>
            </w:r>
          </w:p>
        </w:tc>
      </w:tr>
      <w:tr w:rsidR="00CE37CC" w:rsidRPr="00CE37CC" w14:paraId="38674A14"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6625B6C" w14:textId="15C531F3"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465A1214"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8746CED" w14:textId="77777777" w:rsidR="00CE37CC" w:rsidRPr="00CE37CC" w:rsidRDefault="00CE37CC" w:rsidP="00CE37CC">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5836389" w14:textId="77777777" w:rsidR="00CE37CC" w:rsidRPr="00CE37CC" w:rsidRDefault="00CE37CC" w:rsidP="00CE37C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C8E7BC0"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12E4DB1"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459DD3D1"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6D91C5BE"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0C5BFA1F"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3F97208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3C877E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CAD6323"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02C11DB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54B81494"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52D3C6B4"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217AC6B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7E259CA9"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3F8053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CECF8B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0A0DF68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51326826"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4FA42B0"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7FDD3A5E"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65151F95"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766985A5"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49390812"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2BF78191"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r>
      <w:tr w:rsidR="00CE37CC" w:rsidRPr="00CE37CC" w14:paraId="41586D2F" w14:textId="77777777" w:rsidTr="006F4FF0">
        <w:trPr>
          <w:trHeight w:val="28"/>
          <w:jc w:val="center"/>
        </w:trPr>
        <w:tc>
          <w:tcPr>
            <w:tcW w:w="8000" w:type="dxa"/>
            <w:gridSpan w:val="6"/>
            <w:tcBorders>
              <w:top w:val="nil"/>
              <w:left w:val="nil"/>
              <w:bottom w:val="nil"/>
              <w:right w:val="nil"/>
            </w:tcBorders>
            <w:shd w:val="clear" w:color="auto" w:fill="auto"/>
            <w:vAlign w:val="bottom"/>
            <w:hideMark/>
          </w:tcPr>
          <w:p w14:paraId="15D256CB" w14:textId="77777777" w:rsidR="00CE37CC" w:rsidRPr="00CE37CC" w:rsidRDefault="00CE37CC" w:rsidP="001F07D1">
            <w:pPr>
              <w:spacing w:before="24" w:after="0" w:line="240" w:lineRule="auto"/>
              <w:rPr>
                <w:rFonts w:ascii="Arial" w:hAnsi="Arial" w:cs="Arial"/>
                <w:b/>
                <w:bCs/>
                <w:sz w:val="16"/>
                <w:szCs w:val="16"/>
              </w:rPr>
            </w:pPr>
            <w:r w:rsidRPr="00CE37CC">
              <w:rPr>
                <w:rFonts w:ascii="Arial" w:hAnsi="Arial" w:cs="Arial"/>
                <w:b/>
                <w:bCs/>
                <w:sz w:val="16"/>
                <w:szCs w:val="16"/>
              </w:rPr>
              <w:t xml:space="preserve">Improving Cancer Outcomes - eliminating cervical cancer in Australia </w:t>
            </w:r>
            <w:r w:rsidRPr="00CE37CC">
              <w:rPr>
                <w:rFonts w:ascii="Arial" w:hAnsi="Arial" w:cs="Arial"/>
                <w:b/>
                <w:bCs/>
                <w:sz w:val="16"/>
                <w:szCs w:val="16"/>
                <w:vertAlign w:val="superscript"/>
              </w:rPr>
              <w:t>(e)</w:t>
            </w:r>
          </w:p>
        </w:tc>
      </w:tr>
      <w:tr w:rsidR="00CE37CC" w:rsidRPr="00CE37CC" w14:paraId="39C0F971"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786169D4" w14:textId="351A4B48"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 xml:space="preserve">Department of Health </w:t>
            </w:r>
            <w:r>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4C25EE57"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635510D" w14:textId="77777777" w:rsidR="00CE37CC" w:rsidRPr="00CE37CC" w:rsidRDefault="00CE37CC" w:rsidP="00CE37CC">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26734A93" w14:textId="77777777" w:rsidR="00CE37CC" w:rsidRPr="00CE37CC" w:rsidRDefault="00CE37CC" w:rsidP="00CE37C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0009DA1"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22ABF41E"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61974308"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B2E3606"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76DB5313"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570F0A5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70DABC2"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62833C1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5FA5400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6E3CE690"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2F383F8" w14:textId="77777777" w:rsidR="00CE37CC" w:rsidRPr="00CE37CC" w:rsidRDefault="00CE37CC" w:rsidP="00CE37CC">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531A7073"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1.9</w:t>
            </w:r>
          </w:p>
        </w:tc>
        <w:tc>
          <w:tcPr>
            <w:tcW w:w="940" w:type="dxa"/>
            <w:tcBorders>
              <w:top w:val="nil"/>
              <w:left w:val="nil"/>
              <w:bottom w:val="nil"/>
              <w:right w:val="nil"/>
            </w:tcBorders>
            <w:shd w:val="clear" w:color="000000" w:fill="D9D9D9"/>
            <w:noWrap/>
            <w:vAlign w:val="bottom"/>
            <w:hideMark/>
          </w:tcPr>
          <w:p w14:paraId="3858BDD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F773486"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B26CF98"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AF6EF07"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7FE31E2E"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31660871"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325EA0B5"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7348086E"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D786B82"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7FC12454"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2F9B9D02"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7F58A2F3"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4709BD5A" w14:textId="77777777" w:rsidR="00CE37CC" w:rsidRPr="00CE37CC" w:rsidRDefault="00CE37CC" w:rsidP="00CE37CC">
            <w:pPr>
              <w:spacing w:before="0" w:after="0" w:line="240" w:lineRule="auto"/>
              <w:rPr>
                <w:rFonts w:ascii="Arial" w:hAnsi="Arial" w:cs="Arial"/>
                <w:sz w:val="16"/>
                <w:szCs w:val="16"/>
              </w:rPr>
            </w:pPr>
            <w:r w:rsidRPr="00CE37CC">
              <w:rPr>
                <w:rFonts w:ascii="Arial" w:hAnsi="Arial" w:cs="Arial"/>
                <w:sz w:val="16"/>
                <w:szCs w:val="16"/>
              </w:rPr>
              <w:t>Department of the Treasury</w:t>
            </w:r>
          </w:p>
        </w:tc>
        <w:tc>
          <w:tcPr>
            <w:tcW w:w="360" w:type="dxa"/>
            <w:tcBorders>
              <w:top w:val="nil"/>
              <w:left w:val="nil"/>
              <w:bottom w:val="nil"/>
              <w:right w:val="nil"/>
            </w:tcBorders>
            <w:shd w:val="clear" w:color="auto" w:fill="auto"/>
            <w:noWrap/>
            <w:tcMar>
              <w:left w:w="0" w:type="dxa"/>
            </w:tcMar>
            <w:vAlign w:val="bottom"/>
            <w:hideMark/>
          </w:tcPr>
          <w:p w14:paraId="5BB1FC3C" w14:textId="77777777" w:rsidR="00CE37CC" w:rsidRPr="00CE37CC" w:rsidRDefault="00CE37CC" w:rsidP="00CE37CC">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6268221"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1E5B2141" w14:textId="77777777" w:rsidR="00CE37CC" w:rsidRPr="00CE37CC" w:rsidRDefault="00CE37CC" w:rsidP="00CE37CC">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917785B" w14:textId="77777777" w:rsidR="00CE37CC" w:rsidRPr="00CE37CC" w:rsidRDefault="00CE37CC" w:rsidP="00CE37CC">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04710850" w14:textId="77777777" w:rsidR="00CE37CC" w:rsidRPr="00CE37CC" w:rsidRDefault="00CE37CC" w:rsidP="00CE37CC">
            <w:pPr>
              <w:spacing w:before="0" w:after="0" w:line="240" w:lineRule="auto"/>
              <w:jc w:val="right"/>
              <w:rPr>
                <w:rFonts w:ascii="Times New Roman" w:hAnsi="Times New Roman"/>
                <w:sz w:val="20"/>
              </w:rPr>
            </w:pPr>
          </w:p>
        </w:tc>
      </w:tr>
      <w:tr w:rsidR="00CE37CC" w:rsidRPr="00CE37CC" w14:paraId="0C306DF3" w14:textId="77777777" w:rsidTr="006F4FF0">
        <w:trPr>
          <w:trHeight w:val="28"/>
          <w:jc w:val="center"/>
        </w:trPr>
        <w:tc>
          <w:tcPr>
            <w:tcW w:w="3580" w:type="dxa"/>
            <w:tcBorders>
              <w:top w:val="nil"/>
              <w:left w:val="nil"/>
              <w:bottom w:val="nil"/>
              <w:right w:val="nil"/>
            </w:tcBorders>
            <w:shd w:val="clear" w:color="auto" w:fill="auto"/>
            <w:noWrap/>
            <w:vAlign w:val="bottom"/>
            <w:hideMark/>
          </w:tcPr>
          <w:p w14:paraId="067045D5" w14:textId="77777777" w:rsidR="00CE37CC" w:rsidRPr="00CE37CC" w:rsidRDefault="00CE37CC" w:rsidP="00CE37CC">
            <w:pPr>
              <w:spacing w:before="0" w:after="0" w:line="240" w:lineRule="auto"/>
              <w:ind w:firstLineChars="100" w:firstLine="160"/>
              <w:rPr>
                <w:rFonts w:ascii="Arial" w:hAnsi="Arial" w:cs="Arial"/>
                <w:sz w:val="16"/>
                <w:szCs w:val="16"/>
              </w:rPr>
            </w:pPr>
            <w:r w:rsidRPr="00CE37CC">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1C33B21B" w14:textId="77777777" w:rsidR="00CE37CC" w:rsidRPr="00CE37CC" w:rsidRDefault="00CE37CC" w:rsidP="00CE37C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644725B"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0AE3B78C"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D0528F6"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2A013A90" w14:textId="77777777" w:rsidR="00CE37CC" w:rsidRPr="00CE37CC" w:rsidRDefault="00CE37CC" w:rsidP="00CE37CC">
            <w:pPr>
              <w:spacing w:before="0" w:after="0" w:line="240" w:lineRule="auto"/>
              <w:jc w:val="right"/>
              <w:rPr>
                <w:rFonts w:ascii="Arial" w:hAnsi="Arial" w:cs="Arial"/>
                <w:sz w:val="16"/>
                <w:szCs w:val="16"/>
              </w:rPr>
            </w:pPr>
            <w:r w:rsidRPr="00CE37CC">
              <w:rPr>
                <w:rFonts w:ascii="Arial" w:hAnsi="Arial" w:cs="Arial"/>
                <w:sz w:val="16"/>
                <w:szCs w:val="16"/>
              </w:rPr>
              <w:t xml:space="preserve">- </w:t>
            </w:r>
          </w:p>
        </w:tc>
      </w:tr>
      <w:tr w:rsidR="00CE37CC" w:rsidRPr="00CE37CC" w14:paraId="6415954A" w14:textId="77777777" w:rsidTr="006F4FF0">
        <w:trPr>
          <w:trHeight w:val="20"/>
          <w:jc w:val="center"/>
        </w:trPr>
        <w:tc>
          <w:tcPr>
            <w:tcW w:w="3580" w:type="dxa"/>
            <w:tcBorders>
              <w:top w:val="nil"/>
              <w:left w:val="nil"/>
              <w:bottom w:val="nil"/>
              <w:right w:val="nil"/>
            </w:tcBorders>
            <w:shd w:val="clear" w:color="auto" w:fill="auto"/>
            <w:noWrap/>
            <w:vAlign w:val="bottom"/>
            <w:hideMark/>
          </w:tcPr>
          <w:p w14:paraId="38F6A944" w14:textId="77777777" w:rsidR="00CE37CC" w:rsidRPr="00CE37CC" w:rsidRDefault="00CE37CC" w:rsidP="00CE37CC">
            <w:pPr>
              <w:spacing w:before="0" w:after="0" w:line="240" w:lineRule="auto"/>
              <w:rPr>
                <w:rFonts w:ascii="Arial" w:hAnsi="Arial" w:cs="Arial"/>
                <w:b/>
                <w:bCs/>
                <w:sz w:val="16"/>
                <w:szCs w:val="16"/>
              </w:rPr>
            </w:pPr>
            <w:r w:rsidRPr="00CE37CC">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69C87310" w14:textId="77777777" w:rsidR="00CE37CC" w:rsidRPr="00CE37CC" w:rsidRDefault="00CE37CC" w:rsidP="00CE37CC">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49F31317"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0D3030E0"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0CCFBAD9"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183FD686" w14:textId="77777777" w:rsidR="00CE37CC" w:rsidRPr="00CE37CC" w:rsidRDefault="00CE37CC" w:rsidP="00CE37CC">
            <w:pPr>
              <w:spacing w:before="0" w:after="0" w:line="240" w:lineRule="auto"/>
              <w:jc w:val="right"/>
              <w:rPr>
                <w:rFonts w:ascii="Arial" w:hAnsi="Arial" w:cs="Arial"/>
                <w:b/>
                <w:bCs/>
                <w:sz w:val="16"/>
                <w:szCs w:val="16"/>
              </w:rPr>
            </w:pPr>
            <w:r w:rsidRPr="00CE37CC">
              <w:rPr>
                <w:rFonts w:ascii="Arial" w:hAnsi="Arial" w:cs="Arial"/>
                <w:b/>
                <w:bCs/>
                <w:sz w:val="16"/>
                <w:szCs w:val="16"/>
              </w:rPr>
              <w:t xml:space="preserve">- </w:t>
            </w:r>
          </w:p>
        </w:tc>
      </w:tr>
    </w:tbl>
    <w:p w14:paraId="6AF990EC" w14:textId="7267A092" w:rsidR="00CC4401" w:rsidRDefault="00CC4401" w:rsidP="00992F2E">
      <w:pPr>
        <w:spacing w:after="120"/>
        <w:rPr>
          <w:rFonts w:ascii="Arial" w:hAnsi="Arial" w:cs="Arial"/>
          <w:b/>
          <w:sz w:val="20"/>
        </w:rPr>
      </w:pPr>
    </w:p>
    <w:p w14:paraId="0C87F5EE" w14:textId="77777777" w:rsidR="006F4FF0" w:rsidRDefault="006F4FF0" w:rsidP="00992F2E">
      <w:pPr>
        <w:spacing w:after="120"/>
        <w:rPr>
          <w:rFonts w:ascii="Arial" w:hAnsi="Arial" w:cs="Arial"/>
          <w:b/>
          <w:sz w:val="20"/>
        </w:rPr>
      </w:pPr>
    </w:p>
    <w:p w14:paraId="40C85B66" w14:textId="1AFDE7E3" w:rsidR="00445161" w:rsidRPr="00445161" w:rsidRDefault="00445161" w:rsidP="00D36C41">
      <w:pPr>
        <w:spacing w:after="20"/>
      </w:pPr>
      <w:r w:rsidRPr="007F0B7E">
        <w:rPr>
          <w:rFonts w:ascii="Arial" w:hAnsi="Arial" w:cs="Arial"/>
          <w:b/>
          <w:sz w:val="20"/>
        </w:rPr>
        <w:t>Table 1.2: Department of Health and Aged Care measures since the 2023–24 Budget</w:t>
      </w:r>
      <w:r>
        <w:rPr>
          <w:rFonts w:ascii="Arial" w:hAnsi="Arial" w:cs="Arial"/>
          <w:b/>
          <w:sz w:val="20"/>
        </w:rPr>
        <w:t xml:space="preserve"> (continued)</w:t>
      </w:r>
    </w:p>
    <w:tbl>
      <w:tblPr>
        <w:tblW w:w="8000" w:type="dxa"/>
        <w:jc w:val="center"/>
        <w:tblLayout w:type="fixed"/>
        <w:tblLook w:val="04A0" w:firstRow="1" w:lastRow="0" w:firstColumn="1" w:lastColumn="0" w:noHBand="0" w:noVBand="1"/>
      </w:tblPr>
      <w:tblGrid>
        <w:gridCol w:w="3580"/>
        <w:gridCol w:w="360"/>
        <w:gridCol w:w="940"/>
        <w:gridCol w:w="1060"/>
        <w:gridCol w:w="1020"/>
        <w:gridCol w:w="1040"/>
      </w:tblGrid>
      <w:tr w:rsidR="00445161" w:rsidRPr="00445161" w14:paraId="1F124854" w14:textId="77777777" w:rsidTr="00043155">
        <w:trPr>
          <w:trHeight w:val="397"/>
          <w:jc w:val="center"/>
        </w:trPr>
        <w:tc>
          <w:tcPr>
            <w:tcW w:w="3940" w:type="dxa"/>
            <w:gridSpan w:val="2"/>
            <w:tcBorders>
              <w:top w:val="single" w:sz="4" w:space="0" w:color="000000"/>
              <w:left w:val="nil"/>
              <w:bottom w:val="nil"/>
              <w:right w:val="nil"/>
            </w:tcBorders>
            <w:shd w:val="clear" w:color="auto" w:fill="auto"/>
            <w:hideMark/>
          </w:tcPr>
          <w:p w14:paraId="6927267E" w14:textId="77777777" w:rsidR="00445161" w:rsidRPr="00445161" w:rsidRDefault="00445161" w:rsidP="00043155">
            <w:pPr>
              <w:spacing w:before="24" w:after="0" w:line="240" w:lineRule="auto"/>
              <w:jc w:val="right"/>
              <w:rPr>
                <w:rFonts w:ascii="Arial" w:hAnsi="Arial" w:cs="Arial"/>
                <w:b/>
                <w:bCs/>
                <w:sz w:val="16"/>
                <w:szCs w:val="16"/>
              </w:rPr>
            </w:pPr>
            <w:r w:rsidRPr="00445161">
              <w:rPr>
                <w:rFonts w:ascii="Arial" w:hAnsi="Arial" w:cs="Arial"/>
                <w:b/>
                <w:bCs/>
                <w:sz w:val="16"/>
                <w:szCs w:val="16"/>
              </w:rPr>
              <w:t xml:space="preserve">Outcome/ </w:t>
            </w:r>
            <w:r w:rsidRPr="00445161">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vAlign w:val="bottom"/>
            <w:hideMark/>
          </w:tcPr>
          <w:p w14:paraId="1DFC8E90" w14:textId="7C8E1A4C" w:rsidR="00445161" w:rsidRPr="00445161" w:rsidRDefault="00043155" w:rsidP="00043155">
            <w:pPr>
              <w:spacing w:before="24" w:after="0" w:line="240" w:lineRule="auto"/>
              <w:jc w:val="right"/>
              <w:rPr>
                <w:rFonts w:ascii="Arial" w:hAnsi="Arial" w:cs="Arial"/>
                <w:b/>
                <w:bCs/>
                <w:sz w:val="16"/>
                <w:szCs w:val="16"/>
              </w:rPr>
            </w:pPr>
            <w:r>
              <w:rPr>
                <w:rFonts w:ascii="Arial" w:hAnsi="Arial" w:cs="Arial"/>
                <w:b/>
                <w:bCs/>
                <w:sz w:val="16"/>
                <w:szCs w:val="16"/>
              </w:rPr>
              <w:t>2023–</w:t>
            </w:r>
            <w:r w:rsidR="00445161" w:rsidRPr="00445161">
              <w:rPr>
                <w:rFonts w:ascii="Arial" w:hAnsi="Arial" w:cs="Arial"/>
                <w:b/>
                <w:bCs/>
                <w:sz w:val="16"/>
                <w:szCs w:val="16"/>
              </w:rPr>
              <w:t>24</w:t>
            </w:r>
            <w:r w:rsidR="00445161" w:rsidRPr="00445161">
              <w:rPr>
                <w:rFonts w:ascii="Arial" w:hAnsi="Arial" w:cs="Arial"/>
                <w:b/>
                <w:bCs/>
                <w:sz w:val="16"/>
                <w:szCs w:val="16"/>
              </w:rPr>
              <w:br/>
            </w:r>
            <w:r w:rsidR="00445161" w:rsidRPr="00445161">
              <w:rPr>
                <w:rFonts w:ascii="Arial" w:hAnsi="Arial" w:cs="Arial"/>
                <w:sz w:val="16"/>
                <w:szCs w:val="16"/>
              </w:rPr>
              <w:t>$'000</w:t>
            </w:r>
          </w:p>
        </w:tc>
        <w:tc>
          <w:tcPr>
            <w:tcW w:w="1060" w:type="dxa"/>
            <w:tcBorders>
              <w:top w:val="single" w:sz="4" w:space="0" w:color="000000"/>
              <w:left w:val="nil"/>
              <w:bottom w:val="single" w:sz="4" w:space="0" w:color="000000"/>
              <w:right w:val="nil"/>
            </w:tcBorders>
            <w:shd w:val="clear" w:color="auto" w:fill="auto"/>
            <w:vAlign w:val="bottom"/>
            <w:hideMark/>
          </w:tcPr>
          <w:p w14:paraId="7CF5E0A2" w14:textId="1DCFB3EC" w:rsidR="00445161" w:rsidRPr="00445161" w:rsidRDefault="00043155" w:rsidP="00043155">
            <w:pPr>
              <w:spacing w:before="24" w:after="0" w:line="240" w:lineRule="auto"/>
              <w:jc w:val="right"/>
              <w:rPr>
                <w:rFonts w:ascii="Arial" w:hAnsi="Arial" w:cs="Arial"/>
                <w:b/>
                <w:bCs/>
                <w:sz w:val="16"/>
                <w:szCs w:val="16"/>
              </w:rPr>
            </w:pPr>
            <w:r>
              <w:rPr>
                <w:rFonts w:ascii="Arial" w:hAnsi="Arial" w:cs="Arial"/>
                <w:b/>
                <w:bCs/>
                <w:sz w:val="16"/>
                <w:szCs w:val="16"/>
              </w:rPr>
              <w:t>2024–</w:t>
            </w:r>
            <w:r w:rsidR="00445161" w:rsidRPr="00445161">
              <w:rPr>
                <w:rFonts w:ascii="Arial" w:hAnsi="Arial" w:cs="Arial"/>
                <w:b/>
                <w:bCs/>
                <w:sz w:val="16"/>
                <w:szCs w:val="16"/>
              </w:rPr>
              <w:t>25</w:t>
            </w:r>
            <w:r w:rsidR="00445161" w:rsidRPr="00445161">
              <w:rPr>
                <w:rFonts w:ascii="Arial" w:hAnsi="Arial" w:cs="Arial"/>
                <w:b/>
                <w:bCs/>
                <w:sz w:val="16"/>
                <w:szCs w:val="16"/>
              </w:rPr>
              <w:br/>
            </w:r>
            <w:r w:rsidR="00445161" w:rsidRPr="00445161">
              <w:rPr>
                <w:rFonts w:ascii="Arial" w:hAnsi="Arial"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7FB79B23" w14:textId="1AC0BD8C" w:rsidR="00445161" w:rsidRPr="00445161" w:rsidRDefault="00445161" w:rsidP="00043155">
            <w:pPr>
              <w:spacing w:before="24" w:after="0" w:line="240" w:lineRule="auto"/>
              <w:jc w:val="right"/>
              <w:rPr>
                <w:rFonts w:ascii="Arial" w:hAnsi="Arial" w:cs="Arial"/>
                <w:b/>
                <w:bCs/>
                <w:sz w:val="16"/>
                <w:szCs w:val="16"/>
              </w:rPr>
            </w:pPr>
            <w:r w:rsidRPr="00445161">
              <w:rPr>
                <w:rFonts w:ascii="Arial" w:hAnsi="Arial" w:cs="Arial"/>
                <w:b/>
                <w:bCs/>
                <w:sz w:val="16"/>
                <w:szCs w:val="16"/>
              </w:rPr>
              <w:t>2025</w:t>
            </w:r>
            <w:r w:rsidR="00043155">
              <w:rPr>
                <w:rFonts w:ascii="Arial" w:hAnsi="Arial" w:cs="Arial"/>
                <w:b/>
                <w:bCs/>
                <w:sz w:val="16"/>
                <w:szCs w:val="16"/>
              </w:rPr>
              <w:t>–</w:t>
            </w:r>
            <w:r w:rsidRPr="00445161">
              <w:rPr>
                <w:rFonts w:ascii="Arial" w:hAnsi="Arial" w:cs="Arial"/>
                <w:b/>
                <w:bCs/>
                <w:sz w:val="16"/>
                <w:szCs w:val="16"/>
              </w:rPr>
              <w:t>26</w:t>
            </w:r>
            <w:r w:rsidRPr="00445161">
              <w:rPr>
                <w:rFonts w:ascii="Arial" w:hAnsi="Arial" w:cs="Arial"/>
                <w:b/>
                <w:bCs/>
                <w:sz w:val="16"/>
                <w:szCs w:val="16"/>
              </w:rPr>
              <w:br/>
            </w:r>
            <w:r w:rsidRPr="00445161">
              <w:rPr>
                <w:rFonts w:ascii="Arial" w:hAnsi="Arial" w:cs="Arial"/>
                <w:sz w:val="16"/>
                <w:szCs w:val="16"/>
              </w:rPr>
              <w:t>$'000</w:t>
            </w:r>
          </w:p>
        </w:tc>
        <w:tc>
          <w:tcPr>
            <w:tcW w:w="1040" w:type="dxa"/>
            <w:tcBorders>
              <w:top w:val="single" w:sz="4" w:space="0" w:color="000000"/>
              <w:left w:val="nil"/>
              <w:bottom w:val="single" w:sz="4" w:space="0" w:color="000000"/>
              <w:right w:val="nil"/>
            </w:tcBorders>
            <w:shd w:val="clear" w:color="auto" w:fill="auto"/>
            <w:vAlign w:val="bottom"/>
            <w:hideMark/>
          </w:tcPr>
          <w:p w14:paraId="41C78A52" w14:textId="1DD36789" w:rsidR="00445161" w:rsidRPr="00445161" w:rsidRDefault="00043155" w:rsidP="00043155">
            <w:pPr>
              <w:spacing w:before="24" w:after="0" w:line="240" w:lineRule="auto"/>
              <w:jc w:val="right"/>
              <w:rPr>
                <w:rFonts w:ascii="Arial" w:hAnsi="Arial" w:cs="Arial"/>
                <w:b/>
                <w:bCs/>
                <w:sz w:val="16"/>
                <w:szCs w:val="16"/>
              </w:rPr>
            </w:pPr>
            <w:r>
              <w:rPr>
                <w:rFonts w:ascii="Arial" w:hAnsi="Arial" w:cs="Arial"/>
                <w:b/>
                <w:bCs/>
                <w:sz w:val="16"/>
                <w:szCs w:val="16"/>
              </w:rPr>
              <w:t>2026–</w:t>
            </w:r>
            <w:r w:rsidR="00445161" w:rsidRPr="00445161">
              <w:rPr>
                <w:rFonts w:ascii="Arial" w:hAnsi="Arial" w:cs="Arial"/>
                <w:b/>
                <w:bCs/>
                <w:sz w:val="16"/>
                <w:szCs w:val="16"/>
              </w:rPr>
              <w:t>27</w:t>
            </w:r>
            <w:r w:rsidR="00445161" w:rsidRPr="00445161">
              <w:rPr>
                <w:rFonts w:ascii="Arial" w:hAnsi="Arial" w:cs="Arial"/>
                <w:b/>
                <w:bCs/>
                <w:sz w:val="16"/>
                <w:szCs w:val="16"/>
              </w:rPr>
              <w:br/>
            </w:r>
            <w:r w:rsidR="00445161" w:rsidRPr="00445161">
              <w:rPr>
                <w:rFonts w:ascii="Arial" w:hAnsi="Arial" w:cs="Arial"/>
                <w:sz w:val="16"/>
                <w:szCs w:val="16"/>
              </w:rPr>
              <w:t>$'000</w:t>
            </w:r>
          </w:p>
        </w:tc>
      </w:tr>
      <w:tr w:rsidR="00445161" w:rsidRPr="00445161" w14:paraId="529AF959" w14:textId="77777777" w:rsidTr="00992F2E">
        <w:trPr>
          <w:trHeight w:val="227"/>
          <w:jc w:val="center"/>
        </w:trPr>
        <w:tc>
          <w:tcPr>
            <w:tcW w:w="8000" w:type="dxa"/>
            <w:gridSpan w:val="6"/>
            <w:tcBorders>
              <w:top w:val="nil"/>
              <w:left w:val="nil"/>
              <w:bottom w:val="nil"/>
              <w:right w:val="nil"/>
            </w:tcBorders>
            <w:shd w:val="clear" w:color="auto" w:fill="auto"/>
            <w:vAlign w:val="bottom"/>
            <w:hideMark/>
          </w:tcPr>
          <w:p w14:paraId="1B6D7E82" w14:textId="77777777" w:rsidR="00445161" w:rsidRPr="00445161" w:rsidRDefault="00445161" w:rsidP="00992F2E">
            <w:pPr>
              <w:spacing w:before="37" w:after="0" w:line="240" w:lineRule="auto"/>
              <w:rPr>
                <w:rFonts w:ascii="Arial" w:hAnsi="Arial" w:cs="Arial"/>
                <w:b/>
                <w:bCs/>
                <w:sz w:val="16"/>
                <w:szCs w:val="16"/>
              </w:rPr>
            </w:pPr>
            <w:r w:rsidRPr="00445161">
              <w:rPr>
                <w:rFonts w:ascii="Arial" w:hAnsi="Arial" w:cs="Arial"/>
                <w:b/>
                <w:bCs/>
                <w:sz w:val="16"/>
                <w:szCs w:val="16"/>
              </w:rPr>
              <w:t xml:space="preserve">Mental Health </w:t>
            </w:r>
          </w:p>
        </w:tc>
      </w:tr>
      <w:tr w:rsidR="00445161" w:rsidRPr="00445161" w14:paraId="3C3C174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1E5CA70C" w14:textId="41863328" w:rsidR="00445161" w:rsidRPr="00445161" w:rsidRDefault="00445161" w:rsidP="00043155">
            <w:pPr>
              <w:spacing w:before="0" w:after="0" w:line="240" w:lineRule="auto"/>
              <w:rPr>
                <w:rFonts w:ascii="Arial" w:hAnsi="Arial" w:cs="Arial"/>
                <w:sz w:val="16"/>
                <w:szCs w:val="16"/>
              </w:rPr>
            </w:pPr>
            <w:r w:rsidRPr="00445161">
              <w:rPr>
                <w:rFonts w:ascii="Arial" w:hAnsi="Arial" w:cs="Arial"/>
                <w:sz w:val="16"/>
                <w:szCs w:val="16"/>
              </w:rPr>
              <w:t>Department of Health</w:t>
            </w:r>
            <w:r w:rsidR="00043155">
              <w:rPr>
                <w:rFonts w:ascii="Arial" w:hAnsi="Arial" w:cs="Arial"/>
                <w:sz w:val="16"/>
                <w:szCs w:val="16"/>
              </w:rPr>
              <w:t xml:space="preserve"> and Aged Care</w:t>
            </w:r>
          </w:p>
        </w:tc>
        <w:tc>
          <w:tcPr>
            <w:tcW w:w="360" w:type="dxa"/>
            <w:tcBorders>
              <w:top w:val="nil"/>
              <w:left w:val="nil"/>
              <w:bottom w:val="nil"/>
              <w:right w:val="nil"/>
            </w:tcBorders>
            <w:shd w:val="clear" w:color="auto" w:fill="auto"/>
            <w:noWrap/>
            <w:vAlign w:val="bottom"/>
            <w:hideMark/>
          </w:tcPr>
          <w:p w14:paraId="6381376C"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F380FAF" w14:textId="77777777" w:rsidR="00445161" w:rsidRPr="00445161" w:rsidRDefault="0044516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54BEAA87" w14:textId="77777777" w:rsidR="00445161" w:rsidRPr="00445161" w:rsidRDefault="0044516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1A0E3EC"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04549746"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7FD86BBF"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6856814B"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59AB0D69"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1.2</w:t>
            </w:r>
          </w:p>
        </w:tc>
        <w:tc>
          <w:tcPr>
            <w:tcW w:w="940" w:type="dxa"/>
            <w:tcBorders>
              <w:top w:val="nil"/>
              <w:left w:val="nil"/>
              <w:bottom w:val="nil"/>
              <w:right w:val="nil"/>
            </w:tcBorders>
            <w:shd w:val="clear" w:color="000000" w:fill="D9D9D9"/>
            <w:noWrap/>
            <w:vAlign w:val="bottom"/>
            <w:hideMark/>
          </w:tcPr>
          <w:p w14:paraId="122E55F4"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600 </w:t>
            </w:r>
          </w:p>
        </w:tc>
        <w:tc>
          <w:tcPr>
            <w:tcW w:w="1060" w:type="dxa"/>
            <w:tcBorders>
              <w:top w:val="nil"/>
              <w:left w:val="nil"/>
              <w:bottom w:val="nil"/>
              <w:right w:val="nil"/>
            </w:tcBorders>
            <w:shd w:val="clear" w:color="auto" w:fill="auto"/>
            <w:noWrap/>
            <w:vAlign w:val="bottom"/>
            <w:hideMark/>
          </w:tcPr>
          <w:p w14:paraId="16A43F3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31,729 </w:t>
            </w:r>
          </w:p>
        </w:tc>
        <w:tc>
          <w:tcPr>
            <w:tcW w:w="1020" w:type="dxa"/>
            <w:tcBorders>
              <w:top w:val="nil"/>
              <w:left w:val="nil"/>
              <w:bottom w:val="nil"/>
              <w:right w:val="nil"/>
            </w:tcBorders>
            <w:shd w:val="clear" w:color="auto" w:fill="auto"/>
            <w:noWrap/>
            <w:vAlign w:val="bottom"/>
            <w:hideMark/>
          </w:tcPr>
          <w:p w14:paraId="36191491"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25,942 </w:t>
            </w:r>
          </w:p>
        </w:tc>
        <w:tc>
          <w:tcPr>
            <w:tcW w:w="1040" w:type="dxa"/>
            <w:tcBorders>
              <w:top w:val="nil"/>
              <w:left w:val="nil"/>
              <w:bottom w:val="nil"/>
              <w:right w:val="nil"/>
            </w:tcBorders>
            <w:shd w:val="clear" w:color="auto" w:fill="auto"/>
            <w:noWrap/>
            <w:vAlign w:val="bottom"/>
            <w:hideMark/>
          </w:tcPr>
          <w:p w14:paraId="7B36C96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40,614 </w:t>
            </w:r>
          </w:p>
        </w:tc>
      </w:tr>
      <w:tr w:rsidR="00445161" w:rsidRPr="00445161" w14:paraId="03353F30"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CAA729A"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21FB4D4C"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1</w:t>
            </w:r>
          </w:p>
        </w:tc>
        <w:tc>
          <w:tcPr>
            <w:tcW w:w="940" w:type="dxa"/>
            <w:tcBorders>
              <w:top w:val="nil"/>
              <w:left w:val="nil"/>
              <w:bottom w:val="nil"/>
              <w:right w:val="nil"/>
            </w:tcBorders>
            <w:shd w:val="clear" w:color="000000" w:fill="D9D9D9"/>
            <w:noWrap/>
            <w:vAlign w:val="bottom"/>
            <w:hideMark/>
          </w:tcPr>
          <w:p w14:paraId="40D11DCC"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170F60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1,083 </w:t>
            </w:r>
          </w:p>
        </w:tc>
        <w:tc>
          <w:tcPr>
            <w:tcW w:w="1020" w:type="dxa"/>
            <w:tcBorders>
              <w:top w:val="nil"/>
              <w:left w:val="nil"/>
              <w:bottom w:val="nil"/>
              <w:right w:val="nil"/>
            </w:tcBorders>
            <w:shd w:val="clear" w:color="auto" w:fill="auto"/>
            <w:noWrap/>
            <w:vAlign w:val="bottom"/>
            <w:hideMark/>
          </w:tcPr>
          <w:p w14:paraId="559A1E23"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(3,333)</w:t>
            </w:r>
          </w:p>
        </w:tc>
        <w:tc>
          <w:tcPr>
            <w:tcW w:w="1040" w:type="dxa"/>
            <w:tcBorders>
              <w:top w:val="nil"/>
              <w:left w:val="nil"/>
              <w:bottom w:val="nil"/>
              <w:right w:val="nil"/>
            </w:tcBorders>
            <w:shd w:val="clear" w:color="auto" w:fill="auto"/>
            <w:noWrap/>
            <w:vAlign w:val="bottom"/>
            <w:hideMark/>
          </w:tcPr>
          <w:p w14:paraId="14831124"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(4,435)</w:t>
            </w:r>
          </w:p>
        </w:tc>
      </w:tr>
      <w:tr w:rsidR="00445161" w:rsidRPr="00445161" w14:paraId="19738FF3"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CC5D541" w14:textId="77777777" w:rsidR="00445161" w:rsidRPr="00445161" w:rsidRDefault="00445161" w:rsidP="001F07D1">
            <w:pPr>
              <w:spacing w:before="0" w:after="0" w:line="240" w:lineRule="auto"/>
              <w:rPr>
                <w:rFonts w:ascii="Arial" w:hAnsi="Arial" w:cs="Arial"/>
                <w:b/>
                <w:bCs/>
                <w:sz w:val="16"/>
                <w:szCs w:val="16"/>
              </w:rPr>
            </w:pPr>
            <w:r w:rsidRPr="0044516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3C92D6AA" w14:textId="77777777" w:rsidR="00445161" w:rsidRPr="00445161" w:rsidRDefault="0044516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6841FD24"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600 </w:t>
            </w:r>
          </w:p>
        </w:tc>
        <w:tc>
          <w:tcPr>
            <w:tcW w:w="1060" w:type="dxa"/>
            <w:tcBorders>
              <w:top w:val="single" w:sz="4" w:space="0" w:color="000000"/>
              <w:left w:val="nil"/>
              <w:bottom w:val="single" w:sz="4" w:space="0" w:color="000000"/>
              <w:right w:val="nil"/>
            </w:tcBorders>
            <w:shd w:val="clear" w:color="auto" w:fill="auto"/>
            <w:noWrap/>
            <w:vAlign w:val="bottom"/>
            <w:hideMark/>
          </w:tcPr>
          <w:p w14:paraId="46992F8F"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32,812 </w:t>
            </w:r>
          </w:p>
        </w:tc>
        <w:tc>
          <w:tcPr>
            <w:tcW w:w="1020" w:type="dxa"/>
            <w:tcBorders>
              <w:top w:val="single" w:sz="4" w:space="0" w:color="000000"/>
              <w:left w:val="nil"/>
              <w:bottom w:val="single" w:sz="4" w:space="0" w:color="000000"/>
              <w:right w:val="nil"/>
            </w:tcBorders>
            <w:shd w:val="clear" w:color="auto" w:fill="auto"/>
            <w:noWrap/>
            <w:vAlign w:val="bottom"/>
            <w:hideMark/>
          </w:tcPr>
          <w:p w14:paraId="7DC266D9"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22,609 </w:t>
            </w:r>
          </w:p>
        </w:tc>
        <w:tc>
          <w:tcPr>
            <w:tcW w:w="1040" w:type="dxa"/>
            <w:tcBorders>
              <w:top w:val="single" w:sz="4" w:space="0" w:color="000000"/>
              <w:left w:val="nil"/>
              <w:bottom w:val="single" w:sz="4" w:space="0" w:color="000000"/>
              <w:right w:val="nil"/>
            </w:tcBorders>
            <w:shd w:val="clear" w:color="auto" w:fill="auto"/>
            <w:noWrap/>
            <w:vAlign w:val="bottom"/>
            <w:hideMark/>
          </w:tcPr>
          <w:p w14:paraId="25F0943C"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36,179 </w:t>
            </w:r>
          </w:p>
        </w:tc>
      </w:tr>
      <w:tr w:rsidR="00445161" w:rsidRPr="00445161" w14:paraId="46358FE9" w14:textId="77777777" w:rsidTr="00992F2E">
        <w:trPr>
          <w:trHeight w:val="227"/>
          <w:jc w:val="center"/>
        </w:trPr>
        <w:tc>
          <w:tcPr>
            <w:tcW w:w="8000" w:type="dxa"/>
            <w:gridSpan w:val="6"/>
            <w:tcBorders>
              <w:top w:val="nil"/>
              <w:left w:val="nil"/>
              <w:bottom w:val="nil"/>
              <w:right w:val="nil"/>
            </w:tcBorders>
            <w:shd w:val="clear" w:color="auto" w:fill="auto"/>
            <w:vAlign w:val="bottom"/>
            <w:hideMark/>
          </w:tcPr>
          <w:p w14:paraId="01662211" w14:textId="77777777" w:rsidR="00445161" w:rsidRPr="00445161" w:rsidRDefault="00445161" w:rsidP="00992F2E">
            <w:pPr>
              <w:spacing w:before="37" w:after="0" w:line="240" w:lineRule="auto"/>
              <w:rPr>
                <w:rFonts w:ascii="Arial" w:hAnsi="Arial" w:cs="Arial"/>
                <w:b/>
                <w:bCs/>
                <w:sz w:val="16"/>
                <w:szCs w:val="16"/>
              </w:rPr>
            </w:pPr>
            <w:r w:rsidRPr="00445161">
              <w:rPr>
                <w:rFonts w:ascii="Arial" w:hAnsi="Arial" w:cs="Arial"/>
                <w:b/>
                <w:bCs/>
                <w:sz w:val="16"/>
                <w:szCs w:val="16"/>
              </w:rPr>
              <w:t>National Immunisation Program</w:t>
            </w:r>
          </w:p>
        </w:tc>
      </w:tr>
      <w:tr w:rsidR="00445161" w:rsidRPr="00445161" w14:paraId="63B4CDFD"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0FDEBE28" w14:textId="402DA10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 xml:space="preserve">Department of Health </w:t>
            </w:r>
            <w:r w:rsidR="00043155">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6F31C1AC"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2DFC5B7" w14:textId="77777777" w:rsidR="00445161" w:rsidRPr="00445161" w:rsidRDefault="0044516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DB0DC6A" w14:textId="77777777" w:rsidR="00445161" w:rsidRPr="00445161" w:rsidRDefault="0044516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504ADAB"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F8746D2"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6E215E3"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A4F4BBD"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3F19498F"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1.9</w:t>
            </w:r>
          </w:p>
        </w:tc>
        <w:tc>
          <w:tcPr>
            <w:tcW w:w="940" w:type="dxa"/>
            <w:tcBorders>
              <w:top w:val="nil"/>
              <w:left w:val="nil"/>
              <w:bottom w:val="nil"/>
              <w:right w:val="nil"/>
            </w:tcBorders>
            <w:shd w:val="clear" w:color="000000" w:fill="D9D9D9"/>
            <w:noWrap/>
            <w:vAlign w:val="bottom"/>
            <w:hideMark/>
          </w:tcPr>
          <w:p w14:paraId="4827B9C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168,102 </w:t>
            </w:r>
          </w:p>
        </w:tc>
        <w:tc>
          <w:tcPr>
            <w:tcW w:w="1060" w:type="dxa"/>
            <w:tcBorders>
              <w:top w:val="nil"/>
              <w:left w:val="nil"/>
              <w:bottom w:val="nil"/>
              <w:right w:val="nil"/>
            </w:tcBorders>
            <w:shd w:val="clear" w:color="auto" w:fill="auto"/>
            <w:noWrap/>
            <w:vAlign w:val="bottom"/>
            <w:hideMark/>
          </w:tcPr>
          <w:p w14:paraId="370E13E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80,067 </w:t>
            </w:r>
          </w:p>
        </w:tc>
        <w:tc>
          <w:tcPr>
            <w:tcW w:w="1020" w:type="dxa"/>
            <w:tcBorders>
              <w:top w:val="nil"/>
              <w:left w:val="nil"/>
              <w:bottom w:val="nil"/>
              <w:right w:val="nil"/>
            </w:tcBorders>
            <w:shd w:val="clear" w:color="auto" w:fill="auto"/>
            <w:noWrap/>
            <w:vAlign w:val="bottom"/>
            <w:hideMark/>
          </w:tcPr>
          <w:p w14:paraId="321E694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61,928 </w:t>
            </w:r>
          </w:p>
        </w:tc>
        <w:tc>
          <w:tcPr>
            <w:tcW w:w="1040" w:type="dxa"/>
            <w:tcBorders>
              <w:top w:val="nil"/>
              <w:left w:val="nil"/>
              <w:bottom w:val="nil"/>
              <w:right w:val="nil"/>
            </w:tcBorders>
            <w:shd w:val="clear" w:color="auto" w:fill="auto"/>
            <w:noWrap/>
            <w:vAlign w:val="bottom"/>
            <w:hideMark/>
          </w:tcPr>
          <w:p w14:paraId="53B8780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62,970 </w:t>
            </w:r>
          </w:p>
        </w:tc>
      </w:tr>
      <w:tr w:rsidR="00445161" w:rsidRPr="00445161" w14:paraId="213F9BF6"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0A6E81C8"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Services Australia</w:t>
            </w:r>
          </w:p>
        </w:tc>
        <w:tc>
          <w:tcPr>
            <w:tcW w:w="360" w:type="dxa"/>
            <w:tcBorders>
              <w:top w:val="nil"/>
              <w:left w:val="nil"/>
              <w:bottom w:val="nil"/>
              <w:right w:val="nil"/>
            </w:tcBorders>
            <w:shd w:val="clear" w:color="auto" w:fill="auto"/>
            <w:noWrap/>
            <w:tcMar>
              <w:left w:w="0" w:type="dxa"/>
            </w:tcMar>
            <w:vAlign w:val="bottom"/>
            <w:hideMark/>
          </w:tcPr>
          <w:p w14:paraId="4C7580BD"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2D8BD8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5FEAFED0"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553E628E"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557B821"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4C4BFCBE"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04EFB45"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110A43CF"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1D82973"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1,957 </w:t>
            </w:r>
          </w:p>
        </w:tc>
        <w:tc>
          <w:tcPr>
            <w:tcW w:w="1060" w:type="dxa"/>
            <w:tcBorders>
              <w:top w:val="nil"/>
              <w:left w:val="nil"/>
              <w:bottom w:val="nil"/>
              <w:right w:val="nil"/>
            </w:tcBorders>
            <w:shd w:val="clear" w:color="auto" w:fill="auto"/>
            <w:noWrap/>
            <w:vAlign w:val="bottom"/>
            <w:hideMark/>
          </w:tcPr>
          <w:p w14:paraId="6CBB050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182 </w:t>
            </w:r>
          </w:p>
        </w:tc>
        <w:tc>
          <w:tcPr>
            <w:tcW w:w="1020" w:type="dxa"/>
            <w:tcBorders>
              <w:top w:val="nil"/>
              <w:left w:val="nil"/>
              <w:bottom w:val="nil"/>
              <w:right w:val="nil"/>
            </w:tcBorders>
            <w:shd w:val="clear" w:color="auto" w:fill="auto"/>
            <w:noWrap/>
            <w:vAlign w:val="bottom"/>
            <w:hideMark/>
          </w:tcPr>
          <w:p w14:paraId="5DBCDF18"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108 </w:t>
            </w:r>
          </w:p>
        </w:tc>
        <w:tc>
          <w:tcPr>
            <w:tcW w:w="1040" w:type="dxa"/>
            <w:tcBorders>
              <w:top w:val="nil"/>
              <w:left w:val="nil"/>
              <w:bottom w:val="nil"/>
              <w:right w:val="nil"/>
            </w:tcBorders>
            <w:shd w:val="clear" w:color="auto" w:fill="auto"/>
            <w:noWrap/>
            <w:vAlign w:val="bottom"/>
            <w:hideMark/>
          </w:tcPr>
          <w:p w14:paraId="31C777CF"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110 </w:t>
            </w:r>
          </w:p>
        </w:tc>
      </w:tr>
      <w:tr w:rsidR="00445161" w:rsidRPr="00445161" w14:paraId="1246494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1A2BD5E0"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Department of the Treasury</w:t>
            </w:r>
          </w:p>
        </w:tc>
        <w:tc>
          <w:tcPr>
            <w:tcW w:w="360" w:type="dxa"/>
            <w:tcBorders>
              <w:top w:val="nil"/>
              <w:left w:val="nil"/>
              <w:bottom w:val="nil"/>
              <w:right w:val="nil"/>
            </w:tcBorders>
            <w:shd w:val="clear" w:color="auto" w:fill="auto"/>
            <w:noWrap/>
            <w:vAlign w:val="bottom"/>
            <w:hideMark/>
          </w:tcPr>
          <w:p w14:paraId="1EB8A57A"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CB10E84"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1F86A596"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B8B37D9"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6EA36D4"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2E39A1C3"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D7699D7"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39F88D8B"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F5AEF6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EA011F3"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7,495 </w:t>
            </w:r>
          </w:p>
        </w:tc>
        <w:tc>
          <w:tcPr>
            <w:tcW w:w="1020" w:type="dxa"/>
            <w:tcBorders>
              <w:top w:val="nil"/>
              <w:left w:val="nil"/>
              <w:bottom w:val="nil"/>
              <w:right w:val="nil"/>
            </w:tcBorders>
            <w:shd w:val="clear" w:color="auto" w:fill="auto"/>
            <w:noWrap/>
            <w:vAlign w:val="bottom"/>
            <w:hideMark/>
          </w:tcPr>
          <w:p w14:paraId="4DDD599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3,529 </w:t>
            </w:r>
          </w:p>
        </w:tc>
        <w:tc>
          <w:tcPr>
            <w:tcW w:w="1040" w:type="dxa"/>
            <w:tcBorders>
              <w:top w:val="nil"/>
              <w:left w:val="nil"/>
              <w:bottom w:val="nil"/>
              <w:right w:val="nil"/>
            </w:tcBorders>
            <w:shd w:val="clear" w:color="auto" w:fill="auto"/>
            <w:noWrap/>
            <w:vAlign w:val="bottom"/>
            <w:hideMark/>
          </w:tcPr>
          <w:p w14:paraId="3FC2C62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2,712 </w:t>
            </w:r>
          </w:p>
        </w:tc>
      </w:tr>
      <w:tr w:rsidR="00445161" w:rsidRPr="00445161" w14:paraId="1A3A6A6B"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73FF8184" w14:textId="77777777" w:rsidR="00445161" w:rsidRPr="00445161" w:rsidRDefault="00445161" w:rsidP="001F07D1">
            <w:pPr>
              <w:spacing w:before="0" w:after="0" w:line="240" w:lineRule="auto"/>
              <w:rPr>
                <w:rFonts w:ascii="Arial" w:hAnsi="Arial" w:cs="Arial"/>
                <w:b/>
                <w:bCs/>
                <w:sz w:val="16"/>
                <w:szCs w:val="16"/>
              </w:rPr>
            </w:pPr>
            <w:r w:rsidRPr="0044516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2C189054" w14:textId="77777777" w:rsidR="00445161" w:rsidRPr="00445161" w:rsidRDefault="0044516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4565A53B"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170,059 </w:t>
            </w:r>
          </w:p>
        </w:tc>
        <w:tc>
          <w:tcPr>
            <w:tcW w:w="1060" w:type="dxa"/>
            <w:tcBorders>
              <w:top w:val="single" w:sz="4" w:space="0" w:color="000000"/>
              <w:left w:val="nil"/>
              <w:bottom w:val="single" w:sz="4" w:space="0" w:color="000000"/>
              <w:right w:val="nil"/>
            </w:tcBorders>
            <w:shd w:val="clear" w:color="auto" w:fill="auto"/>
            <w:noWrap/>
            <w:vAlign w:val="bottom"/>
            <w:hideMark/>
          </w:tcPr>
          <w:p w14:paraId="6780A38B"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87,744 </w:t>
            </w:r>
          </w:p>
        </w:tc>
        <w:tc>
          <w:tcPr>
            <w:tcW w:w="1020" w:type="dxa"/>
            <w:tcBorders>
              <w:top w:val="single" w:sz="4" w:space="0" w:color="000000"/>
              <w:left w:val="nil"/>
              <w:bottom w:val="single" w:sz="4" w:space="0" w:color="000000"/>
              <w:right w:val="nil"/>
            </w:tcBorders>
            <w:shd w:val="clear" w:color="auto" w:fill="auto"/>
            <w:noWrap/>
            <w:vAlign w:val="bottom"/>
            <w:hideMark/>
          </w:tcPr>
          <w:p w14:paraId="4D0F06E7"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65,565 </w:t>
            </w:r>
          </w:p>
        </w:tc>
        <w:tc>
          <w:tcPr>
            <w:tcW w:w="1040" w:type="dxa"/>
            <w:tcBorders>
              <w:top w:val="single" w:sz="4" w:space="0" w:color="000000"/>
              <w:left w:val="nil"/>
              <w:bottom w:val="single" w:sz="4" w:space="0" w:color="000000"/>
              <w:right w:val="nil"/>
            </w:tcBorders>
            <w:shd w:val="clear" w:color="auto" w:fill="auto"/>
            <w:noWrap/>
            <w:vAlign w:val="bottom"/>
            <w:hideMark/>
          </w:tcPr>
          <w:p w14:paraId="5488ABFA"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65,792 </w:t>
            </w:r>
          </w:p>
        </w:tc>
      </w:tr>
      <w:tr w:rsidR="00445161" w:rsidRPr="00445161" w14:paraId="06FC0939" w14:textId="77777777" w:rsidTr="00992F2E">
        <w:trPr>
          <w:trHeight w:val="227"/>
          <w:jc w:val="center"/>
        </w:trPr>
        <w:tc>
          <w:tcPr>
            <w:tcW w:w="8000" w:type="dxa"/>
            <w:gridSpan w:val="6"/>
            <w:tcBorders>
              <w:top w:val="nil"/>
              <w:left w:val="nil"/>
              <w:bottom w:val="nil"/>
              <w:right w:val="nil"/>
            </w:tcBorders>
            <w:shd w:val="clear" w:color="auto" w:fill="auto"/>
            <w:vAlign w:val="bottom"/>
            <w:hideMark/>
          </w:tcPr>
          <w:p w14:paraId="4E11411E" w14:textId="77777777" w:rsidR="00445161" w:rsidRPr="00445161" w:rsidRDefault="00445161" w:rsidP="00992F2E">
            <w:pPr>
              <w:spacing w:before="37" w:after="0" w:line="240" w:lineRule="auto"/>
              <w:rPr>
                <w:rFonts w:ascii="Arial" w:hAnsi="Arial" w:cs="Arial"/>
                <w:b/>
                <w:bCs/>
                <w:sz w:val="16"/>
                <w:szCs w:val="16"/>
              </w:rPr>
            </w:pPr>
            <w:r w:rsidRPr="00445161">
              <w:rPr>
                <w:rFonts w:ascii="Arial" w:hAnsi="Arial" w:cs="Arial"/>
                <w:b/>
                <w:bCs/>
                <w:sz w:val="16"/>
                <w:szCs w:val="16"/>
              </w:rPr>
              <w:t>National Strategy for the Care and Support Economy - delivering foundational initiatives</w:t>
            </w:r>
          </w:p>
        </w:tc>
      </w:tr>
      <w:tr w:rsidR="00445161" w:rsidRPr="00445161" w14:paraId="0CDC48E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0DFA83B6" w14:textId="69181D72"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Department of Health</w:t>
            </w:r>
            <w:r w:rsidR="00043155">
              <w:rPr>
                <w:rFonts w:ascii="Arial" w:hAnsi="Arial" w:cs="Arial"/>
                <w:sz w:val="16"/>
                <w:szCs w:val="16"/>
              </w:rPr>
              <w:t xml:space="preserve"> and Aged Care</w:t>
            </w:r>
          </w:p>
        </w:tc>
        <w:tc>
          <w:tcPr>
            <w:tcW w:w="360" w:type="dxa"/>
            <w:tcBorders>
              <w:top w:val="nil"/>
              <w:left w:val="nil"/>
              <w:bottom w:val="nil"/>
              <w:right w:val="nil"/>
            </w:tcBorders>
            <w:shd w:val="clear" w:color="auto" w:fill="auto"/>
            <w:noWrap/>
            <w:vAlign w:val="bottom"/>
            <w:hideMark/>
          </w:tcPr>
          <w:p w14:paraId="5E9B92D7"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15D2504" w14:textId="77777777" w:rsidR="00445161" w:rsidRPr="00445161" w:rsidRDefault="0044516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D61B4F0" w14:textId="77777777" w:rsidR="00445161" w:rsidRPr="00445161" w:rsidRDefault="0044516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686734A6"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A5BBFDC"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585F153"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79E62BB8"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0E28359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379BE21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1,371 </w:t>
            </w:r>
          </w:p>
        </w:tc>
        <w:tc>
          <w:tcPr>
            <w:tcW w:w="1060" w:type="dxa"/>
            <w:tcBorders>
              <w:top w:val="nil"/>
              <w:left w:val="nil"/>
              <w:bottom w:val="nil"/>
              <w:right w:val="nil"/>
            </w:tcBorders>
            <w:shd w:val="clear" w:color="auto" w:fill="auto"/>
            <w:noWrap/>
            <w:vAlign w:val="bottom"/>
            <w:hideMark/>
          </w:tcPr>
          <w:p w14:paraId="723DE4E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1,581 </w:t>
            </w:r>
          </w:p>
        </w:tc>
        <w:tc>
          <w:tcPr>
            <w:tcW w:w="1020" w:type="dxa"/>
            <w:tcBorders>
              <w:top w:val="nil"/>
              <w:left w:val="nil"/>
              <w:bottom w:val="nil"/>
              <w:right w:val="nil"/>
            </w:tcBorders>
            <w:shd w:val="clear" w:color="auto" w:fill="auto"/>
            <w:noWrap/>
            <w:vAlign w:val="bottom"/>
            <w:hideMark/>
          </w:tcPr>
          <w:p w14:paraId="4B83232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00E8295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392B7B37"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5E87E261"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capital payments</w:t>
            </w:r>
          </w:p>
        </w:tc>
        <w:tc>
          <w:tcPr>
            <w:tcW w:w="360" w:type="dxa"/>
            <w:tcBorders>
              <w:top w:val="nil"/>
              <w:left w:val="nil"/>
              <w:bottom w:val="nil"/>
              <w:right w:val="nil"/>
            </w:tcBorders>
            <w:shd w:val="clear" w:color="auto" w:fill="auto"/>
            <w:noWrap/>
            <w:vAlign w:val="bottom"/>
            <w:hideMark/>
          </w:tcPr>
          <w:p w14:paraId="1E0497C1"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3</w:t>
            </w:r>
          </w:p>
        </w:tc>
        <w:tc>
          <w:tcPr>
            <w:tcW w:w="940" w:type="dxa"/>
            <w:tcBorders>
              <w:top w:val="nil"/>
              <w:left w:val="nil"/>
              <w:bottom w:val="nil"/>
              <w:right w:val="nil"/>
            </w:tcBorders>
            <w:shd w:val="clear" w:color="000000" w:fill="D9D9D9"/>
            <w:noWrap/>
            <w:vAlign w:val="bottom"/>
            <w:hideMark/>
          </w:tcPr>
          <w:p w14:paraId="313E8BE6"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1,580 </w:t>
            </w:r>
          </w:p>
        </w:tc>
        <w:tc>
          <w:tcPr>
            <w:tcW w:w="1060" w:type="dxa"/>
            <w:tcBorders>
              <w:top w:val="nil"/>
              <w:left w:val="nil"/>
              <w:bottom w:val="nil"/>
              <w:right w:val="nil"/>
            </w:tcBorders>
            <w:shd w:val="clear" w:color="auto" w:fill="auto"/>
            <w:noWrap/>
            <w:vAlign w:val="bottom"/>
            <w:hideMark/>
          </w:tcPr>
          <w:p w14:paraId="4789C6A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1,580 </w:t>
            </w:r>
          </w:p>
        </w:tc>
        <w:tc>
          <w:tcPr>
            <w:tcW w:w="1020" w:type="dxa"/>
            <w:tcBorders>
              <w:top w:val="nil"/>
              <w:left w:val="nil"/>
              <w:bottom w:val="nil"/>
              <w:right w:val="nil"/>
            </w:tcBorders>
            <w:shd w:val="clear" w:color="auto" w:fill="auto"/>
            <w:noWrap/>
            <w:vAlign w:val="bottom"/>
            <w:hideMark/>
          </w:tcPr>
          <w:p w14:paraId="0B96D52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347CF764"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0BDE7BF7"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5422B62F"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Department of Veterans’ Affairs</w:t>
            </w:r>
          </w:p>
        </w:tc>
        <w:tc>
          <w:tcPr>
            <w:tcW w:w="360" w:type="dxa"/>
            <w:tcBorders>
              <w:top w:val="nil"/>
              <w:left w:val="nil"/>
              <w:bottom w:val="nil"/>
              <w:right w:val="nil"/>
            </w:tcBorders>
            <w:shd w:val="clear" w:color="auto" w:fill="auto"/>
            <w:noWrap/>
            <w:vAlign w:val="bottom"/>
            <w:hideMark/>
          </w:tcPr>
          <w:p w14:paraId="52B414AC"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189DE0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117A0B1"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27C5A3B"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79E3830"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074C092"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71467AE2"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37E52D3C"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E05177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993 </w:t>
            </w:r>
          </w:p>
        </w:tc>
        <w:tc>
          <w:tcPr>
            <w:tcW w:w="1060" w:type="dxa"/>
            <w:tcBorders>
              <w:top w:val="nil"/>
              <w:left w:val="nil"/>
              <w:bottom w:val="nil"/>
              <w:right w:val="nil"/>
            </w:tcBorders>
            <w:shd w:val="clear" w:color="auto" w:fill="auto"/>
            <w:noWrap/>
            <w:vAlign w:val="bottom"/>
            <w:hideMark/>
          </w:tcPr>
          <w:p w14:paraId="5461DA5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993 </w:t>
            </w:r>
          </w:p>
        </w:tc>
        <w:tc>
          <w:tcPr>
            <w:tcW w:w="1020" w:type="dxa"/>
            <w:tcBorders>
              <w:top w:val="nil"/>
              <w:left w:val="nil"/>
              <w:bottom w:val="nil"/>
              <w:right w:val="nil"/>
            </w:tcBorders>
            <w:shd w:val="clear" w:color="auto" w:fill="auto"/>
            <w:noWrap/>
            <w:vAlign w:val="bottom"/>
            <w:hideMark/>
          </w:tcPr>
          <w:p w14:paraId="490218B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707C026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55723321" w14:textId="77777777" w:rsidTr="00992F2E">
        <w:trPr>
          <w:trHeight w:val="227"/>
          <w:jc w:val="center"/>
        </w:trPr>
        <w:tc>
          <w:tcPr>
            <w:tcW w:w="3940" w:type="dxa"/>
            <w:gridSpan w:val="2"/>
            <w:tcBorders>
              <w:top w:val="nil"/>
              <w:left w:val="nil"/>
              <w:bottom w:val="nil"/>
              <w:right w:val="nil"/>
            </w:tcBorders>
            <w:shd w:val="clear" w:color="auto" w:fill="auto"/>
            <w:noWrap/>
            <w:vAlign w:val="bottom"/>
            <w:hideMark/>
          </w:tcPr>
          <w:p w14:paraId="7A0C7FD2"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Australian Criminal Intelligence Commission</w:t>
            </w:r>
          </w:p>
        </w:tc>
        <w:tc>
          <w:tcPr>
            <w:tcW w:w="940" w:type="dxa"/>
            <w:tcBorders>
              <w:top w:val="nil"/>
              <w:left w:val="nil"/>
              <w:bottom w:val="nil"/>
              <w:right w:val="nil"/>
            </w:tcBorders>
            <w:shd w:val="clear" w:color="000000" w:fill="D9D9D9"/>
            <w:noWrap/>
            <w:vAlign w:val="bottom"/>
            <w:hideMark/>
          </w:tcPr>
          <w:p w14:paraId="4C9092E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615F7151"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58B1761"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640CADBE"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5C4A5EF2"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1920626A"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0A6C45CB"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6BE229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723 </w:t>
            </w:r>
          </w:p>
        </w:tc>
        <w:tc>
          <w:tcPr>
            <w:tcW w:w="1060" w:type="dxa"/>
            <w:tcBorders>
              <w:top w:val="nil"/>
              <w:left w:val="nil"/>
              <w:bottom w:val="nil"/>
              <w:right w:val="nil"/>
            </w:tcBorders>
            <w:shd w:val="clear" w:color="auto" w:fill="auto"/>
            <w:noWrap/>
            <w:vAlign w:val="bottom"/>
            <w:hideMark/>
          </w:tcPr>
          <w:p w14:paraId="7741A3EA"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1,365 </w:t>
            </w:r>
          </w:p>
        </w:tc>
        <w:tc>
          <w:tcPr>
            <w:tcW w:w="1020" w:type="dxa"/>
            <w:tcBorders>
              <w:top w:val="nil"/>
              <w:left w:val="nil"/>
              <w:bottom w:val="nil"/>
              <w:right w:val="nil"/>
            </w:tcBorders>
            <w:shd w:val="clear" w:color="auto" w:fill="auto"/>
            <w:noWrap/>
            <w:vAlign w:val="bottom"/>
            <w:hideMark/>
          </w:tcPr>
          <w:p w14:paraId="2C3A368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504AAFE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34020CA5"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C294EB2"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Attorney-General's Department</w:t>
            </w:r>
          </w:p>
        </w:tc>
        <w:tc>
          <w:tcPr>
            <w:tcW w:w="360" w:type="dxa"/>
            <w:tcBorders>
              <w:top w:val="nil"/>
              <w:left w:val="nil"/>
              <w:bottom w:val="nil"/>
              <w:right w:val="nil"/>
            </w:tcBorders>
            <w:shd w:val="clear" w:color="auto" w:fill="auto"/>
            <w:noWrap/>
            <w:vAlign w:val="bottom"/>
            <w:hideMark/>
          </w:tcPr>
          <w:p w14:paraId="47BCC1E7"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F67A07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358313F9"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0A21A24"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65D19305"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7180FE83"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4DABF579"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58F51380"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CF9E898"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610 </w:t>
            </w:r>
          </w:p>
        </w:tc>
        <w:tc>
          <w:tcPr>
            <w:tcW w:w="1060" w:type="dxa"/>
            <w:tcBorders>
              <w:top w:val="nil"/>
              <w:left w:val="nil"/>
              <w:bottom w:val="nil"/>
              <w:right w:val="nil"/>
            </w:tcBorders>
            <w:shd w:val="clear" w:color="auto" w:fill="auto"/>
            <w:noWrap/>
            <w:vAlign w:val="bottom"/>
            <w:hideMark/>
          </w:tcPr>
          <w:p w14:paraId="2A5CF9E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941 </w:t>
            </w:r>
          </w:p>
        </w:tc>
        <w:tc>
          <w:tcPr>
            <w:tcW w:w="1020" w:type="dxa"/>
            <w:tcBorders>
              <w:top w:val="nil"/>
              <w:left w:val="nil"/>
              <w:bottom w:val="nil"/>
              <w:right w:val="nil"/>
            </w:tcBorders>
            <w:shd w:val="clear" w:color="auto" w:fill="auto"/>
            <w:noWrap/>
            <w:vAlign w:val="bottom"/>
            <w:hideMark/>
          </w:tcPr>
          <w:p w14:paraId="4BEC7906"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49EBAE0D"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0614A90A"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7CB0E6F7" w14:textId="77777777" w:rsidR="00445161" w:rsidRPr="00445161" w:rsidRDefault="00445161" w:rsidP="001F07D1">
            <w:pPr>
              <w:spacing w:before="0" w:after="0" w:line="240" w:lineRule="auto"/>
              <w:rPr>
                <w:rFonts w:ascii="Arial" w:hAnsi="Arial" w:cs="Arial"/>
                <w:b/>
                <w:bCs/>
                <w:sz w:val="16"/>
                <w:szCs w:val="16"/>
              </w:rPr>
            </w:pPr>
            <w:r w:rsidRPr="0044516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299989D8" w14:textId="77777777" w:rsidR="00445161" w:rsidRPr="00445161" w:rsidRDefault="0044516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0249DD8B"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5,277 </w:t>
            </w:r>
          </w:p>
        </w:tc>
        <w:tc>
          <w:tcPr>
            <w:tcW w:w="1060" w:type="dxa"/>
            <w:tcBorders>
              <w:top w:val="single" w:sz="4" w:space="0" w:color="000000"/>
              <w:left w:val="nil"/>
              <w:bottom w:val="single" w:sz="4" w:space="0" w:color="000000"/>
              <w:right w:val="nil"/>
            </w:tcBorders>
            <w:shd w:val="clear" w:color="auto" w:fill="auto"/>
            <w:noWrap/>
            <w:vAlign w:val="bottom"/>
            <w:hideMark/>
          </w:tcPr>
          <w:p w14:paraId="66C4C834"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6,460 </w:t>
            </w:r>
          </w:p>
        </w:tc>
        <w:tc>
          <w:tcPr>
            <w:tcW w:w="1020" w:type="dxa"/>
            <w:tcBorders>
              <w:top w:val="single" w:sz="4" w:space="0" w:color="000000"/>
              <w:left w:val="nil"/>
              <w:bottom w:val="single" w:sz="4" w:space="0" w:color="000000"/>
              <w:right w:val="nil"/>
            </w:tcBorders>
            <w:shd w:val="clear" w:color="auto" w:fill="auto"/>
            <w:noWrap/>
            <w:vAlign w:val="bottom"/>
            <w:hideMark/>
          </w:tcPr>
          <w:p w14:paraId="26416144"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353D272D"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r>
      <w:tr w:rsidR="00445161" w:rsidRPr="00445161" w14:paraId="2B0DE1B9" w14:textId="77777777" w:rsidTr="00992F2E">
        <w:trPr>
          <w:trHeight w:val="227"/>
          <w:jc w:val="center"/>
        </w:trPr>
        <w:tc>
          <w:tcPr>
            <w:tcW w:w="8000" w:type="dxa"/>
            <w:gridSpan w:val="6"/>
            <w:tcBorders>
              <w:top w:val="nil"/>
              <w:left w:val="nil"/>
              <w:bottom w:val="nil"/>
              <w:right w:val="nil"/>
            </w:tcBorders>
            <w:shd w:val="clear" w:color="auto" w:fill="auto"/>
            <w:vAlign w:val="bottom"/>
            <w:hideMark/>
          </w:tcPr>
          <w:p w14:paraId="61A5A73E" w14:textId="77777777" w:rsidR="00445161" w:rsidRPr="00445161" w:rsidRDefault="00445161" w:rsidP="00992F2E">
            <w:pPr>
              <w:spacing w:before="37" w:after="0" w:line="240" w:lineRule="auto"/>
              <w:rPr>
                <w:rFonts w:ascii="Arial" w:hAnsi="Arial" w:cs="Arial"/>
                <w:b/>
                <w:bCs/>
                <w:sz w:val="16"/>
                <w:szCs w:val="16"/>
              </w:rPr>
            </w:pPr>
            <w:r w:rsidRPr="00445161">
              <w:rPr>
                <w:rFonts w:ascii="Arial" w:hAnsi="Arial" w:cs="Arial"/>
                <w:b/>
                <w:bCs/>
                <w:sz w:val="16"/>
                <w:szCs w:val="16"/>
              </w:rPr>
              <w:t xml:space="preserve">Pharmaceutical Benefits Scheme (PBS) new and amended listings </w:t>
            </w:r>
            <w:r w:rsidRPr="00445161">
              <w:rPr>
                <w:rFonts w:ascii="Arial" w:hAnsi="Arial" w:cs="Arial"/>
                <w:b/>
                <w:bCs/>
                <w:sz w:val="16"/>
                <w:szCs w:val="16"/>
                <w:vertAlign w:val="superscript"/>
              </w:rPr>
              <w:t xml:space="preserve">(b) </w:t>
            </w:r>
          </w:p>
        </w:tc>
      </w:tr>
      <w:tr w:rsidR="00445161" w:rsidRPr="00445161" w14:paraId="0E934112"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4E9934C6" w14:textId="7BC8F00D"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Department of Health</w:t>
            </w:r>
            <w:r w:rsidR="00043155">
              <w:rPr>
                <w:rFonts w:ascii="Arial" w:hAnsi="Arial" w:cs="Arial"/>
                <w:sz w:val="16"/>
                <w:szCs w:val="16"/>
              </w:rPr>
              <w:t xml:space="preserve"> and Aged Care</w:t>
            </w:r>
          </w:p>
        </w:tc>
        <w:tc>
          <w:tcPr>
            <w:tcW w:w="360" w:type="dxa"/>
            <w:tcBorders>
              <w:top w:val="nil"/>
              <w:left w:val="nil"/>
              <w:bottom w:val="nil"/>
              <w:right w:val="nil"/>
            </w:tcBorders>
            <w:shd w:val="clear" w:color="auto" w:fill="auto"/>
            <w:noWrap/>
            <w:vAlign w:val="bottom"/>
            <w:hideMark/>
          </w:tcPr>
          <w:p w14:paraId="668A5D1B"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522B218" w14:textId="77777777" w:rsidR="00445161" w:rsidRPr="00445161" w:rsidRDefault="0044516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F172206" w14:textId="77777777" w:rsidR="00445161" w:rsidRPr="00445161" w:rsidRDefault="0044516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3581422E"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AD4BE3F"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12305B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4233FC45"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5F61CDC3"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461FA4D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3,568 </w:t>
            </w:r>
          </w:p>
        </w:tc>
        <w:tc>
          <w:tcPr>
            <w:tcW w:w="1060" w:type="dxa"/>
            <w:tcBorders>
              <w:top w:val="nil"/>
              <w:left w:val="nil"/>
              <w:bottom w:val="nil"/>
              <w:right w:val="nil"/>
            </w:tcBorders>
            <w:shd w:val="clear" w:color="auto" w:fill="auto"/>
            <w:noWrap/>
            <w:vAlign w:val="bottom"/>
            <w:hideMark/>
          </w:tcPr>
          <w:p w14:paraId="4704386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5,570 </w:t>
            </w:r>
          </w:p>
        </w:tc>
        <w:tc>
          <w:tcPr>
            <w:tcW w:w="1020" w:type="dxa"/>
            <w:tcBorders>
              <w:top w:val="nil"/>
              <w:left w:val="nil"/>
              <w:bottom w:val="nil"/>
              <w:right w:val="nil"/>
            </w:tcBorders>
            <w:shd w:val="clear" w:color="auto" w:fill="auto"/>
            <w:noWrap/>
            <w:vAlign w:val="bottom"/>
            <w:hideMark/>
          </w:tcPr>
          <w:p w14:paraId="07F5A9C2"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5,345 </w:t>
            </w:r>
          </w:p>
        </w:tc>
        <w:tc>
          <w:tcPr>
            <w:tcW w:w="1040" w:type="dxa"/>
            <w:tcBorders>
              <w:top w:val="nil"/>
              <w:left w:val="nil"/>
              <w:bottom w:val="nil"/>
              <w:right w:val="nil"/>
            </w:tcBorders>
            <w:shd w:val="clear" w:color="auto" w:fill="auto"/>
            <w:noWrap/>
            <w:vAlign w:val="bottom"/>
            <w:hideMark/>
          </w:tcPr>
          <w:p w14:paraId="767E2A2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4,845 </w:t>
            </w:r>
          </w:p>
        </w:tc>
      </w:tr>
      <w:tr w:rsidR="00445161" w:rsidRPr="00445161" w14:paraId="431F4259"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179FDDBB" w14:textId="77777777" w:rsidR="00445161" w:rsidRPr="00445161" w:rsidRDefault="00445161" w:rsidP="001F07D1">
            <w:pPr>
              <w:spacing w:before="0" w:after="0" w:line="240" w:lineRule="auto"/>
              <w:jc w:val="right"/>
              <w:rPr>
                <w:rFonts w:ascii="Arial" w:hAnsi="Arial" w:cs="Arial"/>
                <w:sz w:val="16"/>
                <w:szCs w:val="16"/>
              </w:rPr>
            </w:pPr>
          </w:p>
        </w:tc>
        <w:tc>
          <w:tcPr>
            <w:tcW w:w="360" w:type="dxa"/>
            <w:tcBorders>
              <w:top w:val="nil"/>
              <w:left w:val="nil"/>
              <w:bottom w:val="nil"/>
              <w:right w:val="nil"/>
            </w:tcBorders>
            <w:shd w:val="clear" w:color="auto" w:fill="auto"/>
            <w:noWrap/>
            <w:tcMar>
              <w:left w:w="0" w:type="dxa"/>
            </w:tcMar>
            <w:vAlign w:val="bottom"/>
            <w:hideMark/>
          </w:tcPr>
          <w:p w14:paraId="6B0A2001"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7E7AB4B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530,080 </w:t>
            </w:r>
          </w:p>
        </w:tc>
        <w:tc>
          <w:tcPr>
            <w:tcW w:w="1060" w:type="dxa"/>
            <w:tcBorders>
              <w:top w:val="nil"/>
              <w:left w:val="nil"/>
              <w:bottom w:val="nil"/>
              <w:right w:val="nil"/>
            </w:tcBorders>
            <w:shd w:val="clear" w:color="auto" w:fill="auto"/>
            <w:noWrap/>
            <w:vAlign w:val="bottom"/>
            <w:hideMark/>
          </w:tcPr>
          <w:p w14:paraId="44745934"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889,806 </w:t>
            </w:r>
          </w:p>
        </w:tc>
        <w:tc>
          <w:tcPr>
            <w:tcW w:w="1020" w:type="dxa"/>
            <w:tcBorders>
              <w:top w:val="nil"/>
              <w:left w:val="nil"/>
              <w:bottom w:val="nil"/>
              <w:right w:val="nil"/>
            </w:tcBorders>
            <w:shd w:val="clear" w:color="auto" w:fill="auto"/>
            <w:noWrap/>
            <w:vAlign w:val="bottom"/>
            <w:hideMark/>
          </w:tcPr>
          <w:p w14:paraId="3E8EEFB1"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992,204 </w:t>
            </w:r>
          </w:p>
        </w:tc>
        <w:tc>
          <w:tcPr>
            <w:tcW w:w="1040" w:type="dxa"/>
            <w:tcBorders>
              <w:top w:val="nil"/>
              <w:left w:val="nil"/>
              <w:bottom w:val="nil"/>
              <w:right w:val="nil"/>
            </w:tcBorders>
            <w:shd w:val="clear" w:color="auto" w:fill="auto"/>
            <w:noWrap/>
            <w:vAlign w:val="bottom"/>
            <w:hideMark/>
          </w:tcPr>
          <w:p w14:paraId="0C8E1DF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1,043,096 </w:t>
            </w:r>
          </w:p>
        </w:tc>
      </w:tr>
      <w:tr w:rsidR="00445161" w:rsidRPr="00445161" w14:paraId="03714549"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1413915"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Department of Veterans’ Affairs</w:t>
            </w:r>
          </w:p>
        </w:tc>
        <w:tc>
          <w:tcPr>
            <w:tcW w:w="360" w:type="dxa"/>
            <w:tcBorders>
              <w:top w:val="nil"/>
              <w:left w:val="nil"/>
              <w:bottom w:val="nil"/>
              <w:right w:val="nil"/>
            </w:tcBorders>
            <w:shd w:val="clear" w:color="auto" w:fill="auto"/>
            <w:noWrap/>
            <w:vAlign w:val="bottom"/>
            <w:hideMark/>
          </w:tcPr>
          <w:p w14:paraId="5E37B1EB"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19B175AA"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47FBC6CF"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106DB0D"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F0E5220"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5AAABF76"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B7BA2B7"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411E0BDD"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38B9FEC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5,327 </w:t>
            </w:r>
          </w:p>
        </w:tc>
        <w:tc>
          <w:tcPr>
            <w:tcW w:w="1060" w:type="dxa"/>
            <w:tcBorders>
              <w:top w:val="nil"/>
              <w:left w:val="nil"/>
              <w:bottom w:val="nil"/>
              <w:right w:val="nil"/>
            </w:tcBorders>
            <w:shd w:val="clear" w:color="auto" w:fill="auto"/>
            <w:noWrap/>
            <w:vAlign w:val="bottom"/>
            <w:hideMark/>
          </w:tcPr>
          <w:p w14:paraId="526F8B1B"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7,145 </w:t>
            </w:r>
          </w:p>
        </w:tc>
        <w:tc>
          <w:tcPr>
            <w:tcW w:w="1020" w:type="dxa"/>
            <w:tcBorders>
              <w:top w:val="nil"/>
              <w:left w:val="nil"/>
              <w:bottom w:val="nil"/>
              <w:right w:val="nil"/>
            </w:tcBorders>
            <w:shd w:val="clear" w:color="auto" w:fill="auto"/>
            <w:noWrap/>
            <w:vAlign w:val="bottom"/>
            <w:hideMark/>
          </w:tcPr>
          <w:p w14:paraId="1C3865D9"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7,023 </w:t>
            </w:r>
          </w:p>
        </w:tc>
        <w:tc>
          <w:tcPr>
            <w:tcW w:w="1040" w:type="dxa"/>
            <w:tcBorders>
              <w:top w:val="nil"/>
              <w:left w:val="nil"/>
              <w:bottom w:val="nil"/>
              <w:right w:val="nil"/>
            </w:tcBorders>
            <w:shd w:val="clear" w:color="auto" w:fill="auto"/>
            <w:noWrap/>
            <w:vAlign w:val="bottom"/>
            <w:hideMark/>
          </w:tcPr>
          <w:p w14:paraId="3AA803E8"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6,657 </w:t>
            </w:r>
          </w:p>
        </w:tc>
      </w:tr>
      <w:tr w:rsidR="00445161" w:rsidRPr="00445161" w14:paraId="630F523B"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637FE616"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Services Australia</w:t>
            </w:r>
          </w:p>
        </w:tc>
        <w:tc>
          <w:tcPr>
            <w:tcW w:w="360" w:type="dxa"/>
            <w:tcBorders>
              <w:top w:val="nil"/>
              <w:left w:val="nil"/>
              <w:bottom w:val="nil"/>
              <w:right w:val="nil"/>
            </w:tcBorders>
            <w:shd w:val="clear" w:color="auto" w:fill="auto"/>
            <w:noWrap/>
            <w:vAlign w:val="bottom"/>
            <w:hideMark/>
          </w:tcPr>
          <w:p w14:paraId="3CAABA20"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CB3392F"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02A5BEEF"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B9A77DF"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5FF55D76"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1CA2C6E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5DD27D85"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6F263A38"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8946D8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713 </w:t>
            </w:r>
          </w:p>
        </w:tc>
        <w:tc>
          <w:tcPr>
            <w:tcW w:w="1060" w:type="dxa"/>
            <w:tcBorders>
              <w:top w:val="nil"/>
              <w:left w:val="nil"/>
              <w:bottom w:val="nil"/>
              <w:right w:val="nil"/>
            </w:tcBorders>
            <w:shd w:val="clear" w:color="auto" w:fill="auto"/>
            <w:noWrap/>
            <w:vAlign w:val="bottom"/>
            <w:hideMark/>
          </w:tcPr>
          <w:p w14:paraId="613BBA2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(283)</w:t>
            </w:r>
          </w:p>
        </w:tc>
        <w:tc>
          <w:tcPr>
            <w:tcW w:w="1020" w:type="dxa"/>
            <w:tcBorders>
              <w:top w:val="nil"/>
              <w:left w:val="nil"/>
              <w:bottom w:val="nil"/>
              <w:right w:val="nil"/>
            </w:tcBorders>
            <w:shd w:val="clear" w:color="auto" w:fill="auto"/>
            <w:noWrap/>
            <w:vAlign w:val="bottom"/>
            <w:hideMark/>
          </w:tcPr>
          <w:p w14:paraId="4B6039C9"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(350)</w:t>
            </w:r>
          </w:p>
        </w:tc>
        <w:tc>
          <w:tcPr>
            <w:tcW w:w="1040" w:type="dxa"/>
            <w:tcBorders>
              <w:top w:val="nil"/>
              <w:left w:val="nil"/>
              <w:bottom w:val="nil"/>
              <w:right w:val="nil"/>
            </w:tcBorders>
            <w:shd w:val="clear" w:color="auto" w:fill="auto"/>
            <w:noWrap/>
            <w:vAlign w:val="bottom"/>
            <w:hideMark/>
          </w:tcPr>
          <w:p w14:paraId="4595BDE5"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(355)</w:t>
            </w:r>
          </w:p>
        </w:tc>
      </w:tr>
      <w:tr w:rsidR="00445161" w:rsidRPr="00445161" w14:paraId="319EF067"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2BB5FF36" w14:textId="77777777" w:rsidR="00445161" w:rsidRPr="00445161" w:rsidRDefault="00445161" w:rsidP="001F07D1">
            <w:pPr>
              <w:spacing w:before="0" w:after="0" w:line="240" w:lineRule="auto"/>
              <w:rPr>
                <w:rFonts w:ascii="Arial" w:hAnsi="Arial" w:cs="Arial"/>
                <w:b/>
                <w:bCs/>
                <w:sz w:val="16"/>
                <w:szCs w:val="16"/>
              </w:rPr>
            </w:pPr>
            <w:r w:rsidRPr="0044516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000C8C4B" w14:textId="77777777" w:rsidR="00445161" w:rsidRPr="00445161" w:rsidRDefault="0044516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7C6ECC45"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539,688 </w:t>
            </w:r>
          </w:p>
        </w:tc>
        <w:tc>
          <w:tcPr>
            <w:tcW w:w="1060" w:type="dxa"/>
            <w:tcBorders>
              <w:top w:val="single" w:sz="4" w:space="0" w:color="000000"/>
              <w:left w:val="nil"/>
              <w:bottom w:val="single" w:sz="4" w:space="0" w:color="000000"/>
              <w:right w:val="nil"/>
            </w:tcBorders>
            <w:shd w:val="clear" w:color="auto" w:fill="auto"/>
            <w:noWrap/>
            <w:vAlign w:val="bottom"/>
            <w:hideMark/>
          </w:tcPr>
          <w:p w14:paraId="419F67A8"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902,238 </w:t>
            </w:r>
          </w:p>
        </w:tc>
        <w:tc>
          <w:tcPr>
            <w:tcW w:w="1020" w:type="dxa"/>
            <w:tcBorders>
              <w:top w:val="single" w:sz="4" w:space="0" w:color="000000"/>
              <w:left w:val="nil"/>
              <w:bottom w:val="single" w:sz="4" w:space="0" w:color="000000"/>
              <w:right w:val="nil"/>
            </w:tcBorders>
            <w:shd w:val="clear" w:color="auto" w:fill="auto"/>
            <w:noWrap/>
            <w:vAlign w:val="bottom"/>
            <w:hideMark/>
          </w:tcPr>
          <w:p w14:paraId="1B587193"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1,004,222 </w:t>
            </w:r>
          </w:p>
        </w:tc>
        <w:tc>
          <w:tcPr>
            <w:tcW w:w="1040" w:type="dxa"/>
            <w:tcBorders>
              <w:top w:val="single" w:sz="4" w:space="0" w:color="000000"/>
              <w:left w:val="nil"/>
              <w:bottom w:val="single" w:sz="4" w:space="0" w:color="000000"/>
              <w:right w:val="nil"/>
            </w:tcBorders>
            <w:shd w:val="clear" w:color="auto" w:fill="auto"/>
            <w:noWrap/>
            <w:vAlign w:val="bottom"/>
            <w:hideMark/>
          </w:tcPr>
          <w:p w14:paraId="2B09CA34"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1,054,243 </w:t>
            </w:r>
          </w:p>
        </w:tc>
      </w:tr>
      <w:tr w:rsidR="00445161" w:rsidRPr="00445161" w14:paraId="1FF8AFE2"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39796C25" w14:textId="77777777" w:rsidR="00445161" w:rsidRPr="00445161" w:rsidRDefault="00445161" w:rsidP="001F07D1">
            <w:pPr>
              <w:spacing w:before="0" w:after="0" w:line="240" w:lineRule="auto"/>
              <w:rPr>
                <w:rFonts w:ascii="Arial" w:hAnsi="Arial" w:cs="Arial"/>
                <w:i/>
                <w:iCs/>
                <w:sz w:val="16"/>
                <w:szCs w:val="16"/>
              </w:rPr>
            </w:pPr>
            <w:r w:rsidRPr="00445161">
              <w:rPr>
                <w:rFonts w:ascii="Arial" w:hAnsi="Arial" w:cs="Arial"/>
                <w:i/>
                <w:iCs/>
                <w:sz w:val="16"/>
                <w:szCs w:val="16"/>
              </w:rPr>
              <w:t>Related receipts</w:t>
            </w:r>
          </w:p>
        </w:tc>
        <w:tc>
          <w:tcPr>
            <w:tcW w:w="360" w:type="dxa"/>
            <w:tcBorders>
              <w:top w:val="nil"/>
              <w:left w:val="nil"/>
              <w:bottom w:val="nil"/>
              <w:right w:val="nil"/>
            </w:tcBorders>
            <w:shd w:val="clear" w:color="auto" w:fill="auto"/>
            <w:noWrap/>
            <w:vAlign w:val="bottom"/>
            <w:hideMark/>
          </w:tcPr>
          <w:p w14:paraId="0236A149" w14:textId="77777777" w:rsidR="00445161" w:rsidRPr="00445161" w:rsidRDefault="00445161" w:rsidP="001F07D1">
            <w:pPr>
              <w:spacing w:before="0" w:after="0" w:line="240" w:lineRule="auto"/>
              <w:rPr>
                <w:rFonts w:ascii="Arial" w:hAnsi="Arial" w:cs="Arial"/>
                <w:i/>
                <w:iCs/>
                <w:sz w:val="16"/>
                <w:szCs w:val="16"/>
              </w:rPr>
            </w:pPr>
          </w:p>
        </w:tc>
        <w:tc>
          <w:tcPr>
            <w:tcW w:w="940" w:type="dxa"/>
            <w:tcBorders>
              <w:top w:val="nil"/>
              <w:left w:val="nil"/>
              <w:bottom w:val="single" w:sz="4" w:space="0" w:color="000000"/>
              <w:right w:val="nil"/>
            </w:tcBorders>
            <w:shd w:val="clear" w:color="000000" w:fill="D9D9D9"/>
            <w:noWrap/>
            <w:vAlign w:val="bottom"/>
            <w:hideMark/>
          </w:tcPr>
          <w:p w14:paraId="04D618D5" w14:textId="77777777" w:rsidR="00445161" w:rsidRPr="00445161" w:rsidRDefault="00445161" w:rsidP="001F07D1">
            <w:pPr>
              <w:spacing w:before="0" w:after="0" w:line="240" w:lineRule="auto"/>
              <w:jc w:val="right"/>
              <w:rPr>
                <w:rFonts w:ascii="Arial" w:hAnsi="Arial" w:cs="Arial"/>
                <w:i/>
                <w:iCs/>
                <w:sz w:val="16"/>
                <w:szCs w:val="16"/>
              </w:rPr>
            </w:pPr>
            <w:proofErr w:type="spellStart"/>
            <w:r w:rsidRPr="00445161">
              <w:rPr>
                <w:rFonts w:ascii="Arial" w:hAnsi="Arial" w:cs="Arial"/>
                <w:i/>
                <w:iCs/>
                <w:sz w:val="16"/>
                <w:szCs w:val="16"/>
              </w:rPr>
              <w:t>nfp</w:t>
            </w:r>
            <w:proofErr w:type="spellEnd"/>
          </w:p>
        </w:tc>
        <w:tc>
          <w:tcPr>
            <w:tcW w:w="1060" w:type="dxa"/>
            <w:tcBorders>
              <w:top w:val="nil"/>
              <w:left w:val="nil"/>
              <w:bottom w:val="single" w:sz="4" w:space="0" w:color="000000"/>
              <w:right w:val="nil"/>
            </w:tcBorders>
            <w:shd w:val="clear" w:color="auto" w:fill="auto"/>
            <w:noWrap/>
            <w:vAlign w:val="bottom"/>
            <w:hideMark/>
          </w:tcPr>
          <w:p w14:paraId="24835669" w14:textId="77777777" w:rsidR="00445161" w:rsidRPr="00445161" w:rsidRDefault="00445161" w:rsidP="001F07D1">
            <w:pPr>
              <w:spacing w:before="0" w:after="0" w:line="240" w:lineRule="auto"/>
              <w:jc w:val="right"/>
              <w:rPr>
                <w:rFonts w:ascii="Arial" w:hAnsi="Arial" w:cs="Arial"/>
                <w:i/>
                <w:iCs/>
                <w:sz w:val="16"/>
                <w:szCs w:val="16"/>
              </w:rPr>
            </w:pPr>
            <w:proofErr w:type="spellStart"/>
            <w:r w:rsidRPr="00445161">
              <w:rPr>
                <w:rFonts w:ascii="Arial" w:hAnsi="Arial" w:cs="Arial"/>
                <w:i/>
                <w:iCs/>
                <w:sz w:val="16"/>
                <w:szCs w:val="16"/>
              </w:rPr>
              <w:t>nfp</w:t>
            </w:r>
            <w:proofErr w:type="spellEnd"/>
          </w:p>
        </w:tc>
        <w:tc>
          <w:tcPr>
            <w:tcW w:w="1020" w:type="dxa"/>
            <w:tcBorders>
              <w:top w:val="nil"/>
              <w:left w:val="nil"/>
              <w:bottom w:val="single" w:sz="4" w:space="0" w:color="000000"/>
              <w:right w:val="nil"/>
            </w:tcBorders>
            <w:shd w:val="clear" w:color="auto" w:fill="auto"/>
            <w:noWrap/>
            <w:vAlign w:val="bottom"/>
            <w:hideMark/>
          </w:tcPr>
          <w:p w14:paraId="5D96B900" w14:textId="77777777" w:rsidR="00445161" w:rsidRPr="00445161" w:rsidRDefault="00445161" w:rsidP="001F07D1">
            <w:pPr>
              <w:spacing w:before="0" w:after="0" w:line="240" w:lineRule="auto"/>
              <w:jc w:val="right"/>
              <w:rPr>
                <w:rFonts w:ascii="Arial" w:hAnsi="Arial" w:cs="Arial"/>
                <w:i/>
                <w:iCs/>
                <w:sz w:val="16"/>
                <w:szCs w:val="16"/>
              </w:rPr>
            </w:pPr>
            <w:proofErr w:type="spellStart"/>
            <w:r w:rsidRPr="00445161">
              <w:rPr>
                <w:rFonts w:ascii="Arial" w:hAnsi="Arial" w:cs="Arial"/>
                <w:i/>
                <w:iCs/>
                <w:sz w:val="16"/>
                <w:szCs w:val="16"/>
              </w:rPr>
              <w:t>nfp</w:t>
            </w:r>
            <w:proofErr w:type="spellEnd"/>
          </w:p>
        </w:tc>
        <w:tc>
          <w:tcPr>
            <w:tcW w:w="1040" w:type="dxa"/>
            <w:tcBorders>
              <w:top w:val="nil"/>
              <w:left w:val="nil"/>
              <w:bottom w:val="single" w:sz="4" w:space="0" w:color="000000"/>
              <w:right w:val="nil"/>
            </w:tcBorders>
            <w:shd w:val="clear" w:color="auto" w:fill="auto"/>
            <w:noWrap/>
            <w:vAlign w:val="bottom"/>
            <w:hideMark/>
          </w:tcPr>
          <w:p w14:paraId="7A440ECC" w14:textId="77777777" w:rsidR="00445161" w:rsidRPr="00445161" w:rsidRDefault="00445161" w:rsidP="001F07D1">
            <w:pPr>
              <w:spacing w:before="0" w:after="0" w:line="240" w:lineRule="auto"/>
              <w:jc w:val="right"/>
              <w:rPr>
                <w:rFonts w:ascii="Arial" w:hAnsi="Arial" w:cs="Arial"/>
                <w:i/>
                <w:iCs/>
                <w:sz w:val="16"/>
                <w:szCs w:val="16"/>
              </w:rPr>
            </w:pPr>
            <w:proofErr w:type="spellStart"/>
            <w:r w:rsidRPr="00445161">
              <w:rPr>
                <w:rFonts w:ascii="Arial" w:hAnsi="Arial" w:cs="Arial"/>
                <w:i/>
                <w:iCs/>
                <w:sz w:val="16"/>
                <w:szCs w:val="16"/>
              </w:rPr>
              <w:t>nfp</w:t>
            </w:r>
            <w:proofErr w:type="spellEnd"/>
          </w:p>
        </w:tc>
      </w:tr>
      <w:tr w:rsidR="00445161" w:rsidRPr="00445161" w14:paraId="29CB8AA5" w14:textId="77777777" w:rsidTr="00992F2E">
        <w:trPr>
          <w:trHeight w:val="227"/>
          <w:jc w:val="center"/>
        </w:trPr>
        <w:tc>
          <w:tcPr>
            <w:tcW w:w="8000" w:type="dxa"/>
            <w:gridSpan w:val="6"/>
            <w:tcBorders>
              <w:top w:val="nil"/>
              <w:left w:val="nil"/>
              <w:bottom w:val="nil"/>
              <w:right w:val="nil"/>
            </w:tcBorders>
            <w:shd w:val="clear" w:color="auto" w:fill="auto"/>
            <w:vAlign w:val="bottom"/>
            <w:hideMark/>
          </w:tcPr>
          <w:p w14:paraId="228029AD" w14:textId="77777777" w:rsidR="00445161" w:rsidRPr="00445161" w:rsidRDefault="00445161" w:rsidP="00992F2E">
            <w:pPr>
              <w:spacing w:before="37" w:after="0" w:line="240" w:lineRule="auto"/>
              <w:rPr>
                <w:rFonts w:ascii="Arial" w:hAnsi="Arial" w:cs="Arial"/>
                <w:b/>
                <w:bCs/>
                <w:sz w:val="16"/>
                <w:szCs w:val="16"/>
              </w:rPr>
            </w:pPr>
            <w:r w:rsidRPr="00445161">
              <w:rPr>
                <w:rFonts w:ascii="Arial" w:hAnsi="Arial" w:cs="Arial"/>
                <w:b/>
                <w:bCs/>
                <w:sz w:val="16"/>
                <w:szCs w:val="16"/>
              </w:rPr>
              <w:t xml:space="preserve">Ratification of the </w:t>
            </w:r>
            <w:proofErr w:type="spellStart"/>
            <w:r w:rsidRPr="00445161">
              <w:rPr>
                <w:rFonts w:ascii="Arial" w:hAnsi="Arial" w:cs="Arial"/>
                <w:b/>
                <w:bCs/>
                <w:sz w:val="16"/>
                <w:szCs w:val="16"/>
              </w:rPr>
              <w:t>Macolin</w:t>
            </w:r>
            <w:proofErr w:type="spellEnd"/>
            <w:r w:rsidRPr="00445161">
              <w:rPr>
                <w:rFonts w:ascii="Arial" w:hAnsi="Arial" w:cs="Arial"/>
                <w:b/>
                <w:bCs/>
                <w:sz w:val="16"/>
                <w:szCs w:val="16"/>
              </w:rPr>
              <w:t xml:space="preserve"> Convention and establishment of National Sport Integrity </w:t>
            </w:r>
            <w:proofErr w:type="gramStart"/>
            <w:r w:rsidRPr="00445161">
              <w:rPr>
                <w:rFonts w:ascii="Arial" w:hAnsi="Arial" w:cs="Arial"/>
                <w:b/>
                <w:bCs/>
                <w:sz w:val="16"/>
                <w:szCs w:val="16"/>
              </w:rPr>
              <w:t xml:space="preserve">Offences </w:t>
            </w:r>
            <w:r w:rsidRPr="00445161">
              <w:rPr>
                <w:rFonts w:ascii="Arial" w:hAnsi="Arial" w:cs="Arial"/>
                <w:b/>
                <w:bCs/>
                <w:sz w:val="16"/>
                <w:szCs w:val="16"/>
                <w:vertAlign w:val="superscript"/>
              </w:rPr>
              <w:t xml:space="preserve"> (</w:t>
            </w:r>
            <w:proofErr w:type="gramEnd"/>
            <w:r w:rsidRPr="00445161">
              <w:rPr>
                <w:rFonts w:ascii="Arial" w:hAnsi="Arial" w:cs="Arial"/>
                <w:b/>
                <w:bCs/>
                <w:sz w:val="16"/>
                <w:szCs w:val="16"/>
                <w:vertAlign w:val="superscript"/>
              </w:rPr>
              <w:t>c)</w:t>
            </w:r>
          </w:p>
        </w:tc>
      </w:tr>
      <w:tr w:rsidR="00445161" w:rsidRPr="00445161" w14:paraId="5EBE91EF"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0092A9A5"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Sport Integrity Australia</w:t>
            </w:r>
          </w:p>
        </w:tc>
        <w:tc>
          <w:tcPr>
            <w:tcW w:w="360" w:type="dxa"/>
            <w:tcBorders>
              <w:top w:val="nil"/>
              <w:left w:val="nil"/>
              <w:bottom w:val="nil"/>
              <w:right w:val="nil"/>
            </w:tcBorders>
            <w:shd w:val="clear" w:color="auto" w:fill="auto"/>
            <w:noWrap/>
            <w:vAlign w:val="bottom"/>
            <w:hideMark/>
          </w:tcPr>
          <w:p w14:paraId="1582E048" w14:textId="77777777" w:rsidR="00445161" w:rsidRPr="00445161" w:rsidRDefault="0044516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58E2EC9E" w14:textId="77777777" w:rsidR="00445161" w:rsidRPr="00445161" w:rsidRDefault="0044516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149C532A" w14:textId="77777777" w:rsidR="00445161" w:rsidRPr="00445161" w:rsidRDefault="0044516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C2F2150"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471DD699"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749515E"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4FF15C4F"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796F1E69"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36EE8893"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7FA2E9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53D94F3C"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52C193A0"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37E2E4FC" w14:textId="77777777" w:rsidTr="00992F2E">
        <w:trPr>
          <w:trHeight w:val="227"/>
          <w:jc w:val="center"/>
        </w:trPr>
        <w:tc>
          <w:tcPr>
            <w:tcW w:w="3940" w:type="dxa"/>
            <w:gridSpan w:val="2"/>
            <w:tcBorders>
              <w:top w:val="nil"/>
              <w:left w:val="nil"/>
              <w:bottom w:val="nil"/>
              <w:right w:val="nil"/>
            </w:tcBorders>
            <w:shd w:val="clear" w:color="auto" w:fill="auto"/>
            <w:noWrap/>
            <w:vAlign w:val="bottom"/>
            <w:hideMark/>
          </w:tcPr>
          <w:p w14:paraId="02C360BD" w14:textId="77777777" w:rsidR="00445161" w:rsidRPr="00445161" w:rsidRDefault="00445161" w:rsidP="001F07D1">
            <w:pPr>
              <w:spacing w:before="0" w:after="0" w:line="240" w:lineRule="auto"/>
              <w:rPr>
                <w:rFonts w:ascii="Arial" w:hAnsi="Arial" w:cs="Arial"/>
                <w:sz w:val="16"/>
                <w:szCs w:val="16"/>
              </w:rPr>
            </w:pPr>
            <w:r w:rsidRPr="00445161">
              <w:rPr>
                <w:rFonts w:ascii="Arial" w:hAnsi="Arial" w:cs="Arial"/>
                <w:sz w:val="16"/>
                <w:szCs w:val="16"/>
              </w:rPr>
              <w:t>Commonwealth Director of Public Prosecutions</w:t>
            </w:r>
          </w:p>
        </w:tc>
        <w:tc>
          <w:tcPr>
            <w:tcW w:w="940" w:type="dxa"/>
            <w:tcBorders>
              <w:top w:val="nil"/>
              <w:left w:val="nil"/>
              <w:bottom w:val="nil"/>
              <w:right w:val="nil"/>
            </w:tcBorders>
            <w:shd w:val="clear" w:color="000000" w:fill="D9D9D9"/>
            <w:noWrap/>
            <w:vAlign w:val="bottom"/>
            <w:hideMark/>
          </w:tcPr>
          <w:p w14:paraId="1C62E11E"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1863070E" w14:textId="77777777" w:rsidR="00445161" w:rsidRPr="00445161" w:rsidRDefault="0044516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A1275AF" w14:textId="77777777" w:rsidR="00445161" w:rsidRPr="00445161" w:rsidRDefault="0044516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21398CFF" w14:textId="77777777" w:rsidR="00445161" w:rsidRPr="00445161" w:rsidRDefault="00445161" w:rsidP="001F07D1">
            <w:pPr>
              <w:spacing w:before="0" w:after="0" w:line="240" w:lineRule="auto"/>
              <w:jc w:val="right"/>
              <w:rPr>
                <w:rFonts w:ascii="Times New Roman" w:hAnsi="Times New Roman"/>
                <w:sz w:val="20"/>
              </w:rPr>
            </w:pPr>
          </w:p>
        </w:tc>
      </w:tr>
      <w:tr w:rsidR="00445161" w:rsidRPr="00445161" w14:paraId="6B67AD1A"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167762ED" w14:textId="77777777" w:rsidR="00445161" w:rsidRPr="00445161" w:rsidRDefault="00445161" w:rsidP="001F07D1">
            <w:pPr>
              <w:spacing w:before="0" w:after="0" w:line="240" w:lineRule="auto"/>
              <w:ind w:leftChars="75" w:left="143"/>
              <w:rPr>
                <w:rFonts w:ascii="Arial" w:hAnsi="Arial" w:cs="Arial"/>
                <w:sz w:val="16"/>
                <w:szCs w:val="16"/>
              </w:rPr>
            </w:pPr>
            <w:r w:rsidRPr="0044516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7D1AED98" w14:textId="77777777" w:rsidR="00445161" w:rsidRPr="00445161" w:rsidRDefault="0044516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D19D5B6"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3285367"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2D14574F"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006630B8" w14:textId="77777777" w:rsidR="00445161" w:rsidRPr="00445161" w:rsidRDefault="00445161" w:rsidP="001F07D1">
            <w:pPr>
              <w:spacing w:before="0" w:after="0" w:line="240" w:lineRule="auto"/>
              <w:jc w:val="right"/>
              <w:rPr>
                <w:rFonts w:ascii="Arial" w:hAnsi="Arial" w:cs="Arial"/>
                <w:sz w:val="16"/>
                <w:szCs w:val="16"/>
              </w:rPr>
            </w:pPr>
            <w:r w:rsidRPr="00445161">
              <w:rPr>
                <w:rFonts w:ascii="Arial" w:hAnsi="Arial" w:cs="Arial"/>
                <w:sz w:val="16"/>
                <w:szCs w:val="16"/>
              </w:rPr>
              <w:t xml:space="preserve">- </w:t>
            </w:r>
          </w:p>
        </w:tc>
      </w:tr>
      <w:tr w:rsidR="00445161" w:rsidRPr="00445161" w14:paraId="688C356C" w14:textId="77777777" w:rsidTr="00992F2E">
        <w:trPr>
          <w:trHeight w:val="227"/>
          <w:jc w:val="center"/>
        </w:trPr>
        <w:tc>
          <w:tcPr>
            <w:tcW w:w="3580" w:type="dxa"/>
            <w:tcBorders>
              <w:top w:val="nil"/>
              <w:left w:val="nil"/>
              <w:bottom w:val="nil"/>
              <w:right w:val="nil"/>
            </w:tcBorders>
            <w:shd w:val="clear" w:color="auto" w:fill="auto"/>
            <w:noWrap/>
            <w:vAlign w:val="bottom"/>
            <w:hideMark/>
          </w:tcPr>
          <w:p w14:paraId="0368A960" w14:textId="77777777" w:rsidR="00445161" w:rsidRPr="00445161" w:rsidRDefault="00445161" w:rsidP="001F07D1">
            <w:pPr>
              <w:spacing w:before="0" w:after="0" w:line="240" w:lineRule="auto"/>
              <w:rPr>
                <w:rFonts w:ascii="Arial" w:hAnsi="Arial" w:cs="Arial"/>
                <w:b/>
                <w:bCs/>
                <w:sz w:val="16"/>
                <w:szCs w:val="16"/>
              </w:rPr>
            </w:pPr>
            <w:r w:rsidRPr="0044516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61366B2A" w14:textId="77777777" w:rsidR="00445161" w:rsidRPr="00445161" w:rsidRDefault="0044516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7FBA194C"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21698028"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676648A2"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59FD6157" w14:textId="77777777" w:rsidR="00445161" w:rsidRPr="00445161" w:rsidRDefault="00445161" w:rsidP="001F07D1">
            <w:pPr>
              <w:spacing w:before="0" w:after="0" w:line="240" w:lineRule="auto"/>
              <w:jc w:val="right"/>
              <w:rPr>
                <w:rFonts w:ascii="Arial" w:hAnsi="Arial" w:cs="Arial"/>
                <w:b/>
                <w:bCs/>
                <w:sz w:val="16"/>
                <w:szCs w:val="16"/>
              </w:rPr>
            </w:pPr>
            <w:r w:rsidRPr="00445161">
              <w:rPr>
                <w:rFonts w:ascii="Arial" w:hAnsi="Arial" w:cs="Arial"/>
                <w:b/>
                <w:bCs/>
                <w:sz w:val="16"/>
                <w:szCs w:val="16"/>
              </w:rPr>
              <w:t xml:space="preserve">- </w:t>
            </w:r>
          </w:p>
        </w:tc>
      </w:tr>
    </w:tbl>
    <w:p w14:paraId="7FE7C2FB" w14:textId="77777777" w:rsidR="00445161" w:rsidRDefault="00445161">
      <w:pPr>
        <w:spacing w:before="0" w:after="0" w:line="240" w:lineRule="auto"/>
        <w:rPr>
          <w:rFonts w:ascii="Arial" w:hAnsi="Arial" w:cs="Arial"/>
          <w:color w:val="2E74B5" w:themeColor="accent1" w:themeShade="BF"/>
          <w:sz w:val="20"/>
        </w:rPr>
      </w:pPr>
    </w:p>
    <w:p w14:paraId="20DC1039" w14:textId="0324B066" w:rsidR="001F07D1" w:rsidRDefault="001F07D1">
      <w:pPr>
        <w:spacing w:before="0" w:after="0" w:line="240" w:lineRule="auto"/>
        <w:rPr>
          <w:rFonts w:ascii="Arial" w:hAnsi="Arial" w:cs="Arial"/>
          <w:color w:val="2E74B5" w:themeColor="accent1" w:themeShade="BF"/>
          <w:sz w:val="20"/>
        </w:rPr>
      </w:pPr>
      <w:r>
        <w:rPr>
          <w:rFonts w:ascii="Arial" w:hAnsi="Arial" w:cs="Arial"/>
          <w:color w:val="2E74B5" w:themeColor="accent1" w:themeShade="BF"/>
          <w:sz w:val="20"/>
        </w:rPr>
        <w:br w:type="page"/>
      </w:r>
    </w:p>
    <w:p w14:paraId="318FF958" w14:textId="184A0047" w:rsidR="00C5652B" w:rsidRPr="00C5652B" w:rsidRDefault="00C5652B" w:rsidP="00D36C41">
      <w:pPr>
        <w:spacing w:after="20"/>
      </w:pPr>
      <w:r w:rsidRPr="007F0B7E">
        <w:rPr>
          <w:rFonts w:ascii="Arial" w:hAnsi="Arial" w:cs="Arial"/>
          <w:b/>
          <w:sz w:val="20"/>
        </w:rPr>
        <w:lastRenderedPageBreak/>
        <w:t>Table 1.2: Department of Health and Aged Care measures since the 2023–24 Budget</w:t>
      </w:r>
      <w:r>
        <w:rPr>
          <w:rFonts w:ascii="Arial" w:hAnsi="Arial" w:cs="Arial"/>
          <w:b/>
          <w:sz w:val="20"/>
        </w:rPr>
        <w:t xml:space="preserve"> (continued)</w:t>
      </w:r>
    </w:p>
    <w:tbl>
      <w:tblPr>
        <w:tblW w:w="8000" w:type="dxa"/>
        <w:jc w:val="center"/>
        <w:tblLayout w:type="fixed"/>
        <w:tblLook w:val="04A0" w:firstRow="1" w:lastRow="0" w:firstColumn="1" w:lastColumn="0" w:noHBand="0" w:noVBand="1"/>
      </w:tblPr>
      <w:tblGrid>
        <w:gridCol w:w="3580"/>
        <w:gridCol w:w="360"/>
        <w:gridCol w:w="940"/>
        <w:gridCol w:w="1060"/>
        <w:gridCol w:w="1020"/>
        <w:gridCol w:w="1040"/>
      </w:tblGrid>
      <w:tr w:rsidR="001F07D1" w:rsidRPr="001F07D1" w14:paraId="5A543AE7" w14:textId="77777777" w:rsidTr="00C5652B">
        <w:trPr>
          <w:trHeight w:val="397"/>
          <w:jc w:val="center"/>
        </w:trPr>
        <w:tc>
          <w:tcPr>
            <w:tcW w:w="3940" w:type="dxa"/>
            <w:gridSpan w:val="2"/>
            <w:tcBorders>
              <w:top w:val="single" w:sz="4" w:space="0" w:color="000000"/>
              <w:left w:val="nil"/>
              <w:bottom w:val="nil"/>
              <w:right w:val="nil"/>
            </w:tcBorders>
            <w:shd w:val="clear" w:color="auto" w:fill="auto"/>
            <w:vAlign w:val="bottom"/>
            <w:hideMark/>
          </w:tcPr>
          <w:p w14:paraId="6B3B7C83" w14:textId="77777777" w:rsidR="001F07D1" w:rsidRPr="001F07D1" w:rsidRDefault="001F07D1" w:rsidP="00C5652B">
            <w:pPr>
              <w:spacing w:before="24" w:after="0" w:line="240" w:lineRule="auto"/>
              <w:jc w:val="right"/>
              <w:rPr>
                <w:rFonts w:ascii="Arial" w:hAnsi="Arial" w:cs="Arial"/>
                <w:b/>
                <w:bCs/>
                <w:sz w:val="16"/>
                <w:szCs w:val="16"/>
              </w:rPr>
            </w:pPr>
            <w:r w:rsidRPr="001F07D1">
              <w:rPr>
                <w:rFonts w:ascii="Arial" w:hAnsi="Arial" w:cs="Arial"/>
                <w:b/>
                <w:bCs/>
                <w:sz w:val="16"/>
                <w:szCs w:val="16"/>
              </w:rPr>
              <w:t xml:space="preserve">Outcome/ </w:t>
            </w:r>
            <w:r w:rsidRPr="001F07D1">
              <w:rPr>
                <w:rFonts w:ascii="Arial" w:hAnsi="Arial"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vAlign w:val="bottom"/>
            <w:hideMark/>
          </w:tcPr>
          <w:p w14:paraId="6424A0E7" w14:textId="48924A39" w:rsidR="001F07D1" w:rsidRPr="001F07D1" w:rsidRDefault="00C5652B" w:rsidP="00C5652B">
            <w:pPr>
              <w:spacing w:before="24" w:after="0" w:line="240" w:lineRule="auto"/>
              <w:jc w:val="right"/>
              <w:rPr>
                <w:rFonts w:ascii="Arial" w:hAnsi="Arial" w:cs="Arial"/>
                <w:b/>
                <w:bCs/>
                <w:sz w:val="16"/>
                <w:szCs w:val="16"/>
              </w:rPr>
            </w:pPr>
            <w:r>
              <w:rPr>
                <w:rFonts w:ascii="Arial" w:hAnsi="Arial" w:cs="Arial"/>
                <w:b/>
                <w:bCs/>
                <w:sz w:val="16"/>
                <w:szCs w:val="16"/>
              </w:rPr>
              <w:t>2023–</w:t>
            </w:r>
            <w:r w:rsidR="001F07D1" w:rsidRPr="001F07D1">
              <w:rPr>
                <w:rFonts w:ascii="Arial" w:hAnsi="Arial" w:cs="Arial"/>
                <w:b/>
                <w:bCs/>
                <w:sz w:val="16"/>
                <w:szCs w:val="16"/>
              </w:rPr>
              <w:t>24</w:t>
            </w:r>
            <w:r w:rsidR="001F07D1" w:rsidRPr="001F07D1">
              <w:rPr>
                <w:rFonts w:ascii="Arial" w:hAnsi="Arial" w:cs="Arial"/>
                <w:b/>
                <w:bCs/>
                <w:sz w:val="16"/>
                <w:szCs w:val="16"/>
              </w:rPr>
              <w:br/>
            </w:r>
            <w:r w:rsidR="001F07D1" w:rsidRPr="001F07D1">
              <w:rPr>
                <w:rFonts w:ascii="Arial" w:hAnsi="Arial" w:cs="Arial"/>
                <w:sz w:val="16"/>
                <w:szCs w:val="16"/>
              </w:rPr>
              <w:t>$'000</w:t>
            </w:r>
          </w:p>
        </w:tc>
        <w:tc>
          <w:tcPr>
            <w:tcW w:w="1060" w:type="dxa"/>
            <w:tcBorders>
              <w:top w:val="single" w:sz="4" w:space="0" w:color="000000"/>
              <w:left w:val="nil"/>
              <w:bottom w:val="single" w:sz="4" w:space="0" w:color="000000"/>
              <w:right w:val="nil"/>
            </w:tcBorders>
            <w:shd w:val="clear" w:color="auto" w:fill="auto"/>
            <w:vAlign w:val="bottom"/>
            <w:hideMark/>
          </w:tcPr>
          <w:p w14:paraId="6C3DACBC" w14:textId="0BD8EF8B" w:rsidR="001F07D1" w:rsidRPr="001F07D1" w:rsidRDefault="00C5652B" w:rsidP="00C5652B">
            <w:pPr>
              <w:spacing w:before="24" w:after="0" w:line="240" w:lineRule="auto"/>
              <w:jc w:val="right"/>
              <w:rPr>
                <w:rFonts w:ascii="Arial" w:hAnsi="Arial" w:cs="Arial"/>
                <w:b/>
                <w:bCs/>
                <w:sz w:val="16"/>
                <w:szCs w:val="16"/>
              </w:rPr>
            </w:pPr>
            <w:r>
              <w:rPr>
                <w:rFonts w:ascii="Arial" w:hAnsi="Arial" w:cs="Arial"/>
                <w:b/>
                <w:bCs/>
                <w:sz w:val="16"/>
                <w:szCs w:val="16"/>
              </w:rPr>
              <w:t>2024–</w:t>
            </w:r>
            <w:r w:rsidR="001F07D1" w:rsidRPr="001F07D1">
              <w:rPr>
                <w:rFonts w:ascii="Arial" w:hAnsi="Arial" w:cs="Arial"/>
                <w:b/>
                <w:bCs/>
                <w:sz w:val="16"/>
                <w:szCs w:val="16"/>
              </w:rPr>
              <w:t>25</w:t>
            </w:r>
            <w:r w:rsidR="001F07D1" w:rsidRPr="001F07D1">
              <w:rPr>
                <w:rFonts w:ascii="Arial" w:hAnsi="Arial" w:cs="Arial"/>
                <w:b/>
                <w:bCs/>
                <w:sz w:val="16"/>
                <w:szCs w:val="16"/>
              </w:rPr>
              <w:br/>
            </w:r>
            <w:r w:rsidR="001F07D1" w:rsidRPr="001F07D1">
              <w:rPr>
                <w:rFonts w:ascii="Arial" w:hAnsi="Arial" w:cs="Arial"/>
                <w:sz w:val="16"/>
                <w:szCs w:val="16"/>
              </w:rPr>
              <w:t>$'000</w:t>
            </w:r>
          </w:p>
        </w:tc>
        <w:tc>
          <w:tcPr>
            <w:tcW w:w="1020" w:type="dxa"/>
            <w:tcBorders>
              <w:top w:val="single" w:sz="4" w:space="0" w:color="000000"/>
              <w:left w:val="nil"/>
              <w:bottom w:val="single" w:sz="4" w:space="0" w:color="000000"/>
              <w:right w:val="nil"/>
            </w:tcBorders>
            <w:shd w:val="clear" w:color="auto" w:fill="auto"/>
            <w:vAlign w:val="bottom"/>
            <w:hideMark/>
          </w:tcPr>
          <w:p w14:paraId="15189AF1" w14:textId="407EB74C" w:rsidR="001F07D1" w:rsidRPr="001F07D1" w:rsidRDefault="00C5652B" w:rsidP="00C5652B">
            <w:pPr>
              <w:spacing w:before="24" w:after="0" w:line="240" w:lineRule="auto"/>
              <w:jc w:val="right"/>
              <w:rPr>
                <w:rFonts w:ascii="Arial" w:hAnsi="Arial" w:cs="Arial"/>
                <w:b/>
                <w:bCs/>
                <w:sz w:val="16"/>
                <w:szCs w:val="16"/>
              </w:rPr>
            </w:pPr>
            <w:r>
              <w:rPr>
                <w:rFonts w:ascii="Arial" w:hAnsi="Arial" w:cs="Arial"/>
                <w:b/>
                <w:bCs/>
                <w:sz w:val="16"/>
                <w:szCs w:val="16"/>
              </w:rPr>
              <w:t>2025–</w:t>
            </w:r>
            <w:r w:rsidR="001F07D1" w:rsidRPr="001F07D1">
              <w:rPr>
                <w:rFonts w:ascii="Arial" w:hAnsi="Arial" w:cs="Arial"/>
                <w:b/>
                <w:bCs/>
                <w:sz w:val="16"/>
                <w:szCs w:val="16"/>
              </w:rPr>
              <w:t>26</w:t>
            </w:r>
            <w:r w:rsidR="001F07D1" w:rsidRPr="001F07D1">
              <w:rPr>
                <w:rFonts w:ascii="Arial" w:hAnsi="Arial" w:cs="Arial"/>
                <w:b/>
                <w:bCs/>
                <w:sz w:val="16"/>
                <w:szCs w:val="16"/>
              </w:rPr>
              <w:br/>
            </w:r>
            <w:r w:rsidR="001F07D1" w:rsidRPr="001F07D1">
              <w:rPr>
                <w:rFonts w:ascii="Arial" w:hAnsi="Arial" w:cs="Arial"/>
                <w:sz w:val="16"/>
                <w:szCs w:val="16"/>
              </w:rPr>
              <w:t>$'000</w:t>
            </w:r>
          </w:p>
        </w:tc>
        <w:tc>
          <w:tcPr>
            <w:tcW w:w="1040" w:type="dxa"/>
            <w:tcBorders>
              <w:top w:val="single" w:sz="4" w:space="0" w:color="000000"/>
              <w:left w:val="nil"/>
              <w:bottom w:val="single" w:sz="4" w:space="0" w:color="000000"/>
              <w:right w:val="nil"/>
            </w:tcBorders>
            <w:shd w:val="clear" w:color="auto" w:fill="auto"/>
            <w:vAlign w:val="bottom"/>
            <w:hideMark/>
          </w:tcPr>
          <w:p w14:paraId="6BFCBFBA" w14:textId="4FDC3221" w:rsidR="001F07D1" w:rsidRPr="001F07D1" w:rsidRDefault="00C5652B" w:rsidP="00C5652B">
            <w:pPr>
              <w:spacing w:before="24" w:after="0" w:line="240" w:lineRule="auto"/>
              <w:jc w:val="right"/>
              <w:rPr>
                <w:rFonts w:ascii="Arial" w:hAnsi="Arial" w:cs="Arial"/>
                <w:b/>
                <w:bCs/>
                <w:sz w:val="16"/>
                <w:szCs w:val="16"/>
              </w:rPr>
            </w:pPr>
            <w:r>
              <w:rPr>
                <w:rFonts w:ascii="Arial" w:hAnsi="Arial" w:cs="Arial"/>
                <w:b/>
                <w:bCs/>
                <w:sz w:val="16"/>
                <w:szCs w:val="16"/>
              </w:rPr>
              <w:t>2026–</w:t>
            </w:r>
            <w:r w:rsidR="001F07D1" w:rsidRPr="001F07D1">
              <w:rPr>
                <w:rFonts w:ascii="Arial" w:hAnsi="Arial" w:cs="Arial"/>
                <w:b/>
                <w:bCs/>
                <w:sz w:val="16"/>
                <w:szCs w:val="16"/>
              </w:rPr>
              <w:t>27</w:t>
            </w:r>
            <w:r w:rsidR="001F07D1" w:rsidRPr="001F07D1">
              <w:rPr>
                <w:rFonts w:ascii="Arial" w:hAnsi="Arial" w:cs="Arial"/>
                <w:b/>
                <w:bCs/>
                <w:sz w:val="16"/>
                <w:szCs w:val="16"/>
              </w:rPr>
              <w:br/>
            </w:r>
            <w:r w:rsidR="001F07D1" w:rsidRPr="001F07D1">
              <w:rPr>
                <w:rFonts w:ascii="Arial" w:hAnsi="Arial" w:cs="Arial"/>
                <w:sz w:val="16"/>
                <w:szCs w:val="16"/>
              </w:rPr>
              <w:t>$'000</w:t>
            </w:r>
          </w:p>
        </w:tc>
      </w:tr>
      <w:tr w:rsidR="001F07D1" w:rsidRPr="001F07D1" w14:paraId="6C27798E" w14:textId="77777777" w:rsidTr="00740335">
        <w:trPr>
          <w:trHeight w:val="454"/>
          <w:jc w:val="center"/>
        </w:trPr>
        <w:tc>
          <w:tcPr>
            <w:tcW w:w="8000" w:type="dxa"/>
            <w:gridSpan w:val="6"/>
            <w:tcBorders>
              <w:top w:val="nil"/>
              <w:left w:val="nil"/>
              <w:bottom w:val="nil"/>
              <w:right w:val="nil"/>
            </w:tcBorders>
            <w:shd w:val="clear" w:color="auto" w:fill="auto"/>
            <w:vAlign w:val="bottom"/>
            <w:hideMark/>
          </w:tcPr>
          <w:p w14:paraId="6C64A554"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Re-opening the Eligibility Assessment for Registration with the Australian Thalidomide Survivors Support Program</w:t>
            </w:r>
          </w:p>
        </w:tc>
      </w:tr>
      <w:tr w:rsidR="001F07D1" w:rsidRPr="001F07D1" w14:paraId="140D3040"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416F281C" w14:textId="3C3B0B44"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Department of Health</w:t>
            </w:r>
            <w:r w:rsidR="00992F2E">
              <w:rPr>
                <w:rFonts w:ascii="Arial" w:hAnsi="Arial" w:cs="Arial"/>
                <w:sz w:val="16"/>
                <w:szCs w:val="16"/>
              </w:rPr>
              <w:t xml:space="preserve"> and Aged Care</w:t>
            </w:r>
          </w:p>
        </w:tc>
        <w:tc>
          <w:tcPr>
            <w:tcW w:w="360" w:type="dxa"/>
            <w:tcBorders>
              <w:top w:val="nil"/>
              <w:left w:val="nil"/>
              <w:bottom w:val="nil"/>
              <w:right w:val="nil"/>
            </w:tcBorders>
            <w:shd w:val="clear" w:color="auto" w:fill="auto"/>
            <w:noWrap/>
            <w:vAlign w:val="bottom"/>
            <w:hideMark/>
          </w:tcPr>
          <w:p w14:paraId="606286D2"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EDB1F86"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7552D78"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19BE53F9"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5A84934"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61B9130E"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5900D15A"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0F6C5C30"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1.5</w:t>
            </w:r>
          </w:p>
        </w:tc>
        <w:tc>
          <w:tcPr>
            <w:tcW w:w="940" w:type="dxa"/>
            <w:tcBorders>
              <w:top w:val="nil"/>
              <w:left w:val="nil"/>
              <w:bottom w:val="nil"/>
              <w:right w:val="nil"/>
            </w:tcBorders>
            <w:shd w:val="clear" w:color="000000" w:fill="D9D9D9"/>
            <w:noWrap/>
            <w:vAlign w:val="bottom"/>
            <w:hideMark/>
          </w:tcPr>
          <w:p w14:paraId="4B1965E5"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866CE7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3,253 </w:t>
            </w:r>
          </w:p>
        </w:tc>
        <w:tc>
          <w:tcPr>
            <w:tcW w:w="1020" w:type="dxa"/>
            <w:tcBorders>
              <w:top w:val="nil"/>
              <w:left w:val="nil"/>
              <w:bottom w:val="nil"/>
              <w:right w:val="nil"/>
            </w:tcBorders>
            <w:shd w:val="clear" w:color="auto" w:fill="auto"/>
            <w:noWrap/>
            <w:vAlign w:val="bottom"/>
            <w:hideMark/>
          </w:tcPr>
          <w:p w14:paraId="0B0BA7FD"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568 </w:t>
            </w:r>
          </w:p>
        </w:tc>
        <w:tc>
          <w:tcPr>
            <w:tcW w:w="1040" w:type="dxa"/>
            <w:tcBorders>
              <w:top w:val="nil"/>
              <w:left w:val="nil"/>
              <w:bottom w:val="nil"/>
              <w:right w:val="nil"/>
            </w:tcBorders>
            <w:shd w:val="clear" w:color="auto" w:fill="auto"/>
            <w:noWrap/>
            <w:vAlign w:val="bottom"/>
            <w:hideMark/>
          </w:tcPr>
          <w:p w14:paraId="593858F2"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575 </w:t>
            </w:r>
          </w:p>
        </w:tc>
      </w:tr>
      <w:tr w:rsidR="001F07D1" w:rsidRPr="001F07D1" w14:paraId="37213402"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141CE372"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334E3A59"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5B212912"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22316EFC"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3,253 </w:t>
            </w:r>
          </w:p>
        </w:tc>
        <w:tc>
          <w:tcPr>
            <w:tcW w:w="1020" w:type="dxa"/>
            <w:tcBorders>
              <w:top w:val="single" w:sz="4" w:space="0" w:color="000000"/>
              <w:left w:val="nil"/>
              <w:bottom w:val="single" w:sz="4" w:space="0" w:color="000000"/>
              <w:right w:val="nil"/>
            </w:tcBorders>
            <w:shd w:val="clear" w:color="auto" w:fill="auto"/>
            <w:noWrap/>
            <w:vAlign w:val="bottom"/>
            <w:hideMark/>
          </w:tcPr>
          <w:p w14:paraId="5D7B6C0C"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568 </w:t>
            </w:r>
          </w:p>
        </w:tc>
        <w:tc>
          <w:tcPr>
            <w:tcW w:w="1040" w:type="dxa"/>
            <w:tcBorders>
              <w:top w:val="single" w:sz="4" w:space="0" w:color="000000"/>
              <w:left w:val="nil"/>
              <w:bottom w:val="single" w:sz="4" w:space="0" w:color="000000"/>
              <w:right w:val="nil"/>
            </w:tcBorders>
            <w:shd w:val="clear" w:color="auto" w:fill="auto"/>
            <w:noWrap/>
            <w:vAlign w:val="bottom"/>
            <w:hideMark/>
          </w:tcPr>
          <w:p w14:paraId="62ECF288"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575 </w:t>
            </w:r>
          </w:p>
        </w:tc>
      </w:tr>
      <w:tr w:rsidR="001F07D1" w:rsidRPr="001F07D1" w14:paraId="788ACACC"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0FD4FA16" w14:textId="224EC69D" w:rsidR="001F07D1" w:rsidRPr="001F07D1" w:rsidRDefault="001F07D1" w:rsidP="003D5790">
            <w:pPr>
              <w:spacing w:before="0" w:after="0" w:line="240" w:lineRule="auto"/>
              <w:rPr>
                <w:rFonts w:ascii="Arial" w:hAnsi="Arial" w:cs="Arial"/>
                <w:b/>
                <w:bCs/>
                <w:sz w:val="16"/>
                <w:szCs w:val="16"/>
              </w:rPr>
            </w:pPr>
            <w:r w:rsidRPr="001F07D1">
              <w:rPr>
                <w:rFonts w:ascii="Arial" w:hAnsi="Arial" w:cs="Arial"/>
                <w:b/>
                <w:bCs/>
                <w:sz w:val="16"/>
                <w:szCs w:val="16"/>
              </w:rPr>
              <w:t>Safety in Sport</w:t>
            </w:r>
            <w:r w:rsidRPr="001F07D1">
              <w:rPr>
                <w:rFonts w:ascii="Arial" w:hAnsi="Arial" w:cs="Arial"/>
                <w:b/>
                <w:bCs/>
                <w:sz w:val="16"/>
                <w:szCs w:val="16"/>
                <w:vertAlign w:val="superscript"/>
              </w:rPr>
              <w:t xml:space="preserve">(c) (e) </w:t>
            </w:r>
          </w:p>
        </w:tc>
      </w:tr>
      <w:tr w:rsidR="001F07D1" w:rsidRPr="001F07D1" w14:paraId="3E8B605F"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7F92E5C6" w14:textId="77777777"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Sport Integrity Australia</w:t>
            </w:r>
          </w:p>
        </w:tc>
        <w:tc>
          <w:tcPr>
            <w:tcW w:w="360" w:type="dxa"/>
            <w:tcBorders>
              <w:top w:val="nil"/>
              <w:left w:val="nil"/>
              <w:bottom w:val="nil"/>
              <w:right w:val="nil"/>
            </w:tcBorders>
            <w:shd w:val="clear" w:color="auto" w:fill="auto"/>
            <w:noWrap/>
            <w:vAlign w:val="bottom"/>
            <w:hideMark/>
          </w:tcPr>
          <w:p w14:paraId="4185CBE6"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4EC10D8"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2F4F0397"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05497886"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6EA156C9"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064D68E2"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03FCE007"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172B12E9"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A81281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3,721 </w:t>
            </w:r>
          </w:p>
        </w:tc>
        <w:tc>
          <w:tcPr>
            <w:tcW w:w="1060" w:type="dxa"/>
            <w:tcBorders>
              <w:top w:val="nil"/>
              <w:left w:val="nil"/>
              <w:bottom w:val="nil"/>
              <w:right w:val="nil"/>
            </w:tcBorders>
            <w:shd w:val="clear" w:color="auto" w:fill="auto"/>
            <w:noWrap/>
            <w:vAlign w:val="bottom"/>
            <w:hideMark/>
          </w:tcPr>
          <w:p w14:paraId="77ECFEE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7,707 </w:t>
            </w:r>
          </w:p>
        </w:tc>
        <w:tc>
          <w:tcPr>
            <w:tcW w:w="1020" w:type="dxa"/>
            <w:tcBorders>
              <w:top w:val="nil"/>
              <w:left w:val="nil"/>
              <w:bottom w:val="nil"/>
              <w:right w:val="nil"/>
            </w:tcBorders>
            <w:shd w:val="clear" w:color="auto" w:fill="auto"/>
            <w:noWrap/>
            <w:vAlign w:val="bottom"/>
            <w:hideMark/>
          </w:tcPr>
          <w:p w14:paraId="59FCF036"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8,147 </w:t>
            </w:r>
          </w:p>
        </w:tc>
        <w:tc>
          <w:tcPr>
            <w:tcW w:w="1040" w:type="dxa"/>
            <w:tcBorders>
              <w:top w:val="nil"/>
              <w:left w:val="nil"/>
              <w:bottom w:val="nil"/>
              <w:right w:val="nil"/>
            </w:tcBorders>
            <w:shd w:val="clear" w:color="auto" w:fill="auto"/>
            <w:noWrap/>
            <w:vAlign w:val="bottom"/>
            <w:hideMark/>
          </w:tcPr>
          <w:p w14:paraId="57983C4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7,874 </w:t>
            </w:r>
          </w:p>
        </w:tc>
      </w:tr>
      <w:tr w:rsidR="001F07D1" w:rsidRPr="001F07D1" w14:paraId="3F88E2A1"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62BD4798"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Departmental capital payments</w:t>
            </w:r>
          </w:p>
        </w:tc>
        <w:tc>
          <w:tcPr>
            <w:tcW w:w="360" w:type="dxa"/>
            <w:tcBorders>
              <w:top w:val="nil"/>
              <w:left w:val="nil"/>
              <w:bottom w:val="nil"/>
              <w:right w:val="nil"/>
            </w:tcBorders>
            <w:shd w:val="clear" w:color="auto" w:fill="auto"/>
            <w:noWrap/>
            <w:vAlign w:val="bottom"/>
            <w:hideMark/>
          </w:tcPr>
          <w:p w14:paraId="1270737B"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F0AE050"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865 </w:t>
            </w:r>
          </w:p>
        </w:tc>
        <w:tc>
          <w:tcPr>
            <w:tcW w:w="1060" w:type="dxa"/>
            <w:tcBorders>
              <w:top w:val="nil"/>
              <w:left w:val="nil"/>
              <w:bottom w:val="nil"/>
              <w:right w:val="nil"/>
            </w:tcBorders>
            <w:shd w:val="clear" w:color="auto" w:fill="auto"/>
            <w:noWrap/>
            <w:vAlign w:val="bottom"/>
            <w:hideMark/>
          </w:tcPr>
          <w:p w14:paraId="5F4C6AD3"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11AB13F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6B29D979"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5BA1542F"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016B1515"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04146AE6"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1E55A9BD"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4,586 </w:t>
            </w:r>
          </w:p>
        </w:tc>
        <w:tc>
          <w:tcPr>
            <w:tcW w:w="1060" w:type="dxa"/>
            <w:tcBorders>
              <w:top w:val="single" w:sz="4" w:space="0" w:color="000000"/>
              <w:left w:val="nil"/>
              <w:bottom w:val="single" w:sz="4" w:space="0" w:color="000000"/>
              <w:right w:val="nil"/>
            </w:tcBorders>
            <w:shd w:val="clear" w:color="auto" w:fill="auto"/>
            <w:noWrap/>
            <w:vAlign w:val="bottom"/>
            <w:hideMark/>
          </w:tcPr>
          <w:p w14:paraId="575D6EC4"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7,707 </w:t>
            </w:r>
          </w:p>
        </w:tc>
        <w:tc>
          <w:tcPr>
            <w:tcW w:w="1020" w:type="dxa"/>
            <w:tcBorders>
              <w:top w:val="single" w:sz="4" w:space="0" w:color="000000"/>
              <w:left w:val="nil"/>
              <w:bottom w:val="single" w:sz="4" w:space="0" w:color="000000"/>
              <w:right w:val="nil"/>
            </w:tcBorders>
            <w:shd w:val="clear" w:color="auto" w:fill="auto"/>
            <w:noWrap/>
            <w:vAlign w:val="bottom"/>
            <w:hideMark/>
          </w:tcPr>
          <w:p w14:paraId="366F2B1C"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8,147 </w:t>
            </w:r>
          </w:p>
        </w:tc>
        <w:tc>
          <w:tcPr>
            <w:tcW w:w="1040" w:type="dxa"/>
            <w:tcBorders>
              <w:top w:val="single" w:sz="4" w:space="0" w:color="000000"/>
              <w:left w:val="nil"/>
              <w:bottom w:val="single" w:sz="4" w:space="0" w:color="000000"/>
              <w:right w:val="nil"/>
            </w:tcBorders>
            <w:shd w:val="clear" w:color="auto" w:fill="auto"/>
            <w:noWrap/>
            <w:vAlign w:val="bottom"/>
            <w:hideMark/>
          </w:tcPr>
          <w:p w14:paraId="61D5A17E"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7,874 </w:t>
            </w:r>
          </w:p>
        </w:tc>
      </w:tr>
      <w:tr w:rsidR="001F07D1" w:rsidRPr="001F07D1" w14:paraId="219120E9"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5727811D"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Supporting Australian Athletes and the Paris 2024 Olympic and Paralympic Games</w:t>
            </w:r>
          </w:p>
        </w:tc>
      </w:tr>
      <w:tr w:rsidR="001F07D1" w:rsidRPr="001F07D1" w14:paraId="14F438FE"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57A84949" w14:textId="16E32699"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Department of Health</w:t>
            </w:r>
            <w:r w:rsidR="00992F2E">
              <w:rPr>
                <w:rFonts w:ascii="Arial" w:hAnsi="Arial" w:cs="Arial"/>
                <w:sz w:val="16"/>
                <w:szCs w:val="16"/>
              </w:rPr>
              <w:t xml:space="preserve"> and Aged Care</w:t>
            </w:r>
          </w:p>
        </w:tc>
        <w:tc>
          <w:tcPr>
            <w:tcW w:w="360" w:type="dxa"/>
            <w:tcBorders>
              <w:top w:val="nil"/>
              <w:left w:val="nil"/>
              <w:bottom w:val="nil"/>
              <w:right w:val="nil"/>
            </w:tcBorders>
            <w:shd w:val="clear" w:color="auto" w:fill="auto"/>
            <w:noWrap/>
            <w:tcMar>
              <w:left w:w="0" w:type="dxa"/>
            </w:tcMar>
            <w:vAlign w:val="bottom"/>
            <w:hideMark/>
          </w:tcPr>
          <w:p w14:paraId="6E1049A9"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1E6D7ED"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FF65892"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8B098BA"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29E0178D"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5368EE12"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783B27A9"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106D71DD"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1B5DB50"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8AB7676"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20" w:type="dxa"/>
            <w:tcBorders>
              <w:top w:val="nil"/>
              <w:left w:val="nil"/>
              <w:bottom w:val="nil"/>
              <w:right w:val="nil"/>
            </w:tcBorders>
            <w:shd w:val="clear" w:color="auto" w:fill="auto"/>
            <w:noWrap/>
            <w:vAlign w:val="bottom"/>
            <w:hideMark/>
          </w:tcPr>
          <w:p w14:paraId="74EC6402"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2BC58415"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72E66EA7"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7B821D93"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49B585F7"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53E12E6B"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00BEA8F9"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bottom"/>
            <w:hideMark/>
          </w:tcPr>
          <w:p w14:paraId="2D6513BA"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19B2940D"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r>
      <w:tr w:rsidR="001F07D1" w:rsidRPr="001F07D1" w14:paraId="05903274"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0D300082"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Supporting Australian Communities Affected by the Hamas-Israel Conflict</w:t>
            </w:r>
          </w:p>
        </w:tc>
      </w:tr>
      <w:tr w:rsidR="001F07D1" w:rsidRPr="001F07D1" w14:paraId="243D5467"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07EC3A9A" w14:textId="01704F52"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Department of Health</w:t>
            </w:r>
            <w:r w:rsidR="00992F2E">
              <w:rPr>
                <w:rFonts w:ascii="Arial" w:hAnsi="Arial" w:cs="Arial"/>
                <w:sz w:val="16"/>
                <w:szCs w:val="16"/>
              </w:rPr>
              <w:t xml:space="preserve"> and Aged Care</w:t>
            </w:r>
          </w:p>
        </w:tc>
        <w:tc>
          <w:tcPr>
            <w:tcW w:w="360" w:type="dxa"/>
            <w:tcBorders>
              <w:top w:val="nil"/>
              <w:left w:val="nil"/>
              <w:bottom w:val="nil"/>
              <w:right w:val="nil"/>
            </w:tcBorders>
            <w:shd w:val="clear" w:color="auto" w:fill="auto"/>
            <w:noWrap/>
            <w:vAlign w:val="bottom"/>
            <w:hideMark/>
          </w:tcPr>
          <w:p w14:paraId="0C90CABD"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9BE6F41"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9BEEC1B"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C7472F7"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A6B5F8D"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5ED6E379"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5FDBC563"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0D305C3B"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1.2</w:t>
            </w:r>
          </w:p>
        </w:tc>
        <w:tc>
          <w:tcPr>
            <w:tcW w:w="940" w:type="dxa"/>
            <w:tcBorders>
              <w:top w:val="nil"/>
              <w:left w:val="nil"/>
              <w:bottom w:val="nil"/>
              <w:right w:val="nil"/>
            </w:tcBorders>
            <w:shd w:val="clear" w:color="000000" w:fill="D9D9D9"/>
            <w:noWrap/>
            <w:vAlign w:val="bottom"/>
            <w:hideMark/>
          </w:tcPr>
          <w:p w14:paraId="134F012D"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1,500 </w:t>
            </w:r>
          </w:p>
        </w:tc>
        <w:tc>
          <w:tcPr>
            <w:tcW w:w="1060" w:type="dxa"/>
            <w:tcBorders>
              <w:top w:val="nil"/>
              <w:left w:val="nil"/>
              <w:bottom w:val="nil"/>
              <w:right w:val="nil"/>
            </w:tcBorders>
            <w:shd w:val="clear" w:color="auto" w:fill="auto"/>
            <w:noWrap/>
            <w:vAlign w:val="bottom"/>
            <w:hideMark/>
          </w:tcPr>
          <w:p w14:paraId="58ECE899"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1,500 </w:t>
            </w:r>
          </w:p>
        </w:tc>
        <w:tc>
          <w:tcPr>
            <w:tcW w:w="1020" w:type="dxa"/>
            <w:tcBorders>
              <w:top w:val="nil"/>
              <w:left w:val="nil"/>
              <w:bottom w:val="nil"/>
              <w:right w:val="nil"/>
            </w:tcBorders>
            <w:shd w:val="clear" w:color="auto" w:fill="auto"/>
            <w:noWrap/>
            <w:vAlign w:val="bottom"/>
            <w:hideMark/>
          </w:tcPr>
          <w:p w14:paraId="13A419D7"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c>
          <w:tcPr>
            <w:tcW w:w="1040" w:type="dxa"/>
            <w:tcBorders>
              <w:top w:val="nil"/>
              <w:left w:val="nil"/>
              <w:bottom w:val="nil"/>
              <w:right w:val="nil"/>
            </w:tcBorders>
            <w:shd w:val="clear" w:color="auto" w:fill="auto"/>
            <w:noWrap/>
            <w:vAlign w:val="bottom"/>
            <w:hideMark/>
          </w:tcPr>
          <w:p w14:paraId="198001EF"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7A9FB13A"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74E174E4"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084E4A2A"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3E7FE022"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1,500 </w:t>
            </w:r>
          </w:p>
        </w:tc>
        <w:tc>
          <w:tcPr>
            <w:tcW w:w="1060" w:type="dxa"/>
            <w:tcBorders>
              <w:top w:val="single" w:sz="4" w:space="0" w:color="000000"/>
              <w:left w:val="nil"/>
              <w:bottom w:val="single" w:sz="4" w:space="0" w:color="000000"/>
              <w:right w:val="nil"/>
            </w:tcBorders>
            <w:shd w:val="clear" w:color="auto" w:fill="auto"/>
            <w:noWrap/>
            <w:vAlign w:val="bottom"/>
            <w:hideMark/>
          </w:tcPr>
          <w:p w14:paraId="4AC65F01"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1,500 </w:t>
            </w:r>
          </w:p>
        </w:tc>
        <w:tc>
          <w:tcPr>
            <w:tcW w:w="1020" w:type="dxa"/>
            <w:tcBorders>
              <w:top w:val="single" w:sz="4" w:space="0" w:color="000000"/>
              <w:left w:val="nil"/>
              <w:bottom w:val="single" w:sz="4" w:space="0" w:color="000000"/>
              <w:right w:val="nil"/>
            </w:tcBorders>
            <w:shd w:val="clear" w:color="auto" w:fill="auto"/>
            <w:noWrap/>
            <w:vAlign w:val="bottom"/>
            <w:hideMark/>
          </w:tcPr>
          <w:p w14:paraId="37377D5C"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c>
          <w:tcPr>
            <w:tcW w:w="1040" w:type="dxa"/>
            <w:tcBorders>
              <w:top w:val="single" w:sz="4" w:space="0" w:color="000000"/>
              <w:left w:val="nil"/>
              <w:bottom w:val="single" w:sz="4" w:space="0" w:color="000000"/>
              <w:right w:val="nil"/>
            </w:tcBorders>
            <w:shd w:val="clear" w:color="auto" w:fill="auto"/>
            <w:noWrap/>
            <w:vAlign w:val="bottom"/>
            <w:hideMark/>
          </w:tcPr>
          <w:p w14:paraId="66D0FDA6"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r>
      <w:tr w:rsidR="001F07D1" w:rsidRPr="001F07D1" w14:paraId="65EEB984"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5B5EFBCC"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Supporting Physical Activity and Equitable Access for Women and Girls to Participate in Sport</w:t>
            </w:r>
          </w:p>
        </w:tc>
      </w:tr>
      <w:tr w:rsidR="001F07D1" w:rsidRPr="001F07D1" w14:paraId="5DCF78F7"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124FF930" w14:textId="0DE1D360"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 xml:space="preserve">Department of Health </w:t>
            </w:r>
            <w:r w:rsidR="00992F2E">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2117600F"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8CCED14"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08AFD2A3"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5C307DCC"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4B56D8FF"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39A8E112"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7B607CC2"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3F9F274C"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4.1</w:t>
            </w:r>
          </w:p>
        </w:tc>
        <w:tc>
          <w:tcPr>
            <w:tcW w:w="940" w:type="dxa"/>
            <w:tcBorders>
              <w:top w:val="nil"/>
              <w:left w:val="nil"/>
              <w:bottom w:val="nil"/>
              <w:right w:val="nil"/>
            </w:tcBorders>
            <w:shd w:val="clear" w:color="000000" w:fill="D9D9D9"/>
            <w:noWrap/>
            <w:vAlign w:val="bottom"/>
            <w:hideMark/>
          </w:tcPr>
          <w:p w14:paraId="57B35C29"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75 </w:t>
            </w:r>
          </w:p>
        </w:tc>
        <w:tc>
          <w:tcPr>
            <w:tcW w:w="1060" w:type="dxa"/>
            <w:tcBorders>
              <w:top w:val="nil"/>
              <w:left w:val="nil"/>
              <w:bottom w:val="nil"/>
              <w:right w:val="nil"/>
            </w:tcBorders>
            <w:shd w:val="clear" w:color="auto" w:fill="auto"/>
            <w:noWrap/>
            <w:vAlign w:val="bottom"/>
            <w:hideMark/>
          </w:tcPr>
          <w:p w14:paraId="16E36AA9"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90,030 </w:t>
            </w:r>
          </w:p>
        </w:tc>
        <w:tc>
          <w:tcPr>
            <w:tcW w:w="1020" w:type="dxa"/>
            <w:tcBorders>
              <w:top w:val="nil"/>
              <w:left w:val="nil"/>
              <w:bottom w:val="nil"/>
              <w:right w:val="nil"/>
            </w:tcBorders>
            <w:shd w:val="clear" w:color="auto" w:fill="auto"/>
            <w:noWrap/>
            <w:vAlign w:val="bottom"/>
            <w:hideMark/>
          </w:tcPr>
          <w:p w14:paraId="2D7FA019"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70,020 </w:t>
            </w:r>
          </w:p>
        </w:tc>
        <w:tc>
          <w:tcPr>
            <w:tcW w:w="1040" w:type="dxa"/>
            <w:tcBorders>
              <w:top w:val="nil"/>
              <w:left w:val="nil"/>
              <w:bottom w:val="nil"/>
              <w:right w:val="nil"/>
            </w:tcBorders>
            <w:shd w:val="clear" w:color="auto" w:fill="auto"/>
            <w:noWrap/>
            <w:vAlign w:val="bottom"/>
            <w:hideMark/>
          </w:tcPr>
          <w:p w14:paraId="142DBC9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32,116 </w:t>
            </w:r>
          </w:p>
        </w:tc>
      </w:tr>
      <w:tr w:rsidR="001F07D1" w:rsidRPr="001F07D1" w14:paraId="28ED96FB"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1ECF3ED1"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Departmental payments</w:t>
            </w:r>
          </w:p>
        </w:tc>
        <w:tc>
          <w:tcPr>
            <w:tcW w:w="360" w:type="dxa"/>
            <w:tcBorders>
              <w:top w:val="nil"/>
              <w:left w:val="nil"/>
              <w:bottom w:val="nil"/>
              <w:right w:val="nil"/>
            </w:tcBorders>
            <w:shd w:val="clear" w:color="auto" w:fill="auto"/>
            <w:noWrap/>
            <w:tcMar>
              <w:left w:w="0" w:type="dxa"/>
            </w:tcMar>
            <w:vAlign w:val="bottom"/>
            <w:hideMark/>
          </w:tcPr>
          <w:p w14:paraId="0FA99226"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7587473"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1,641 </w:t>
            </w:r>
          </w:p>
        </w:tc>
        <w:tc>
          <w:tcPr>
            <w:tcW w:w="1060" w:type="dxa"/>
            <w:tcBorders>
              <w:top w:val="nil"/>
              <w:left w:val="nil"/>
              <w:bottom w:val="nil"/>
              <w:right w:val="nil"/>
            </w:tcBorders>
            <w:shd w:val="clear" w:color="auto" w:fill="auto"/>
            <w:noWrap/>
            <w:vAlign w:val="bottom"/>
            <w:hideMark/>
          </w:tcPr>
          <w:p w14:paraId="177845E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2,062 </w:t>
            </w:r>
          </w:p>
        </w:tc>
        <w:tc>
          <w:tcPr>
            <w:tcW w:w="1020" w:type="dxa"/>
            <w:tcBorders>
              <w:top w:val="nil"/>
              <w:left w:val="nil"/>
              <w:bottom w:val="nil"/>
              <w:right w:val="nil"/>
            </w:tcBorders>
            <w:shd w:val="clear" w:color="auto" w:fill="auto"/>
            <w:noWrap/>
            <w:vAlign w:val="bottom"/>
            <w:hideMark/>
          </w:tcPr>
          <w:p w14:paraId="7C1E9EEF"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2,046 </w:t>
            </w:r>
          </w:p>
        </w:tc>
        <w:tc>
          <w:tcPr>
            <w:tcW w:w="1040" w:type="dxa"/>
            <w:tcBorders>
              <w:top w:val="nil"/>
              <w:left w:val="nil"/>
              <w:bottom w:val="nil"/>
              <w:right w:val="nil"/>
            </w:tcBorders>
            <w:shd w:val="clear" w:color="auto" w:fill="auto"/>
            <w:noWrap/>
            <w:vAlign w:val="bottom"/>
            <w:hideMark/>
          </w:tcPr>
          <w:p w14:paraId="3DC425D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2,010 </w:t>
            </w:r>
          </w:p>
        </w:tc>
      </w:tr>
      <w:tr w:rsidR="001F07D1" w:rsidRPr="001F07D1" w14:paraId="1A5411F9"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3DC5F326"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tcMar>
              <w:left w:w="0" w:type="dxa"/>
            </w:tcMar>
            <w:vAlign w:val="bottom"/>
            <w:hideMark/>
          </w:tcPr>
          <w:p w14:paraId="6E0DDC15"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24C10552"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1,716 </w:t>
            </w:r>
          </w:p>
        </w:tc>
        <w:tc>
          <w:tcPr>
            <w:tcW w:w="1060" w:type="dxa"/>
            <w:tcBorders>
              <w:top w:val="single" w:sz="4" w:space="0" w:color="000000"/>
              <w:left w:val="nil"/>
              <w:bottom w:val="single" w:sz="4" w:space="0" w:color="000000"/>
              <w:right w:val="nil"/>
            </w:tcBorders>
            <w:shd w:val="clear" w:color="auto" w:fill="auto"/>
            <w:noWrap/>
            <w:vAlign w:val="bottom"/>
            <w:hideMark/>
          </w:tcPr>
          <w:p w14:paraId="1BF5DFA7"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92,092 </w:t>
            </w:r>
          </w:p>
        </w:tc>
        <w:tc>
          <w:tcPr>
            <w:tcW w:w="1020" w:type="dxa"/>
            <w:tcBorders>
              <w:top w:val="single" w:sz="4" w:space="0" w:color="000000"/>
              <w:left w:val="nil"/>
              <w:bottom w:val="single" w:sz="4" w:space="0" w:color="000000"/>
              <w:right w:val="nil"/>
            </w:tcBorders>
            <w:shd w:val="clear" w:color="auto" w:fill="auto"/>
            <w:noWrap/>
            <w:vAlign w:val="bottom"/>
            <w:hideMark/>
          </w:tcPr>
          <w:p w14:paraId="4291BA5F"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72,066 </w:t>
            </w:r>
          </w:p>
        </w:tc>
        <w:tc>
          <w:tcPr>
            <w:tcW w:w="1040" w:type="dxa"/>
            <w:tcBorders>
              <w:top w:val="single" w:sz="4" w:space="0" w:color="000000"/>
              <w:left w:val="nil"/>
              <w:bottom w:val="single" w:sz="4" w:space="0" w:color="000000"/>
              <w:right w:val="nil"/>
            </w:tcBorders>
            <w:shd w:val="clear" w:color="auto" w:fill="auto"/>
            <w:noWrap/>
            <w:vAlign w:val="bottom"/>
            <w:hideMark/>
          </w:tcPr>
          <w:p w14:paraId="6BA7AAE5"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34,126 </w:t>
            </w:r>
          </w:p>
        </w:tc>
      </w:tr>
      <w:tr w:rsidR="001F07D1" w:rsidRPr="001F07D1" w14:paraId="564A7C40"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26423DD3"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Urgent Care Clinics and Services</w:t>
            </w:r>
          </w:p>
        </w:tc>
      </w:tr>
      <w:tr w:rsidR="001F07D1" w:rsidRPr="001F07D1" w14:paraId="12801E3D"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028D90B9" w14:textId="1B700BFD"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 xml:space="preserve">Department of Health </w:t>
            </w:r>
            <w:r w:rsidR="00992F2E">
              <w:rPr>
                <w:rFonts w:ascii="Arial" w:hAnsi="Arial" w:cs="Arial"/>
                <w:sz w:val="16"/>
                <w:szCs w:val="16"/>
              </w:rPr>
              <w:t>and Aged Care</w:t>
            </w:r>
          </w:p>
        </w:tc>
        <w:tc>
          <w:tcPr>
            <w:tcW w:w="360" w:type="dxa"/>
            <w:tcBorders>
              <w:top w:val="nil"/>
              <w:left w:val="nil"/>
              <w:bottom w:val="nil"/>
              <w:right w:val="nil"/>
            </w:tcBorders>
            <w:shd w:val="clear" w:color="auto" w:fill="auto"/>
            <w:noWrap/>
            <w:vAlign w:val="bottom"/>
            <w:hideMark/>
          </w:tcPr>
          <w:p w14:paraId="0BF5CB26"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F7F1E49" w14:textId="77777777" w:rsidR="001F07D1" w:rsidRPr="001F07D1" w:rsidRDefault="001F07D1" w:rsidP="001F07D1">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7AB9D12A" w14:textId="77777777" w:rsidR="001F07D1" w:rsidRPr="001F07D1" w:rsidRDefault="001F07D1" w:rsidP="001F07D1">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59A3683"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482A1BFA"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3B90F79A" w14:textId="77777777" w:rsidTr="00992F2E">
        <w:trPr>
          <w:trHeight w:val="225"/>
          <w:jc w:val="center"/>
        </w:trPr>
        <w:tc>
          <w:tcPr>
            <w:tcW w:w="3580" w:type="dxa"/>
            <w:tcBorders>
              <w:top w:val="nil"/>
              <w:left w:val="nil"/>
              <w:bottom w:val="nil"/>
              <w:right w:val="nil"/>
            </w:tcBorders>
            <w:shd w:val="clear" w:color="auto" w:fill="auto"/>
            <w:noWrap/>
            <w:vAlign w:val="bottom"/>
            <w:hideMark/>
          </w:tcPr>
          <w:p w14:paraId="5814CA86"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Administered payments</w:t>
            </w:r>
          </w:p>
        </w:tc>
        <w:tc>
          <w:tcPr>
            <w:tcW w:w="360" w:type="dxa"/>
            <w:tcBorders>
              <w:top w:val="nil"/>
              <w:left w:val="nil"/>
              <w:bottom w:val="nil"/>
              <w:right w:val="nil"/>
            </w:tcBorders>
            <w:shd w:val="clear" w:color="auto" w:fill="auto"/>
            <w:noWrap/>
            <w:tcMar>
              <w:left w:w="0" w:type="dxa"/>
            </w:tcMar>
            <w:vAlign w:val="bottom"/>
            <w:hideMark/>
          </w:tcPr>
          <w:p w14:paraId="30AA51A5"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110AEE0D"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8,883 </w:t>
            </w:r>
          </w:p>
        </w:tc>
        <w:tc>
          <w:tcPr>
            <w:tcW w:w="1060" w:type="dxa"/>
            <w:tcBorders>
              <w:top w:val="nil"/>
              <w:left w:val="nil"/>
              <w:bottom w:val="nil"/>
              <w:right w:val="nil"/>
            </w:tcBorders>
            <w:shd w:val="clear" w:color="auto" w:fill="auto"/>
            <w:noWrap/>
            <w:vAlign w:val="bottom"/>
            <w:hideMark/>
          </w:tcPr>
          <w:p w14:paraId="6B5B2AA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13,806 </w:t>
            </w:r>
          </w:p>
        </w:tc>
        <w:tc>
          <w:tcPr>
            <w:tcW w:w="1020" w:type="dxa"/>
            <w:tcBorders>
              <w:top w:val="nil"/>
              <w:left w:val="nil"/>
              <w:bottom w:val="nil"/>
              <w:right w:val="nil"/>
            </w:tcBorders>
            <w:shd w:val="clear" w:color="auto" w:fill="auto"/>
            <w:noWrap/>
            <w:vAlign w:val="bottom"/>
            <w:hideMark/>
          </w:tcPr>
          <w:p w14:paraId="2380693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14,107 </w:t>
            </w:r>
          </w:p>
        </w:tc>
        <w:tc>
          <w:tcPr>
            <w:tcW w:w="1040" w:type="dxa"/>
            <w:tcBorders>
              <w:top w:val="nil"/>
              <w:left w:val="nil"/>
              <w:bottom w:val="nil"/>
              <w:right w:val="nil"/>
            </w:tcBorders>
            <w:shd w:val="clear" w:color="auto" w:fill="auto"/>
            <w:noWrap/>
            <w:vAlign w:val="bottom"/>
            <w:hideMark/>
          </w:tcPr>
          <w:p w14:paraId="10522CE5"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3A2144BD" w14:textId="77777777" w:rsidTr="00740335">
        <w:trPr>
          <w:trHeight w:val="283"/>
          <w:jc w:val="center"/>
        </w:trPr>
        <w:tc>
          <w:tcPr>
            <w:tcW w:w="3580" w:type="dxa"/>
            <w:tcBorders>
              <w:top w:val="nil"/>
              <w:left w:val="nil"/>
              <w:bottom w:val="nil"/>
              <w:right w:val="nil"/>
            </w:tcBorders>
            <w:shd w:val="clear" w:color="auto" w:fill="auto"/>
            <w:noWrap/>
            <w:vAlign w:val="bottom"/>
            <w:hideMark/>
          </w:tcPr>
          <w:p w14:paraId="4377A171" w14:textId="77777777"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Department of Veterans’ Affairs</w:t>
            </w:r>
          </w:p>
        </w:tc>
        <w:tc>
          <w:tcPr>
            <w:tcW w:w="360" w:type="dxa"/>
            <w:tcBorders>
              <w:top w:val="nil"/>
              <w:left w:val="nil"/>
              <w:bottom w:val="nil"/>
              <w:right w:val="nil"/>
            </w:tcBorders>
            <w:shd w:val="clear" w:color="auto" w:fill="auto"/>
            <w:noWrap/>
            <w:tcMar>
              <w:left w:w="0" w:type="dxa"/>
            </w:tcMar>
            <w:vAlign w:val="bottom"/>
            <w:hideMark/>
          </w:tcPr>
          <w:p w14:paraId="5F79455D"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4A66EE68"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69D4DBA7" w14:textId="77777777" w:rsidR="001F07D1" w:rsidRPr="001F07D1" w:rsidRDefault="001F07D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25FB87A3"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3D8F3642"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7CA63F3A"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2956DA6F"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Administered payments</w:t>
            </w:r>
          </w:p>
        </w:tc>
        <w:tc>
          <w:tcPr>
            <w:tcW w:w="360" w:type="dxa"/>
            <w:tcBorders>
              <w:top w:val="nil"/>
              <w:left w:val="nil"/>
              <w:bottom w:val="nil"/>
              <w:right w:val="nil"/>
            </w:tcBorders>
            <w:shd w:val="clear" w:color="auto" w:fill="auto"/>
            <w:noWrap/>
            <w:vAlign w:val="bottom"/>
            <w:hideMark/>
          </w:tcPr>
          <w:p w14:paraId="04068AA7"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A01D03C"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152 </w:t>
            </w:r>
          </w:p>
        </w:tc>
        <w:tc>
          <w:tcPr>
            <w:tcW w:w="1060" w:type="dxa"/>
            <w:tcBorders>
              <w:top w:val="nil"/>
              <w:left w:val="nil"/>
              <w:bottom w:val="nil"/>
              <w:right w:val="nil"/>
            </w:tcBorders>
            <w:shd w:val="clear" w:color="auto" w:fill="auto"/>
            <w:noWrap/>
            <w:vAlign w:val="bottom"/>
            <w:hideMark/>
          </w:tcPr>
          <w:p w14:paraId="029E3DA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230 </w:t>
            </w:r>
          </w:p>
        </w:tc>
        <w:tc>
          <w:tcPr>
            <w:tcW w:w="1020" w:type="dxa"/>
            <w:tcBorders>
              <w:top w:val="nil"/>
              <w:left w:val="nil"/>
              <w:bottom w:val="nil"/>
              <w:right w:val="nil"/>
            </w:tcBorders>
            <w:shd w:val="clear" w:color="auto" w:fill="auto"/>
            <w:noWrap/>
            <w:vAlign w:val="bottom"/>
            <w:hideMark/>
          </w:tcPr>
          <w:p w14:paraId="0BB0F250"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235 </w:t>
            </w:r>
          </w:p>
        </w:tc>
        <w:tc>
          <w:tcPr>
            <w:tcW w:w="1040" w:type="dxa"/>
            <w:tcBorders>
              <w:top w:val="nil"/>
              <w:left w:val="nil"/>
              <w:bottom w:val="nil"/>
              <w:right w:val="nil"/>
            </w:tcBorders>
            <w:shd w:val="clear" w:color="auto" w:fill="auto"/>
            <w:noWrap/>
            <w:vAlign w:val="bottom"/>
            <w:hideMark/>
          </w:tcPr>
          <w:p w14:paraId="1E4CA016"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5FD73868" w14:textId="77777777" w:rsidTr="00740335">
        <w:trPr>
          <w:trHeight w:val="283"/>
          <w:jc w:val="center"/>
        </w:trPr>
        <w:tc>
          <w:tcPr>
            <w:tcW w:w="3580" w:type="dxa"/>
            <w:tcBorders>
              <w:top w:val="nil"/>
              <w:left w:val="nil"/>
              <w:bottom w:val="nil"/>
              <w:right w:val="nil"/>
            </w:tcBorders>
            <w:shd w:val="clear" w:color="auto" w:fill="auto"/>
            <w:noWrap/>
            <w:vAlign w:val="bottom"/>
            <w:hideMark/>
          </w:tcPr>
          <w:p w14:paraId="10D47D76" w14:textId="77777777" w:rsidR="001F07D1" w:rsidRPr="001F07D1" w:rsidRDefault="001F07D1" w:rsidP="001F07D1">
            <w:pPr>
              <w:spacing w:before="0" w:after="0" w:line="240" w:lineRule="auto"/>
              <w:rPr>
                <w:rFonts w:ascii="Arial" w:hAnsi="Arial" w:cs="Arial"/>
                <w:sz w:val="16"/>
                <w:szCs w:val="16"/>
              </w:rPr>
            </w:pPr>
            <w:r w:rsidRPr="001F07D1">
              <w:rPr>
                <w:rFonts w:ascii="Arial" w:hAnsi="Arial" w:cs="Arial"/>
                <w:sz w:val="16"/>
                <w:szCs w:val="16"/>
              </w:rPr>
              <w:t>Services Australia</w:t>
            </w:r>
          </w:p>
        </w:tc>
        <w:tc>
          <w:tcPr>
            <w:tcW w:w="360" w:type="dxa"/>
            <w:tcBorders>
              <w:top w:val="nil"/>
              <w:left w:val="nil"/>
              <w:bottom w:val="nil"/>
              <w:right w:val="nil"/>
            </w:tcBorders>
            <w:shd w:val="clear" w:color="auto" w:fill="auto"/>
            <w:noWrap/>
            <w:vAlign w:val="bottom"/>
            <w:hideMark/>
          </w:tcPr>
          <w:p w14:paraId="42DDCA98" w14:textId="77777777" w:rsidR="001F07D1" w:rsidRPr="001F07D1" w:rsidRDefault="001F07D1" w:rsidP="001F07D1">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51B201EF"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35010A10" w14:textId="77777777" w:rsidR="001F07D1" w:rsidRPr="001F07D1" w:rsidRDefault="001F07D1" w:rsidP="001F07D1">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03EBD24C" w14:textId="77777777" w:rsidR="001F07D1" w:rsidRPr="001F07D1" w:rsidRDefault="001F07D1" w:rsidP="001F07D1">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08EF4FDB" w14:textId="77777777" w:rsidR="001F07D1" w:rsidRPr="001F07D1" w:rsidRDefault="001F07D1" w:rsidP="001F07D1">
            <w:pPr>
              <w:spacing w:before="0" w:after="0" w:line="240" w:lineRule="auto"/>
              <w:jc w:val="right"/>
              <w:rPr>
                <w:rFonts w:ascii="Times New Roman" w:hAnsi="Times New Roman"/>
                <w:sz w:val="20"/>
              </w:rPr>
            </w:pPr>
          </w:p>
        </w:tc>
      </w:tr>
      <w:tr w:rsidR="001F07D1" w:rsidRPr="001F07D1" w14:paraId="0DB3CDB5"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5E9BE24B" w14:textId="77777777" w:rsidR="001F07D1" w:rsidRPr="001F07D1" w:rsidRDefault="001F07D1" w:rsidP="00992F2E">
            <w:pPr>
              <w:spacing w:before="0" w:after="0" w:line="240" w:lineRule="auto"/>
              <w:ind w:leftChars="75" w:left="143"/>
              <w:rPr>
                <w:rFonts w:ascii="Arial" w:hAnsi="Arial" w:cs="Arial"/>
                <w:sz w:val="16"/>
                <w:szCs w:val="16"/>
              </w:rPr>
            </w:pPr>
            <w:r w:rsidRPr="001F07D1">
              <w:rPr>
                <w:rFonts w:ascii="Arial" w:hAnsi="Arial" w:cs="Arial"/>
                <w:sz w:val="16"/>
                <w:szCs w:val="16"/>
              </w:rPr>
              <w:t>Departmental payments</w:t>
            </w:r>
          </w:p>
        </w:tc>
        <w:tc>
          <w:tcPr>
            <w:tcW w:w="360" w:type="dxa"/>
            <w:tcBorders>
              <w:top w:val="nil"/>
              <w:left w:val="nil"/>
              <w:bottom w:val="nil"/>
              <w:right w:val="nil"/>
            </w:tcBorders>
            <w:shd w:val="clear" w:color="auto" w:fill="auto"/>
            <w:noWrap/>
            <w:vAlign w:val="bottom"/>
            <w:hideMark/>
          </w:tcPr>
          <w:p w14:paraId="1D454265" w14:textId="77777777" w:rsidR="001F07D1" w:rsidRPr="001F07D1" w:rsidRDefault="001F07D1" w:rsidP="001F07D1">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510ECCB"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649 </w:t>
            </w:r>
          </w:p>
        </w:tc>
        <w:tc>
          <w:tcPr>
            <w:tcW w:w="1060" w:type="dxa"/>
            <w:tcBorders>
              <w:top w:val="nil"/>
              <w:left w:val="nil"/>
              <w:bottom w:val="nil"/>
              <w:right w:val="nil"/>
            </w:tcBorders>
            <w:shd w:val="clear" w:color="auto" w:fill="auto"/>
            <w:noWrap/>
            <w:vAlign w:val="bottom"/>
            <w:hideMark/>
          </w:tcPr>
          <w:p w14:paraId="7558E1E3"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708 </w:t>
            </w:r>
          </w:p>
        </w:tc>
        <w:tc>
          <w:tcPr>
            <w:tcW w:w="1020" w:type="dxa"/>
            <w:tcBorders>
              <w:top w:val="nil"/>
              <w:left w:val="nil"/>
              <w:bottom w:val="nil"/>
              <w:right w:val="nil"/>
            </w:tcBorders>
            <w:shd w:val="clear" w:color="auto" w:fill="auto"/>
            <w:noWrap/>
            <w:vAlign w:val="bottom"/>
            <w:hideMark/>
          </w:tcPr>
          <w:p w14:paraId="6DDEBFDE"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714 </w:t>
            </w:r>
          </w:p>
        </w:tc>
        <w:tc>
          <w:tcPr>
            <w:tcW w:w="1040" w:type="dxa"/>
            <w:tcBorders>
              <w:top w:val="nil"/>
              <w:left w:val="nil"/>
              <w:bottom w:val="nil"/>
              <w:right w:val="nil"/>
            </w:tcBorders>
            <w:shd w:val="clear" w:color="auto" w:fill="auto"/>
            <w:noWrap/>
            <w:vAlign w:val="bottom"/>
            <w:hideMark/>
          </w:tcPr>
          <w:p w14:paraId="157391FA" w14:textId="77777777" w:rsidR="001F07D1" w:rsidRPr="001F07D1" w:rsidRDefault="001F07D1" w:rsidP="001F07D1">
            <w:pPr>
              <w:spacing w:before="0" w:after="0" w:line="240" w:lineRule="auto"/>
              <w:jc w:val="right"/>
              <w:rPr>
                <w:rFonts w:ascii="Arial" w:hAnsi="Arial" w:cs="Arial"/>
                <w:sz w:val="16"/>
                <w:szCs w:val="16"/>
              </w:rPr>
            </w:pPr>
            <w:r w:rsidRPr="001F07D1">
              <w:rPr>
                <w:rFonts w:ascii="Arial" w:hAnsi="Arial" w:cs="Arial"/>
                <w:sz w:val="16"/>
                <w:szCs w:val="16"/>
              </w:rPr>
              <w:t xml:space="preserve">- </w:t>
            </w:r>
          </w:p>
        </w:tc>
      </w:tr>
      <w:tr w:rsidR="001F07D1" w:rsidRPr="001F07D1" w14:paraId="31913E60" w14:textId="77777777" w:rsidTr="00C5652B">
        <w:trPr>
          <w:trHeight w:val="225"/>
          <w:jc w:val="center"/>
        </w:trPr>
        <w:tc>
          <w:tcPr>
            <w:tcW w:w="3580" w:type="dxa"/>
            <w:tcBorders>
              <w:top w:val="nil"/>
              <w:left w:val="nil"/>
              <w:bottom w:val="nil"/>
              <w:right w:val="nil"/>
            </w:tcBorders>
            <w:shd w:val="clear" w:color="auto" w:fill="auto"/>
            <w:noWrap/>
            <w:vAlign w:val="bottom"/>
            <w:hideMark/>
          </w:tcPr>
          <w:p w14:paraId="45E760D6" w14:textId="77777777" w:rsidR="001F07D1" w:rsidRPr="001F07D1" w:rsidRDefault="001F07D1" w:rsidP="001F07D1">
            <w:pPr>
              <w:spacing w:before="0" w:after="0" w:line="240" w:lineRule="auto"/>
              <w:rPr>
                <w:rFonts w:ascii="Arial" w:hAnsi="Arial" w:cs="Arial"/>
                <w:b/>
                <w:bCs/>
                <w:sz w:val="16"/>
                <w:szCs w:val="16"/>
              </w:rPr>
            </w:pPr>
            <w:r w:rsidRPr="001F07D1">
              <w:rPr>
                <w:rFonts w:ascii="Arial" w:hAnsi="Arial" w:cs="Arial"/>
                <w:b/>
                <w:bCs/>
                <w:sz w:val="16"/>
                <w:szCs w:val="16"/>
              </w:rPr>
              <w:t>Total payments</w:t>
            </w:r>
          </w:p>
        </w:tc>
        <w:tc>
          <w:tcPr>
            <w:tcW w:w="360" w:type="dxa"/>
            <w:tcBorders>
              <w:top w:val="nil"/>
              <w:left w:val="nil"/>
              <w:bottom w:val="nil"/>
              <w:right w:val="nil"/>
            </w:tcBorders>
            <w:shd w:val="clear" w:color="auto" w:fill="auto"/>
            <w:noWrap/>
            <w:vAlign w:val="bottom"/>
            <w:hideMark/>
          </w:tcPr>
          <w:p w14:paraId="587AC18A" w14:textId="77777777" w:rsidR="001F07D1" w:rsidRPr="001F07D1" w:rsidRDefault="001F07D1" w:rsidP="001F07D1">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785FB621"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9,684 </w:t>
            </w:r>
          </w:p>
        </w:tc>
        <w:tc>
          <w:tcPr>
            <w:tcW w:w="1060" w:type="dxa"/>
            <w:tcBorders>
              <w:top w:val="single" w:sz="4" w:space="0" w:color="000000"/>
              <w:left w:val="nil"/>
              <w:bottom w:val="single" w:sz="4" w:space="0" w:color="000000"/>
              <w:right w:val="nil"/>
            </w:tcBorders>
            <w:shd w:val="clear" w:color="auto" w:fill="auto"/>
            <w:noWrap/>
            <w:vAlign w:val="bottom"/>
            <w:hideMark/>
          </w:tcPr>
          <w:p w14:paraId="0ADAF884"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14,744 </w:t>
            </w:r>
          </w:p>
        </w:tc>
        <w:tc>
          <w:tcPr>
            <w:tcW w:w="1020" w:type="dxa"/>
            <w:tcBorders>
              <w:top w:val="single" w:sz="4" w:space="0" w:color="000000"/>
              <w:left w:val="nil"/>
              <w:bottom w:val="single" w:sz="4" w:space="0" w:color="000000"/>
              <w:right w:val="nil"/>
            </w:tcBorders>
            <w:shd w:val="clear" w:color="auto" w:fill="auto"/>
            <w:noWrap/>
            <w:vAlign w:val="bottom"/>
            <w:hideMark/>
          </w:tcPr>
          <w:p w14:paraId="0D7CA26B"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15,056 </w:t>
            </w:r>
          </w:p>
        </w:tc>
        <w:tc>
          <w:tcPr>
            <w:tcW w:w="1040" w:type="dxa"/>
            <w:tcBorders>
              <w:top w:val="single" w:sz="4" w:space="0" w:color="000000"/>
              <w:left w:val="nil"/>
              <w:bottom w:val="single" w:sz="4" w:space="0" w:color="000000"/>
              <w:right w:val="nil"/>
            </w:tcBorders>
            <w:shd w:val="clear" w:color="auto" w:fill="auto"/>
            <w:noWrap/>
            <w:vAlign w:val="bottom"/>
            <w:hideMark/>
          </w:tcPr>
          <w:p w14:paraId="016F9AC6" w14:textId="77777777" w:rsidR="001F07D1" w:rsidRPr="001F07D1" w:rsidRDefault="001F07D1" w:rsidP="001F07D1">
            <w:pPr>
              <w:spacing w:before="0" w:after="0" w:line="240" w:lineRule="auto"/>
              <w:jc w:val="right"/>
              <w:rPr>
                <w:rFonts w:ascii="Arial" w:hAnsi="Arial" w:cs="Arial"/>
                <w:b/>
                <w:bCs/>
                <w:sz w:val="16"/>
                <w:szCs w:val="16"/>
              </w:rPr>
            </w:pPr>
            <w:r w:rsidRPr="001F07D1">
              <w:rPr>
                <w:rFonts w:ascii="Arial" w:hAnsi="Arial" w:cs="Arial"/>
                <w:b/>
                <w:bCs/>
                <w:sz w:val="16"/>
                <w:szCs w:val="16"/>
              </w:rPr>
              <w:t xml:space="preserve">- </w:t>
            </w:r>
          </w:p>
        </w:tc>
      </w:tr>
    </w:tbl>
    <w:p w14:paraId="36197F48" w14:textId="4A54192A" w:rsidR="00992F2E" w:rsidRDefault="00992F2E">
      <w:pPr>
        <w:spacing w:before="0" w:after="0" w:line="240" w:lineRule="auto"/>
        <w:rPr>
          <w:rFonts w:ascii="Arial" w:hAnsi="Arial" w:cs="Arial"/>
          <w:color w:val="2E74B5" w:themeColor="accent1" w:themeShade="BF"/>
          <w:sz w:val="20"/>
        </w:rPr>
      </w:pPr>
    </w:p>
    <w:p w14:paraId="17563681" w14:textId="77777777" w:rsidR="00992F2E" w:rsidRDefault="00992F2E">
      <w:pPr>
        <w:spacing w:before="0" w:after="0" w:line="240" w:lineRule="auto"/>
        <w:rPr>
          <w:rFonts w:ascii="Arial" w:hAnsi="Arial" w:cs="Arial"/>
          <w:color w:val="2E74B5" w:themeColor="accent1" w:themeShade="BF"/>
          <w:sz w:val="20"/>
        </w:rPr>
      </w:pPr>
      <w:r>
        <w:rPr>
          <w:rFonts w:ascii="Arial" w:hAnsi="Arial" w:cs="Arial"/>
          <w:color w:val="2E74B5" w:themeColor="accent1" w:themeShade="BF"/>
          <w:sz w:val="20"/>
        </w:rPr>
        <w:br w:type="page"/>
      </w:r>
    </w:p>
    <w:p w14:paraId="32CBAA61" w14:textId="42588945" w:rsidR="00445161" w:rsidRPr="00992F2E" w:rsidRDefault="00992F2E" w:rsidP="00D36C41">
      <w:pPr>
        <w:spacing w:after="20"/>
      </w:pPr>
      <w:r w:rsidRPr="007F0B7E">
        <w:rPr>
          <w:rFonts w:ascii="Arial" w:hAnsi="Arial" w:cs="Arial"/>
          <w:b/>
          <w:sz w:val="20"/>
        </w:rPr>
        <w:lastRenderedPageBreak/>
        <w:t>Table 1.2: Department of Health and Aged Care measures since the 2023–24 Budget</w:t>
      </w:r>
      <w:r>
        <w:rPr>
          <w:rFonts w:ascii="Arial" w:hAnsi="Arial" w:cs="Arial"/>
          <w:b/>
          <w:sz w:val="20"/>
        </w:rPr>
        <w:t xml:space="preserve"> (continued)</w:t>
      </w:r>
    </w:p>
    <w:tbl>
      <w:tblPr>
        <w:tblW w:w="8000" w:type="dxa"/>
        <w:jc w:val="center"/>
        <w:tblLayout w:type="fixed"/>
        <w:tblLook w:val="04A0" w:firstRow="1" w:lastRow="0" w:firstColumn="1" w:lastColumn="0" w:noHBand="0" w:noVBand="1"/>
      </w:tblPr>
      <w:tblGrid>
        <w:gridCol w:w="2880"/>
        <w:gridCol w:w="1060"/>
        <w:gridCol w:w="940"/>
        <w:gridCol w:w="1060"/>
        <w:gridCol w:w="1020"/>
        <w:gridCol w:w="1040"/>
      </w:tblGrid>
      <w:tr w:rsidR="009F5A48" w:rsidRPr="00992F2E" w14:paraId="7D46EB45" w14:textId="77777777" w:rsidTr="003E7874">
        <w:trPr>
          <w:trHeight w:val="170"/>
          <w:jc w:val="center"/>
        </w:trPr>
        <w:tc>
          <w:tcPr>
            <w:tcW w:w="2880" w:type="dxa"/>
            <w:tcBorders>
              <w:top w:val="single" w:sz="4" w:space="0" w:color="auto"/>
              <w:left w:val="nil"/>
              <w:bottom w:val="nil"/>
              <w:right w:val="nil"/>
            </w:tcBorders>
            <w:shd w:val="clear" w:color="auto" w:fill="auto"/>
            <w:noWrap/>
            <w:vAlign w:val="bottom"/>
          </w:tcPr>
          <w:p w14:paraId="4976A5DA" w14:textId="473DD34D" w:rsidR="009F5A48" w:rsidRPr="00992F2E" w:rsidRDefault="009F5A48" w:rsidP="009F5A48">
            <w:pPr>
              <w:spacing w:before="24" w:after="0" w:line="240" w:lineRule="auto"/>
              <w:jc w:val="right"/>
              <w:rPr>
                <w:rFonts w:ascii="Arial" w:hAnsi="Arial" w:cs="Arial"/>
                <w:b/>
                <w:bCs/>
                <w:sz w:val="20"/>
              </w:rPr>
            </w:pPr>
          </w:p>
        </w:tc>
        <w:tc>
          <w:tcPr>
            <w:tcW w:w="1060" w:type="dxa"/>
            <w:tcBorders>
              <w:top w:val="single" w:sz="4" w:space="0" w:color="auto"/>
              <w:left w:val="nil"/>
              <w:right w:val="nil"/>
            </w:tcBorders>
            <w:shd w:val="clear" w:color="auto" w:fill="auto"/>
            <w:noWrap/>
            <w:vAlign w:val="bottom"/>
          </w:tcPr>
          <w:p w14:paraId="67C58218" w14:textId="3ADAD5E7" w:rsidR="009F5A48" w:rsidRPr="00992F2E" w:rsidRDefault="009F5A48" w:rsidP="009F5A48">
            <w:pPr>
              <w:spacing w:before="24" w:after="0" w:line="240" w:lineRule="auto"/>
              <w:jc w:val="right"/>
              <w:rPr>
                <w:rFonts w:ascii="Arial" w:hAnsi="Arial" w:cs="Arial"/>
                <w:sz w:val="16"/>
                <w:szCs w:val="16"/>
              </w:rPr>
            </w:pPr>
            <w:r w:rsidRPr="001F07D1">
              <w:rPr>
                <w:rFonts w:ascii="Arial" w:hAnsi="Arial" w:cs="Arial"/>
                <w:b/>
                <w:bCs/>
                <w:sz w:val="16"/>
                <w:szCs w:val="16"/>
              </w:rPr>
              <w:t xml:space="preserve">Outcome/ </w:t>
            </w:r>
            <w:r w:rsidRPr="001F07D1">
              <w:rPr>
                <w:rFonts w:ascii="Arial" w:hAnsi="Arial" w:cs="Arial"/>
                <w:b/>
                <w:bCs/>
                <w:sz w:val="16"/>
                <w:szCs w:val="16"/>
              </w:rPr>
              <w:br/>
              <w:t>Program</w:t>
            </w:r>
          </w:p>
        </w:tc>
        <w:tc>
          <w:tcPr>
            <w:tcW w:w="940" w:type="dxa"/>
            <w:tcBorders>
              <w:top w:val="single" w:sz="4" w:space="0" w:color="auto"/>
              <w:left w:val="nil"/>
              <w:bottom w:val="single" w:sz="4" w:space="0" w:color="auto"/>
              <w:right w:val="nil"/>
            </w:tcBorders>
            <w:shd w:val="clear" w:color="auto" w:fill="auto"/>
            <w:noWrap/>
            <w:vAlign w:val="bottom"/>
          </w:tcPr>
          <w:p w14:paraId="1F1CD41F" w14:textId="784CD90E" w:rsidR="009F5A48" w:rsidRPr="00992F2E" w:rsidRDefault="009F5A48" w:rsidP="009F5A48">
            <w:pPr>
              <w:spacing w:before="24" w:after="0" w:line="240" w:lineRule="auto"/>
              <w:jc w:val="right"/>
              <w:rPr>
                <w:rFonts w:ascii="Arial" w:hAnsi="Arial" w:cs="Arial"/>
                <w:sz w:val="16"/>
                <w:szCs w:val="16"/>
              </w:rPr>
            </w:pPr>
            <w:r>
              <w:rPr>
                <w:rFonts w:ascii="Arial" w:hAnsi="Arial" w:cs="Arial"/>
                <w:b/>
                <w:bCs/>
                <w:sz w:val="16"/>
                <w:szCs w:val="16"/>
              </w:rPr>
              <w:t>2023–</w:t>
            </w:r>
            <w:r w:rsidRPr="001F07D1">
              <w:rPr>
                <w:rFonts w:ascii="Arial" w:hAnsi="Arial" w:cs="Arial"/>
                <w:b/>
                <w:bCs/>
                <w:sz w:val="16"/>
                <w:szCs w:val="16"/>
              </w:rPr>
              <w:t>24</w:t>
            </w:r>
            <w:r w:rsidRPr="001F07D1">
              <w:rPr>
                <w:rFonts w:ascii="Arial" w:hAnsi="Arial" w:cs="Arial"/>
                <w:b/>
                <w:bCs/>
                <w:sz w:val="16"/>
                <w:szCs w:val="16"/>
              </w:rPr>
              <w:br/>
            </w:r>
            <w:r w:rsidRPr="001F07D1">
              <w:rPr>
                <w:rFonts w:ascii="Arial" w:hAnsi="Arial" w:cs="Arial"/>
                <w:sz w:val="16"/>
                <w:szCs w:val="16"/>
              </w:rPr>
              <w:t>$'000</w:t>
            </w:r>
          </w:p>
        </w:tc>
        <w:tc>
          <w:tcPr>
            <w:tcW w:w="1060" w:type="dxa"/>
            <w:tcBorders>
              <w:top w:val="single" w:sz="4" w:space="0" w:color="auto"/>
              <w:left w:val="nil"/>
              <w:bottom w:val="single" w:sz="4" w:space="0" w:color="auto"/>
              <w:right w:val="nil"/>
            </w:tcBorders>
            <w:shd w:val="clear" w:color="auto" w:fill="auto"/>
            <w:noWrap/>
            <w:vAlign w:val="bottom"/>
          </w:tcPr>
          <w:p w14:paraId="30027757" w14:textId="372FF2A3" w:rsidR="009F5A48" w:rsidRPr="00992F2E" w:rsidRDefault="009F5A48" w:rsidP="009F5A48">
            <w:pPr>
              <w:spacing w:before="24" w:after="0" w:line="240" w:lineRule="auto"/>
              <w:jc w:val="right"/>
              <w:rPr>
                <w:rFonts w:ascii="Arial" w:hAnsi="Arial" w:cs="Arial"/>
                <w:sz w:val="16"/>
                <w:szCs w:val="16"/>
              </w:rPr>
            </w:pPr>
            <w:r>
              <w:rPr>
                <w:rFonts w:ascii="Arial" w:hAnsi="Arial" w:cs="Arial"/>
                <w:b/>
                <w:bCs/>
                <w:sz w:val="16"/>
                <w:szCs w:val="16"/>
              </w:rPr>
              <w:t>2024–</w:t>
            </w:r>
            <w:r w:rsidRPr="001F07D1">
              <w:rPr>
                <w:rFonts w:ascii="Arial" w:hAnsi="Arial" w:cs="Arial"/>
                <w:b/>
                <w:bCs/>
                <w:sz w:val="16"/>
                <w:szCs w:val="16"/>
              </w:rPr>
              <w:t>25</w:t>
            </w:r>
            <w:r w:rsidRPr="001F07D1">
              <w:rPr>
                <w:rFonts w:ascii="Arial" w:hAnsi="Arial" w:cs="Arial"/>
                <w:b/>
                <w:bCs/>
                <w:sz w:val="16"/>
                <w:szCs w:val="16"/>
              </w:rPr>
              <w:br/>
            </w:r>
            <w:r w:rsidRPr="001F07D1">
              <w:rPr>
                <w:rFonts w:ascii="Arial" w:hAnsi="Arial" w:cs="Arial"/>
                <w:sz w:val="16"/>
                <w:szCs w:val="16"/>
              </w:rPr>
              <w:t>$'000</w:t>
            </w:r>
          </w:p>
        </w:tc>
        <w:tc>
          <w:tcPr>
            <w:tcW w:w="1020" w:type="dxa"/>
            <w:tcBorders>
              <w:top w:val="single" w:sz="4" w:space="0" w:color="auto"/>
              <w:left w:val="nil"/>
              <w:bottom w:val="single" w:sz="4" w:space="0" w:color="auto"/>
              <w:right w:val="nil"/>
            </w:tcBorders>
            <w:shd w:val="clear" w:color="auto" w:fill="auto"/>
            <w:noWrap/>
            <w:vAlign w:val="bottom"/>
          </w:tcPr>
          <w:p w14:paraId="69A9026B" w14:textId="457C1721" w:rsidR="009F5A48" w:rsidRPr="00992F2E" w:rsidRDefault="009F5A48" w:rsidP="009F5A48">
            <w:pPr>
              <w:spacing w:before="24" w:after="0" w:line="240" w:lineRule="auto"/>
              <w:jc w:val="right"/>
              <w:rPr>
                <w:rFonts w:ascii="Arial" w:hAnsi="Arial" w:cs="Arial"/>
                <w:sz w:val="16"/>
                <w:szCs w:val="16"/>
              </w:rPr>
            </w:pPr>
            <w:r>
              <w:rPr>
                <w:rFonts w:ascii="Arial" w:hAnsi="Arial" w:cs="Arial"/>
                <w:b/>
                <w:bCs/>
                <w:sz w:val="16"/>
                <w:szCs w:val="16"/>
              </w:rPr>
              <w:t>2025–</w:t>
            </w:r>
            <w:r w:rsidRPr="001F07D1">
              <w:rPr>
                <w:rFonts w:ascii="Arial" w:hAnsi="Arial" w:cs="Arial"/>
                <w:b/>
                <w:bCs/>
                <w:sz w:val="16"/>
                <w:szCs w:val="16"/>
              </w:rPr>
              <w:t>26</w:t>
            </w:r>
            <w:r w:rsidRPr="001F07D1">
              <w:rPr>
                <w:rFonts w:ascii="Arial" w:hAnsi="Arial" w:cs="Arial"/>
                <w:b/>
                <w:bCs/>
                <w:sz w:val="16"/>
                <w:szCs w:val="16"/>
              </w:rPr>
              <w:br/>
            </w:r>
            <w:r w:rsidRPr="001F07D1">
              <w:rPr>
                <w:rFonts w:ascii="Arial" w:hAnsi="Arial" w:cs="Arial"/>
                <w:sz w:val="16"/>
                <w:szCs w:val="16"/>
              </w:rPr>
              <w:t>$'000</w:t>
            </w:r>
          </w:p>
        </w:tc>
        <w:tc>
          <w:tcPr>
            <w:tcW w:w="1040" w:type="dxa"/>
            <w:tcBorders>
              <w:top w:val="single" w:sz="4" w:space="0" w:color="auto"/>
              <w:left w:val="nil"/>
              <w:bottom w:val="single" w:sz="4" w:space="0" w:color="auto"/>
              <w:right w:val="nil"/>
            </w:tcBorders>
            <w:shd w:val="clear" w:color="auto" w:fill="auto"/>
            <w:noWrap/>
            <w:vAlign w:val="bottom"/>
          </w:tcPr>
          <w:p w14:paraId="13CEBD75" w14:textId="68D548B2" w:rsidR="009F5A48" w:rsidRPr="00992F2E" w:rsidRDefault="009F5A48" w:rsidP="009F5A48">
            <w:pPr>
              <w:spacing w:before="24" w:after="0" w:line="240" w:lineRule="auto"/>
              <w:jc w:val="right"/>
              <w:rPr>
                <w:rFonts w:ascii="Arial" w:hAnsi="Arial" w:cs="Arial"/>
                <w:sz w:val="16"/>
                <w:szCs w:val="16"/>
              </w:rPr>
            </w:pPr>
            <w:r>
              <w:rPr>
                <w:rFonts w:ascii="Arial" w:hAnsi="Arial" w:cs="Arial"/>
                <w:b/>
                <w:bCs/>
                <w:sz w:val="16"/>
                <w:szCs w:val="16"/>
              </w:rPr>
              <w:t>2026–</w:t>
            </w:r>
            <w:r w:rsidRPr="001F07D1">
              <w:rPr>
                <w:rFonts w:ascii="Arial" w:hAnsi="Arial" w:cs="Arial"/>
                <w:b/>
                <w:bCs/>
                <w:sz w:val="16"/>
                <w:szCs w:val="16"/>
              </w:rPr>
              <w:t>27</w:t>
            </w:r>
            <w:r w:rsidRPr="001F07D1">
              <w:rPr>
                <w:rFonts w:ascii="Arial" w:hAnsi="Arial" w:cs="Arial"/>
                <w:b/>
                <w:bCs/>
                <w:sz w:val="16"/>
                <w:szCs w:val="16"/>
              </w:rPr>
              <w:br/>
            </w:r>
            <w:r w:rsidRPr="001F07D1">
              <w:rPr>
                <w:rFonts w:ascii="Arial" w:hAnsi="Arial" w:cs="Arial"/>
                <w:sz w:val="16"/>
                <w:szCs w:val="16"/>
              </w:rPr>
              <w:t>$'000</w:t>
            </w:r>
          </w:p>
        </w:tc>
      </w:tr>
      <w:tr w:rsidR="00992F2E" w:rsidRPr="00992F2E" w14:paraId="1E7F61EF" w14:textId="77777777" w:rsidTr="003E7874">
        <w:trPr>
          <w:trHeight w:val="170"/>
          <w:jc w:val="center"/>
        </w:trPr>
        <w:tc>
          <w:tcPr>
            <w:tcW w:w="2880" w:type="dxa"/>
            <w:tcBorders>
              <w:top w:val="nil"/>
              <w:left w:val="nil"/>
              <w:bottom w:val="nil"/>
              <w:right w:val="nil"/>
            </w:tcBorders>
            <w:shd w:val="clear" w:color="000000" w:fill="D9D9D9"/>
            <w:noWrap/>
            <w:vAlign w:val="bottom"/>
            <w:hideMark/>
          </w:tcPr>
          <w:p w14:paraId="700F3DFF" w14:textId="77777777" w:rsidR="00992F2E" w:rsidRPr="00992F2E" w:rsidRDefault="00992F2E" w:rsidP="00992F2E">
            <w:pPr>
              <w:spacing w:before="24" w:after="0" w:line="240" w:lineRule="auto"/>
              <w:rPr>
                <w:rFonts w:ascii="Arial" w:hAnsi="Arial" w:cs="Arial"/>
                <w:b/>
                <w:bCs/>
                <w:sz w:val="20"/>
              </w:rPr>
            </w:pPr>
            <w:r w:rsidRPr="009F5A48">
              <w:rPr>
                <w:rFonts w:ascii="Arial" w:hAnsi="Arial" w:cs="Arial"/>
                <w:b/>
                <w:bCs/>
                <w:sz w:val="18"/>
              </w:rPr>
              <w:t>Other Portfolio Measures</w:t>
            </w:r>
          </w:p>
        </w:tc>
        <w:tc>
          <w:tcPr>
            <w:tcW w:w="1060" w:type="dxa"/>
            <w:tcBorders>
              <w:left w:val="nil"/>
              <w:bottom w:val="nil"/>
              <w:right w:val="nil"/>
            </w:tcBorders>
            <w:shd w:val="clear" w:color="000000" w:fill="D9D9D9"/>
            <w:noWrap/>
            <w:vAlign w:val="bottom"/>
            <w:hideMark/>
          </w:tcPr>
          <w:p w14:paraId="13CA5653" w14:textId="42A09264" w:rsidR="00992F2E" w:rsidRPr="00992F2E" w:rsidRDefault="00992F2E" w:rsidP="00992F2E">
            <w:pPr>
              <w:spacing w:before="24" w:after="0" w:line="240" w:lineRule="auto"/>
              <w:rPr>
                <w:rFonts w:ascii="Arial" w:hAnsi="Arial" w:cs="Arial"/>
                <w:sz w:val="16"/>
                <w:szCs w:val="16"/>
              </w:rPr>
            </w:pPr>
          </w:p>
        </w:tc>
        <w:tc>
          <w:tcPr>
            <w:tcW w:w="940" w:type="dxa"/>
            <w:tcBorders>
              <w:top w:val="single" w:sz="4" w:space="0" w:color="auto"/>
              <w:left w:val="nil"/>
              <w:bottom w:val="nil"/>
              <w:right w:val="nil"/>
            </w:tcBorders>
            <w:shd w:val="clear" w:color="000000" w:fill="D9D9D9"/>
            <w:noWrap/>
            <w:vAlign w:val="bottom"/>
            <w:hideMark/>
          </w:tcPr>
          <w:p w14:paraId="545E7D33" w14:textId="251CD395" w:rsidR="00992F2E" w:rsidRPr="00992F2E" w:rsidRDefault="00992F2E" w:rsidP="00992F2E">
            <w:pPr>
              <w:spacing w:before="24" w:after="0" w:line="240" w:lineRule="auto"/>
              <w:rPr>
                <w:rFonts w:ascii="Arial" w:hAnsi="Arial" w:cs="Arial"/>
                <w:sz w:val="16"/>
                <w:szCs w:val="16"/>
              </w:rPr>
            </w:pPr>
          </w:p>
        </w:tc>
        <w:tc>
          <w:tcPr>
            <w:tcW w:w="1060" w:type="dxa"/>
            <w:tcBorders>
              <w:top w:val="single" w:sz="4" w:space="0" w:color="auto"/>
              <w:left w:val="nil"/>
              <w:bottom w:val="nil"/>
              <w:right w:val="nil"/>
            </w:tcBorders>
            <w:shd w:val="clear" w:color="000000" w:fill="D9D9D9"/>
            <w:noWrap/>
            <w:vAlign w:val="bottom"/>
            <w:hideMark/>
          </w:tcPr>
          <w:p w14:paraId="47F5FF91" w14:textId="5DEDB905" w:rsidR="00992F2E" w:rsidRPr="00992F2E" w:rsidRDefault="00992F2E" w:rsidP="00992F2E">
            <w:pPr>
              <w:spacing w:before="24" w:after="0" w:line="240" w:lineRule="auto"/>
              <w:rPr>
                <w:rFonts w:ascii="Arial" w:hAnsi="Arial" w:cs="Arial"/>
                <w:sz w:val="16"/>
                <w:szCs w:val="16"/>
              </w:rPr>
            </w:pPr>
          </w:p>
        </w:tc>
        <w:tc>
          <w:tcPr>
            <w:tcW w:w="1020" w:type="dxa"/>
            <w:tcBorders>
              <w:top w:val="single" w:sz="4" w:space="0" w:color="auto"/>
              <w:left w:val="nil"/>
              <w:bottom w:val="nil"/>
              <w:right w:val="nil"/>
            </w:tcBorders>
            <w:shd w:val="clear" w:color="000000" w:fill="D9D9D9"/>
            <w:noWrap/>
            <w:vAlign w:val="bottom"/>
            <w:hideMark/>
          </w:tcPr>
          <w:p w14:paraId="435A490C" w14:textId="03DFD002" w:rsidR="00992F2E" w:rsidRPr="00992F2E" w:rsidRDefault="00992F2E" w:rsidP="00992F2E">
            <w:pPr>
              <w:spacing w:before="24" w:after="0" w:line="240" w:lineRule="auto"/>
              <w:rPr>
                <w:rFonts w:ascii="Arial" w:hAnsi="Arial" w:cs="Arial"/>
                <w:sz w:val="16"/>
                <w:szCs w:val="16"/>
              </w:rPr>
            </w:pPr>
          </w:p>
        </w:tc>
        <w:tc>
          <w:tcPr>
            <w:tcW w:w="1040" w:type="dxa"/>
            <w:tcBorders>
              <w:top w:val="single" w:sz="4" w:space="0" w:color="auto"/>
              <w:left w:val="nil"/>
              <w:bottom w:val="nil"/>
              <w:right w:val="nil"/>
            </w:tcBorders>
            <w:shd w:val="clear" w:color="000000" w:fill="D9D9D9"/>
            <w:noWrap/>
            <w:vAlign w:val="bottom"/>
            <w:hideMark/>
          </w:tcPr>
          <w:p w14:paraId="79B1365C" w14:textId="3C3B9260" w:rsidR="00992F2E" w:rsidRPr="00992F2E" w:rsidRDefault="00992F2E" w:rsidP="00992F2E">
            <w:pPr>
              <w:spacing w:before="24" w:after="0" w:line="240" w:lineRule="auto"/>
              <w:rPr>
                <w:rFonts w:ascii="Arial" w:hAnsi="Arial" w:cs="Arial"/>
                <w:sz w:val="16"/>
                <w:szCs w:val="16"/>
              </w:rPr>
            </w:pPr>
          </w:p>
        </w:tc>
      </w:tr>
      <w:tr w:rsidR="00992F2E" w:rsidRPr="00992F2E" w14:paraId="0AD979AF"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17DCC0B4"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Australia's Humanitarian Program</w:t>
            </w:r>
          </w:p>
        </w:tc>
      </w:tr>
      <w:tr w:rsidR="00992F2E" w:rsidRPr="00992F2E" w14:paraId="76D71F77"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541DDC34" w14:textId="2214AA6A" w:rsidR="00992F2E" w:rsidRPr="00992F2E" w:rsidRDefault="00992F2E" w:rsidP="00992F2E">
            <w:pPr>
              <w:spacing w:before="0" w:after="0" w:line="240" w:lineRule="auto"/>
              <w:rPr>
                <w:rFonts w:ascii="Arial" w:hAnsi="Arial" w:cs="Arial"/>
                <w:sz w:val="16"/>
                <w:szCs w:val="16"/>
              </w:rPr>
            </w:pPr>
            <w:r w:rsidRPr="00992F2E">
              <w:rPr>
                <w:rFonts w:ascii="Arial" w:hAnsi="Arial" w:cs="Arial"/>
                <w:sz w:val="16"/>
                <w:szCs w:val="16"/>
              </w:rPr>
              <w:t>Department of Health</w:t>
            </w:r>
            <w:r>
              <w:rPr>
                <w:rFonts w:ascii="Arial" w:hAnsi="Arial" w:cs="Arial"/>
                <w:sz w:val="16"/>
                <w:szCs w:val="16"/>
              </w:rPr>
              <w:t xml:space="preserve"> and Aged Care</w:t>
            </w:r>
          </w:p>
        </w:tc>
        <w:tc>
          <w:tcPr>
            <w:tcW w:w="1060" w:type="dxa"/>
            <w:tcBorders>
              <w:top w:val="nil"/>
              <w:left w:val="nil"/>
              <w:bottom w:val="nil"/>
              <w:right w:val="nil"/>
            </w:tcBorders>
            <w:shd w:val="clear" w:color="auto" w:fill="auto"/>
            <w:noWrap/>
            <w:vAlign w:val="bottom"/>
            <w:hideMark/>
          </w:tcPr>
          <w:p w14:paraId="1895A87C" w14:textId="77777777" w:rsidR="00992F2E" w:rsidRPr="00992F2E" w:rsidRDefault="00992F2E" w:rsidP="00992F2E">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06D5E9C" w14:textId="77777777" w:rsidR="00992F2E" w:rsidRPr="00992F2E" w:rsidRDefault="00992F2E" w:rsidP="00992F2E">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ED35E0A" w14:textId="77777777" w:rsidR="00992F2E" w:rsidRPr="00992F2E" w:rsidRDefault="00992F2E" w:rsidP="00992F2E">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DCB7787" w14:textId="77777777" w:rsidR="00992F2E" w:rsidRPr="00992F2E" w:rsidRDefault="00992F2E" w:rsidP="00992F2E">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11B56457" w14:textId="77777777" w:rsidR="00992F2E" w:rsidRPr="00992F2E" w:rsidRDefault="00992F2E" w:rsidP="00992F2E">
            <w:pPr>
              <w:spacing w:before="0" w:after="0" w:line="240" w:lineRule="auto"/>
              <w:jc w:val="right"/>
              <w:rPr>
                <w:rFonts w:ascii="Times New Roman" w:hAnsi="Times New Roman"/>
                <w:sz w:val="20"/>
              </w:rPr>
            </w:pPr>
          </w:p>
        </w:tc>
      </w:tr>
      <w:tr w:rsidR="00992F2E" w:rsidRPr="00992F2E" w14:paraId="3BE8462E"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35DF0B79" w14:textId="77777777" w:rsidR="00992F2E" w:rsidRPr="00992F2E" w:rsidRDefault="00992F2E" w:rsidP="00992F2E">
            <w:pPr>
              <w:spacing w:before="0" w:after="0" w:line="240" w:lineRule="auto"/>
              <w:ind w:leftChars="75" w:left="143"/>
              <w:rPr>
                <w:rFonts w:ascii="Arial" w:hAnsi="Arial" w:cs="Arial"/>
                <w:sz w:val="16"/>
                <w:szCs w:val="16"/>
              </w:rPr>
            </w:pPr>
            <w:r w:rsidRPr="00992F2E">
              <w:rPr>
                <w:rFonts w:ascii="Arial" w:hAnsi="Arial" w:cs="Arial"/>
                <w:sz w:val="16"/>
                <w:szCs w:val="16"/>
              </w:rPr>
              <w:t>Administered payments</w:t>
            </w:r>
          </w:p>
        </w:tc>
        <w:tc>
          <w:tcPr>
            <w:tcW w:w="1060" w:type="dxa"/>
            <w:tcBorders>
              <w:top w:val="nil"/>
              <w:left w:val="nil"/>
              <w:bottom w:val="nil"/>
              <w:right w:val="nil"/>
            </w:tcBorders>
            <w:shd w:val="clear" w:color="auto" w:fill="auto"/>
            <w:noWrap/>
            <w:vAlign w:val="bottom"/>
            <w:hideMark/>
          </w:tcPr>
          <w:p w14:paraId="48C7E285"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3749DFAF"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689 </w:t>
            </w:r>
          </w:p>
        </w:tc>
        <w:tc>
          <w:tcPr>
            <w:tcW w:w="1060" w:type="dxa"/>
            <w:tcBorders>
              <w:top w:val="nil"/>
              <w:left w:val="nil"/>
              <w:bottom w:val="nil"/>
              <w:right w:val="nil"/>
            </w:tcBorders>
            <w:shd w:val="clear" w:color="auto" w:fill="auto"/>
            <w:noWrap/>
            <w:vAlign w:val="bottom"/>
            <w:hideMark/>
          </w:tcPr>
          <w:p w14:paraId="28170E79"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2,316 </w:t>
            </w:r>
          </w:p>
        </w:tc>
        <w:tc>
          <w:tcPr>
            <w:tcW w:w="1020" w:type="dxa"/>
            <w:tcBorders>
              <w:top w:val="nil"/>
              <w:left w:val="nil"/>
              <w:bottom w:val="nil"/>
              <w:right w:val="nil"/>
            </w:tcBorders>
            <w:shd w:val="clear" w:color="auto" w:fill="auto"/>
            <w:noWrap/>
            <w:vAlign w:val="bottom"/>
            <w:hideMark/>
          </w:tcPr>
          <w:p w14:paraId="1792FFE4"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2,929 </w:t>
            </w:r>
          </w:p>
        </w:tc>
        <w:tc>
          <w:tcPr>
            <w:tcW w:w="1040" w:type="dxa"/>
            <w:tcBorders>
              <w:top w:val="nil"/>
              <w:left w:val="nil"/>
              <w:bottom w:val="nil"/>
              <w:right w:val="nil"/>
            </w:tcBorders>
            <w:shd w:val="clear" w:color="auto" w:fill="auto"/>
            <w:noWrap/>
            <w:vAlign w:val="bottom"/>
            <w:hideMark/>
          </w:tcPr>
          <w:p w14:paraId="7D6F8FB0"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3,054 </w:t>
            </w:r>
          </w:p>
        </w:tc>
      </w:tr>
      <w:tr w:rsidR="00992F2E" w:rsidRPr="00992F2E" w14:paraId="0838BFFA"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58D91446" w14:textId="77777777" w:rsidR="00992F2E" w:rsidRPr="00992F2E" w:rsidRDefault="00992F2E" w:rsidP="00992F2E">
            <w:pPr>
              <w:spacing w:before="0"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AEB98CC"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2.2</w:t>
            </w:r>
          </w:p>
        </w:tc>
        <w:tc>
          <w:tcPr>
            <w:tcW w:w="940" w:type="dxa"/>
            <w:tcBorders>
              <w:top w:val="nil"/>
              <w:left w:val="nil"/>
              <w:bottom w:val="nil"/>
              <w:right w:val="nil"/>
            </w:tcBorders>
            <w:shd w:val="clear" w:color="000000" w:fill="D9D9D9"/>
            <w:noWrap/>
            <w:vAlign w:val="bottom"/>
            <w:hideMark/>
          </w:tcPr>
          <w:p w14:paraId="5B519C01"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3 </w:t>
            </w:r>
          </w:p>
        </w:tc>
        <w:tc>
          <w:tcPr>
            <w:tcW w:w="1060" w:type="dxa"/>
            <w:tcBorders>
              <w:top w:val="nil"/>
              <w:left w:val="nil"/>
              <w:bottom w:val="nil"/>
              <w:right w:val="nil"/>
            </w:tcBorders>
            <w:shd w:val="clear" w:color="auto" w:fill="auto"/>
            <w:noWrap/>
            <w:vAlign w:val="bottom"/>
            <w:hideMark/>
          </w:tcPr>
          <w:p w14:paraId="64DAC0A8"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9 </w:t>
            </w:r>
          </w:p>
        </w:tc>
        <w:tc>
          <w:tcPr>
            <w:tcW w:w="1020" w:type="dxa"/>
            <w:tcBorders>
              <w:top w:val="nil"/>
              <w:left w:val="nil"/>
              <w:bottom w:val="nil"/>
              <w:right w:val="nil"/>
            </w:tcBorders>
            <w:shd w:val="clear" w:color="auto" w:fill="auto"/>
            <w:noWrap/>
            <w:vAlign w:val="bottom"/>
            <w:hideMark/>
          </w:tcPr>
          <w:p w14:paraId="371DD542"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19 </w:t>
            </w:r>
          </w:p>
        </w:tc>
        <w:tc>
          <w:tcPr>
            <w:tcW w:w="1040" w:type="dxa"/>
            <w:tcBorders>
              <w:top w:val="nil"/>
              <w:left w:val="nil"/>
              <w:bottom w:val="nil"/>
              <w:right w:val="nil"/>
            </w:tcBorders>
            <w:shd w:val="clear" w:color="auto" w:fill="auto"/>
            <w:noWrap/>
            <w:vAlign w:val="bottom"/>
            <w:hideMark/>
          </w:tcPr>
          <w:p w14:paraId="0E8B11DB"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28 </w:t>
            </w:r>
          </w:p>
        </w:tc>
      </w:tr>
      <w:tr w:rsidR="00992F2E" w:rsidRPr="00992F2E" w14:paraId="046B32D9"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04297CE4" w14:textId="77777777" w:rsidR="00992F2E" w:rsidRPr="00992F2E" w:rsidRDefault="00992F2E" w:rsidP="00992F2E">
            <w:pPr>
              <w:spacing w:before="0"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46A8EA9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593D037D"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426 </w:t>
            </w:r>
          </w:p>
        </w:tc>
        <w:tc>
          <w:tcPr>
            <w:tcW w:w="1060" w:type="dxa"/>
            <w:tcBorders>
              <w:top w:val="nil"/>
              <w:left w:val="nil"/>
              <w:bottom w:val="nil"/>
              <w:right w:val="nil"/>
            </w:tcBorders>
            <w:shd w:val="clear" w:color="auto" w:fill="auto"/>
            <w:noWrap/>
            <w:vAlign w:val="bottom"/>
            <w:hideMark/>
          </w:tcPr>
          <w:p w14:paraId="14BBC1AE"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1,150 </w:t>
            </w:r>
          </w:p>
        </w:tc>
        <w:tc>
          <w:tcPr>
            <w:tcW w:w="1020" w:type="dxa"/>
            <w:tcBorders>
              <w:top w:val="nil"/>
              <w:left w:val="nil"/>
              <w:bottom w:val="nil"/>
              <w:right w:val="nil"/>
            </w:tcBorders>
            <w:shd w:val="clear" w:color="auto" w:fill="auto"/>
            <w:noWrap/>
            <w:vAlign w:val="bottom"/>
            <w:hideMark/>
          </w:tcPr>
          <w:p w14:paraId="0201FFF0"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1,446 </w:t>
            </w:r>
          </w:p>
        </w:tc>
        <w:tc>
          <w:tcPr>
            <w:tcW w:w="1040" w:type="dxa"/>
            <w:tcBorders>
              <w:top w:val="nil"/>
              <w:left w:val="nil"/>
              <w:bottom w:val="nil"/>
              <w:right w:val="nil"/>
            </w:tcBorders>
            <w:shd w:val="clear" w:color="auto" w:fill="auto"/>
            <w:noWrap/>
            <w:vAlign w:val="bottom"/>
            <w:hideMark/>
          </w:tcPr>
          <w:p w14:paraId="21C457DB"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1,413 </w:t>
            </w:r>
          </w:p>
        </w:tc>
      </w:tr>
      <w:tr w:rsidR="00992F2E" w:rsidRPr="00992F2E" w14:paraId="5BA3FA27"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1F8A617C" w14:textId="77777777" w:rsidR="00992F2E" w:rsidRPr="00992F2E" w:rsidRDefault="00992F2E" w:rsidP="00992F2E">
            <w:pPr>
              <w:spacing w:before="0"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ACAA3CC"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2.5</w:t>
            </w:r>
          </w:p>
        </w:tc>
        <w:tc>
          <w:tcPr>
            <w:tcW w:w="940" w:type="dxa"/>
            <w:tcBorders>
              <w:top w:val="nil"/>
              <w:left w:val="nil"/>
              <w:bottom w:val="nil"/>
              <w:right w:val="nil"/>
            </w:tcBorders>
            <w:shd w:val="clear" w:color="000000" w:fill="D9D9D9"/>
            <w:noWrap/>
            <w:vAlign w:val="bottom"/>
            <w:hideMark/>
          </w:tcPr>
          <w:p w14:paraId="6AFA831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34 </w:t>
            </w:r>
          </w:p>
        </w:tc>
        <w:tc>
          <w:tcPr>
            <w:tcW w:w="1060" w:type="dxa"/>
            <w:tcBorders>
              <w:top w:val="nil"/>
              <w:left w:val="nil"/>
              <w:bottom w:val="nil"/>
              <w:right w:val="nil"/>
            </w:tcBorders>
            <w:shd w:val="clear" w:color="auto" w:fill="auto"/>
            <w:noWrap/>
            <w:vAlign w:val="bottom"/>
            <w:hideMark/>
          </w:tcPr>
          <w:p w14:paraId="27846CE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87 </w:t>
            </w:r>
          </w:p>
        </w:tc>
        <w:tc>
          <w:tcPr>
            <w:tcW w:w="1020" w:type="dxa"/>
            <w:tcBorders>
              <w:top w:val="nil"/>
              <w:left w:val="nil"/>
              <w:bottom w:val="nil"/>
              <w:right w:val="nil"/>
            </w:tcBorders>
            <w:shd w:val="clear" w:color="auto" w:fill="auto"/>
            <w:noWrap/>
            <w:vAlign w:val="bottom"/>
            <w:hideMark/>
          </w:tcPr>
          <w:p w14:paraId="1E531936"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112 </w:t>
            </w:r>
          </w:p>
        </w:tc>
        <w:tc>
          <w:tcPr>
            <w:tcW w:w="1040" w:type="dxa"/>
            <w:tcBorders>
              <w:top w:val="nil"/>
              <w:left w:val="nil"/>
              <w:bottom w:val="nil"/>
              <w:right w:val="nil"/>
            </w:tcBorders>
            <w:shd w:val="clear" w:color="auto" w:fill="auto"/>
            <w:noWrap/>
            <w:vAlign w:val="bottom"/>
            <w:hideMark/>
          </w:tcPr>
          <w:p w14:paraId="74FAFC0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113 </w:t>
            </w:r>
          </w:p>
        </w:tc>
      </w:tr>
      <w:tr w:rsidR="00992F2E" w:rsidRPr="00992F2E" w14:paraId="77AD8642"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3CC08103"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Total payments</w:t>
            </w:r>
          </w:p>
        </w:tc>
        <w:tc>
          <w:tcPr>
            <w:tcW w:w="1060" w:type="dxa"/>
            <w:tcBorders>
              <w:top w:val="nil"/>
              <w:left w:val="nil"/>
              <w:bottom w:val="nil"/>
              <w:right w:val="nil"/>
            </w:tcBorders>
            <w:shd w:val="clear" w:color="auto" w:fill="auto"/>
            <w:noWrap/>
            <w:vAlign w:val="bottom"/>
            <w:hideMark/>
          </w:tcPr>
          <w:p w14:paraId="40221792" w14:textId="77777777" w:rsidR="00992F2E" w:rsidRPr="00992F2E" w:rsidRDefault="00992F2E" w:rsidP="00992F2E">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76EF20D1"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1,152 </w:t>
            </w:r>
          </w:p>
        </w:tc>
        <w:tc>
          <w:tcPr>
            <w:tcW w:w="1060" w:type="dxa"/>
            <w:tcBorders>
              <w:top w:val="single" w:sz="4" w:space="0" w:color="000000"/>
              <w:left w:val="nil"/>
              <w:bottom w:val="single" w:sz="4" w:space="0" w:color="000000"/>
              <w:right w:val="nil"/>
            </w:tcBorders>
            <w:shd w:val="clear" w:color="auto" w:fill="auto"/>
            <w:noWrap/>
            <w:vAlign w:val="bottom"/>
            <w:hideMark/>
          </w:tcPr>
          <w:p w14:paraId="4ECAD787"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3,562 </w:t>
            </w:r>
          </w:p>
        </w:tc>
        <w:tc>
          <w:tcPr>
            <w:tcW w:w="1020" w:type="dxa"/>
            <w:tcBorders>
              <w:top w:val="single" w:sz="4" w:space="0" w:color="000000"/>
              <w:left w:val="nil"/>
              <w:bottom w:val="single" w:sz="4" w:space="0" w:color="000000"/>
              <w:right w:val="nil"/>
            </w:tcBorders>
            <w:shd w:val="clear" w:color="auto" w:fill="auto"/>
            <w:noWrap/>
            <w:vAlign w:val="bottom"/>
            <w:hideMark/>
          </w:tcPr>
          <w:p w14:paraId="56BB3B92"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4,506 </w:t>
            </w:r>
          </w:p>
        </w:tc>
        <w:tc>
          <w:tcPr>
            <w:tcW w:w="1040" w:type="dxa"/>
            <w:tcBorders>
              <w:top w:val="single" w:sz="4" w:space="0" w:color="000000"/>
              <w:left w:val="nil"/>
              <w:bottom w:val="single" w:sz="4" w:space="0" w:color="000000"/>
              <w:right w:val="nil"/>
            </w:tcBorders>
            <w:shd w:val="clear" w:color="auto" w:fill="auto"/>
            <w:noWrap/>
            <w:vAlign w:val="bottom"/>
            <w:hideMark/>
          </w:tcPr>
          <w:p w14:paraId="67E92E99"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4,608 </w:t>
            </w:r>
          </w:p>
        </w:tc>
      </w:tr>
      <w:tr w:rsidR="00992F2E" w:rsidRPr="00992F2E" w14:paraId="66AD91C4" w14:textId="77777777" w:rsidTr="00740335">
        <w:trPr>
          <w:trHeight w:val="454"/>
          <w:jc w:val="center"/>
        </w:trPr>
        <w:tc>
          <w:tcPr>
            <w:tcW w:w="8000" w:type="dxa"/>
            <w:gridSpan w:val="6"/>
            <w:tcBorders>
              <w:top w:val="nil"/>
              <w:left w:val="nil"/>
              <w:bottom w:val="nil"/>
              <w:right w:val="nil"/>
            </w:tcBorders>
            <w:shd w:val="clear" w:color="auto" w:fill="auto"/>
            <w:vAlign w:val="bottom"/>
            <w:hideMark/>
          </w:tcPr>
          <w:p w14:paraId="57049AA5"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Community Safety Measures in Response to the High Court's Decision in NZYQ v Minister for Immigration, Citizenship and Multicultural Affairs &amp; Anor</w:t>
            </w:r>
          </w:p>
        </w:tc>
      </w:tr>
      <w:tr w:rsidR="00992F2E" w:rsidRPr="00992F2E" w14:paraId="2840F283"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2BBE06A3" w14:textId="3F5162F2" w:rsidR="00992F2E" w:rsidRPr="00992F2E" w:rsidRDefault="00992F2E" w:rsidP="00992F2E">
            <w:pPr>
              <w:spacing w:before="0" w:after="0" w:line="240" w:lineRule="auto"/>
              <w:rPr>
                <w:rFonts w:ascii="Arial" w:hAnsi="Arial" w:cs="Arial"/>
                <w:sz w:val="16"/>
                <w:szCs w:val="16"/>
              </w:rPr>
            </w:pPr>
            <w:r w:rsidRPr="00992F2E">
              <w:rPr>
                <w:rFonts w:ascii="Arial" w:hAnsi="Arial" w:cs="Arial"/>
                <w:sz w:val="16"/>
                <w:szCs w:val="16"/>
              </w:rPr>
              <w:t>Department of Health</w:t>
            </w:r>
            <w:r>
              <w:rPr>
                <w:rFonts w:ascii="Arial" w:hAnsi="Arial" w:cs="Arial"/>
                <w:sz w:val="16"/>
                <w:szCs w:val="16"/>
              </w:rPr>
              <w:t xml:space="preserve"> and Aged Care</w:t>
            </w:r>
          </w:p>
        </w:tc>
        <w:tc>
          <w:tcPr>
            <w:tcW w:w="1060" w:type="dxa"/>
            <w:tcBorders>
              <w:top w:val="nil"/>
              <w:left w:val="nil"/>
              <w:bottom w:val="nil"/>
              <w:right w:val="nil"/>
            </w:tcBorders>
            <w:shd w:val="clear" w:color="auto" w:fill="auto"/>
            <w:noWrap/>
            <w:vAlign w:val="bottom"/>
            <w:hideMark/>
          </w:tcPr>
          <w:p w14:paraId="34116D6A" w14:textId="77777777" w:rsidR="00992F2E" w:rsidRPr="00992F2E" w:rsidRDefault="00992F2E" w:rsidP="00992F2E">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B9F38F4" w14:textId="77777777" w:rsidR="00992F2E" w:rsidRPr="00992F2E" w:rsidRDefault="00992F2E" w:rsidP="00992F2E">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46589A05" w14:textId="77777777" w:rsidR="00992F2E" w:rsidRPr="00992F2E" w:rsidRDefault="00992F2E" w:rsidP="00992F2E">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50198031" w14:textId="77777777" w:rsidR="00992F2E" w:rsidRPr="00992F2E" w:rsidRDefault="00992F2E" w:rsidP="00992F2E">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7D57B17D" w14:textId="77777777" w:rsidR="00992F2E" w:rsidRPr="00992F2E" w:rsidRDefault="00992F2E" w:rsidP="00992F2E">
            <w:pPr>
              <w:spacing w:before="0" w:after="0" w:line="240" w:lineRule="auto"/>
              <w:jc w:val="right"/>
              <w:rPr>
                <w:rFonts w:ascii="Times New Roman" w:hAnsi="Times New Roman"/>
                <w:sz w:val="20"/>
              </w:rPr>
            </w:pPr>
          </w:p>
        </w:tc>
      </w:tr>
      <w:tr w:rsidR="00992F2E" w:rsidRPr="00992F2E" w14:paraId="2D5E10F9"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5EA446DB" w14:textId="77777777" w:rsidR="00992F2E" w:rsidRPr="00992F2E" w:rsidRDefault="00992F2E" w:rsidP="00992F2E">
            <w:pPr>
              <w:spacing w:before="0" w:after="0" w:line="240" w:lineRule="auto"/>
              <w:ind w:leftChars="75" w:left="143"/>
              <w:rPr>
                <w:rFonts w:ascii="Arial" w:hAnsi="Arial" w:cs="Arial"/>
                <w:sz w:val="16"/>
                <w:szCs w:val="16"/>
              </w:rPr>
            </w:pPr>
            <w:r w:rsidRPr="00992F2E">
              <w:rPr>
                <w:rFonts w:ascii="Arial" w:hAnsi="Arial" w:cs="Arial"/>
                <w:sz w:val="16"/>
                <w:szCs w:val="16"/>
              </w:rPr>
              <w:t>Administered payments</w:t>
            </w:r>
          </w:p>
        </w:tc>
        <w:tc>
          <w:tcPr>
            <w:tcW w:w="1060" w:type="dxa"/>
            <w:tcBorders>
              <w:top w:val="nil"/>
              <w:left w:val="nil"/>
              <w:bottom w:val="nil"/>
              <w:right w:val="nil"/>
            </w:tcBorders>
            <w:shd w:val="clear" w:color="auto" w:fill="auto"/>
            <w:noWrap/>
            <w:vAlign w:val="bottom"/>
            <w:hideMark/>
          </w:tcPr>
          <w:p w14:paraId="5F3F3365"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16A3A2D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84 </w:t>
            </w:r>
          </w:p>
        </w:tc>
        <w:tc>
          <w:tcPr>
            <w:tcW w:w="1060" w:type="dxa"/>
            <w:tcBorders>
              <w:top w:val="nil"/>
              <w:left w:val="nil"/>
              <w:bottom w:val="nil"/>
              <w:right w:val="nil"/>
            </w:tcBorders>
            <w:shd w:val="clear" w:color="auto" w:fill="auto"/>
            <w:noWrap/>
            <w:vAlign w:val="bottom"/>
            <w:hideMark/>
          </w:tcPr>
          <w:p w14:paraId="1EAB5406"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422 </w:t>
            </w:r>
          </w:p>
        </w:tc>
        <w:tc>
          <w:tcPr>
            <w:tcW w:w="1020" w:type="dxa"/>
            <w:tcBorders>
              <w:top w:val="nil"/>
              <w:left w:val="nil"/>
              <w:bottom w:val="nil"/>
              <w:right w:val="nil"/>
            </w:tcBorders>
            <w:shd w:val="clear" w:color="auto" w:fill="auto"/>
            <w:noWrap/>
            <w:vAlign w:val="bottom"/>
            <w:hideMark/>
          </w:tcPr>
          <w:p w14:paraId="2DC320F4" w14:textId="77777777" w:rsidR="00992F2E" w:rsidRPr="00992F2E" w:rsidRDefault="00992F2E" w:rsidP="00992F2E">
            <w:pPr>
              <w:spacing w:before="0" w:after="0" w:line="240" w:lineRule="auto"/>
              <w:jc w:val="right"/>
              <w:rPr>
                <w:rFonts w:ascii="Arial" w:hAnsi="Arial" w:cs="Arial"/>
                <w:sz w:val="16"/>
                <w:szCs w:val="16"/>
              </w:rPr>
            </w:pPr>
            <w:proofErr w:type="spellStart"/>
            <w:r w:rsidRPr="00992F2E">
              <w:rPr>
                <w:rFonts w:ascii="Arial" w:hAnsi="Arial" w:cs="Arial"/>
                <w:sz w:val="16"/>
                <w:szCs w:val="16"/>
              </w:rPr>
              <w:t>nfp</w:t>
            </w:r>
            <w:proofErr w:type="spellEnd"/>
          </w:p>
        </w:tc>
        <w:tc>
          <w:tcPr>
            <w:tcW w:w="1040" w:type="dxa"/>
            <w:tcBorders>
              <w:top w:val="nil"/>
              <w:left w:val="nil"/>
              <w:bottom w:val="nil"/>
              <w:right w:val="nil"/>
            </w:tcBorders>
            <w:shd w:val="clear" w:color="auto" w:fill="auto"/>
            <w:noWrap/>
            <w:vAlign w:val="bottom"/>
            <w:hideMark/>
          </w:tcPr>
          <w:p w14:paraId="31D40204" w14:textId="77777777" w:rsidR="00992F2E" w:rsidRPr="00992F2E" w:rsidRDefault="00992F2E" w:rsidP="00992F2E">
            <w:pPr>
              <w:spacing w:before="0" w:after="0" w:line="240" w:lineRule="auto"/>
              <w:jc w:val="right"/>
              <w:rPr>
                <w:rFonts w:ascii="Arial" w:hAnsi="Arial" w:cs="Arial"/>
                <w:sz w:val="16"/>
                <w:szCs w:val="16"/>
              </w:rPr>
            </w:pPr>
            <w:proofErr w:type="spellStart"/>
            <w:r w:rsidRPr="00992F2E">
              <w:rPr>
                <w:rFonts w:ascii="Arial" w:hAnsi="Arial" w:cs="Arial"/>
                <w:sz w:val="16"/>
                <w:szCs w:val="16"/>
              </w:rPr>
              <w:t>nfp</w:t>
            </w:r>
            <w:proofErr w:type="spellEnd"/>
          </w:p>
        </w:tc>
      </w:tr>
      <w:tr w:rsidR="00992F2E" w:rsidRPr="00992F2E" w14:paraId="75FEB4B2"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0CBDD8CE" w14:textId="77777777" w:rsidR="00992F2E" w:rsidRPr="00992F2E" w:rsidRDefault="00992F2E" w:rsidP="00992F2E">
            <w:pPr>
              <w:spacing w:before="0"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6A332116"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4689496B"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96 </w:t>
            </w:r>
          </w:p>
        </w:tc>
        <w:tc>
          <w:tcPr>
            <w:tcW w:w="1060" w:type="dxa"/>
            <w:tcBorders>
              <w:top w:val="nil"/>
              <w:left w:val="nil"/>
              <w:bottom w:val="nil"/>
              <w:right w:val="nil"/>
            </w:tcBorders>
            <w:shd w:val="clear" w:color="auto" w:fill="auto"/>
            <w:noWrap/>
            <w:vAlign w:val="bottom"/>
            <w:hideMark/>
          </w:tcPr>
          <w:p w14:paraId="1BD27473"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161 </w:t>
            </w:r>
          </w:p>
        </w:tc>
        <w:tc>
          <w:tcPr>
            <w:tcW w:w="1020" w:type="dxa"/>
            <w:tcBorders>
              <w:top w:val="nil"/>
              <w:left w:val="nil"/>
              <w:bottom w:val="nil"/>
              <w:right w:val="nil"/>
            </w:tcBorders>
            <w:shd w:val="clear" w:color="auto" w:fill="auto"/>
            <w:noWrap/>
            <w:vAlign w:val="bottom"/>
            <w:hideMark/>
          </w:tcPr>
          <w:p w14:paraId="73CA2CCD" w14:textId="77777777" w:rsidR="00992F2E" w:rsidRPr="00992F2E" w:rsidRDefault="00992F2E" w:rsidP="00992F2E">
            <w:pPr>
              <w:spacing w:before="0" w:after="0" w:line="240" w:lineRule="auto"/>
              <w:jc w:val="right"/>
              <w:rPr>
                <w:rFonts w:ascii="Arial" w:hAnsi="Arial" w:cs="Arial"/>
                <w:sz w:val="16"/>
                <w:szCs w:val="16"/>
              </w:rPr>
            </w:pPr>
            <w:proofErr w:type="spellStart"/>
            <w:r w:rsidRPr="00992F2E">
              <w:rPr>
                <w:rFonts w:ascii="Arial" w:hAnsi="Arial" w:cs="Arial"/>
                <w:sz w:val="16"/>
                <w:szCs w:val="16"/>
              </w:rPr>
              <w:t>nfp</w:t>
            </w:r>
            <w:proofErr w:type="spellEnd"/>
          </w:p>
        </w:tc>
        <w:tc>
          <w:tcPr>
            <w:tcW w:w="1040" w:type="dxa"/>
            <w:tcBorders>
              <w:top w:val="nil"/>
              <w:left w:val="nil"/>
              <w:bottom w:val="nil"/>
              <w:right w:val="nil"/>
            </w:tcBorders>
            <w:shd w:val="clear" w:color="auto" w:fill="auto"/>
            <w:noWrap/>
            <w:vAlign w:val="bottom"/>
            <w:hideMark/>
          </w:tcPr>
          <w:p w14:paraId="2E25AA30" w14:textId="77777777" w:rsidR="00992F2E" w:rsidRPr="00992F2E" w:rsidRDefault="00992F2E" w:rsidP="00992F2E">
            <w:pPr>
              <w:spacing w:before="0" w:after="0" w:line="240" w:lineRule="auto"/>
              <w:jc w:val="right"/>
              <w:rPr>
                <w:rFonts w:ascii="Arial" w:hAnsi="Arial" w:cs="Arial"/>
                <w:sz w:val="16"/>
                <w:szCs w:val="16"/>
              </w:rPr>
            </w:pPr>
            <w:proofErr w:type="spellStart"/>
            <w:r w:rsidRPr="00992F2E">
              <w:rPr>
                <w:rFonts w:ascii="Arial" w:hAnsi="Arial" w:cs="Arial"/>
                <w:sz w:val="16"/>
                <w:szCs w:val="16"/>
              </w:rPr>
              <w:t>nfp</w:t>
            </w:r>
            <w:proofErr w:type="spellEnd"/>
          </w:p>
        </w:tc>
      </w:tr>
      <w:tr w:rsidR="00992F2E" w:rsidRPr="00992F2E" w14:paraId="128ECB70"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476718E2"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Total payments</w:t>
            </w:r>
          </w:p>
        </w:tc>
        <w:tc>
          <w:tcPr>
            <w:tcW w:w="1060" w:type="dxa"/>
            <w:tcBorders>
              <w:top w:val="nil"/>
              <w:left w:val="nil"/>
              <w:bottom w:val="nil"/>
              <w:right w:val="nil"/>
            </w:tcBorders>
            <w:shd w:val="clear" w:color="auto" w:fill="auto"/>
            <w:noWrap/>
            <w:vAlign w:val="bottom"/>
            <w:hideMark/>
          </w:tcPr>
          <w:p w14:paraId="593278A2" w14:textId="77777777" w:rsidR="00992F2E" w:rsidRPr="00992F2E" w:rsidRDefault="00992F2E" w:rsidP="00992F2E">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004AB33A"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180 </w:t>
            </w:r>
          </w:p>
        </w:tc>
        <w:tc>
          <w:tcPr>
            <w:tcW w:w="1060" w:type="dxa"/>
            <w:tcBorders>
              <w:top w:val="single" w:sz="4" w:space="0" w:color="000000"/>
              <w:left w:val="nil"/>
              <w:bottom w:val="single" w:sz="4" w:space="0" w:color="000000"/>
              <w:right w:val="nil"/>
            </w:tcBorders>
            <w:shd w:val="clear" w:color="auto" w:fill="auto"/>
            <w:noWrap/>
            <w:vAlign w:val="bottom"/>
            <w:hideMark/>
          </w:tcPr>
          <w:p w14:paraId="4CCA596A"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583 </w:t>
            </w:r>
          </w:p>
        </w:tc>
        <w:tc>
          <w:tcPr>
            <w:tcW w:w="1020" w:type="dxa"/>
            <w:tcBorders>
              <w:top w:val="single" w:sz="4" w:space="0" w:color="000000"/>
              <w:left w:val="nil"/>
              <w:bottom w:val="single" w:sz="4" w:space="0" w:color="000000"/>
              <w:right w:val="nil"/>
            </w:tcBorders>
            <w:shd w:val="clear" w:color="auto" w:fill="auto"/>
            <w:noWrap/>
            <w:vAlign w:val="bottom"/>
            <w:hideMark/>
          </w:tcPr>
          <w:p w14:paraId="09D50AD5" w14:textId="77777777" w:rsidR="00992F2E" w:rsidRPr="00992F2E" w:rsidRDefault="00992F2E" w:rsidP="00992F2E">
            <w:pPr>
              <w:spacing w:before="0" w:after="0" w:line="240" w:lineRule="auto"/>
              <w:jc w:val="right"/>
              <w:rPr>
                <w:rFonts w:ascii="Arial" w:hAnsi="Arial" w:cs="Arial"/>
                <w:b/>
                <w:bCs/>
                <w:sz w:val="16"/>
                <w:szCs w:val="16"/>
              </w:rPr>
            </w:pPr>
            <w:proofErr w:type="spellStart"/>
            <w:r w:rsidRPr="00992F2E">
              <w:rPr>
                <w:rFonts w:ascii="Arial" w:hAnsi="Arial" w:cs="Arial"/>
                <w:b/>
                <w:bCs/>
                <w:sz w:val="16"/>
                <w:szCs w:val="16"/>
              </w:rPr>
              <w:t>nfp</w:t>
            </w:r>
            <w:proofErr w:type="spellEnd"/>
          </w:p>
        </w:tc>
        <w:tc>
          <w:tcPr>
            <w:tcW w:w="1040" w:type="dxa"/>
            <w:tcBorders>
              <w:top w:val="single" w:sz="4" w:space="0" w:color="000000"/>
              <w:left w:val="nil"/>
              <w:bottom w:val="single" w:sz="4" w:space="0" w:color="000000"/>
              <w:right w:val="nil"/>
            </w:tcBorders>
            <w:shd w:val="clear" w:color="auto" w:fill="auto"/>
            <w:noWrap/>
            <w:vAlign w:val="bottom"/>
            <w:hideMark/>
          </w:tcPr>
          <w:p w14:paraId="4D0D4EA4" w14:textId="77777777" w:rsidR="00992F2E" w:rsidRPr="00992F2E" w:rsidRDefault="00992F2E" w:rsidP="00992F2E">
            <w:pPr>
              <w:spacing w:before="0" w:after="0" w:line="240" w:lineRule="auto"/>
              <w:jc w:val="right"/>
              <w:rPr>
                <w:rFonts w:ascii="Arial" w:hAnsi="Arial" w:cs="Arial"/>
                <w:b/>
                <w:bCs/>
                <w:sz w:val="16"/>
                <w:szCs w:val="16"/>
              </w:rPr>
            </w:pPr>
            <w:proofErr w:type="spellStart"/>
            <w:r w:rsidRPr="00992F2E">
              <w:rPr>
                <w:rFonts w:ascii="Arial" w:hAnsi="Arial" w:cs="Arial"/>
                <w:b/>
                <w:bCs/>
                <w:sz w:val="16"/>
                <w:szCs w:val="16"/>
              </w:rPr>
              <w:t>nfp</w:t>
            </w:r>
            <w:proofErr w:type="spellEnd"/>
          </w:p>
        </w:tc>
      </w:tr>
      <w:tr w:rsidR="00992F2E" w:rsidRPr="00992F2E" w14:paraId="49753D30"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0B1F43B5"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Employment White Paper</w:t>
            </w:r>
          </w:p>
        </w:tc>
      </w:tr>
      <w:tr w:rsidR="00992F2E" w:rsidRPr="00992F2E" w14:paraId="4792BECA"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31B92A63" w14:textId="4B6C0F53" w:rsidR="00992F2E" w:rsidRPr="00992F2E" w:rsidRDefault="00992F2E" w:rsidP="00992F2E">
            <w:pPr>
              <w:spacing w:before="0" w:after="0" w:line="240" w:lineRule="auto"/>
              <w:rPr>
                <w:rFonts w:ascii="Arial" w:hAnsi="Arial" w:cs="Arial"/>
                <w:sz w:val="16"/>
                <w:szCs w:val="16"/>
              </w:rPr>
            </w:pPr>
            <w:r w:rsidRPr="00992F2E">
              <w:rPr>
                <w:rFonts w:ascii="Arial" w:hAnsi="Arial" w:cs="Arial"/>
                <w:sz w:val="16"/>
                <w:szCs w:val="16"/>
              </w:rPr>
              <w:t xml:space="preserve">Department of Health </w:t>
            </w:r>
            <w:r>
              <w:rPr>
                <w:rFonts w:ascii="Arial" w:hAnsi="Arial" w:cs="Arial"/>
                <w:sz w:val="16"/>
                <w:szCs w:val="16"/>
              </w:rPr>
              <w:t>and Aged Care</w:t>
            </w:r>
          </w:p>
        </w:tc>
        <w:tc>
          <w:tcPr>
            <w:tcW w:w="1060" w:type="dxa"/>
            <w:tcBorders>
              <w:top w:val="nil"/>
              <w:left w:val="nil"/>
              <w:bottom w:val="nil"/>
              <w:right w:val="nil"/>
            </w:tcBorders>
            <w:shd w:val="clear" w:color="auto" w:fill="auto"/>
            <w:noWrap/>
            <w:vAlign w:val="bottom"/>
            <w:hideMark/>
          </w:tcPr>
          <w:p w14:paraId="279BEA8A" w14:textId="77777777" w:rsidR="00992F2E" w:rsidRPr="00992F2E" w:rsidRDefault="00992F2E" w:rsidP="00992F2E">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23816A0E" w14:textId="77777777" w:rsidR="00992F2E" w:rsidRPr="00992F2E" w:rsidRDefault="00992F2E" w:rsidP="00992F2E">
            <w:pPr>
              <w:spacing w:before="0" w:after="0" w:line="240" w:lineRule="auto"/>
              <w:jc w:val="right"/>
              <w:rPr>
                <w:rFonts w:ascii="Times New Roman" w:hAnsi="Times New Roman"/>
                <w:sz w:val="20"/>
              </w:rPr>
            </w:pPr>
          </w:p>
        </w:tc>
        <w:tc>
          <w:tcPr>
            <w:tcW w:w="1060" w:type="dxa"/>
            <w:tcBorders>
              <w:top w:val="nil"/>
              <w:left w:val="nil"/>
              <w:bottom w:val="nil"/>
              <w:right w:val="nil"/>
            </w:tcBorders>
            <w:shd w:val="clear" w:color="auto" w:fill="auto"/>
            <w:noWrap/>
            <w:vAlign w:val="bottom"/>
            <w:hideMark/>
          </w:tcPr>
          <w:p w14:paraId="36CE5E39" w14:textId="77777777" w:rsidR="00992F2E" w:rsidRPr="00992F2E" w:rsidRDefault="00992F2E" w:rsidP="00992F2E">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260180F5" w14:textId="77777777" w:rsidR="00992F2E" w:rsidRPr="00992F2E" w:rsidRDefault="00992F2E" w:rsidP="00992F2E">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22BCFF16" w14:textId="77777777" w:rsidR="00992F2E" w:rsidRPr="00992F2E" w:rsidRDefault="00992F2E" w:rsidP="00992F2E">
            <w:pPr>
              <w:spacing w:before="0" w:after="0" w:line="240" w:lineRule="auto"/>
              <w:jc w:val="right"/>
              <w:rPr>
                <w:rFonts w:ascii="Times New Roman" w:hAnsi="Times New Roman"/>
                <w:sz w:val="20"/>
              </w:rPr>
            </w:pPr>
          </w:p>
        </w:tc>
      </w:tr>
      <w:tr w:rsidR="00992F2E" w:rsidRPr="00992F2E" w14:paraId="423FDE2F"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63AE3661" w14:textId="77777777" w:rsidR="00992F2E" w:rsidRPr="00992F2E" w:rsidRDefault="00992F2E" w:rsidP="00992F2E">
            <w:pPr>
              <w:spacing w:before="0" w:after="0" w:line="240" w:lineRule="auto"/>
              <w:ind w:leftChars="75" w:left="143"/>
              <w:rPr>
                <w:rFonts w:ascii="Arial" w:hAnsi="Arial" w:cs="Arial"/>
                <w:sz w:val="16"/>
                <w:szCs w:val="16"/>
              </w:rPr>
            </w:pPr>
            <w:r w:rsidRPr="00992F2E">
              <w:rPr>
                <w:rFonts w:ascii="Arial" w:hAnsi="Arial" w:cs="Arial"/>
                <w:sz w:val="16"/>
                <w:szCs w:val="16"/>
              </w:rPr>
              <w:t>Administered payments</w:t>
            </w:r>
          </w:p>
        </w:tc>
        <w:tc>
          <w:tcPr>
            <w:tcW w:w="1060" w:type="dxa"/>
            <w:tcBorders>
              <w:top w:val="nil"/>
              <w:left w:val="nil"/>
              <w:bottom w:val="nil"/>
              <w:right w:val="nil"/>
            </w:tcBorders>
            <w:shd w:val="clear" w:color="auto" w:fill="auto"/>
            <w:noWrap/>
            <w:vAlign w:val="bottom"/>
            <w:hideMark/>
          </w:tcPr>
          <w:p w14:paraId="2D690FC4"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328E9497"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2E73C26"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2,946 </w:t>
            </w:r>
          </w:p>
        </w:tc>
        <w:tc>
          <w:tcPr>
            <w:tcW w:w="1020" w:type="dxa"/>
            <w:tcBorders>
              <w:top w:val="nil"/>
              <w:left w:val="nil"/>
              <w:bottom w:val="nil"/>
              <w:right w:val="nil"/>
            </w:tcBorders>
            <w:shd w:val="clear" w:color="auto" w:fill="auto"/>
            <w:noWrap/>
            <w:vAlign w:val="bottom"/>
            <w:hideMark/>
          </w:tcPr>
          <w:p w14:paraId="1BFB48BC"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3,043 </w:t>
            </w:r>
          </w:p>
        </w:tc>
        <w:tc>
          <w:tcPr>
            <w:tcW w:w="1040" w:type="dxa"/>
            <w:tcBorders>
              <w:top w:val="nil"/>
              <w:left w:val="nil"/>
              <w:bottom w:val="nil"/>
              <w:right w:val="nil"/>
            </w:tcBorders>
            <w:shd w:val="clear" w:color="auto" w:fill="auto"/>
            <w:noWrap/>
            <w:vAlign w:val="bottom"/>
            <w:hideMark/>
          </w:tcPr>
          <w:p w14:paraId="1222205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3,056 </w:t>
            </w:r>
          </w:p>
        </w:tc>
      </w:tr>
      <w:tr w:rsidR="00992F2E" w:rsidRPr="00992F2E" w14:paraId="70E00581"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273B8179"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Total payments</w:t>
            </w:r>
          </w:p>
        </w:tc>
        <w:tc>
          <w:tcPr>
            <w:tcW w:w="1060" w:type="dxa"/>
            <w:tcBorders>
              <w:top w:val="nil"/>
              <w:left w:val="nil"/>
              <w:bottom w:val="nil"/>
              <w:right w:val="nil"/>
            </w:tcBorders>
            <w:shd w:val="clear" w:color="auto" w:fill="auto"/>
            <w:noWrap/>
            <w:vAlign w:val="bottom"/>
            <w:hideMark/>
          </w:tcPr>
          <w:p w14:paraId="30E2D4FA" w14:textId="77777777" w:rsidR="00992F2E" w:rsidRPr="00992F2E" w:rsidRDefault="00992F2E" w:rsidP="00992F2E">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09114261"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762C489E"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2,946 </w:t>
            </w:r>
          </w:p>
        </w:tc>
        <w:tc>
          <w:tcPr>
            <w:tcW w:w="1020" w:type="dxa"/>
            <w:tcBorders>
              <w:top w:val="single" w:sz="4" w:space="0" w:color="000000"/>
              <w:left w:val="nil"/>
              <w:bottom w:val="single" w:sz="4" w:space="0" w:color="000000"/>
              <w:right w:val="nil"/>
            </w:tcBorders>
            <w:shd w:val="clear" w:color="auto" w:fill="auto"/>
            <w:noWrap/>
            <w:vAlign w:val="bottom"/>
            <w:hideMark/>
          </w:tcPr>
          <w:p w14:paraId="1BEADD3F"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3,043 </w:t>
            </w:r>
          </w:p>
        </w:tc>
        <w:tc>
          <w:tcPr>
            <w:tcW w:w="1040" w:type="dxa"/>
            <w:tcBorders>
              <w:top w:val="single" w:sz="4" w:space="0" w:color="000000"/>
              <w:left w:val="nil"/>
              <w:bottom w:val="single" w:sz="4" w:space="0" w:color="000000"/>
              <w:right w:val="nil"/>
            </w:tcBorders>
            <w:shd w:val="clear" w:color="auto" w:fill="auto"/>
            <w:noWrap/>
            <w:vAlign w:val="bottom"/>
            <w:hideMark/>
          </w:tcPr>
          <w:p w14:paraId="1C367981"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3,056 </w:t>
            </w:r>
          </w:p>
        </w:tc>
      </w:tr>
      <w:tr w:rsidR="00992F2E" w:rsidRPr="00992F2E" w14:paraId="7E9FC756" w14:textId="77777777" w:rsidTr="00740335">
        <w:trPr>
          <w:trHeight w:val="283"/>
          <w:jc w:val="center"/>
        </w:trPr>
        <w:tc>
          <w:tcPr>
            <w:tcW w:w="8000" w:type="dxa"/>
            <w:gridSpan w:val="6"/>
            <w:tcBorders>
              <w:top w:val="nil"/>
              <w:left w:val="nil"/>
              <w:bottom w:val="nil"/>
              <w:right w:val="nil"/>
            </w:tcBorders>
            <w:shd w:val="clear" w:color="auto" w:fill="auto"/>
            <w:vAlign w:val="bottom"/>
            <w:hideMark/>
          </w:tcPr>
          <w:p w14:paraId="5D40162E"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Farm Household Allowance - eligibility changes</w:t>
            </w:r>
          </w:p>
        </w:tc>
      </w:tr>
      <w:tr w:rsidR="00992F2E" w:rsidRPr="00992F2E" w14:paraId="1BA13C7A"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52AF2C45" w14:textId="04F6BC5B" w:rsidR="00992F2E" w:rsidRPr="00992F2E" w:rsidRDefault="00992F2E" w:rsidP="00992F2E">
            <w:pPr>
              <w:spacing w:before="0" w:after="0" w:line="240" w:lineRule="auto"/>
              <w:rPr>
                <w:rFonts w:ascii="Arial" w:hAnsi="Arial" w:cs="Arial"/>
                <w:sz w:val="16"/>
                <w:szCs w:val="16"/>
              </w:rPr>
            </w:pPr>
            <w:r w:rsidRPr="00992F2E">
              <w:rPr>
                <w:rFonts w:ascii="Arial" w:hAnsi="Arial" w:cs="Arial"/>
                <w:sz w:val="16"/>
                <w:szCs w:val="16"/>
              </w:rPr>
              <w:t xml:space="preserve">Department of Health </w:t>
            </w:r>
            <w:r>
              <w:rPr>
                <w:rFonts w:ascii="Arial" w:hAnsi="Arial" w:cs="Arial"/>
                <w:sz w:val="16"/>
                <w:szCs w:val="16"/>
              </w:rPr>
              <w:t>and Aged Care</w:t>
            </w:r>
          </w:p>
        </w:tc>
        <w:tc>
          <w:tcPr>
            <w:tcW w:w="1060" w:type="dxa"/>
            <w:tcBorders>
              <w:top w:val="nil"/>
              <w:left w:val="nil"/>
              <w:bottom w:val="nil"/>
              <w:right w:val="nil"/>
            </w:tcBorders>
            <w:shd w:val="clear" w:color="auto" w:fill="auto"/>
            <w:noWrap/>
            <w:vAlign w:val="bottom"/>
            <w:hideMark/>
          </w:tcPr>
          <w:p w14:paraId="254240FD" w14:textId="77777777" w:rsidR="00992F2E" w:rsidRPr="00992F2E" w:rsidRDefault="00992F2E" w:rsidP="00992F2E">
            <w:pPr>
              <w:spacing w:before="0" w:after="0" w:line="240" w:lineRule="auto"/>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79C3EF4A"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w:t>
            </w:r>
          </w:p>
        </w:tc>
        <w:tc>
          <w:tcPr>
            <w:tcW w:w="1060" w:type="dxa"/>
            <w:tcBorders>
              <w:top w:val="nil"/>
              <w:left w:val="nil"/>
              <w:bottom w:val="nil"/>
              <w:right w:val="nil"/>
            </w:tcBorders>
            <w:shd w:val="clear" w:color="auto" w:fill="auto"/>
            <w:noWrap/>
            <w:vAlign w:val="bottom"/>
            <w:hideMark/>
          </w:tcPr>
          <w:p w14:paraId="6CBFF1BA" w14:textId="77777777" w:rsidR="00992F2E" w:rsidRPr="00992F2E" w:rsidRDefault="00992F2E" w:rsidP="00992F2E">
            <w:pPr>
              <w:spacing w:before="0"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bottom"/>
            <w:hideMark/>
          </w:tcPr>
          <w:p w14:paraId="1AA9528D" w14:textId="77777777" w:rsidR="00992F2E" w:rsidRPr="00992F2E" w:rsidRDefault="00992F2E" w:rsidP="00992F2E">
            <w:pPr>
              <w:spacing w:before="0" w:after="0" w:line="240" w:lineRule="auto"/>
              <w:jc w:val="right"/>
              <w:rPr>
                <w:rFonts w:ascii="Times New Roman" w:hAnsi="Times New Roman"/>
                <w:sz w:val="20"/>
              </w:rPr>
            </w:pPr>
          </w:p>
        </w:tc>
        <w:tc>
          <w:tcPr>
            <w:tcW w:w="1040" w:type="dxa"/>
            <w:tcBorders>
              <w:top w:val="nil"/>
              <w:left w:val="nil"/>
              <w:bottom w:val="nil"/>
              <w:right w:val="nil"/>
            </w:tcBorders>
            <w:shd w:val="clear" w:color="auto" w:fill="auto"/>
            <w:noWrap/>
            <w:vAlign w:val="bottom"/>
            <w:hideMark/>
          </w:tcPr>
          <w:p w14:paraId="6CD0A6F0" w14:textId="77777777" w:rsidR="00992F2E" w:rsidRPr="00992F2E" w:rsidRDefault="00992F2E" w:rsidP="00992F2E">
            <w:pPr>
              <w:spacing w:before="0" w:after="0" w:line="240" w:lineRule="auto"/>
              <w:jc w:val="right"/>
              <w:rPr>
                <w:rFonts w:ascii="Times New Roman" w:hAnsi="Times New Roman"/>
                <w:sz w:val="20"/>
              </w:rPr>
            </w:pPr>
          </w:p>
        </w:tc>
      </w:tr>
      <w:tr w:rsidR="00992F2E" w:rsidRPr="00992F2E" w14:paraId="344B58C3"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1399CE65" w14:textId="77777777" w:rsidR="00992F2E" w:rsidRPr="00992F2E" w:rsidRDefault="00992F2E" w:rsidP="00992F2E">
            <w:pPr>
              <w:spacing w:before="0" w:after="0" w:line="240" w:lineRule="auto"/>
              <w:ind w:leftChars="75" w:left="143"/>
              <w:rPr>
                <w:rFonts w:ascii="Arial" w:hAnsi="Arial" w:cs="Arial"/>
                <w:sz w:val="16"/>
                <w:szCs w:val="16"/>
              </w:rPr>
            </w:pPr>
            <w:r w:rsidRPr="00992F2E">
              <w:rPr>
                <w:rFonts w:ascii="Arial" w:hAnsi="Arial" w:cs="Arial"/>
                <w:sz w:val="16"/>
                <w:szCs w:val="16"/>
              </w:rPr>
              <w:t>Administered payments</w:t>
            </w:r>
          </w:p>
        </w:tc>
        <w:tc>
          <w:tcPr>
            <w:tcW w:w="1060" w:type="dxa"/>
            <w:tcBorders>
              <w:top w:val="nil"/>
              <w:left w:val="nil"/>
              <w:bottom w:val="nil"/>
              <w:right w:val="nil"/>
            </w:tcBorders>
            <w:shd w:val="clear" w:color="auto" w:fill="auto"/>
            <w:noWrap/>
            <w:vAlign w:val="bottom"/>
            <w:hideMark/>
          </w:tcPr>
          <w:p w14:paraId="0E8FA367"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2.1</w:t>
            </w:r>
          </w:p>
        </w:tc>
        <w:tc>
          <w:tcPr>
            <w:tcW w:w="940" w:type="dxa"/>
            <w:tcBorders>
              <w:top w:val="nil"/>
              <w:left w:val="nil"/>
              <w:bottom w:val="nil"/>
              <w:right w:val="nil"/>
            </w:tcBorders>
            <w:shd w:val="clear" w:color="000000" w:fill="D9D9D9"/>
            <w:noWrap/>
            <w:vAlign w:val="bottom"/>
            <w:hideMark/>
          </w:tcPr>
          <w:p w14:paraId="377C6E6D"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BA5146E"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(115)</w:t>
            </w:r>
          </w:p>
        </w:tc>
        <w:tc>
          <w:tcPr>
            <w:tcW w:w="1020" w:type="dxa"/>
            <w:tcBorders>
              <w:top w:val="nil"/>
              <w:left w:val="nil"/>
              <w:bottom w:val="nil"/>
              <w:right w:val="nil"/>
            </w:tcBorders>
            <w:shd w:val="clear" w:color="auto" w:fill="auto"/>
            <w:noWrap/>
            <w:vAlign w:val="bottom"/>
            <w:hideMark/>
          </w:tcPr>
          <w:p w14:paraId="470D88B7"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(152)</w:t>
            </w:r>
          </w:p>
        </w:tc>
        <w:tc>
          <w:tcPr>
            <w:tcW w:w="1040" w:type="dxa"/>
            <w:tcBorders>
              <w:top w:val="nil"/>
              <w:left w:val="nil"/>
              <w:bottom w:val="nil"/>
              <w:right w:val="nil"/>
            </w:tcBorders>
            <w:shd w:val="clear" w:color="auto" w:fill="auto"/>
            <w:noWrap/>
            <w:vAlign w:val="bottom"/>
            <w:hideMark/>
          </w:tcPr>
          <w:p w14:paraId="6D42BCA1"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(198)</w:t>
            </w:r>
          </w:p>
        </w:tc>
      </w:tr>
      <w:tr w:rsidR="00992F2E" w:rsidRPr="00992F2E" w14:paraId="18F5C989"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4998F673" w14:textId="77777777" w:rsidR="00992F2E" w:rsidRPr="00992F2E" w:rsidRDefault="00992F2E" w:rsidP="00992F2E">
            <w:pPr>
              <w:spacing w:before="0"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C3369CE"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2.3</w:t>
            </w:r>
          </w:p>
        </w:tc>
        <w:tc>
          <w:tcPr>
            <w:tcW w:w="940" w:type="dxa"/>
            <w:tcBorders>
              <w:top w:val="nil"/>
              <w:left w:val="nil"/>
              <w:bottom w:val="nil"/>
              <w:right w:val="nil"/>
            </w:tcBorders>
            <w:shd w:val="clear" w:color="000000" w:fill="D9D9D9"/>
            <w:noWrap/>
            <w:vAlign w:val="bottom"/>
            <w:hideMark/>
          </w:tcPr>
          <w:p w14:paraId="2B6EB703"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516FCA40"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(85)</w:t>
            </w:r>
          </w:p>
        </w:tc>
        <w:tc>
          <w:tcPr>
            <w:tcW w:w="1020" w:type="dxa"/>
            <w:tcBorders>
              <w:top w:val="nil"/>
              <w:left w:val="nil"/>
              <w:bottom w:val="nil"/>
              <w:right w:val="nil"/>
            </w:tcBorders>
            <w:shd w:val="clear" w:color="auto" w:fill="auto"/>
            <w:noWrap/>
            <w:vAlign w:val="bottom"/>
            <w:hideMark/>
          </w:tcPr>
          <w:p w14:paraId="48AEE320"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(110)</w:t>
            </w:r>
          </w:p>
        </w:tc>
        <w:tc>
          <w:tcPr>
            <w:tcW w:w="1040" w:type="dxa"/>
            <w:tcBorders>
              <w:top w:val="nil"/>
              <w:left w:val="nil"/>
              <w:bottom w:val="nil"/>
              <w:right w:val="nil"/>
            </w:tcBorders>
            <w:shd w:val="clear" w:color="auto" w:fill="auto"/>
            <w:noWrap/>
            <w:vAlign w:val="bottom"/>
            <w:hideMark/>
          </w:tcPr>
          <w:p w14:paraId="784C0F59" w14:textId="77777777" w:rsidR="00992F2E" w:rsidRPr="00992F2E" w:rsidRDefault="00992F2E" w:rsidP="00992F2E">
            <w:pPr>
              <w:spacing w:before="0" w:after="0" w:line="240" w:lineRule="auto"/>
              <w:jc w:val="right"/>
              <w:rPr>
                <w:rFonts w:ascii="Arial" w:hAnsi="Arial" w:cs="Arial"/>
                <w:sz w:val="16"/>
                <w:szCs w:val="16"/>
              </w:rPr>
            </w:pPr>
            <w:r w:rsidRPr="00992F2E">
              <w:rPr>
                <w:rFonts w:ascii="Arial" w:hAnsi="Arial" w:cs="Arial"/>
                <w:sz w:val="16"/>
                <w:szCs w:val="16"/>
              </w:rPr>
              <w:t>(137)</w:t>
            </w:r>
          </w:p>
        </w:tc>
      </w:tr>
      <w:tr w:rsidR="00992F2E" w:rsidRPr="00992F2E" w14:paraId="732C0D00" w14:textId="77777777" w:rsidTr="00992F2E">
        <w:trPr>
          <w:trHeight w:val="225"/>
          <w:jc w:val="center"/>
        </w:trPr>
        <w:tc>
          <w:tcPr>
            <w:tcW w:w="2880" w:type="dxa"/>
            <w:tcBorders>
              <w:top w:val="nil"/>
              <w:left w:val="nil"/>
              <w:bottom w:val="nil"/>
              <w:right w:val="nil"/>
            </w:tcBorders>
            <w:shd w:val="clear" w:color="auto" w:fill="auto"/>
            <w:noWrap/>
            <w:vAlign w:val="bottom"/>
            <w:hideMark/>
          </w:tcPr>
          <w:p w14:paraId="28415E85" w14:textId="77777777" w:rsidR="00992F2E" w:rsidRPr="00992F2E" w:rsidRDefault="00992F2E" w:rsidP="00992F2E">
            <w:pPr>
              <w:spacing w:before="0" w:after="0" w:line="240" w:lineRule="auto"/>
              <w:rPr>
                <w:rFonts w:ascii="Arial" w:hAnsi="Arial" w:cs="Arial"/>
                <w:b/>
                <w:bCs/>
                <w:sz w:val="16"/>
                <w:szCs w:val="16"/>
              </w:rPr>
            </w:pPr>
            <w:r w:rsidRPr="00992F2E">
              <w:rPr>
                <w:rFonts w:ascii="Arial" w:hAnsi="Arial" w:cs="Arial"/>
                <w:b/>
                <w:bCs/>
                <w:sz w:val="16"/>
                <w:szCs w:val="16"/>
              </w:rPr>
              <w:t>Total payments</w:t>
            </w:r>
          </w:p>
        </w:tc>
        <w:tc>
          <w:tcPr>
            <w:tcW w:w="1060" w:type="dxa"/>
            <w:tcBorders>
              <w:top w:val="nil"/>
              <w:left w:val="nil"/>
              <w:bottom w:val="nil"/>
              <w:right w:val="nil"/>
            </w:tcBorders>
            <w:shd w:val="clear" w:color="auto" w:fill="auto"/>
            <w:noWrap/>
            <w:vAlign w:val="bottom"/>
            <w:hideMark/>
          </w:tcPr>
          <w:p w14:paraId="6ED3CE4F" w14:textId="77777777" w:rsidR="00992F2E" w:rsidRPr="00992F2E" w:rsidRDefault="00992F2E" w:rsidP="00992F2E">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14:paraId="4E9E9D2B"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 xml:space="preserve">- </w:t>
            </w:r>
          </w:p>
        </w:tc>
        <w:tc>
          <w:tcPr>
            <w:tcW w:w="1060" w:type="dxa"/>
            <w:tcBorders>
              <w:top w:val="single" w:sz="4" w:space="0" w:color="000000"/>
              <w:left w:val="nil"/>
              <w:bottom w:val="single" w:sz="4" w:space="0" w:color="000000"/>
              <w:right w:val="nil"/>
            </w:tcBorders>
            <w:shd w:val="clear" w:color="auto" w:fill="auto"/>
            <w:noWrap/>
            <w:vAlign w:val="bottom"/>
            <w:hideMark/>
          </w:tcPr>
          <w:p w14:paraId="360046D3"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(200)</w:t>
            </w:r>
          </w:p>
        </w:tc>
        <w:tc>
          <w:tcPr>
            <w:tcW w:w="1020" w:type="dxa"/>
            <w:tcBorders>
              <w:top w:val="single" w:sz="4" w:space="0" w:color="000000"/>
              <w:left w:val="nil"/>
              <w:bottom w:val="single" w:sz="4" w:space="0" w:color="000000"/>
              <w:right w:val="nil"/>
            </w:tcBorders>
            <w:shd w:val="clear" w:color="auto" w:fill="auto"/>
            <w:noWrap/>
            <w:vAlign w:val="bottom"/>
            <w:hideMark/>
          </w:tcPr>
          <w:p w14:paraId="43A9DC14"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(262)</w:t>
            </w:r>
          </w:p>
        </w:tc>
        <w:tc>
          <w:tcPr>
            <w:tcW w:w="1040" w:type="dxa"/>
            <w:tcBorders>
              <w:top w:val="single" w:sz="4" w:space="0" w:color="000000"/>
              <w:left w:val="nil"/>
              <w:bottom w:val="single" w:sz="4" w:space="0" w:color="000000"/>
              <w:right w:val="nil"/>
            </w:tcBorders>
            <w:shd w:val="clear" w:color="auto" w:fill="auto"/>
            <w:noWrap/>
            <w:vAlign w:val="bottom"/>
            <w:hideMark/>
          </w:tcPr>
          <w:p w14:paraId="666CB36B" w14:textId="77777777" w:rsidR="00992F2E" w:rsidRPr="00992F2E" w:rsidRDefault="00992F2E" w:rsidP="00992F2E">
            <w:pPr>
              <w:spacing w:before="0" w:after="0" w:line="240" w:lineRule="auto"/>
              <w:jc w:val="right"/>
              <w:rPr>
                <w:rFonts w:ascii="Arial" w:hAnsi="Arial" w:cs="Arial"/>
                <w:b/>
                <w:bCs/>
                <w:sz w:val="16"/>
                <w:szCs w:val="16"/>
              </w:rPr>
            </w:pPr>
            <w:r w:rsidRPr="00992F2E">
              <w:rPr>
                <w:rFonts w:ascii="Arial" w:hAnsi="Arial" w:cs="Arial"/>
                <w:b/>
                <w:bCs/>
                <w:sz w:val="16"/>
                <w:szCs w:val="16"/>
              </w:rPr>
              <w:t>(335)</w:t>
            </w:r>
          </w:p>
        </w:tc>
      </w:tr>
    </w:tbl>
    <w:p w14:paraId="5AE6525A" w14:textId="6A135EBE" w:rsidR="00992F2E" w:rsidRPr="00992F2E" w:rsidRDefault="00992F2E" w:rsidP="00992F2E">
      <w:pPr>
        <w:pStyle w:val="FootnoteText"/>
        <w:spacing w:before="120"/>
      </w:pPr>
      <w:r w:rsidRPr="00992F2E">
        <w:rPr>
          <w:vertAlign w:val="superscript"/>
        </w:rPr>
        <w:t>(a)</w:t>
      </w:r>
      <w:r>
        <w:tab/>
      </w:r>
      <w:r w:rsidRPr="00992F2E">
        <w:t xml:space="preserve">The cost of this measure will be met </w:t>
      </w:r>
      <w:r>
        <w:t>from within existing resources.</w:t>
      </w:r>
    </w:p>
    <w:p w14:paraId="50F234EA" w14:textId="6AC85872" w:rsidR="00992F2E" w:rsidRPr="00992F2E" w:rsidRDefault="00992F2E" w:rsidP="00992F2E">
      <w:pPr>
        <w:pStyle w:val="FootnoteText"/>
      </w:pPr>
      <w:r w:rsidRPr="00992F2E">
        <w:rPr>
          <w:vertAlign w:val="superscript"/>
        </w:rPr>
        <w:t>(b)</w:t>
      </w:r>
      <w:r>
        <w:tab/>
      </w:r>
      <w:r w:rsidRPr="00992F2E">
        <w:t>Includes the impact of measures that are not for publication due to commercial sensitivities (</w:t>
      </w:r>
      <w:proofErr w:type="spellStart"/>
      <w:r w:rsidRPr="00992F2E">
        <w:t>nfp</w:t>
      </w:r>
      <w:proofErr w:type="spellEnd"/>
      <w:r w:rsidRPr="00992F2E">
        <w:t>).</w:t>
      </w:r>
    </w:p>
    <w:p w14:paraId="76E4D643" w14:textId="619CF61A" w:rsidR="00992F2E" w:rsidRPr="00992F2E" w:rsidRDefault="00992F2E" w:rsidP="00992F2E">
      <w:pPr>
        <w:pStyle w:val="FootnoteText"/>
      </w:pPr>
      <w:r w:rsidRPr="00992F2E">
        <w:rPr>
          <w:vertAlign w:val="superscript"/>
        </w:rPr>
        <w:t>(c)</w:t>
      </w:r>
      <w:r>
        <w:tab/>
      </w:r>
      <w:r w:rsidRPr="00992F2E">
        <w:t>This measure has been announced since MYEFO a</w:t>
      </w:r>
      <w:r>
        <w:t xml:space="preserve">nd will be included in the </w:t>
      </w:r>
      <w:r w:rsidRPr="00992F2E">
        <w:rPr>
          <w:i/>
        </w:rPr>
        <w:t>2024–25 Budget Paper 2</w:t>
      </w:r>
      <w:r w:rsidRPr="00992F2E">
        <w:t>.</w:t>
      </w:r>
    </w:p>
    <w:p w14:paraId="43FCBFB3" w14:textId="4471FDBE" w:rsidR="00992F2E" w:rsidRPr="00992F2E" w:rsidRDefault="00992F2E" w:rsidP="00992F2E">
      <w:pPr>
        <w:pStyle w:val="FootnoteText"/>
      </w:pPr>
      <w:r w:rsidRPr="00992F2E">
        <w:rPr>
          <w:vertAlign w:val="superscript"/>
        </w:rPr>
        <w:t>(d)</w:t>
      </w:r>
      <w:r>
        <w:tab/>
      </w:r>
      <w:r w:rsidRPr="00992F2E">
        <w:t xml:space="preserve">Part of the funding for this measure has already been </w:t>
      </w:r>
      <w:r>
        <w:t>provided for by the Government.</w:t>
      </w:r>
    </w:p>
    <w:p w14:paraId="6F9653EE" w14:textId="0934E9E8" w:rsidR="00992F2E" w:rsidRDefault="00992F2E" w:rsidP="00992F2E">
      <w:pPr>
        <w:pStyle w:val="FootnoteText"/>
      </w:pPr>
      <w:r w:rsidRPr="00992F2E">
        <w:rPr>
          <w:vertAlign w:val="superscript"/>
        </w:rPr>
        <w:t>(e)</w:t>
      </w:r>
      <w:r>
        <w:tab/>
      </w:r>
      <w:r w:rsidRPr="00992F2E">
        <w:t xml:space="preserve">Funding for this measure has already been </w:t>
      </w:r>
      <w:r>
        <w:t>provided for by the Government.</w:t>
      </w:r>
    </w:p>
    <w:p w14:paraId="6F070F88" w14:textId="779D062C" w:rsidR="006728FF" w:rsidRDefault="006728FF">
      <w:pPr>
        <w:spacing w:before="0" w:after="0" w:line="240" w:lineRule="auto"/>
        <w:rPr>
          <w:rFonts w:ascii="Arial" w:hAnsi="Arial" w:cs="Arial"/>
          <w:b/>
          <w:sz w:val="20"/>
          <w:u w:val="single"/>
        </w:rPr>
      </w:pPr>
      <w:r>
        <w:rPr>
          <w:rFonts w:ascii="Arial" w:hAnsi="Arial" w:cs="Arial"/>
          <w:b/>
          <w:sz w:val="20"/>
          <w:u w:val="single"/>
        </w:rPr>
        <w:br w:type="page"/>
      </w:r>
    </w:p>
    <w:p w14:paraId="2D58A003" w14:textId="7EEDE714" w:rsidR="00AE35DB" w:rsidRPr="005D5C64" w:rsidRDefault="00AE35DB" w:rsidP="005D5C64">
      <w:pPr>
        <w:spacing w:after="120"/>
        <w:jc w:val="center"/>
        <w:rPr>
          <w:rFonts w:ascii="Arial" w:hAnsi="Arial" w:cs="Arial"/>
          <w:b/>
          <w:sz w:val="22"/>
          <w:u w:val="single"/>
        </w:rPr>
      </w:pPr>
      <w:r w:rsidRPr="005D5C64">
        <w:rPr>
          <w:rFonts w:ascii="Arial" w:hAnsi="Arial" w:cs="Arial"/>
          <w:b/>
          <w:sz w:val="22"/>
          <w:u w:val="single"/>
        </w:rPr>
        <w:lastRenderedPageBreak/>
        <w:t xml:space="preserve">Corrigendum to the </w:t>
      </w:r>
      <w:r w:rsidRPr="005D5C64">
        <w:rPr>
          <w:rFonts w:ascii="Arial" w:hAnsi="Arial" w:cs="Arial"/>
          <w:b/>
          <w:i/>
          <w:sz w:val="22"/>
          <w:u w:val="single"/>
        </w:rPr>
        <w:t xml:space="preserve">Health and Aged Care </w:t>
      </w:r>
      <w:r w:rsidR="00375F56">
        <w:rPr>
          <w:rFonts w:ascii="Arial" w:hAnsi="Arial" w:cs="Arial"/>
          <w:b/>
          <w:i/>
          <w:sz w:val="22"/>
          <w:u w:val="single"/>
        </w:rPr>
        <w:br/>
      </w:r>
      <w:r w:rsidRPr="005D5C64">
        <w:rPr>
          <w:rFonts w:ascii="Arial" w:hAnsi="Arial" w:cs="Arial"/>
          <w:b/>
          <w:i/>
          <w:sz w:val="22"/>
          <w:u w:val="single"/>
        </w:rPr>
        <w:t>Portfolio Budget Statements 2023–24</w:t>
      </w:r>
    </w:p>
    <w:p w14:paraId="04EBDD60" w14:textId="723D1B99" w:rsidR="00BE02DB" w:rsidRPr="00CD11AC" w:rsidRDefault="00BE02DB" w:rsidP="00866A1D">
      <w:pPr>
        <w:spacing w:before="120"/>
        <w:rPr>
          <w:sz w:val="20"/>
        </w:rPr>
      </w:pPr>
      <w:r w:rsidRPr="00CD11AC">
        <w:rPr>
          <w:sz w:val="20"/>
        </w:rPr>
        <w:t xml:space="preserve">Corrections have been made to </w:t>
      </w:r>
      <w:r w:rsidRPr="00866A1D">
        <w:rPr>
          <w:b/>
          <w:sz w:val="20"/>
        </w:rPr>
        <w:t xml:space="preserve">Table 1.2: Department of Health and Aged Care </w:t>
      </w:r>
      <w:r w:rsidRPr="00866A1D">
        <w:rPr>
          <w:b/>
          <w:sz w:val="20"/>
        </w:rPr>
        <w:br/>
        <w:t>2023–24 Budget measures</w:t>
      </w:r>
      <w:r w:rsidRPr="00CD11AC">
        <w:rPr>
          <w:sz w:val="20"/>
        </w:rPr>
        <w:t xml:space="preserve"> as follows:</w:t>
      </w:r>
      <w:r w:rsidRPr="00CD11AC">
        <w:rPr>
          <w:rStyle w:val="FootnoteReference"/>
          <w:sz w:val="20"/>
        </w:rPr>
        <w:footnoteReference w:id="4"/>
      </w:r>
    </w:p>
    <w:p w14:paraId="67985AEE" w14:textId="77777777" w:rsidR="00BE02DB" w:rsidRPr="00CD11AC" w:rsidRDefault="00BE02DB" w:rsidP="00866A1D">
      <w:pPr>
        <w:spacing w:before="120" w:after="120"/>
        <w:rPr>
          <w:sz w:val="20"/>
        </w:rPr>
      </w:pPr>
      <w:r w:rsidRPr="00CD11AC">
        <w:rPr>
          <w:sz w:val="20"/>
          <w:u w:val="single"/>
        </w:rPr>
        <w:t>New entry (Page 25)</w:t>
      </w:r>
      <w:r w:rsidRPr="00CD11AC">
        <w:rPr>
          <w:sz w:val="20"/>
        </w:rPr>
        <w:t xml:space="preserve">: </w:t>
      </w:r>
    </w:p>
    <w:p w14:paraId="5AE538FF" w14:textId="77777777" w:rsidR="00BE02DB" w:rsidRPr="009105F3" w:rsidRDefault="00BE02DB" w:rsidP="00866A1D">
      <w:pPr>
        <w:pStyle w:val="ListParagraph"/>
        <w:numPr>
          <w:ilvl w:val="0"/>
          <w:numId w:val="51"/>
        </w:numPr>
        <w:spacing w:before="0" w:after="120" w:line="240" w:lineRule="auto"/>
        <w:rPr>
          <w:rFonts w:ascii="Book Antiqua" w:hAnsi="Book Antiqua"/>
          <w:sz w:val="20"/>
        </w:rPr>
      </w:pPr>
      <w:r w:rsidRPr="009105F3">
        <w:rPr>
          <w:rFonts w:ascii="Book Antiqua" w:hAnsi="Book Antiqua"/>
          <w:sz w:val="20"/>
        </w:rPr>
        <w:t>COVID-19 Aged Care Response: ‘Department of Veterans’ Affairs, Administered payments’ line.</w:t>
      </w:r>
    </w:p>
    <w:p w14:paraId="26C874FE" w14:textId="77777777" w:rsidR="00BE02DB" w:rsidRPr="009105F3" w:rsidRDefault="00BE02DB" w:rsidP="00866A1D">
      <w:pPr>
        <w:pStyle w:val="ListParagraph"/>
        <w:numPr>
          <w:ilvl w:val="0"/>
          <w:numId w:val="51"/>
        </w:numPr>
        <w:spacing w:before="120" w:after="120" w:line="240" w:lineRule="auto"/>
        <w:rPr>
          <w:rFonts w:ascii="Book Antiqua" w:hAnsi="Book Antiqua"/>
          <w:sz w:val="20"/>
        </w:rPr>
      </w:pPr>
      <w:r w:rsidRPr="009105F3">
        <w:rPr>
          <w:rFonts w:ascii="Book Antiqua" w:hAnsi="Book Antiqua"/>
          <w:sz w:val="20"/>
        </w:rPr>
        <w:t>COVID-19 Aged Care Response: ‘Services Australia, Departmental payments’ line.</w:t>
      </w:r>
    </w:p>
    <w:p w14:paraId="733CEC64" w14:textId="77777777" w:rsidR="00BE02DB" w:rsidRPr="00CD11AC" w:rsidRDefault="00BE02DB" w:rsidP="00866A1D">
      <w:pPr>
        <w:spacing w:before="120" w:after="120"/>
        <w:rPr>
          <w:sz w:val="20"/>
        </w:rPr>
      </w:pPr>
      <w:r w:rsidRPr="00CD11AC">
        <w:rPr>
          <w:sz w:val="20"/>
          <w:u w:val="single"/>
        </w:rPr>
        <w:t>Update (Page 25)</w:t>
      </w:r>
      <w:r w:rsidRPr="00CD11AC">
        <w:rPr>
          <w:sz w:val="20"/>
        </w:rPr>
        <w:t xml:space="preserve">: </w:t>
      </w:r>
    </w:p>
    <w:p w14:paraId="0345BA68" w14:textId="77777777" w:rsidR="00BE02DB" w:rsidRPr="009105F3" w:rsidRDefault="00BE02DB" w:rsidP="00866A1D">
      <w:pPr>
        <w:pStyle w:val="ListParagraph"/>
        <w:numPr>
          <w:ilvl w:val="0"/>
          <w:numId w:val="52"/>
        </w:numPr>
        <w:spacing w:before="120" w:after="120" w:line="240" w:lineRule="auto"/>
        <w:rPr>
          <w:rFonts w:ascii="Book Antiqua" w:hAnsi="Book Antiqua"/>
          <w:sz w:val="20"/>
        </w:rPr>
      </w:pPr>
      <w:r w:rsidRPr="009105F3">
        <w:rPr>
          <w:rFonts w:ascii="Book Antiqua" w:hAnsi="Book Antiqua"/>
          <w:sz w:val="20"/>
        </w:rPr>
        <w:t>COVID-19 Aged Care Response: ‘Total payments’ line.</w:t>
      </w:r>
    </w:p>
    <w:p w14:paraId="250CE7D9" w14:textId="77777777" w:rsidR="00BE02DB" w:rsidRPr="00CD11AC" w:rsidRDefault="00BE02DB" w:rsidP="00866A1D">
      <w:pPr>
        <w:spacing w:before="120" w:after="120"/>
        <w:rPr>
          <w:sz w:val="20"/>
        </w:rPr>
      </w:pPr>
      <w:r w:rsidRPr="00CD11AC">
        <w:rPr>
          <w:sz w:val="20"/>
          <w:u w:val="single"/>
        </w:rPr>
        <w:t>Update (Page 26)</w:t>
      </w:r>
      <w:r w:rsidRPr="00CD11AC">
        <w:rPr>
          <w:sz w:val="20"/>
        </w:rPr>
        <w:t xml:space="preserve">: </w:t>
      </w:r>
    </w:p>
    <w:p w14:paraId="7B272EEC" w14:textId="77777777" w:rsidR="00BE02DB" w:rsidRPr="009105F3" w:rsidRDefault="00BE02DB" w:rsidP="00866A1D">
      <w:pPr>
        <w:pStyle w:val="ListParagraph"/>
        <w:numPr>
          <w:ilvl w:val="0"/>
          <w:numId w:val="52"/>
        </w:numPr>
        <w:spacing w:before="120" w:after="120" w:line="240" w:lineRule="auto"/>
        <w:rPr>
          <w:rFonts w:ascii="Book Antiqua" w:hAnsi="Book Antiqua"/>
          <w:sz w:val="20"/>
        </w:rPr>
      </w:pPr>
      <w:r w:rsidRPr="009105F3">
        <w:rPr>
          <w:rFonts w:ascii="Book Antiqua" w:hAnsi="Book Antiqua"/>
          <w:sz w:val="20"/>
        </w:rPr>
        <w:t>COVID-19 Response: ‘Department of Veterans’ Affairs, Administered payments’ line.</w:t>
      </w:r>
    </w:p>
    <w:p w14:paraId="29400255" w14:textId="77777777" w:rsidR="00BE02DB" w:rsidRPr="009105F3" w:rsidRDefault="00BE02DB" w:rsidP="00866A1D">
      <w:pPr>
        <w:pStyle w:val="ListParagraph"/>
        <w:numPr>
          <w:ilvl w:val="0"/>
          <w:numId w:val="52"/>
        </w:numPr>
        <w:spacing w:before="120" w:after="120" w:line="240" w:lineRule="auto"/>
        <w:rPr>
          <w:rFonts w:ascii="Book Antiqua" w:hAnsi="Book Antiqua"/>
          <w:sz w:val="20"/>
        </w:rPr>
      </w:pPr>
      <w:r w:rsidRPr="009105F3">
        <w:rPr>
          <w:rFonts w:ascii="Book Antiqua" w:hAnsi="Book Antiqua"/>
          <w:sz w:val="20"/>
        </w:rPr>
        <w:t>COVID-19 Response: ‘Services Australia, Departmental payments’ line.</w:t>
      </w:r>
    </w:p>
    <w:p w14:paraId="1049FD7A" w14:textId="2DCF566E" w:rsidR="006728FF" w:rsidRPr="00866A1D" w:rsidRDefault="00BE02DB" w:rsidP="00866A1D">
      <w:pPr>
        <w:pStyle w:val="ListParagraph"/>
        <w:numPr>
          <w:ilvl w:val="0"/>
          <w:numId w:val="52"/>
        </w:numPr>
        <w:spacing w:before="120" w:after="120" w:line="240" w:lineRule="auto"/>
        <w:rPr>
          <w:rFonts w:ascii="Book Antiqua" w:hAnsi="Book Antiqua"/>
          <w:sz w:val="20"/>
        </w:rPr>
      </w:pPr>
      <w:r w:rsidRPr="009105F3">
        <w:rPr>
          <w:rFonts w:ascii="Book Antiqua" w:hAnsi="Book Antiqua"/>
          <w:sz w:val="20"/>
        </w:rPr>
        <w:t>COVID-19 Response: ‘Total payments’ line.</w:t>
      </w:r>
    </w:p>
    <w:p w14:paraId="063390F5" w14:textId="261E7605" w:rsidR="006728FF" w:rsidRDefault="006728FF" w:rsidP="00740335">
      <w:pPr>
        <w:spacing w:before="120" w:after="120" w:line="240" w:lineRule="auto"/>
        <w:rPr>
          <w:sz w:val="20"/>
        </w:rPr>
      </w:pPr>
      <w:r>
        <w:rPr>
          <w:sz w:val="20"/>
          <w:u w:val="single"/>
        </w:rPr>
        <w:t>Update (Page 32):</w:t>
      </w:r>
    </w:p>
    <w:p w14:paraId="79A271A8" w14:textId="7D3CDFB4" w:rsidR="006728FF" w:rsidRPr="00740335" w:rsidRDefault="006728FF" w:rsidP="00740335">
      <w:pPr>
        <w:pStyle w:val="ListParagraph"/>
        <w:numPr>
          <w:ilvl w:val="0"/>
          <w:numId w:val="52"/>
        </w:numPr>
        <w:spacing w:before="120" w:after="120" w:line="240" w:lineRule="auto"/>
        <w:rPr>
          <w:rFonts w:ascii="Book Antiqua" w:hAnsi="Book Antiqua"/>
          <w:sz w:val="20"/>
        </w:rPr>
      </w:pPr>
      <w:r w:rsidRPr="00740335">
        <w:rPr>
          <w:rFonts w:ascii="Book Antiqua" w:hAnsi="Book Antiqua"/>
          <w:sz w:val="20"/>
        </w:rPr>
        <w:t>Reducing Harm Caused by Alcohol and Other Drugs in Australia: ‘Departmental payments’ and ‘Administered payments’ line.</w:t>
      </w:r>
    </w:p>
    <w:p w14:paraId="341F93D4" w14:textId="5441CF78" w:rsidR="007635FC" w:rsidRPr="000A3424" w:rsidRDefault="007635FC" w:rsidP="000E4453">
      <w:pPr>
        <w:rPr>
          <w:rFonts w:ascii="Arial" w:hAnsi="Arial" w:cs="Arial"/>
          <w:b/>
          <w:sz w:val="20"/>
          <w:szCs w:val="18"/>
        </w:rPr>
      </w:pPr>
      <w:r w:rsidRPr="000A3424">
        <w:rPr>
          <w:rFonts w:ascii="Arial" w:hAnsi="Arial" w:cs="Arial"/>
          <w:b/>
          <w:sz w:val="22"/>
        </w:rPr>
        <w:t>Table 1.2: Department of Health and Aged Care 2023–24 Budget measures (continued)</w:t>
      </w:r>
    </w:p>
    <w:p w14:paraId="1DB4447F" w14:textId="111F69D3" w:rsidR="007635FC" w:rsidRPr="000A3424" w:rsidRDefault="007635FC" w:rsidP="00D36C41">
      <w:pPr>
        <w:spacing w:after="20"/>
        <w:rPr>
          <w:rFonts w:ascii="Arial" w:hAnsi="Arial" w:cs="Arial"/>
          <w:b/>
          <w:bCs/>
          <w:sz w:val="20"/>
        </w:rPr>
      </w:pPr>
      <w:r w:rsidRPr="000A3424">
        <w:rPr>
          <w:rFonts w:ascii="Arial" w:hAnsi="Arial" w:cs="Arial"/>
          <w:b/>
          <w:bCs/>
          <w:sz w:val="20"/>
        </w:rPr>
        <w:t>Part 1: Measures announced since the October 2022–23 Budget</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7635FC" w:rsidRPr="007635FC" w14:paraId="358A2242" w14:textId="77777777" w:rsidTr="009A4736">
        <w:trPr>
          <w:trHeight w:val="20"/>
          <w:jc w:val="center"/>
        </w:trPr>
        <w:tc>
          <w:tcPr>
            <w:tcW w:w="2780" w:type="dxa"/>
            <w:gridSpan w:val="2"/>
            <w:tcBorders>
              <w:top w:val="single" w:sz="4" w:space="0" w:color="000000"/>
              <w:left w:val="nil"/>
              <w:bottom w:val="nil"/>
              <w:right w:val="nil"/>
            </w:tcBorders>
            <w:shd w:val="clear" w:color="auto" w:fill="auto"/>
            <w:hideMark/>
          </w:tcPr>
          <w:p w14:paraId="67D375B2"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 xml:space="preserve">Outcome/ </w:t>
            </w:r>
            <w:r w:rsidRPr="007635FC">
              <w:rPr>
                <w:rFonts w:ascii="Arial" w:hAnsi="Arial" w:cs="Arial"/>
                <w:b/>
                <w:bCs/>
                <w:sz w:val="16"/>
                <w:szCs w:val="16"/>
              </w:rPr>
              <w:br/>
              <w:t>Program</w:t>
            </w:r>
          </w:p>
        </w:tc>
        <w:tc>
          <w:tcPr>
            <w:tcW w:w="920" w:type="dxa"/>
            <w:tcBorders>
              <w:top w:val="single" w:sz="4" w:space="0" w:color="000000"/>
              <w:left w:val="nil"/>
              <w:bottom w:val="single" w:sz="4" w:space="0" w:color="000000"/>
              <w:right w:val="nil"/>
            </w:tcBorders>
            <w:shd w:val="clear" w:color="auto" w:fill="auto"/>
            <w:hideMark/>
          </w:tcPr>
          <w:p w14:paraId="36572387"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2022–23</w:t>
            </w:r>
            <w:r w:rsidRPr="007635FC">
              <w:rPr>
                <w:rFonts w:ascii="Arial" w:hAnsi="Arial" w:cs="Arial"/>
                <w:b/>
                <w:bCs/>
                <w:sz w:val="16"/>
                <w:szCs w:val="16"/>
              </w:rPr>
              <w:br/>
            </w:r>
            <w:r w:rsidRPr="00A7362B">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000000" w:fill="D9D9D9"/>
            <w:hideMark/>
          </w:tcPr>
          <w:p w14:paraId="47FAC12B"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2023–24</w:t>
            </w:r>
            <w:r w:rsidRPr="007635FC">
              <w:rPr>
                <w:rFonts w:ascii="Arial" w:hAnsi="Arial" w:cs="Arial"/>
                <w:b/>
                <w:bCs/>
                <w:sz w:val="16"/>
                <w:szCs w:val="16"/>
              </w:rPr>
              <w:br/>
            </w:r>
            <w:r w:rsidRPr="00A7362B">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79D16144"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2024–25</w:t>
            </w:r>
            <w:r w:rsidRPr="007635FC">
              <w:rPr>
                <w:rFonts w:ascii="Arial" w:hAnsi="Arial" w:cs="Arial"/>
                <w:b/>
                <w:bCs/>
                <w:sz w:val="16"/>
                <w:szCs w:val="16"/>
              </w:rPr>
              <w:br/>
            </w:r>
            <w:r w:rsidRPr="00A7362B">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708D54F4"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2025–26</w:t>
            </w:r>
            <w:r w:rsidRPr="007635FC">
              <w:rPr>
                <w:rFonts w:ascii="Arial" w:hAnsi="Arial" w:cs="Arial"/>
                <w:b/>
                <w:bCs/>
                <w:sz w:val="16"/>
                <w:szCs w:val="16"/>
              </w:rPr>
              <w:br/>
            </w:r>
            <w:r w:rsidRPr="00A7362B">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7900FA2A"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2026–27</w:t>
            </w:r>
            <w:r w:rsidRPr="007635FC">
              <w:rPr>
                <w:rFonts w:ascii="Arial" w:hAnsi="Arial" w:cs="Arial"/>
                <w:b/>
                <w:bCs/>
                <w:sz w:val="16"/>
                <w:szCs w:val="16"/>
              </w:rPr>
              <w:br/>
            </w:r>
            <w:r w:rsidRPr="00A7362B">
              <w:rPr>
                <w:rFonts w:ascii="Arial" w:hAnsi="Arial" w:cs="Arial"/>
                <w:bCs/>
                <w:sz w:val="16"/>
                <w:szCs w:val="16"/>
              </w:rPr>
              <w:t>$'000</w:t>
            </w:r>
          </w:p>
        </w:tc>
      </w:tr>
      <w:tr w:rsidR="007635FC" w:rsidRPr="007635FC" w14:paraId="31AD2566" w14:textId="77777777" w:rsidTr="009A4736">
        <w:trPr>
          <w:trHeight w:val="20"/>
          <w:jc w:val="center"/>
        </w:trPr>
        <w:tc>
          <w:tcPr>
            <w:tcW w:w="7380" w:type="dxa"/>
            <w:gridSpan w:val="7"/>
            <w:tcBorders>
              <w:top w:val="nil"/>
              <w:left w:val="nil"/>
              <w:bottom w:val="nil"/>
              <w:right w:val="nil"/>
            </w:tcBorders>
            <w:shd w:val="clear" w:color="auto" w:fill="auto"/>
            <w:vAlign w:val="bottom"/>
            <w:hideMark/>
          </w:tcPr>
          <w:p w14:paraId="0F510157" w14:textId="77777777" w:rsidR="007635FC" w:rsidRPr="007635FC" w:rsidRDefault="007635FC" w:rsidP="007635FC">
            <w:pPr>
              <w:spacing w:before="0" w:after="0" w:line="240" w:lineRule="auto"/>
              <w:rPr>
                <w:rFonts w:ascii="Arial" w:hAnsi="Arial" w:cs="Arial"/>
                <w:b/>
                <w:bCs/>
                <w:sz w:val="16"/>
                <w:szCs w:val="16"/>
              </w:rPr>
            </w:pPr>
            <w:r w:rsidRPr="007635FC">
              <w:rPr>
                <w:rFonts w:ascii="Arial" w:hAnsi="Arial" w:cs="Arial"/>
                <w:b/>
                <w:bCs/>
                <w:sz w:val="16"/>
                <w:szCs w:val="16"/>
              </w:rPr>
              <w:t>COVID-19 Aged Care Response</w:t>
            </w:r>
          </w:p>
        </w:tc>
      </w:tr>
      <w:tr w:rsidR="007635FC" w:rsidRPr="007635FC" w14:paraId="3F0D87CE" w14:textId="77777777" w:rsidTr="009A4736">
        <w:trPr>
          <w:trHeight w:val="20"/>
          <w:jc w:val="center"/>
        </w:trPr>
        <w:tc>
          <w:tcPr>
            <w:tcW w:w="2320" w:type="dxa"/>
            <w:tcBorders>
              <w:top w:val="nil"/>
              <w:left w:val="nil"/>
              <w:bottom w:val="nil"/>
              <w:right w:val="nil"/>
            </w:tcBorders>
            <w:shd w:val="clear" w:color="auto" w:fill="auto"/>
            <w:vAlign w:val="bottom"/>
            <w:hideMark/>
          </w:tcPr>
          <w:p w14:paraId="5A8075C5"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D32FDDB"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84174A0"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2241591"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3D5BFD78"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D17BB5E"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627BB64D"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6968B810" w14:textId="77777777" w:rsidTr="009A4736">
        <w:trPr>
          <w:trHeight w:val="20"/>
          <w:jc w:val="center"/>
        </w:trPr>
        <w:tc>
          <w:tcPr>
            <w:tcW w:w="2320" w:type="dxa"/>
            <w:tcBorders>
              <w:top w:val="nil"/>
              <w:left w:val="nil"/>
              <w:bottom w:val="nil"/>
              <w:right w:val="nil"/>
            </w:tcBorders>
            <w:shd w:val="clear" w:color="auto" w:fill="auto"/>
            <w:noWrap/>
            <w:vAlign w:val="bottom"/>
            <w:hideMark/>
          </w:tcPr>
          <w:p w14:paraId="051FCFE4"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Administered payments</w:t>
            </w:r>
          </w:p>
        </w:tc>
        <w:tc>
          <w:tcPr>
            <w:tcW w:w="460" w:type="dxa"/>
            <w:tcBorders>
              <w:top w:val="nil"/>
              <w:left w:val="nil"/>
              <w:bottom w:val="nil"/>
              <w:right w:val="nil"/>
            </w:tcBorders>
            <w:shd w:val="clear" w:color="auto" w:fill="auto"/>
            <w:noWrap/>
            <w:vAlign w:val="bottom"/>
            <w:hideMark/>
          </w:tcPr>
          <w:p w14:paraId="3077207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2.1</w:t>
            </w:r>
          </w:p>
        </w:tc>
        <w:tc>
          <w:tcPr>
            <w:tcW w:w="920" w:type="dxa"/>
            <w:tcBorders>
              <w:top w:val="nil"/>
              <w:left w:val="nil"/>
              <w:bottom w:val="nil"/>
              <w:right w:val="nil"/>
            </w:tcBorders>
            <w:shd w:val="clear" w:color="auto" w:fill="auto"/>
            <w:noWrap/>
            <w:vAlign w:val="bottom"/>
            <w:hideMark/>
          </w:tcPr>
          <w:p w14:paraId="652454E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30,551 </w:t>
            </w:r>
          </w:p>
        </w:tc>
        <w:tc>
          <w:tcPr>
            <w:tcW w:w="920" w:type="dxa"/>
            <w:tcBorders>
              <w:top w:val="nil"/>
              <w:left w:val="nil"/>
              <w:bottom w:val="nil"/>
              <w:right w:val="nil"/>
            </w:tcBorders>
            <w:shd w:val="clear" w:color="000000" w:fill="D9D9D9"/>
            <w:noWrap/>
            <w:vAlign w:val="bottom"/>
            <w:hideMark/>
          </w:tcPr>
          <w:p w14:paraId="3DD94708"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10,000 </w:t>
            </w:r>
          </w:p>
        </w:tc>
        <w:tc>
          <w:tcPr>
            <w:tcW w:w="920" w:type="dxa"/>
            <w:tcBorders>
              <w:top w:val="nil"/>
              <w:left w:val="nil"/>
              <w:bottom w:val="nil"/>
              <w:right w:val="nil"/>
            </w:tcBorders>
            <w:shd w:val="clear" w:color="auto" w:fill="auto"/>
            <w:noWrap/>
            <w:vAlign w:val="bottom"/>
            <w:hideMark/>
          </w:tcPr>
          <w:p w14:paraId="5386CB1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529C1E9"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E010D5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D6E9352" w14:textId="77777777" w:rsidTr="009A4736">
        <w:trPr>
          <w:trHeight w:val="20"/>
          <w:jc w:val="center"/>
        </w:trPr>
        <w:tc>
          <w:tcPr>
            <w:tcW w:w="2320" w:type="dxa"/>
            <w:tcBorders>
              <w:top w:val="nil"/>
              <w:left w:val="nil"/>
              <w:bottom w:val="nil"/>
              <w:right w:val="nil"/>
            </w:tcBorders>
            <w:shd w:val="clear" w:color="auto" w:fill="auto"/>
            <w:noWrap/>
            <w:vAlign w:val="bottom"/>
            <w:hideMark/>
          </w:tcPr>
          <w:p w14:paraId="716A1D45"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0EF1C9A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3.3</w:t>
            </w:r>
          </w:p>
        </w:tc>
        <w:tc>
          <w:tcPr>
            <w:tcW w:w="920" w:type="dxa"/>
            <w:tcBorders>
              <w:top w:val="nil"/>
              <w:left w:val="nil"/>
              <w:bottom w:val="nil"/>
              <w:right w:val="nil"/>
            </w:tcBorders>
            <w:shd w:val="clear" w:color="auto" w:fill="auto"/>
            <w:noWrap/>
            <w:vAlign w:val="bottom"/>
            <w:hideMark/>
          </w:tcPr>
          <w:p w14:paraId="6CD16FD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181,821 </w:t>
            </w:r>
          </w:p>
        </w:tc>
        <w:tc>
          <w:tcPr>
            <w:tcW w:w="920" w:type="dxa"/>
            <w:tcBorders>
              <w:top w:val="nil"/>
              <w:left w:val="nil"/>
              <w:bottom w:val="nil"/>
              <w:right w:val="nil"/>
            </w:tcBorders>
            <w:shd w:val="clear" w:color="000000" w:fill="D9D9D9"/>
            <w:noWrap/>
            <w:vAlign w:val="bottom"/>
            <w:hideMark/>
          </w:tcPr>
          <w:p w14:paraId="39BD88F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334,055 </w:t>
            </w:r>
          </w:p>
        </w:tc>
        <w:tc>
          <w:tcPr>
            <w:tcW w:w="920" w:type="dxa"/>
            <w:tcBorders>
              <w:top w:val="nil"/>
              <w:left w:val="nil"/>
              <w:bottom w:val="nil"/>
              <w:right w:val="nil"/>
            </w:tcBorders>
            <w:shd w:val="clear" w:color="auto" w:fill="auto"/>
            <w:noWrap/>
            <w:vAlign w:val="bottom"/>
            <w:hideMark/>
          </w:tcPr>
          <w:p w14:paraId="373B519B"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9B668CB"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5DF2A8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1D23C3A" w14:textId="77777777" w:rsidTr="009A4736">
        <w:trPr>
          <w:trHeight w:val="20"/>
          <w:jc w:val="center"/>
        </w:trPr>
        <w:tc>
          <w:tcPr>
            <w:tcW w:w="2320" w:type="dxa"/>
            <w:tcBorders>
              <w:top w:val="nil"/>
              <w:left w:val="nil"/>
              <w:bottom w:val="nil"/>
              <w:right w:val="nil"/>
            </w:tcBorders>
            <w:shd w:val="clear" w:color="auto" w:fill="auto"/>
            <w:noWrap/>
            <w:vAlign w:val="bottom"/>
            <w:hideMark/>
          </w:tcPr>
          <w:p w14:paraId="56167F50"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381F07B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2</w:t>
            </w:r>
          </w:p>
        </w:tc>
        <w:tc>
          <w:tcPr>
            <w:tcW w:w="920" w:type="dxa"/>
            <w:tcBorders>
              <w:top w:val="nil"/>
              <w:left w:val="nil"/>
              <w:bottom w:val="nil"/>
              <w:right w:val="nil"/>
            </w:tcBorders>
            <w:shd w:val="clear" w:color="auto" w:fill="auto"/>
            <w:noWrap/>
            <w:vAlign w:val="bottom"/>
            <w:hideMark/>
          </w:tcPr>
          <w:p w14:paraId="1976CCC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167 </w:t>
            </w:r>
          </w:p>
        </w:tc>
        <w:tc>
          <w:tcPr>
            <w:tcW w:w="920" w:type="dxa"/>
            <w:tcBorders>
              <w:top w:val="nil"/>
              <w:left w:val="nil"/>
              <w:bottom w:val="nil"/>
              <w:right w:val="nil"/>
            </w:tcBorders>
            <w:shd w:val="clear" w:color="000000" w:fill="D9D9D9"/>
            <w:noWrap/>
            <w:vAlign w:val="bottom"/>
            <w:hideMark/>
          </w:tcPr>
          <w:p w14:paraId="7D9B6A2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163 </w:t>
            </w:r>
          </w:p>
        </w:tc>
        <w:tc>
          <w:tcPr>
            <w:tcW w:w="920" w:type="dxa"/>
            <w:tcBorders>
              <w:top w:val="nil"/>
              <w:left w:val="nil"/>
              <w:bottom w:val="nil"/>
              <w:right w:val="nil"/>
            </w:tcBorders>
            <w:shd w:val="clear" w:color="auto" w:fill="auto"/>
            <w:noWrap/>
            <w:vAlign w:val="bottom"/>
            <w:hideMark/>
          </w:tcPr>
          <w:p w14:paraId="4E433A6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0425113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D110AA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A5C89F8" w14:textId="77777777" w:rsidTr="009A4736">
        <w:trPr>
          <w:trHeight w:val="20"/>
          <w:jc w:val="center"/>
        </w:trPr>
        <w:tc>
          <w:tcPr>
            <w:tcW w:w="2320" w:type="dxa"/>
            <w:tcBorders>
              <w:top w:val="nil"/>
              <w:left w:val="nil"/>
              <w:bottom w:val="nil"/>
              <w:right w:val="nil"/>
            </w:tcBorders>
            <w:shd w:val="clear" w:color="auto" w:fill="auto"/>
            <w:vAlign w:val="bottom"/>
            <w:hideMark/>
          </w:tcPr>
          <w:p w14:paraId="695D4034"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3975018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3</w:t>
            </w:r>
          </w:p>
        </w:tc>
        <w:tc>
          <w:tcPr>
            <w:tcW w:w="920" w:type="dxa"/>
            <w:tcBorders>
              <w:top w:val="nil"/>
              <w:left w:val="nil"/>
              <w:bottom w:val="nil"/>
              <w:right w:val="nil"/>
            </w:tcBorders>
            <w:shd w:val="clear" w:color="auto" w:fill="auto"/>
            <w:noWrap/>
            <w:vAlign w:val="bottom"/>
            <w:hideMark/>
          </w:tcPr>
          <w:p w14:paraId="58C779F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10,158 </w:t>
            </w:r>
          </w:p>
        </w:tc>
        <w:tc>
          <w:tcPr>
            <w:tcW w:w="920" w:type="dxa"/>
            <w:tcBorders>
              <w:top w:val="nil"/>
              <w:left w:val="nil"/>
              <w:bottom w:val="nil"/>
              <w:right w:val="nil"/>
            </w:tcBorders>
            <w:shd w:val="clear" w:color="000000" w:fill="D9D9D9"/>
            <w:noWrap/>
            <w:vAlign w:val="bottom"/>
            <w:hideMark/>
          </w:tcPr>
          <w:p w14:paraId="779E08B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17,084 </w:t>
            </w:r>
          </w:p>
        </w:tc>
        <w:tc>
          <w:tcPr>
            <w:tcW w:w="920" w:type="dxa"/>
            <w:tcBorders>
              <w:top w:val="nil"/>
              <w:left w:val="nil"/>
              <w:bottom w:val="nil"/>
              <w:right w:val="nil"/>
            </w:tcBorders>
            <w:shd w:val="clear" w:color="auto" w:fill="auto"/>
            <w:noWrap/>
            <w:vAlign w:val="bottom"/>
            <w:hideMark/>
          </w:tcPr>
          <w:p w14:paraId="04C1191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EED560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20B663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26CF4EF0" w14:textId="77777777" w:rsidTr="009A4736">
        <w:trPr>
          <w:trHeight w:val="20"/>
          <w:jc w:val="center"/>
        </w:trPr>
        <w:tc>
          <w:tcPr>
            <w:tcW w:w="2320" w:type="dxa"/>
            <w:tcBorders>
              <w:top w:val="nil"/>
              <w:left w:val="nil"/>
              <w:bottom w:val="nil"/>
              <w:right w:val="nil"/>
            </w:tcBorders>
            <w:shd w:val="clear" w:color="auto" w:fill="auto"/>
            <w:vAlign w:val="bottom"/>
            <w:hideMark/>
          </w:tcPr>
          <w:p w14:paraId="0B25C80A"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capital payments</w:t>
            </w:r>
          </w:p>
        </w:tc>
        <w:tc>
          <w:tcPr>
            <w:tcW w:w="460" w:type="dxa"/>
            <w:tcBorders>
              <w:top w:val="nil"/>
              <w:left w:val="nil"/>
              <w:bottom w:val="nil"/>
              <w:right w:val="nil"/>
            </w:tcBorders>
            <w:shd w:val="clear" w:color="auto" w:fill="auto"/>
            <w:noWrap/>
            <w:vAlign w:val="bottom"/>
            <w:hideMark/>
          </w:tcPr>
          <w:p w14:paraId="4377CC0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3</w:t>
            </w:r>
          </w:p>
        </w:tc>
        <w:tc>
          <w:tcPr>
            <w:tcW w:w="920" w:type="dxa"/>
            <w:tcBorders>
              <w:top w:val="nil"/>
              <w:left w:val="nil"/>
              <w:bottom w:val="nil"/>
              <w:right w:val="nil"/>
            </w:tcBorders>
            <w:shd w:val="clear" w:color="auto" w:fill="auto"/>
            <w:noWrap/>
            <w:vAlign w:val="bottom"/>
            <w:hideMark/>
          </w:tcPr>
          <w:p w14:paraId="65DBCCD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434 </w:t>
            </w:r>
          </w:p>
        </w:tc>
        <w:tc>
          <w:tcPr>
            <w:tcW w:w="920" w:type="dxa"/>
            <w:tcBorders>
              <w:top w:val="nil"/>
              <w:left w:val="nil"/>
              <w:bottom w:val="nil"/>
              <w:right w:val="nil"/>
            </w:tcBorders>
            <w:shd w:val="clear" w:color="000000" w:fill="D9D9D9"/>
            <w:noWrap/>
            <w:vAlign w:val="bottom"/>
            <w:hideMark/>
          </w:tcPr>
          <w:p w14:paraId="3C4E1DD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217 </w:t>
            </w:r>
          </w:p>
        </w:tc>
        <w:tc>
          <w:tcPr>
            <w:tcW w:w="920" w:type="dxa"/>
            <w:tcBorders>
              <w:top w:val="nil"/>
              <w:left w:val="nil"/>
              <w:bottom w:val="nil"/>
              <w:right w:val="nil"/>
            </w:tcBorders>
            <w:shd w:val="clear" w:color="auto" w:fill="auto"/>
            <w:noWrap/>
            <w:vAlign w:val="bottom"/>
            <w:hideMark/>
          </w:tcPr>
          <w:p w14:paraId="1BDB6A6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B8D5B6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08F7D5B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47E295EB" w14:textId="77777777" w:rsidTr="009A4736">
        <w:trPr>
          <w:trHeight w:val="20"/>
          <w:jc w:val="center"/>
        </w:trPr>
        <w:tc>
          <w:tcPr>
            <w:tcW w:w="2320" w:type="dxa"/>
            <w:tcBorders>
              <w:top w:val="nil"/>
              <w:left w:val="nil"/>
              <w:bottom w:val="nil"/>
              <w:right w:val="nil"/>
            </w:tcBorders>
            <w:shd w:val="clear" w:color="auto" w:fill="auto"/>
            <w:vAlign w:val="bottom"/>
            <w:hideMark/>
          </w:tcPr>
          <w:p w14:paraId="7A140528"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Aged Care Quality and Safety Commission</w:t>
            </w:r>
          </w:p>
        </w:tc>
        <w:tc>
          <w:tcPr>
            <w:tcW w:w="460" w:type="dxa"/>
            <w:tcBorders>
              <w:top w:val="nil"/>
              <w:left w:val="nil"/>
              <w:bottom w:val="nil"/>
              <w:right w:val="nil"/>
            </w:tcBorders>
            <w:shd w:val="clear" w:color="auto" w:fill="auto"/>
            <w:noWrap/>
            <w:vAlign w:val="bottom"/>
            <w:hideMark/>
          </w:tcPr>
          <w:p w14:paraId="6D16C3AB"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1D5D65F1"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231C9AE8"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B6F6D48"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1CC02313"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20E410F"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64D50CBC" w14:textId="77777777" w:rsidTr="009A4736">
        <w:trPr>
          <w:trHeight w:val="20"/>
          <w:jc w:val="center"/>
        </w:trPr>
        <w:tc>
          <w:tcPr>
            <w:tcW w:w="2320" w:type="dxa"/>
            <w:tcBorders>
              <w:top w:val="nil"/>
              <w:left w:val="nil"/>
              <w:bottom w:val="nil"/>
              <w:right w:val="nil"/>
            </w:tcBorders>
            <w:shd w:val="clear" w:color="auto" w:fill="auto"/>
            <w:vAlign w:val="bottom"/>
            <w:hideMark/>
          </w:tcPr>
          <w:p w14:paraId="5A9E3E6C"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03CD9E37"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23B437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3,146 </w:t>
            </w:r>
          </w:p>
        </w:tc>
        <w:tc>
          <w:tcPr>
            <w:tcW w:w="920" w:type="dxa"/>
            <w:tcBorders>
              <w:top w:val="nil"/>
              <w:left w:val="nil"/>
              <w:bottom w:val="nil"/>
              <w:right w:val="nil"/>
            </w:tcBorders>
            <w:shd w:val="clear" w:color="000000" w:fill="D9D9D9"/>
            <w:noWrap/>
            <w:vAlign w:val="bottom"/>
            <w:hideMark/>
          </w:tcPr>
          <w:p w14:paraId="369777B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3,092 </w:t>
            </w:r>
          </w:p>
        </w:tc>
        <w:tc>
          <w:tcPr>
            <w:tcW w:w="920" w:type="dxa"/>
            <w:tcBorders>
              <w:top w:val="nil"/>
              <w:left w:val="nil"/>
              <w:bottom w:val="nil"/>
              <w:right w:val="nil"/>
            </w:tcBorders>
            <w:shd w:val="clear" w:color="auto" w:fill="auto"/>
            <w:noWrap/>
            <w:vAlign w:val="bottom"/>
            <w:hideMark/>
          </w:tcPr>
          <w:p w14:paraId="6BD827E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E80C9C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0DC8A0FF"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7AF7DAF4" w14:textId="77777777" w:rsidTr="009A4736">
        <w:trPr>
          <w:trHeight w:val="20"/>
          <w:jc w:val="center"/>
        </w:trPr>
        <w:tc>
          <w:tcPr>
            <w:tcW w:w="2320" w:type="dxa"/>
            <w:tcBorders>
              <w:top w:val="nil"/>
              <w:left w:val="nil"/>
              <w:bottom w:val="nil"/>
              <w:right w:val="nil"/>
            </w:tcBorders>
            <w:shd w:val="clear" w:color="auto" w:fill="auto"/>
            <w:vAlign w:val="bottom"/>
            <w:hideMark/>
          </w:tcPr>
          <w:p w14:paraId="5C5667AE"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Department of Veterans' Affairs</w:t>
            </w:r>
          </w:p>
        </w:tc>
        <w:tc>
          <w:tcPr>
            <w:tcW w:w="460" w:type="dxa"/>
            <w:tcBorders>
              <w:top w:val="nil"/>
              <w:left w:val="nil"/>
              <w:bottom w:val="nil"/>
              <w:right w:val="nil"/>
            </w:tcBorders>
            <w:shd w:val="clear" w:color="auto" w:fill="auto"/>
            <w:noWrap/>
            <w:vAlign w:val="bottom"/>
            <w:hideMark/>
          </w:tcPr>
          <w:p w14:paraId="79D460D0"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3930D43"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1B70AD5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CB7A373"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C064460"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5779E94C"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03DBF347" w14:textId="77777777" w:rsidTr="009A4736">
        <w:trPr>
          <w:trHeight w:val="20"/>
          <w:jc w:val="center"/>
        </w:trPr>
        <w:tc>
          <w:tcPr>
            <w:tcW w:w="2320" w:type="dxa"/>
            <w:tcBorders>
              <w:top w:val="nil"/>
              <w:left w:val="nil"/>
              <w:bottom w:val="nil"/>
              <w:right w:val="nil"/>
            </w:tcBorders>
            <w:shd w:val="clear" w:color="auto" w:fill="auto"/>
            <w:vAlign w:val="bottom"/>
            <w:hideMark/>
          </w:tcPr>
          <w:p w14:paraId="1197B463" w14:textId="77777777" w:rsidR="007635FC" w:rsidRPr="007635FC" w:rsidRDefault="007635FC" w:rsidP="007635FC">
            <w:pPr>
              <w:spacing w:before="0" w:after="0" w:line="240" w:lineRule="auto"/>
              <w:ind w:firstLineChars="100" w:firstLine="160"/>
              <w:rPr>
                <w:rFonts w:ascii="Arial" w:hAnsi="Arial" w:cs="Arial"/>
                <w:sz w:val="16"/>
                <w:szCs w:val="16"/>
              </w:rPr>
            </w:pPr>
            <w:r w:rsidRPr="007635FC">
              <w:rPr>
                <w:rFonts w:ascii="Arial" w:hAnsi="Arial" w:cs="Arial"/>
                <w:sz w:val="16"/>
                <w:szCs w:val="16"/>
              </w:rPr>
              <w:t>Administered payments</w:t>
            </w:r>
          </w:p>
        </w:tc>
        <w:tc>
          <w:tcPr>
            <w:tcW w:w="460" w:type="dxa"/>
            <w:tcBorders>
              <w:top w:val="nil"/>
              <w:left w:val="nil"/>
              <w:bottom w:val="nil"/>
              <w:right w:val="nil"/>
            </w:tcBorders>
            <w:shd w:val="clear" w:color="auto" w:fill="auto"/>
            <w:noWrap/>
            <w:vAlign w:val="bottom"/>
            <w:hideMark/>
          </w:tcPr>
          <w:p w14:paraId="03EFE341"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4EDEB5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284 </w:t>
            </w:r>
          </w:p>
        </w:tc>
        <w:tc>
          <w:tcPr>
            <w:tcW w:w="920" w:type="dxa"/>
            <w:tcBorders>
              <w:top w:val="nil"/>
              <w:left w:val="nil"/>
              <w:bottom w:val="nil"/>
              <w:right w:val="nil"/>
            </w:tcBorders>
            <w:shd w:val="clear" w:color="000000" w:fill="D9D9D9"/>
            <w:noWrap/>
            <w:vAlign w:val="bottom"/>
            <w:hideMark/>
          </w:tcPr>
          <w:p w14:paraId="5669267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AF58B3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8EB34C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254375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7AD1B61E" w14:textId="77777777" w:rsidTr="009A4736">
        <w:trPr>
          <w:trHeight w:val="20"/>
          <w:jc w:val="center"/>
        </w:trPr>
        <w:tc>
          <w:tcPr>
            <w:tcW w:w="2320" w:type="dxa"/>
            <w:tcBorders>
              <w:top w:val="nil"/>
              <w:left w:val="nil"/>
              <w:bottom w:val="nil"/>
              <w:right w:val="nil"/>
            </w:tcBorders>
            <w:shd w:val="clear" w:color="auto" w:fill="auto"/>
            <w:vAlign w:val="bottom"/>
            <w:hideMark/>
          </w:tcPr>
          <w:p w14:paraId="2810A923"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Services Australia</w:t>
            </w:r>
          </w:p>
        </w:tc>
        <w:tc>
          <w:tcPr>
            <w:tcW w:w="460" w:type="dxa"/>
            <w:tcBorders>
              <w:top w:val="nil"/>
              <w:left w:val="nil"/>
              <w:bottom w:val="nil"/>
              <w:right w:val="nil"/>
            </w:tcBorders>
            <w:shd w:val="clear" w:color="auto" w:fill="auto"/>
            <w:noWrap/>
            <w:vAlign w:val="bottom"/>
            <w:hideMark/>
          </w:tcPr>
          <w:p w14:paraId="22355BFD"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416BC31"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273EA85A"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9CD449C"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2CDEC30"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70EACD45"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5144CA60" w14:textId="77777777" w:rsidTr="009A4736">
        <w:trPr>
          <w:trHeight w:val="20"/>
          <w:jc w:val="center"/>
        </w:trPr>
        <w:tc>
          <w:tcPr>
            <w:tcW w:w="2320" w:type="dxa"/>
            <w:tcBorders>
              <w:top w:val="nil"/>
              <w:left w:val="nil"/>
              <w:bottom w:val="nil"/>
              <w:right w:val="nil"/>
            </w:tcBorders>
            <w:shd w:val="clear" w:color="auto" w:fill="auto"/>
            <w:vAlign w:val="bottom"/>
            <w:hideMark/>
          </w:tcPr>
          <w:p w14:paraId="5A448606"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11D66807"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96191D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115 </w:t>
            </w:r>
          </w:p>
        </w:tc>
        <w:tc>
          <w:tcPr>
            <w:tcW w:w="920" w:type="dxa"/>
            <w:tcBorders>
              <w:top w:val="nil"/>
              <w:left w:val="nil"/>
              <w:bottom w:val="nil"/>
              <w:right w:val="nil"/>
            </w:tcBorders>
            <w:shd w:val="clear" w:color="000000" w:fill="D9D9D9"/>
            <w:noWrap/>
            <w:vAlign w:val="bottom"/>
            <w:hideMark/>
          </w:tcPr>
          <w:p w14:paraId="5F24888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14:paraId="1797397B"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14:paraId="1F84D643"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14:paraId="461C931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1B4B49BB" w14:textId="77777777" w:rsidTr="009A4736">
        <w:trPr>
          <w:trHeight w:val="20"/>
          <w:jc w:val="center"/>
        </w:trPr>
        <w:tc>
          <w:tcPr>
            <w:tcW w:w="2320" w:type="dxa"/>
            <w:tcBorders>
              <w:top w:val="nil"/>
              <w:left w:val="nil"/>
              <w:bottom w:val="nil"/>
              <w:right w:val="nil"/>
            </w:tcBorders>
            <w:shd w:val="clear" w:color="auto" w:fill="auto"/>
            <w:noWrap/>
            <w:vAlign w:val="bottom"/>
            <w:hideMark/>
          </w:tcPr>
          <w:p w14:paraId="5714B4F7" w14:textId="77777777" w:rsidR="007635FC" w:rsidRPr="007635FC" w:rsidRDefault="007635FC" w:rsidP="007635FC">
            <w:pPr>
              <w:spacing w:before="0" w:after="0" w:line="240" w:lineRule="auto"/>
              <w:rPr>
                <w:rFonts w:ascii="Arial" w:hAnsi="Arial" w:cs="Arial"/>
                <w:b/>
                <w:bCs/>
                <w:sz w:val="16"/>
                <w:szCs w:val="16"/>
              </w:rPr>
            </w:pPr>
            <w:r w:rsidRPr="007635FC">
              <w:rPr>
                <w:rFonts w:ascii="Arial" w:hAnsi="Arial" w:cs="Arial"/>
                <w:b/>
                <w:bCs/>
                <w:sz w:val="16"/>
                <w:szCs w:val="16"/>
              </w:rPr>
              <w:t>Total payments</w:t>
            </w:r>
          </w:p>
        </w:tc>
        <w:tc>
          <w:tcPr>
            <w:tcW w:w="460" w:type="dxa"/>
            <w:tcBorders>
              <w:top w:val="nil"/>
              <w:left w:val="nil"/>
              <w:bottom w:val="nil"/>
              <w:right w:val="nil"/>
            </w:tcBorders>
            <w:shd w:val="clear" w:color="auto" w:fill="auto"/>
            <w:noWrap/>
            <w:vAlign w:val="bottom"/>
            <w:hideMark/>
          </w:tcPr>
          <w:p w14:paraId="506F5DBE" w14:textId="77777777" w:rsidR="007635FC" w:rsidRPr="007635FC" w:rsidRDefault="007635FC" w:rsidP="007635FC">
            <w:pPr>
              <w:spacing w:before="0" w:after="0" w:line="240" w:lineRule="auto"/>
              <w:rPr>
                <w:rFonts w:ascii="Arial" w:hAnsi="Arial" w:cs="Arial"/>
                <w:b/>
                <w:bCs/>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5B6C1F15"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226,676 </w:t>
            </w:r>
          </w:p>
        </w:tc>
        <w:tc>
          <w:tcPr>
            <w:tcW w:w="920" w:type="dxa"/>
            <w:tcBorders>
              <w:top w:val="single" w:sz="4" w:space="0" w:color="000000"/>
              <w:left w:val="nil"/>
              <w:bottom w:val="single" w:sz="4" w:space="0" w:color="000000"/>
              <w:right w:val="nil"/>
            </w:tcBorders>
            <w:shd w:val="clear" w:color="000000" w:fill="D9D9D9"/>
            <w:noWrap/>
            <w:vAlign w:val="bottom"/>
            <w:hideMark/>
          </w:tcPr>
          <w:p w14:paraId="5DF15965"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364,611 </w:t>
            </w:r>
          </w:p>
        </w:tc>
        <w:tc>
          <w:tcPr>
            <w:tcW w:w="920" w:type="dxa"/>
            <w:tcBorders>
              <w:top w:val="single" w:sz="4" w:space="0" w:color="auto"/>
              <w:left w:val="nil"/>
              <w:bottom w:val="single" w:sz="4" w:space="0" w:color="auto"/>
              <w:right w:val="nil"/>
            </w:tcBorders>
            <w:shd w:val="clear" w:color="auto" w:fill="auto"/>
            <w:noWrap/>
            <w:vAlign w:val="bottom"/>
            <w:hideMark/>
          </w:tcPr>
          <w:p w14:paraId="0EFF5FB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7606E7A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01F125FF"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bl>
    <w:p w14:paraId="3366170A" w14:textId="61A96D3B" w:rsidR="007635FC" w:rsidRPr="000A3424" w:rsidRDefault="009A4736" w:rsidP="008C61E8">
      <w:pPr>
        <w:spacing w:after="20"/>
        <w:rPr>
          <w:rFonts w:ascii="Arial" w:hAnsi="Arial" w:cs="Arial"/>
          <w:sz w:val="20"/>
        </w:rPr>
      </w:pPr>
      <w:r w:rsidRPr="000A3424">
        <w:rPr>
          <w:rFonts w:ascii="Arial" w:hAnsi="Arial" w:cs="Arial"/>
          <w:b/>
          <w:bCs/>
          <w:sz w:val="20"/>
        </w:rPr>
        <w:lastRenderedPageBreak/>
        <w:t>Part 1: Measures announced since the October 2022–23 Budget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7635FC" w:rsidRPr="007635FC" w14:paraId="1815E698" w14:textId="77777777" w:rsidTr="00E70AF2">
        <w:trPr>
          <w:trHeight w:val="397"/>
          <w:jc w:val="center"/>
        </w:trPr>
        <w:tc>
          <w:tcPr>
            <w:tcW w:w="2780" w:type="dxa"/>
            <w:gridSpan w:val="2"/>
            <w:tcBorders>
              <w:top w:val="single" w:sz="4" w:space="0" w:color="auto"/>
              <w:left w:val="nil"/>
              <w:bottom w:val="nil"/>
              <w:right w:val="nil"/>
            </w:tcBorders>
            <w:shd w:val="clear" w:color="auto" w:fill="auto"/>
            <w:hideMark/>
          </w:tcPr>
          <w:p w14:paraId="216001F0"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 xml:space="preserve">Outcome/ </w:t>
            </w:r>
            <w:r w:rsidRPr="007635FC">
              <w:rPr>
                <w:rFonts w:ascii="Arial" w:hAnsi="Arial" w:cs="Arial"/>
                <w:b/>
                <w:bCs/>
                <w:sz w:val="16"/>
                <w:szCs w:val="16"/>
              </w:rPr>
              <w:br/>
              <w:t>Program</w:t>
            </w:r>
          </w:p>
        </w:tc>
        <w:tc>
          <w:tcPr>
            <w:tcW w:w="920" w:type="dxa"/>
            <w:tcBorders>
              <w:top w:val="single" w:sz="4" w:space="0" w:color="000000"/>
              <w:left w:val="nil"/>
              <w:bottom w:val="single" w:sz="4" w:space="0" w:color="000000"/>
              <w:right w:val="nil"/>
            </w:tcBorders>
            <w:shd w:val="clear" w:color="auto" w:fill="auto"/>
            <w:hideMark/>
          </w:tcPr>
          <w:p w14:paraId="7B371479"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2022–23</w:t>
            </w:r>
            <w:r w:rsidRPr="007635FC">
              <w:rPr>
                <w:rFonts w:ascii="Arial" w:hAnsi="Arial" w:cs="Arial"/>
                <w:b/>
                <w:bCs/>
                <w:sz w:val="16"/>
                <w:szCs w:val="16"/>
              </w:rPr>
              <w:br/>
            </w:r>
            <w:r w:rsidRPr="00313E9C">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000000" w:fill="D9D9D9"/>
            <w:hideMark/>
          </w:tcPr>
          <w:p w14:paraId="0B196052"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2023–24</w:t>
            </w:r>
            <w:r w:rsidRPr="007635FC">
              <w:rPr>
                <w:rFonts w:ascii="Arial" w:hAnsi="Arial" w:cs="Arial"/>
                <w:b/>
                <w:bCs/>
                <w:sz w:val="16"/>
                <w:szCs w:val="16"/>
              </w:rPr>
              <w:br/>
            </w:r>
            <w:r w:rsidRPr="00313E9C">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6790CEBA"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2024–25</w:t>
            </w:r>
            <w:r w:rsidRPr="007635FC">
              <w:rPr>
                <w:rFonts w:ascii="Arial" w:hAnsi="Arial" w:cs="Arial"/>
                <w:b/>
                <w:bCs/>
                <w:sz w:val="16"/>
                <w:szCs w:val="16"/>
              </w:rPr>
              <w:br/>
            </w:r>
            <w:r w:rsidRPr="00313E9C">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3957A477"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2025–26</w:t>
            </w:r>
            <w:r w:rsidRPr="007635FC">
              <w:rPr>
                <w:rFonts w:ascii="Arial" w:hAnsi="Arial" w:cs="Arial"/>
                <w:b/>
                <w:bCs/>
                <w:sz w:val="16"/>
                <w:szCs w:val="16"/>
              </w:rPr>
              <w:br/>
            </w:r>
            <w:r w:rsidRPr="00313E9C">
              <w:rPr>
                <w:rFonts w:ascii="Arial" w:hAnsi="Arial" w:cs="Arial"/>
                <w:bCs/>
                <w:sz w:val="16"/>
                <w:szCs w:val="16"/>
              </w:rPr>
              <w:t>$'000</w:t>
            </w:r>
          </w:p>
        </w:tc>
        <w:tc>
          <w:tcPr>
            <w:tcW w:w="920" w:type="dxa"/>
            <w:tcBorders>
              <w:top w:val="single" w:sz="4" w:space="0" w:color="000000"/>
              <w:left w:val="nil"/>
              <w:bottom w:val="single" w:sz="4" w:space="0" w:color="000000"/>
              <w:right w:val="nil"/>
            </w:tcBorders>
            <w:shd w:val="clear" w:color="auto" w:fill="auto"/>
            <w:hideMark/>
          </w:tcPr>
          <w:p w14:paraId="724D3C79" w14:textId="77777777" w:rsidR="007635FC" w:rsidRPr="007635FC" w:rsidRDefault="007635FC" w:rsidP="007635FC">
            <w:pPr>
              <w:spacing w:before="24" w:after="0" w:line="240" w:lineRule="auto"/>
              <w:jc w:val="right"/>
              <w:rPr>
                <w:rFonts w:ascii="Arial" w:hAnsi="Arial" w:cs="Arial"/>
                <w:b/>
                <w:bCs/>
                <w:sz w:val="16"/>
                <w:szCs w:val="16"/>
              </w:rPr>
            </w:pPr>
            <w:r w:rsidRPr="007635FC">
              <w:rPr>
                <w:rFonts w:ascii="Arial" w:hAnsi="Arial" w:cs="Arial"/>
                <w:b/>
                <w:bCs/>
                <w:sz w:val="16"/>
                <w:szCs w:val="16"/>
              </w:rPr>
              <w:t>2026–27</w:t>
            </w:r>
            <w:r w:rsidRPr="007635FC">
              <w:rPr>
                <w:rFonts w:ascii="Arial" w:hAnsi="Arial" w:cs="Arial"/>
                <w:b/>
                <w:bCs/>
                <w:sz w:val="16"/>
                <w:szCs w:val="16"/>
              </w:rPr>
              <w:br/>
            </w:r>
            <w:r w:rsidRPr="00313E9C">
              <w:rPr>
                <w:rFonts w:ascii="Arial" w:hAnsi="Arial" w:cs="Arial"/>
                <w:bCs/>
                <w:sz w:val="16"/>
                <w:szCs w:val="16"/>
              </w:rPr>
              <w:t>$'000</w:t>
            </w:r>
          </w:p>
        </w:tc>
      </w:tr>
      <w:tr w:rsidR="007635FC" w:rsidRPr="007635FC" w14:paraId="6BB5C8D9" w14:textId="77777777" w:rsidTr="00E70AF2">
        <w:trPr>
          <w:trHeight w:val="300"/>
          <w:jc w:val="center"/>
        </w:trPr>
        <w:tc>
          <w:tcPr>
            <w:tcW w:w="7380" w:type="dxa"/>
            <w:gridSpan w:val="7"/>
            <w:tcBorders>
              <w:top w:val="nil"/>
              <w:left w:val="nil"/>
              <w:bottom w:val="nil"/>
              <w:right w:val="nil"/>
            </w:tcBorders>
            <w:shd w:val="clear" w:color="auto" w:fill="auto"/>
            <w:vAlign w:val="bottom"/>
            <w:hideMark/>
          </w:tcPr>
          <w:p w14:paraId="1B3C19C8" w14:textId="3A9B1BA9" w:rsidR="007635FC" w:rsidRPr="007635FC" w:rsidRDefault="007635FC" w:rsidP="009242A2">
            <w:pPr>
              <w:spacing w:before="0" w:after="0" w:line="240" w:lineRule="auto"/>
              <w:rPr>
                <w:rFonts w:ascii="Arial" w:hAnsi="Arial" w:cs="Arial"/>
                <w:b/>
                <w:bCs/>
                <w:sz w:val="16"/>
                <w:szCs w:val="16"/>
              </w:rPr>
            </w:pPr>
            <w:r w:rsidRPr="007635FC">
              <w:rPr>
                <w:rFonts w:ascii="Arial" w:hAnsi="Arial" w:cs="Arial"/>
                <w:b/>
                <w:bCs/>
                <w:sz w:val="16"/>
                <w:szCs w:val="16"/>
              </w:rPr>
              <w:t>COVID-19 Response</w:t>
            </w:r>
            <w:r w:rsidRPr="007635FC">
              <w:rPr>
                <w:rFonts w:ascii="Arial" w:hAnsi="Arial" w:cs="Arial"/>
                <w:b/>
                <w:bCs/>
                <w:sz w:val="16"/>
                <w:szCs w:val="16"/>
                <w:vertAlign w:val="superscript"/>
              </w:rPr>
              <w:t>(b) (c) (d)</w:t>
            </w:r>
            <w:r w:rsidRPr="007635FC">
              <w:rPr>
                <w:rFonts w:ascii="Arial" w:hAnsi="Arial" w:cs="Arial"/>
                <w:b/>
                <w:bCs/>
                <w:sz w:val="16"/>
                <w:szCs w:val="16"/>
              </w:rPr>
              <w:t xml:space="preserve"> </w:t>
            </w:r>
          </w:p>
        </w:tc>
      </w:tr>
      <w:tr w:rsidR="007635FC" w:rsidRPr="007635FC" w14:paraId="11952024" w14:textId="77777777" w:rsidTr="00313E9C">
        <w:trPr>
          <w:trHeight w:val="425"/>
          <w:jc w:val="center"/>
        </w:trPr>
        <w:tc>
          <w:tcPr>
            <w:tcW w:w="2320" w:type="dxa"/>
            <w:tcBorders>
              <w:top w:val="nil"/>
              <w:left w:val="nil"/>
              <w:bottom w:val="nil"/>
              <w:right w:val="nil"/>
            </w:tcBorders>
            <w:shd w:val="clear" w:color="auto" w:fill="auto"/>
            <w:vAlign w:val="bottom"/>
            <w:hideMark/>
          </w:tcPr>
          <w:p w14:paraId="37E719B4"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7D1E562"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A59B606"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EA8BA5B"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A01F50D"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5822ABD8"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4527592E"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2146D623"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20FEC42C"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Administered payments</w:t>
            </w:r>
          </w:p>
        </w:tc>
        <w:tc>
          <w:tcPr>
            <w:tcW w:w="460" w:type="dxa"/>
            <w:tcBorders>
              <w:top w:val="nil"/>
              <w:left w:val="nil"/>
              <w:bottom w:val="nil"/>
              <w:right w:val="nil"/>
            </w:tcBorders>
            <w:shd w:val="clear" w:color="auto" w:fill="auto"/>
            <w:noWrap/>
            <w:vAlign w:val="bottom"/>
            <w:hideMark/>
          </w:tcPr>
          <w:p w14:paraId="68B87D3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1.1</w:t>
            </w:r>
          </w:p>
        </w:tc>
        <w:tc>
          <w:tcPr>
            <w:tcW w:w="920" w:type="dxa"/>
            <w:tcBorders>
              <w:top w:val="nil"/>
              <w:left w:val="nil"/>
              <w:bottom w:val="nil"/>
              <w:right w:val="nil"/>
            </w:tcBorders>
            <w:shd w:val="clear" w:color="auto" w:fill="auto"/>
            <w:noWrap/>
            <w:vAlign w:val="bottom"/>
            <w:hideMark/>
          </w:tcPr>
          <w:p w14:paraId="08A8676C" w14:textId="6D8B9C95"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3F9455CD"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38AC82D3"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D239AF7"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9FCC60D"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429F37EF"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3591C865"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34C18FB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1.2</w:t>
            </w:r>
          </w:p>
        </w:tc>
        <w:tc>
          <w:tcPr>
            <w:tcW w:w="920" w:type="dxa"/>
            <w:tcBorders>
              <w:top w:val="nil"/>
              <w:left w:val="nil"/>
              <w:bottom w:val="nil"/>
              <w:right w:val="nil"/>
            </w:tcBorders>
            <w:shd w:val="clear" w:color="auto" w:fill="auto"/>
            <w:noWrap/>
            <w:vAlign w:val="bottom"/>
            <w:hideMark/>
          </w:tcPr>
          <w:p w14:paraId="00B2AB09" w14:textId="788B00EB"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6158260D"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0DB899E4"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DF4849C"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8904B23"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46331563"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7131AAD5"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1973938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1.3</w:t>
            </w:r>
          </w:p>
        </w:tc>
        <w:tc>
          <w:tcPr>
            <w:tcW w:w="920" w:type="dxa"/>
            <w:tcBorders>
              <w:top w:val="nil"/>
              <w:left w:val="nil"/>
              <w:bottom w:val="nil"/>
              <w:right w:val="nil"/>
            </w:tcBorders>
            <w:shd w:val="clear" w:color="auto" w:fill="auto"/>
            <w:noWrap/>
            <w:vAlign w:val="bottom"/>
            <w:hideMark/>
          </w:tcPr>
          <w:p w14:paraId="01EEABE3" w14:textId="59D8B12D"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3C44C5C8"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35646AD7"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8639B23"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043702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BDB0FD6"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30C842CB"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0DB738B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1.5</w:t>
            </w:r>
          </w:p>
        </w:tc>
        <w:tc>
          <w:tcPr>
            <w:tcW w:w="920" w:type="dxa"/>
            <w:tcBorders>
              <w:top w:val="nil"/>
              <w:left w:val="nil"/>
              <w:bottom w:val="nil"/>
              <w:right w:val="nil"/>
            </w:tcBorders>
            <w:shd w:val="clear" w:color="auto" w:fill="auto"/>
            <w:noWrap/>
            <w:vAlign w:val="bottom"/>
            <w:hideMark/>
          </w:tcPr>
          <w:p w14:paraId="4906BB10" w14:textId="0CB696F0"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224329B5"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05A3D6E1"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9772C35"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BE7EF7A"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019C829"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5DFB499A"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0C43700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1.6</w:t>
            </w:r>
          </w:p>
        </w:tc>
        <w:tc>
          <w:tcPr>
            <w:tcW w:w="920" w:type="dxa"/>
            <w:tcBorders>
              <w:top w:val="nil"/>
              <w:left w:val="nil"/>
              <w:bottom w:val="nil"/>
              <w:right w:val="nil"/>
            </w:tcBorders>
            <w:shd w:val="clear" w:color="auto" w:fill="auto"/>
            <w:noWrap/>
            <w:vAlign w:val="bottom"/>
            <w:hideMark/>
          </w:tcPr>
          <w:p w14:paraId="122CFF7B" w14:textId="78184EC5"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6351C3BC"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2CEEA06"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6F4C324"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6EF298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7D2BD4FA"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6820A0BD"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46C3565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1.7</w:t>
            </w:r>
          </w:p>
        </w:tc>
        <w:tc>
          <w:tcPr>
            <w:tcW w:w="920" w:type="dxa"/>
            <w:tcBorders>
              <w:top w:val="nil"/>
              <w:left w:val="nil"/>
              <w:bottom w:val="nil"/>
              <w:right w:val="nil"/>
            </w:tcBorders>
            <w:shd w:val="clear" w:color="auto" w:fill="auto"/>
            <w:noWrap/>
            <w:vAlign w:val="bottom"/>
            <w:hideMark/>
          </w:tcPr>
          <w:p w14:paraId="4ED32B3B" w14:textId="403606D8"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162E4D0E"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094EC4AB"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DDB788A"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7AC043F"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23000183"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159670D6"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4773788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1.8</w:t>
            </w:r>
          </w:p>
        </w:tc>
        <w:tc>
          <w:tcPr>
            <w:tcW w:w="920" w:type="dxa"/>
            <w:tcBorders>
              <w:top w:val="nil"/>
              <w:left w:val="nil"/>
              <w:bottom w:val="nil"/>
              <w:right w:val="nil"/>
            </w:tcBorders>
            <w:shd w:val="clear" w:color="auto" w:fill="auto"/>
            <w:noWrap/>
            <w:vAlign w:val="bottom"/>
            <w:hideMark/>
          </w:tcPr>
          <w:p w14:paraId="33E33154" w14:textId="75CE8EC2"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2DE82108"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3D480E9E"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10658DA8"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2F819BC"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6257C582"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5246CB9E"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00FE3BC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2.1</w:t>
            </w:r>
          </w:p>
        </w:tc>
        <w:tc>
          <w:tcPr>
            <w:tcW w:w="920" w:type="dxa"/>
            <w:tcBorders>
              <w:top w:val="nil"/>
              <w:left w:val="nil"/>
              <w:bottom w:val="nil"/>
              <w:right w:val="nil"/>
            </w:tcBorders>
            <w:shd w:val="clear" w:color="auto" w:fill="auto"/>
            <w:noWrap/>
            <w:vAlign w:val="bottom"/>
            <w:hideMark/>
          </w:tcPr>
          <w:p w14:paraId="3446F5F0" w14:textId="7F8DC243"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2155D314"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48F71E7"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3E11A5FD"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619AEE8"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53454958"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5C40F427"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42E35389"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2.3</w:t>
            </w:r>
          </w:p>
        </w:tc>
        <w:tc>
          <w:tcPr>
            <w:tcW w:w="920" w:type="dxa"/>
            <w:tcBorders>
              <w:top w:val="nil"/>
              <w:left w:val="nil"/>
              <w:bottom w:val="nil"/>
              <w:right w:val="nil"/>
            </w:tcBorders>
            <w:shd w:val="clear" w:color="auto" w:fill="auto"/>
            <w:noWrap/>
            <w:vAlign w:val="bottom"/>
            <w:hideMark/>
          </w:tcPr>
          <w:p w14:paraId="260880AB" w14:textId="5408976A"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2F3CE80E"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E9F22F3"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A0C9127"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F296CF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0C0938D3"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241B8F1C"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504DEC5A"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3.3</w:t>
            </w:r>
          </w:p>
        </w:tc>
        <w:tc>
          <w:tcPr>
            <w:tcW w:w="920" w:type="dxa"/>
            <w:tcBorders>
              <w:top w:val="nil"/>
              <w:left w:val="nil"/>
              <w:bottom w:val="nil"/>
              <w:right w:val="nil"/>
            </w:tcBorders>
            <w:shd w:val="clear" w:color="auto" w:fill="auto"/>
            <w:noWrap/>
            <w:vAlign w:val="bottom"/>
            <w:hideMark/>
          </w:tcPr>
          <w:p w14:paraId="587127F6" w14:textId="5F658181"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0816FE75"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52C8C2B"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90A3A44"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86A2B3B"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746259B9"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58D5A794"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178ACA0F"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w:t>
            </w:r>
          </w:p>
        </w:tc>
        <w:tc>
          <w:tcPr>
            <w:tcW w:w="920" w:type="dxa"/>
            <w:tcBorders>
              <w:top w:val="nil"/>
              <w:left w:val="nil"/>
              <w:bottom w:val="nil"/>
              <w:right w:val="nil"/>
            </w:tcBorders>
            <w:shd w:val="clear" w:color="auto" w:fill="auto"/>
            <w:noWrap/>
            <w:vAlign w:val="bottom"/>
            <w:hideMark/>
          </w:tcPr>
          <w:p w14:paraId="42766D80" w14:textId="5DDCF5BC"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5453AF5A"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97AE018"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9F3CEBC"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494EF03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331E889E" w14:textId="77777777" w:rsidTr="00E70AF2">
        <w:trPr>
          <w:trHeight w:val="225"/>
          <w:jc w:val="center"/>
        </w:trPr>
        <w:tc>
          <w:tcPr>
            <w:tcW w:w="2320" w:type="dxa"/>
            <w:tcBorders>
              <w:top w:val="nil"/>
              <w:left w:val="nil"/>
              <w:bottom w:val="nil"/>
              <w:right w:val="nil"/>
            </w:tcBorders>
            <w:shd w:val="clear" w:color="auto" w:fill="auto"/>
            <w:vAlign w:val="bottom"/>
            <w:hideMark/>
          </w:tcPr>
          <w:p w14:paraId="7C19160C"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696FD6B3"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2</w:t>
            </w:r>
          </w:p>
        </w:tc>
        <w:tc>
          <w:tcPr>
            <w:tcW w:w="920" w:type="dxa"/>
            <w:tcBorders>
              <w:top w:val="nil"/>
              <w:left w:val="nil"/>
              <w:bottom w:val="nil"/>
              <w:right w:val="nil"/>
            </w:tcBorders>
            <w:shd w:val="clear" w:color="auto" w:fill="auto"/>
            <w:noWrap/>
            <w:vAlign w:val="bottom"/>
            <w:hideMark/>
          </w:tcPr>
          <w:p w14:paraId="028C731D" w14:textId="7CB5C1D9"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6128CA18"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4DDDB27"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E2D4F3D"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B45E2E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6D6F7BF7" w14:textId="77777777" w:rsidTr="00E70AF2">
        <w:trPr>
          <w:trHeight w:val="225"/>
          <w:jc w:val="center"/>
        </w:trPr>
        <w:tc>
          <w:tcPr>
            <w:tcW w:w="2320" w:type="dxa"/>
            <w:tcBorders>
              <w:top w:val="nil"/>
              <w:left w:val="nil"/>
              <w:bottom w:val="nil"/>
              <w:right w:val="nil"/>
            </w:tcBorders>
            <w:shd w:val="clear" w:color="auto" w:fill="auto"/>
            <w:vAlign w:val="bottom"/>
            <w:hideMark/>
          </w:tcPr>
          <w:p w14:paraId="356BE0ED" w14:textId="77777777" w:rsidR="007635FC" w:rsidRPr="007635FC" w:rsidRDefault="007635FC" w:rsidP="007635FC">
            <w:pPr>
              <w:spacing w:before="0" w:after="0" w:line="240" w:lineRule="auto"/>
              <w:ind w:leftChars="75" w:left="143"/>
              <w:jc w:val="right"/>
              <w:rPr>
                <w:rFonts w:ascii="Arial" w:hAnsi="Arial" w:cs="Arial"/>
                <w:sz w:val="16"/>
                <w:szCs w:val="16"/>
              </w:rPr>
            </w:pPr>
          </w:p>
        </w:tc>
        <w:tc>
          <w:tcPr>
            <w:tcW w:w="460" w:type="dxa"/>
            <w:tcBorders>
              <w:top w:val="nil"/>
              <w:left w:val="nil"/>
              <w:bottom w:val="nil"/>
              <w:right w:val="nil"/>
            </w:tcBorders>
            <w:shd w:val="clear" w:color="auto" w:fill="auto"/>
            <w:noWrap/>
            <w:vAlign w:val="bottom"/>
            <w:hideMark/>
          </w:tcPr>
          <w:p w14:paraId="06A0C189"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3</w:t>
            </w:r>
          </w:p>
        </w:tc>
        <w:tc>
          <w:tcPr>
            <w:tcW w:w="920" w:type="dxa"/>
            <w:tcBorders>
              <w:top w:val="nil"/>
              <w:left w:val="nil"/>
              <w:bottom w:val="nil"/>
              <w:right w:val="nil"/>
            </w:tcBorders>
            <w:shd w:val="clear" w:color="auto" w:fill="auto"/>
            <w:noWrap/>
            <w:vAlign w:val="bottom"/>
            <w:hideMark/>
          </w:tcPr>
          <w:p w14:paraId="602D6BA6" w14:textId="6B4471A4" w:rsidR="007635FC" w:rsidRPr="007635FC" w:rsidRDefault="00313E9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w:t>
            </w:r>
            <w:r w:rsidR="007635FC" w:rsidRPr="007635FC">
              <w:rPr>
                <w:rFonts w:ascii="Arial" w:hAnsi="Arial" w:cs="Arial"/>
                <w:i/>
                <w:iCs/>
                <w:sz w:val="16"/>
                <w:szCs w:val="16"/>
              </w:rPr>
              <w:t>fp</w:t>
            </w:r>
            <w:proofErr w:type="spellEnd"/>
          </w:p>
        </w:tc>
        <w:tc>
          <w:tcPr>
            <w:tcW w:w="920" w:type="dxa"/>
            <w:tcBorders>
              <w:top w:val="nil"/>
              <w:left w:val="nil"/>
              <w:bottom w:val="nil"/>
              <w:right w:val="nil"/>
            </w:tcBorders>
            <w:shd w:val="clear" w:color="000000" w:fill="D9D9D9"/>
            <w:noWrap/>
            <w:vAlign w:val="bottom"/>
            <w:hideMark/>
          </w:tcPr>
          <w:p w14:paraId="4987B910"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76D37B04"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A235159"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7F497C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410B50F5" w14:textId="77777777" w:rsidTr="00313E9C">
        <w:trPr>
          <w:trHeight w:val="425"/>
          <w:jc w:val="center"/>
        </w:trPr>
        <w:tc>
          <w:tcPr>
            <w:tcW w:w="2320" w:type="dxa"/>
            <w:tcBorders>
              <w:top w:val="nil"/>
              <w:left w:val="nil"/>
              <w:bottom w:val="nil"/>
              <w:right w:val="nil"/>
            </w:tcBorders>
            <w:shd w:val="clear" w:color="auto" w:fill="auto"/>
            <w:vAlign w:val="bottom"/>
            <w:hideMark/>
          </w:tcPr>
          <w:p w14:paraId="68F3A84A"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capital payments</w:t>
            </w:r>
          </w:p>
        </w:tc>
        <w:tc>
          <w:tcPr>
            <w:tcW w:w="460" w:type="dxa"/>
            <w:tcBorders>
              <w:top w:val="nil"/>
              <w:left w:val="nil"/>
              <w:bottom w:val="nil"/>
              <w:right w:val="nil"/>
            </w:tcBorders>
            <w:shd w:val="clear" w:color="auto" w:fill="auto"/>
            <w:noWrap/>
            <w:vAlign w:val="bottom"/>
            <w:hideMark/>
          </w:tcPr>
          <w:p w14:paraId="668C1EEF"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1</w:t>
            </w:r>
          </w:p>
        </w:tc>
        <w:tc>
          <w:tcPr>
            <w:tcW w:w="920" w:type="dxa"/>
            <w:tcBorders>
              <w:top w:val="nil"/>
              <w:left w:val="nil"/>
              <w:bottom w:val="nil"/>
              <w:right w:val="nil"/>
            </w:tcBorders>
            <w:shd w:val="clear" w:color="auto" w:fill="auto"/>
            <w:noWrap/>
            <w:vAlign w:val="bottom"/>
            <w:hideMark/>
          </w:tcPr>
          <w:p w14:paraId="288BA0ED"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000000" w:fill="D9D9D9"/>
            <w:noWrap/>
            <w:vAlign w:val="bottom"/>
            <w:hideMark/>
          </w:tcPr>
          <w:p w14:paraId="0FA95F5F"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6FBC669F"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29B9DAEC" w14:textId="77777777" w:rsidR="007635FC" w:rsidRPr="007635FC" w:rsidRDefault="007635FC" w:rsidP="007635FC">
            <w:pPr>
              <w:spacing w:before="0" w:after="0" w:line="240" w:lineRule="auto"/>
              <w:jc w:val="right"/>
              <w:rPr>
                <w:rFonts w:ascii="Arial" w:hAnsi="Arial" w:cs="Arial"/>
                <w:i/>
                <w:iCs/>
                <w:sz w:val="16"/>
                <w:szCs w:val="16"/>
              </w:rPr>
            </w:pPr>
            <w:proofErr w:type="spellStart"/>
            <w:r w:rsidRPr="007635FC">
              <w:rPr>
                <w:rFonts w:ascii="Arial" w:hAnsi="Arial" w:cs="Arial"/>
                <w:i/>
                <w:iCs/>
                <w:sz w:val="16"/>
                <w:szCs w:val="16"/>
              </w:rPr>
              <w:t>nfp</w:t>
            </w:r>
            <w:proofErr w:type="spellEnd"/>
          </w:p>
        </w:tc>
        <w:tc>
          <w:tcPr>
            <w:tcW w:w="920" w:type="dxa"/>
            <w:tcBorders>
              <w:top w:val="nil"/>
              <w:left w:val="nil"/>
              <w:bottom w:val="nil"/>
              <w:right w:val="nil"/>
            </w:tcBorders>
            <w:shd w:val="clear" w:color="auto" w:fill="auto"/>
            <w:noWrap/>
            <w:vAlign w:val="bottom"/>
            <w:hideMark/>
          </w:tcPr>
          <w:p w14:paraId="5A105EA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6CA86369" w14:textId="77777777" w:rsidTr="00E70AF2">
        <w:trPr>
          <w:trHeight w:val="525"/>
          <w:jc w:val="center"/>
        </w:trPr>
        <w:tc>
          <w:tcPr>
            <w:tcW w:w="2320" w:type="dxa"/>
            <w:tcBorders>
              <w:top w:val="nil"/>
              <w:left w:val="nil"/>
              <w:bottom w:val="nil"/>
              <w:right w:val="nil"/>
            </w:tcBorders>
            <w:shd w:val="clear" w:color="auto" w:fill="auto"/>
            <w:vAlign w:val="bottom"/>
            <w:hideMark/>
          </w:tcPr>
          <w:p w14:paraId="6A2D9441"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Australian Digital Health Agency</w:t>
            </w:r>
          </w:p>
        </w:tc>
        <w:tc>
          <w:tcPr>
            <w:tcW w:w="460" w:type="dxa"/>
            <w:tcBorders>
              <w:top w:val="nil"/>
              <w:left w:val="nil"/>
              <w:bottom w:val="nil"/>
              <w:right w:val="nil"/>
            </w:tcBorders>
            <w:shd w:val="clear" w:color="auto" w:fill="auto"/>
            <w:noWrap/>
            <w:vAlign w:val="bottom"/>
            <w:hideMark/>
          </w:tcPr>
          <w:p w14:paraId="719D65DD"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E59D0D6"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16AD7DD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8C110EC"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1B2FE95"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ADD7399"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73783664" w14:textId="77777777" w:rsidTr="00E70AF2">
        <w:trPr>
          <w:trHeight w:val="225"/>
          <w:jc w:val="center"/>
        </w:trPr>
        <w:tc>
          <w:tcPr>
            <w:tcW w:w="2320" w:type="dxa"/>
            <w:tcBorders>
              <w:top w:val="nil"/>
              <w:left w:val="nil"/>
              <w:bottom w:val="nil"/>
              <w:right w:val="nil"/>
            </w:tcBorders>
            <w:shd w:val="clear" w:color="auto" w:fill="auto"/>
            <w:vAlign w:val="bottom"/>
            <w:hideMark/>
          </w:tcPr>
          <w:p w14:paraId="12FAA124"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3404AE6E"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2A48F53"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2,866 </w:t>
            </w:r>
          </w:p>
        </w:tc>
        <w:tc>
          <w:tcPr>
            <w:tcW w:w="920" w:type="dxa"/>
            <w:tcBorders>
              <w:top w:val="nil"/>
              <w:left w:val="nil"/>
              <w:bottom w:val="nil"/>
              <w:right w:val="nil"/>
            </w:tcBorders>
            <w:shd w:val="clear" w:color="000000" w:fill="D9D9D9"/>
            <w:noWrap/>
            <w:vAlign w:val="bottom"/>
            <w:hideMark/>
          </w:tcPr>
          <w:p w14:paraId="6E1B231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21D1AB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195D82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C91766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146B3574" w14:textId="77777777" w:rsidTr="00E70AF2">
        <w:trPr>
          <w:trHeight w:val="300"/>
          <w:jc w:val="center"/>
        </w:trPr>
        <w:tc>
          <w:tcPr>
            <w:tcW w:w="2320" w:type="dxa"/>
            <w:tcBorders>
              <w:top w:val="nil"/>
              <w:left w:val="nil"/>
              <w:bottom w:val="nil"/>
              <w:right w:val="nil"/>
            </w:tcBorders>
            <w:shd w:val="clear" w:color="auto" w:fill="auto"/>
            <w:vAlign w:val="bottom"/>
            <w:hideMark/>
          </w:tcPr>
          <w:p w14:paraId="65CB8699"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Department of the Treasury</w:t>
            </w:r>
          </w:p>
        </w:tc>
        <w:tc>
          <w:tcPr>
            <w:tcW w:w="460" w:type="dxa"/>
            <w:tcBorders>
              <w:top w:val="nil"/>
              <w:left w:val="nil"/>
              <w:bottom w:val="nil"/>
              <w:right w:val="nil"/>
            </w:tcBorders>
            <w:shd w:val="clear" w:color="auto" w:fill="auto"/>
            <w:noWrap/>
            <w:vAlign w:val="bottom"/>
            <w:hideMark/>
          </w:tcPr>
          <w:p w14:paraId="4BF7878E"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218229B"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22F4943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BE6B7DB"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D281709"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608A33E"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01C2BF1F" w14:textId="77777777" w:rsidTr="00E70AF2">
        <w:trPr>
          <w:trHeight w:val="225"/>
          <w:jc w:val="center"/>
        </w:trPr>
        <w:tc>
          <w:tcPr>
            <w:tcW w:w="2320" w:type="dxa"/>
            <w:tcBorders>
              <w:top w:val="nil"/>
              <w:left w:val="nil"/>
              <w:bottom w:val="nil"/>
              <w:right w:val="nil"/>
            </w:tcBorders>
            <w:shd w:val="clear" w:color="auto" w:fill="auto"/>
            <w:vAlign w:val="bottom"/>
            <w:hideMark/>
          </w:tcPr>
          <w:p w14:paraId="6FEE51E5"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Administered payments</w:t>
            </w:r>
          </w:p>
        </w:tc>
        <w:tc>
          <w:tcPr>
            <w:tcW w:w="460" w:type="dxa"/>
            <w:tcBorders>
              <w:top w:val="nil"/>
              <w:left w:val="nil"/>
              <w:bottom w:val="nil"/>
              <w:right w:val="nil"/>
            </w:tcBorders>
            <w:shd w:val="clear" w:color="auto" w:fill="auto"/>
            <w:noWrap/>
            <w:vAlign w:val="bottom"/>
            <w:hideMark/>
          </w:tcPr>
          <w:p w14:paraId="24C8A538"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407725E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142,630 </w:t>
            </w:r>
          </w:p>
        </w:tc>
        <w:tc>
          <w:tcPr>
            <w:tcW w:w="920" w:type="dxa"/>
            <w:tcBorders>
              <w:top w:val="nil"/>
              <w:left w:val="nil"/>
              <w:bottom w:val="nil"/>
              <w:right w:val="nil"/>
            </w:tcBorders>
            <w:shd w:val="clear" w:color="000000" w:fill="D9D9D9"/>
            <w:noWrap/>
            <w:vAlign w:val="bottom"/>
            <w:hideMark/>
          </w:tcPr>
          <w:p w14:paraId="35F57FC9"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142,630 </w:t>
            </w:r>
          </w:p>
        </w:tc>
        <w:tc>
          <w:tcPr>
            <w:tcW w:w="920" w:type="dxa"/>
            <w:tcBorders>
              <w:top w:val="nil"/>
              <w:left w:val="nil"/>
              <w:bottom w:val="nil"/>
              <w:right w:val="nil"/>
            </w:tcBorders>
            <w:shd w:val="clear" w:color="auto" w:fill="auto"/>
            <w:noWrap/>
            <w:vAlign w:val="bottom"/>
            <w:hideMark/>
          </w:tcPr>
          <w:p w14:paraId="26340156"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424066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5156B5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108DB81D" w14:textId="77777777" w:rsidTr="00E70AF2">
        <w:trPr>
          <w:trHeight w:val="525"/>
          <w:jc w:val="center"/>
        </w:trPr>
        <w:tc>
          <w:tcPr>
            <w:tcW w:w="2320" w:type="dxa"/>
            <w:tcBorders>
              <w:top w:val="nil"/>
              <w:left w:val="nil"/>
              <w:bottom w:val="nil"/>
              <w:right w:val="nil"/>
            </w:tcBorders>
            <w:shd w:val="clear" w:color="auto" w:fill="auto"/>
            <w:vAlign w:val="bottom"/>
            <w:hideMark/>
          </w:tcPr>
          <w:p w14:paraId="272AC0AF"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Department of Veterans' Affairs</w:t>
            </w:r>
          </w:p>
        </w:tc>
        <w:tc>
          <w:tcPr>
            <w:tcW w:w="460" w:type="dxa"/>
            <w:tcBorders>
              <w:top w:val="nil"/>
              <w:left w:val="nil"/>
              <w:bottom w:val="nil"/>
              <w:right w:val="nil"/>
            </w:tcBorders>
            <w:shd w:val="clear" w:color="auto" w:fill="auto"/>
            <w:noWrap/>
            <w:vAlign w:val="bottom"/>
            <w:hideMark/>
          </w:tcPr>
          <w:p w14:paraId="2E2ECACD"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426E10E"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7294B3F8"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4DC921C9"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821FD0D"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AF5BE2F"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10D256AA" w14:textId="77777777" w:rsidTr="00E70AF2">
        <w:trPr>
          <w:trHeight w:val="225"/>
          <w:jc w:val="center"/>
        </w:trPr>
        <w:tc>
          <w:tcPr>
            <w:tcW w:w="2320" w:type="dxa"/>
            <w:tcBorders>
              <w:top w:val="nil"/>
              <w:left w:val="nil"/>
              <w:bottom w:val="nil"/>
              <w:right w:val="nil"/>
            </w:tcBorders>
            <w:shd w:val="clear" w:color="auto" w:fill="auto"/>
            <w:vAlign w:val="bottom"/>
            <w:hideMark/>
          </w:tcPr>
          <w:p w14:paraId="27DCFC5D"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Administered payments</w:t>
            </w:r>
          </w:p>
        </w:tc>
        <w:tc>
          <w:tcPr>
            <w:tcW w:w="460" w:type="dxa"/>
            <w:tcBorders>
              <w:top w:val="nil"/>
              <w:left w:val="nil"/>
              <w:bottom w:val="nil"/>
              <w:right w:val="nil"/>
            </w:tcBorders>
            <w:shd w:val="clear" w:color="auto" w:fill="auto"/>
            <w:noWrap/>
            <w:vAlign w:val="bottom"/>
            <w:hideMark/>
          </w:tcPr>
          <w:p w14:paraId="63CA4EBB"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33B38B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4,587 </w:t>
            </w:r>
          </w:p>
        </w:tc>
        <w:tc>
          <w:tcPr>
            <w:tcW w:w="920" w:type="dxa"/>
            <w:tcBorders>
              <w:top w:val="nil"/>
              <w:left w:val="nil"/>
              <w:bottom w:val="nil"/>
              <w:right w:val="nil"/>
            </w:tcBorders>
            <w:shd w:val="clear" w:color="000000" w:fill="D9D9D9"/>
            <w:noWrap/>
            <w:vAlign w:val="bottom"/>
            <w:hideMark/>
          </w:tcPr>
          <w:p w14:paraId="71FAD98E"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3,538 </w:t>
            </w:r>
          </w:p>
        </w:tc>
        <w:tc>
          <w:tcPr>
            <w:tcW w:w="920" w:type="dxa"/>
            <w:tcBorders>
              <w:top w:val="nil"/>
              <w:left w:val="nil"/>
              <w:bottom w:val="nil"/>
              <w:right w:val="nil"/>
            </w:tcBorders>
            <w:shd w:val="clear" w:color="auto" w:fill="auto"/>
            <w:noWrap/>
            <w:vAlign w:val="bottom"/>
            <w:hideMark/>
          </w:tcPr>
          <w:p w14:paraId="3F791512"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32A306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48EAEBD"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714D8FA9" w14:textId="77777777" w:rsidTr="00E70AF2">
        <w:trPr>
          <w:trHeight w:val="300"/>
          <w:jc w:val="center"/>
        </w:trPr>
        <w:tc>
          <w:tcPr>
            <w:tcW w:w="2320" w:type="dxa"/>
            <w:tcBorders>
              <w:top w:val="nil"/>
              <w:left w:val="nil"/>
              <w:bottom w:val="nil"/>
              <w:right w:val="nil"/>
            </w:tcBorders>
            <w:shd w:val="clear" w:color="auto" w:fill="auto"/>
            <w:vAlign w:val="bottom"/>
            <w:hideMark/>
          </w:tcPr>
          <w:p w14:paraId="70536E9A" w14:textId="77777777" w:rsidR="007635FC" w:rsidRPr="007635FC" w:rsidRDefault="007635FC" w:rsidP="007635FC">
            <w:pPr>
              <w:spacing w:before="0" w:after="0" w:line="240" w:lineRule="auto"/>
              <w:rPr>
                <w:rFonts w:ascii="Arial" w:hAnsi="Arial" w:cs="Arial"/>
                <w:sz w:val="16"/>
                <w:szCs w:val="16"/>
              </w:rPr>
            </w:pPr>
            <w:r w:rsidRPr="007635FC">
              <w:rPr>
                <w:rFonts w:ascii="Arial" w:hAnsi="Arial" w:cs="Arial"/>
                <w:sz w:val="16"/>
                <w:szCs w:val="16"/>
              </w:rPr>
              <w:t>Services Australia</w:t>
            </w:r>
          </w:p>
        </w:tc>
        <w:tc>
          <w:tcPr>
            <w:tcW w:w="460" w:type="dxa"/>
            <w:tcBorders>
              <w:top w:val="nil"/>
              <w:left w:val="nil"/>
              <w:bottom w:val="nil"/>
              <w:right w:val="nil"/>
            </w:tcBorders>
            <w:shd w:val="clear" w:color="auto" w:fill="auto"/>
            <w:noWrap/>
            <w:vAlign w:val="bottom"/>
            <w:hideMark/>
          </w:tcPr>
          <w:p w14:paraId="4BC708A6" w14:textId="77777777" w:rsidR="007635FC" w:rsidRPr="007635FC" w:rsidRDefault="007635FC" w:rsidP="007635FC">
            <w:pPr>
              <w:spacing w:before="0" w:after="0" w:line="240" w:lineRule="auto"/>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DA3A824"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7A762CC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2A0442E" w14:textId="77777777" w:rsidR="007635FC" w:rsidRPr="007635FC" w:rsidRDefault="007635FC" w:rsidP="007635FC">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9645E9E" w14:textId="77777777" w:rsidR="007635FC" w:rsidRPr="007635FC" w:rsidRDefault="007635FC" w:rsidP="007635FC">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A8EBF4C" w14:textId="77777777" w:rsidR="007635FC" w:rsidRPr="007635FC" w:rsidRDefault="007635FC" w:rsidP="007635FC">
            <w:pPr>
              <w:spacing w:before="0" w:after="0" w:line="240" w:lineRule="auto"/>
              <w:jc w:val="right"/>
              <w:rPr>
                <w:rFonts w:ascii="Times New Roman" w:hAnsi="Times New Roman"/>
                <w:sz w:val="20"/>
              </w:rPr>
            </w:pPr>
          </w:p>
        </w:tc>
      </w:tr>
      <w:tr w:rsidR="007635FC" w:rsidRPr="007635FC" w14:paraId="7AABDC6F" w14:textId="77777777" w:rsidTr="00E70AF2">
        <w:trPr>
          <w:trHeight w:val="225"/>
          <w:jc w:val="center"/>
        </w:trPr>
        <w:tc>
          <w:tcPr>
            <w:tcW w:w="2320" w:type="dxa"/>
            <w:tcBorders>
              <w:top w:val="nil"/>
              <w:left w:val="nil"/>
              <w:bottom w:val="nil"/>
              <w:right w:val="nil"/>
            </w:tcBorders>
            <w:shd w:val="clear" w:color="auto" w:fill="auto"/>
            <w:vAlign w:val="bottom"/>
            <w:hideMark/>
          </w:tcPr>
          <w:p w14:paraId="478D4A6B"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payments</w:t>
            </w:r>
          </w:p>
        </w:tc>
        <w:tc>
          <w:tcPr>
            <w:tcW w:w="460" w:type="dxa"/>
            <w:tcBorders>
              <w:top w:val="nil"/>
              <w:left w:val="nil"/>
              <w:bottom w:val="nil"/>
              <w:right w:val="nil"/>
            </w:tcBorders>
            <w:shd w:val="clear" w:color="auto" w:fill="auto"/>
            <w:noWrap/>
            <w:vAlign w:val="bottom"/>
            <w:hideMark/>
          </w:tcPr>
          <w:p w14:paraId="126CC6D0"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213C82A"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12,562 </w:t>
            </w:r>
          </w:p>
        </w:tc>
        <w:tc>
          <w:tcPr>
            <w:tcW w:w="920" w:type="dxa"/>
            <w:tcBorders>
              <w:top w:val="nil"/>
              <w:left w:val="nil"/>
              <w:bottom w:val="nil"/>
              <w:right w:val="nil"/>
            </w:tcBorders>
            <w:shd w:val="clear" w:color="000000" w:fill="D9D9D9"/>
            <w:noWrap/>
            <w:vAlign w:val="bottom"/>
            <w:hideMark/>
          </w:tcPr>
          <w:p w14:paraId="7BF2F2B5"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5,816 </w:t>
            </w:r>
          </w:p>
        </w:tc>
        <w:tc>
          <w:tcPr>
            <w:tcW w:w="920" w:type="dxa"/>
            <w:tcBorders>
              <w:top w:val="nil"/>
              <w:left w:val="nil"/>
              <w:bottom w:val="nil"/>
              <w:right w:val="nil"/>
            </w:tcBorders>
            <w:shd w:val="clear" w:color="auto" w:fill="auto"/>
            <w:noWrap/>
            <w:vAlign w:val="bottom"/>
            <w:hideMark/>
          </w:tcPr>
          <w:p w14:paraId="325608E9"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314 </w:t>
            </w:r>
          </w:p>
        </w:tc>
        <w:tc>
          <w:tcPr>
            <w:tcW w:w="920" w:type="dxa"/>
            <w:tcBorders>
              <w:top w:val="nil"/>
              <w:left w:val="nil"/>
              <w:bottom w:val="nil"/>
              <w:right w:val="nil"/>
            </w:tcBorders>
            <w:shd w:val="clear" w:color="auto" w:fill="auto"/>
            <w:noWrap/>
            <w:vAlign w:val="bottom"/>
            <w:hideMark/>
          </w:tcPr>
          <w:p w14:paraId="29A08F90"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316 </w:t>
            </w:r>
          </w:p>
        </w:tc>
        <w:tc>
          <w:tcPr>
            <w:tcW w:w="920" w:type="dxa"/>
            <w:tcBorders>
              <w:top w:val="nil"/>
              <w:left w:val="nil"/>
              <w:bottom w:val="nil"/>
              <w:right w:val="nil"/>
            </w:tcBorders>
            <w:shd w:val="clear" w:color="auto" w:fill="auto"/>
            <w:noWrap/>
            <w:vAlign w:val="bottom"/>
            <w:hideMark/>
          </w:tcPr>
          <w:p w14:paraId="0FB054A4"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319 </w:t>
            </w:r>
          </w:p>
        </w:tc>
      </w:tr>
      <w:tr w:rsidR="007635FC" w:rsidRPr="007635FC" w14:paraId="4D33C3BA" w14:textId="77777777" w:rsidTr="00E70AF2">
        <w:trPr>
          <w:trHeight w:val="450"/>
          <w:jc w:val="center"/>
        </w:trPr>
        <w:tc>
          <w:tcPr>
            <w:tcW w:w="2320" w:type="dxa"/>
            <w:tcBorders>
              <w:top w:val="nil"/>
              <w:left w:val="nil"/>
              <w:bottom w:val="nil"/>
              <w:right w:val="nil"/>
            </w:tcBorders>
            <w:shd w:val="clear" w:color="auto" w:fill="auto"/>
            <w:vAlign w:val="bottom"/>
            <w:hideMark/>
          </w:tcPr>
          <w:p w14:paraId="2E348BC1" w14:textId="77777777" w:rsidR="007635FC" w:rsidRPr="007635FC" w:rsidRDefault="007635FC" w:rsidP="007635FC">
            <w:pPr>
              <w:spacing w:before="0" w:after="0" w:line="240" w:lineRule="auto"/>
              <w:ind w:leftChars="75" w:left="143"/>
              <w:rPr>
                <w:rFonts w:ascii="Arial" w:hAnsi="Arial" w:cs="Arial"/>
                <w:sz w:val="16"/>
                <w:szCs w:val="16"/>
              </w:rPr>
            </w:pPr>
            <w:r w:rsidRPr="007635FC">
              <w:rPr>
                <w:rFonts w:ascii="Arial" w:hAnsi="Arial" w:cs="Arial"/>
                <w:sz w:val="16"/>
                <w:szCs w:val="16"/>
              </w:rPr>
              <w:t>Departmental capital payments</w:t>
            </w:r>
          </w:p>
        </w:tc>
        <w:tc>
          <w:tcPr>
            <w:tcW w:w="460" w:type="dxa"/>
            <w:tcBorders>
              <w:top w:val="nil"/>
              <w:left w:val="nil"/>
              <w:bottom w:val="nil"/>
              <w:right w:val="nil"/>
            </w:tcBorders>
            <w:shd w:val="clear" w:color="auto" w:fill="auto"/>
            <w:noWrap/>
            <w:vAlign w:val="bottom"/>
            <w:hideMark/>
          </w:tcPr>
          <w:p w14:paraId="30E247A7" w14:textId="77777777" w:rsidR="007635FC" w:rsidRPr="007635FC" w:rsidRDefault="007635FC" w:rsidP="007635FC">
            <w:pPr>
              <w:spacing w:before="0" w:after="0" w:line="240" w:lineRule="auto"/>
              <w:ind w:firstLineChars="100" w:firstLine="16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3E391A7"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2,305 </w:t>
            </w:r>
          </w:p>
        </w:tc>
        <w:tc>
          <w:tcPr>
            <w:tcW w:w="920" w:type="dxa"/>
            <w:tcBorders>
              <w:top w:val="nil"/>
              <w:left w:val="nil"/>
              <w:bottom w:val="nil"/>
              <w:right w:val="nil"/>
            </w:tcBorders>
            <w:shd w:val="clear" w:color="000000" w:fill="D9D9D9"/>
            <w:noWrap/>
            <w:vAlign w:val="bottom"/>
            <w:hideMark/>
          </w:tcPr>
          <w:p w14:paraId="7C57B883"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1,536 </w:t>
            </w:r>
          </w:p>
        </w:tc>
        <w:tc>
          <w:tcPr>
            <w:tcW w:w="920" w:type="dxa"/>
            <w:tcBorders>
              <w:top w:val="nil"/>
              <w:left w:val="nil"/>
              <w:bottom w:val="nil"/>
              <w:right w:val="nil"/>
            </w:tcBorders>
            <w:shd w:val="clear" w:color="auto" w:fill="auto"/>
            <w:noWrap/>
            <w:vAlign w:val="bottom"/>
            <w:hideMark/>
          </w:tcPr>
          <w:p w14:paraId="4C4E7BBD"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9EDEF21"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7FBAD4A" w14:textId="77777777" w:rsidR="007635FC" w:rsidRPr="007635FC" w:rsidRDefault="007635FC" w:rsidP="007635FC">
            <w:pPr>
              <w:spacing w:before="0" w:after="0" w:line="240" w:lineRule="auto"/>
              <w:jc w:val="right"/>
              <w:rPr>
                <w:rFonts w:ascii="Arial" w:hAnsi="Arial" w:cs="Arial"/>
                <w:sz w:val="16"/>
                <w:szCs w:val="16"/>
              </w:rPr>
            </w:pPr>
            <w:r w:rsidRPr="007635FC">
              <w:rPr>
                <w:rFonts w:ascii="Arial" w:hAnsi="Arial" w:cs="Arial"/>
                <w:sz w:val="16"/>
                <w:szCs w:val="16"/>
              </w:rPr>
              <w:t xml:space="preserve">- </w:t>
            </w:r>
          </w:p>
        </w:tc>
      </w:tr>
      <w:tr w:rsidR="007635FC" w:rsidRPr="007635FC" w14:paraId="1919E9F3" w14:textId="77777777" w:rsidTr="00E70AF2">
        <w:trPr>
          <w:trHeight w:val="225"/>
          <w:jc w:val="center"/>
        </w:trPr>
        <w:tc>
          <w:tcPr>
            <w:tcW w:w="2320" w:type="dxa"/>
            <w:tcBorders>
              <w:top w:val="nil"/>
              <w:left w:val="nil"/>
              <w:bottom w:val="nil"/>
              <w:right w:val="nil"/>
            </w:tcBorders>
            <w:shd w:val="clear" w:color="auto" w:fill="auto"/>
            <w:noWrap/>
            <w:vAlign w:val="bottom"/>
            <w:hideMark/>
          </w:tcPr>
          <w:p w14:paraId="55E89A39" w14:textId="77777777" w:rsidR="007635FC" w:rsidRPr="007635FC" w:rsidRDefault="007635FC" w:rsidP="007635FC">
            <w:pPr>
              <w:spacing w:before="0" w:after="0" w:line="240" w:lineRule="auto"/>
              <w:rPr>
                <w:rFonts w:ascii="Arial" w:hAnsi="Arial" w:cs="Arial"/>
                <w:b/>
                <w:bCs/>
                <w:sz w:val="16"/>
                <w:szCs w:val="16"/>
              </w:rPr>
            </w:pPr>
            <w:r w:rsidRPr="007635FC">
              <w:rPr>
                <w:rFonts w:ascii="Arial" w:hAnsi="Arial" w:cs="Arial"/>
                <w:b/>
                <w:bCs/>
                <w:sz w:val="16"/>
                <w:szCs w:val="16"/>
              </w:rPr>
              <w:t>Total payments</w:t>
            </w:r>
          </w:p>
        </w:tc>
        <w:tc>
          <w:tcPr>
            <w:tcW w:w="460" w:type="dxa"/>
            <w:tcBorders>
              <w:top w:val="nil"/>
              <w:left w:val="nil"/>
              <w:bottom w:val="nil"/>
              <w:right w:val="nil"/>
            </w:tcBorders>
            <w:shd w:val="clear" w:color="auto" w:fill="auto"/>
            <w:noWrap/>
            <w:vAlign w:val="bottom"/>
            <w:hideMark/>
          </w:tcPr>
          <w:p w14:paraId="57716CE0" w14:textId="77777777" w:rsidR="007635FC" w:rsidRPr="007635FC" w:rsidRDefault="007635FC" w:rsidP="007635FC">
            <w:pPr>
              <w:spacing w:before="0" w:after="0" w:line="240" w:lineRule="auto"/>
              <w:rPr>
                <w:rFonts w:ascii="Arial" w:hAnsi="Arial" w:cs="Arial"/>
                <w:b/>
                <w:bCs/>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56AA3FE"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164,950 </w:t>
            </w:r>
          </w:p>
        </w:tc>
        <w:tc>
          <w:tcPr>
            <w:tcW w:w="920" w:type="dxa"/>
            <w:tcBorders>
              <w:top w:val="single" w:sz="4" w:space="0" w:color="000000"/>
              <w:left w:val="nil"/>
              <w:bottom w:val="single" w:sz="4" w:space="0" w:color="000000"/>
              <w:right w:val="nil"/>
            </w:tcBorders>
            <w:shd w:val="clear" w:color="000000" w:fill="D9D9D9"/>
            <w:noWrap/>
            <w:vAlign w:val="bottom"/>
            <w:hideMark/>
          </w:tcPr>
          <w:p w14:paraId="57222036"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153,520 </w:t>
            </w:r>
          </w:p>
        </w:tc>
        <w:tc>
          <w:tcPr>
            <w:tcW w:w="920" w:type="dxa"/>
            <w:tcBorders>
              <w:top w:val="single" w:sz="4" w:space="0" w:color="000000"/>
              <w:left w:val="nil"/>
              <w:bottom w:val="single" w:sz="4" w:space="0" w:color="000000"/>
              <w:right w:val="nil"/>
            </w:tcBorders>
            <w:shd w:val="clear" w:color="auto" w:fill="auto"/>
            <w:noWrap/>
            <w:vAlign w:val="bottom"/>
            <w:hideMark/>
          </w:tcPr>
          <w:p w14:paraId="533AA8C2"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314 </w:t>
            </w:r>
          </w:p>
        </w:tc>
        <w:tc>
          <w:tcPr>
            <w:tcW w:w="920" w:type="dxa"/>
            <w:tcBorders>
              <w:top w:val="single" w:sz="4" w:space="0" w:color="000000"/>
              <w:left w:val="nil"/>
              <w:bottom w:val="single" w:sz="4" w:space="0" w:color="000000"/>
              <w:right w:val="nil"/>
            </w:tcBorders>
            <w:shd w:val="clear" w:color="auto" w:fill="auto"/>
            <w:noWrap/>
            <w:vAlign w:val="bottom"/>
            <w:hideMark/>
          </w:tcPr>
          <w:p w14:paraId="0C68FEF5"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316 </w:t>
            </w:r>
          </w:p>
        </w:tc>
        <w:tc>
          <w:tcPr>
            <w:tcW w:w="920" w:type="dxa"/>
            <w:tcBorders>
              <w:top w:val="single" w:sz="4" w:space="0" w:color="000000"/>
              <w:left w:val="nil"/>
              <w:bottom w:val="single" w:sz="4" w:space="0" w:color="000000"/>
              <w:right w:val="nil"/>
            </w:tcBorders>
            <w:shd w:val="clear" w:color="auto" w:fill="auto"/>
            <w:noWrap/>
            <w:vAlign w:val="bottom"/>
            <w:hideMark/>
          </w:tcPr>
          <w:p w14:paraId="3309C6BC" w14:textId="77777777" w:rsidR="007635FC" w:rsidRPr="007635FC" w:rsidRDefault="007635FC" w:rsidP="007635FC">
            <w:pPr>
              <w:spacing w:before="0" w:after="0" w:line="240" w:lineRule="auto"/>
              <w:jc w:val="right"/>
              <w:rPr>
                <w:rFonts w:ascii="Arial" w:hAnsi="Arial" w:cs="Arial"/>
                <w:b/>
                <w:bCs/>
                <w:sz w:val="16"/>
                <w:szCs w:val="16"/>
              </w:rPr>
            </w:pPr>
            <w:r w:rsidRPr="007635FC">
              <w:rPr>
                <w:rFonts w:ascii="Arial" w:hAnsi="Arial" w:cs="Arial"/>
                <w:b/>
                <w:bCs/>
                <w:sz w:val="16"/>
                <w:szCs w:val="16"/>
              </w:rPr>
              <w:t xml:space="preserve">319 </w:t>
            </w:r>
          </w:p>
        </w:tc>
      </w:tr>
    </w:tbl>
    <w:p w14:paraId="450EA1F9" w14:textId="77777777" w:rsidR="007635FC" w:rsidRPr="002B3EDD" w:rsidRDefault="007635FC" w:rsidP="007635FC">
      <w:pPr>
        <w:tabs>
          <w:tab w:val="left" w:pos="284"/>
        </w:tabs>
        <w:spacing w:before="120" w:after="0" w:line="240" w:lineRule="auto"/>
        <w:ind w:left="284" w:hanging="284"/>
        <w:rPr>
          <w:rFonts w:ascii="Arial" w:hAnsi="Arial"/>
          <w:color w:val="000000"/>
          <w:sz w:val="15"/>
          <w:szCs w:val="15"/>
        </w:rPr>
      </w:pPr>
      <w:r w:rsidRPr="002B3EDD">
        <w:rPr>
          <w:rFonts w:ascii="Arial" w:hAnsi="Arial"/>
          <w:color w:val="000000"/>
          <w:sz w:val="15"/>
          <w:szCs w:val="15"/>
          <w:vertAlign w:val="superscript"/>
        </w:rPr>
        <w:t>(b)</w:t>
      </w:r>
      <w:r w:rsidRPr="002B3EDD">
        <w:rPr>
          <w:rFonts w:ascii="Arial" w:hAnsi="Arial"/>
          <w:color w:val="000000"/>
          <w:sz w:val="15"/>
          <w:szCs w:val="15"/>
        </w:rPr>
        <w:tab/>
        <w:t>Part of the costs of this measure will be met from within existing resources.</w:t>
      </w:r>
    </w:p>
    <w:p w14:paraId="5D68AB0B" w14:textId="77777777" w:rsidR="007635FC" w:rsidRPr="002B3EDD" w:rsidRDefault="007635FC" w:rsidP="007635FC">
      <w:pPr>
        <w:tabs>
          <w:tab w:val="left" w:pos="284"/>
        </w:tabs>
        <w:spacing w:before="0" w:after="0" w:line="240" w:lineRule="auto"/>
        <w:ind w:left="284" w:hanging="284"/>
        <w:rPr>
          <w:rFonts w:ascii="Arial" w:hAnsi="Arial"/>
          <w:color w:val="000000"/>
          <w:sz w:val="15"/>
          <w:szCs w:val="15"/>
        </w:rPr>
      </w:pPr>
      <w:r w:rsidRPr="002B3EDD">
        <w:rPr>
          <w:rFonts w:ascii="Arial" w:hAnsi="Arial"/>
          <w:color w:val="000000"/>
          <w:sz w:val="15"/>
          <w:szCs w:val="15"/>
          <w:vertAlign w:val="superscript"/>
        </w:rPr>
        <w:t>(c)</w:t>
      </w:r>
      <w:r w:rsidRPr="002B3EDD">
        <w:rPr>
          <w:rFonts w:ascii="Arial" w:hAnsi="Arial"/>
          <w:color w:val="000000"/>
          <w:sz w:val="15"/>
          <w:szCs w:val="15"/>
        </w:rPr>
        <w:tab/>
        <w:t>Includes the impact of measures that are not for publication due to commercial sensitivities (</w:t>
      </w:r>
      <w:proofErr w:type="spellStart"/>
      <w:r w:rsidRPr="002B3EDD">
        <w:rPr>
          <w:rFonts w:ascii="Arial" w:hAnsi="Arial"/>
          <w:color w:val="000000"/>
          <w:sz w:val="15"/>
          <w:szCs w:val="15"/>
        </w:rPr>
        <w:t>nfp</w:t>
      </w:r>
      <w:proofErr w:type="spellEnd"/>
      <w:r w:rsidRPr="002B3EDD">
        <w:rPr>
          <w:rFonts w:ascii="Arial" w:hAnsi="Arial"/>
          <w:color w:val="000000"/>
          <w:sz w:val="15"/>
          <w:szCs w:val="15"/>
        </w:rPr>
        <w:t>).</w:t>
      </w:r>
    </w:p>
    <w:p w14:paraId="1376A834" w14:textId="77187A54" w:rsidR="007635FC" w:rsidRPr="002B3EDD" w:rsidRDefault="007635FC" w:rsidP="007635FC">
      <w:pPr>
        <w:tabs>
          <w:tab w:val="left" w:pos="284"/>
        </w:tabs>
        <w:spacing w:before="0" w:after="0" w:line="240" w:lineRule="auto"/>
        <w:ind w:left="284" w:hanging="284"/>
        <w:rPr>
          <w:rFonts w:ascii="Arial" w:hAnsi="Arial"/>
          <w:color w:val="000000"/>
          <w:sz w:val="15"/>
          <w:szCs w:val="15"/>
        </w:rPr>
      </w:pPr>
      <w:r w:rsidRPr="002B3EDD">
        <w:rPr>
          <w:rFonts w:ascii="Arial" w:hAnsi="Arial"/>
          <w:color w:val="000000"/>
          <w:sz w:val="15"/>
          <w:szCs w:val="15"/>
          <w:vertAlign w:val="superscript"/>
        </w:rPr>
        <w:t>(d)</w:t>
      </w:r>
      <w:r w:rsidRPr="002B3EDD">
        <w:rPr>
          <w:rFonts w:ascii="Arial" w:hAnsi="Arial"/>
          <w:color w:val="000000"/>
          <w:sz w:val="15"/>
          <w:szCs w:val="15"/>
        </w:rPr>
        <w:tab/>
        <w:t>Part of the funding for this measure has already been provided for by the Government.</w:t>
      </w:r>
    </w:p>
    <w:p w14:paraId="667CD46A" w14:textId="0EC41208" w:rsidR="000A3424" w:rsidRPr="000A3424" w:rsidRDefault="000A3424" w:rsidP="008C61E8">
      <w:pPr>
        <w:spacing w:before="120" w:after="0" w:line="240" w:lineRule="auto"/>
        <w:rPr>
          <w:rFonts w:ascii="Arial" w:hAnsi="Arial" w:cs="Arial"/>
          <w:color w:val="000000"/>
          <w:sz w:val="20"/>
        </w:rPr>
      </w:pPr>
      <w:r w:rsidRPr="000A3424">
        <w:rPr>
          <w:rFonts w:ascii="Arial" w:hAnsi="Arial" w:cs="Arial"/>
          <w:b/>
          <w:bCs/>
          <w:sz w:val="20"/>
        </w:rPr>
        <w:t>Part 1: Measures announced since the October 2022–23 Budget (continued)</w:t>
      </w:r>
    </w:p>
    <w:tbl>
      <w:tblPr>
        <w:tblW w:w="7560" w:type="dxa"/>
        <w:jc w:val="center"/>
        <w:tblLayout w:type="fixed"/>
        <w:tblLook w:val="04A0" w:firstRow="1" w:lastRow="0" w:firstColumn="1" w:lastColumn="0" w:noHBand="0" w:noVBand="1"/>
      </w:tblPr>
      <w:tblGrid>
        <w:gridCol w:w="2380"/>
        <w:gridCol w:w="480"/>
        <w:gridCol w:w="940"/>
        <w:gridCol w:w="940"/>
        <w:gridCol w:w="940"/>
        <w:gridCol w:w="940"/>
        <w:gridCol w:w="940"/>
      </w:tblGrid>
      <w:tr w:rsidR="006728FF" w:rsidRPr="006728FF" w14:paraId="2F9B1209" w14:textId="77777777" w:rsidTr="00740335">
        <w:trPr>
          <w:trHeight w:val="397"/>
          <w:jc w:val="center"/>
        </w:trPr>
        <w:tc>
          <w:tcPr>
            <w:tcW w:w="2860" w:type="dxa"/>
            <w:gridSpan w:val="2"/>
            <w:tcBorders>
              <w:top w:val="single" w:sz="4" w:space="0" w:color="auto"/>
              <w:left w:val="nil"/>
              <w:bottom w:val="nil"/>
              <w:right w:val="nil"/>
            </w:tcBorders>
            <w:shd w:val="clear" w:color="auto" w:fill="auto"/>
            <w:vAlign w:val="bottom"/>
            <w:hideMark/>
          </w:tcPr>
          <w:p w14:paraId="47962645" w14:textId="039330D8" w:rsidR="006728FF" w:rsidRPr="006728FF" w:rsidRDefault="000A3424" w:rsidP="000A3424">
            <w:pPr>
              <w:spacing w:before="24" w:after="0" w:line="240" w:lineRule="auto"/>
              <w:jc w:val="right"/>
              <w:rPr>
                <w:rFonts w:ascii="Arial" w:hAnsi="Arial" w:cs="Arial"/>
                <w:b/>
                <w:bCs/>
                <w:sz w:val="16"/>
                <w:szCs w:val="16"/>
              </w:rPr>
            </w:pPr>
            <w:r>
              <w:rPr>
                <w:rFonts w:ascii="Arial" w:hAnsi="Arial" w:cs="Arial"/>
                <w:b/>
                <w:bCs/>
                <w:sz w:val="16"/>
                <w:szCs w:val="16"/>
              </w:rPr>
              <w:t>Outcome/</w:t>
            </w:r>
            <w:r>
              <w:rPr>
                <w:rFonts w:ascii="Arial" w:hAnsi="Arial" w:cs="Arial"/>
                <w:b/>
                <w:bCs/>
                <w:sz w:val="16"/>
                <w:szCs w:val="16"/>
              </w:rPr>
              <w:br/>
            </w:r>
            <w:r w:rsidR="006728FF" w:rsidRPr="006728FF">
              <w:rPr>
                <w:rFonts w:ascii="Arial" w:hAnsi="Arial" w:cs="Arial"/>
                <w:b/>
                <w:bCs/>
                <w:sz w:val="16"/>
                <w:szCs w:val="16"/>
              </w:rPr>
              <w:br w:type="page"/>
              <w:t>Program</w:t>
            </w:r>
          </w:p>
        </w:tc>
        <w:tc>
          <w:tcPr>
            <w:tcW w:w="940" w:type="dxa"/>
            <w:tcBorders>
              <w:top w:val="single" w:sz="4" w:space="0" w:color="000000"/>
              <w:left w:val="nil"/>
              <w:bottom w:val="single" w:sz="4" w:space="0" w:color="000000"/>
              <w:right w:val="nil"/>
            </w:tcBorders>
            <w:shd w:val="clear" w:color="auto" w:fill="auto"/>
            <w:vAlign w:val="bottom"/>
            <w:hideMark/>
          </w:tcPr>
          <w:p w14:paraId="6646F9F5" w14:textId="25AA4173" w:rsidR="006728FF" w:rsidRPr="006728FF" w:rsidRDefault="006728FF" w:rsidP="000A3424">
            <w:pPr>
              <w:spacing w:before="24" w:after="0" w:line="240" w:lineRule="auto"/>
              <w:jc w:val="right"/>
              <w:rPr>
                <w:rFonts w:ascii="Arial" w:hAnsi="Arial" w:cs="Arial"/>
                <w:b/>
                <w:bCs/>
                <w:sz w:val="16"/>
                <w:szCs w:val="16"/>
              </w:rPr>
            </w:pPr>
            <w:r w:rsidRPr="006728FF">
              <w:rPr>
                <w:rFonts w:ascii="Arial" w:hAnsi="Arial" w:cs="Arial"/>
                <w:b/>
                <w:bCs/>
                <w:sz w:val="16"/>
                <w:szCs w:val="16"/>
              </w:rPr>
              <w:t>2022–23</w:t>
            </w:r>
            <w:r w:rsidRPr="006728FF">
              <w:rPr>
                <w:rFonts w:ascii="Arial" w:hAnsi="Arial" w:cs="Arial"/>
                <w:b/>
                <w:bCs/>
                <w:sz w:val="16"/>
                <w:szCs w:val="16"/>
              </w:rPr>
              <w:br w:type="page"/>
            </w:r>
            <w:r>
              <w:rPr>
                <w:rFonts w:ascii="Arial" w:hAnsi="Arial" w:cs="Arial"/>
                <w:b/>
                <w:bCs/>
                <w:sz w:val="16"/>
                <w:szCs w:val="16"/>
              </w:rPr>
              <w:br/>
            </w:r>
            <w:r w:rsidRPr="006728FF">
              <w:rPr>
                <w:rFonts w:ascii="Arial" w:hAnsi="Arial" w:cs="Arial"/>
                <w:b/>
                <w:bCs/>
                <w:sz w:val="16"/>
                <w:szCs w:val="16"/>
              </w:rPr>
              <w:t>$'000</w:t>
            </w:r>
          </w:p>
        </w:tc>
        <w:tc>
          <w:tcPr>
            <w:tcW w:w="940" w:type="dxa"/>
            <w:tcBorders>
              <w:top w:val="single" w:sz="4" w:space="0" w:color="000000"/>
              <w:left w:val="nil"/>
              <w:bottom w:val="single" w:sz="4" w:space="0" w:color="000000"/>
              <w:right w:val="nil"/>
            </w:tcBorders>
            <w:shd w:val="clear" w:color="000000" w:fill="D9D9D9"/>
            <w:vAlign w:val="bottom"/>
            <w:hideMark/>
          </w:tcPr>
          <w:p w14:paraId="4BF0247D" w14:textId="27FB3942" w:rsidR="006728FF" w:rsidRPr="006728FF" w:rsidRDefault="006728FF" w:rsidP="000A3424">
            <w:pPr>
              <w:spacing w:before="24" w:after="0" w:line="240" w:lineRule="auto"/>
              <w:jc w:val="right"/>
              <w:rPr>
                <w:rFonts w:ascii="Arial" w:hAnsi="Arial" w:cs="Arial"/>
                <w:b/>
                <w:bCs/>
                <w:sz w:val="16"/>
                <w:szCs w:val="16"/>
              </w:rPr>
            </w:pPr>
            <w:r w:rsidRPr="006728FF">
              <w:rPr>
                <w:rFonts w:ascii="Arial" w:hAnsi="Arial" w:cs="Arial"/>
                <w:b/>
                <w:bCs/>
                <w:sz w:val="16"/>
                <w:szCs w:val="16"/>
              </w:rPr>
              <w:t>2023–24</w:t>
            </w:r>
            <w:r>
              <w:rPr>
                <w:rFonts w:ascii="Arial" w:hAnsi="Arial" w:cs="Arial"/>
                <w:b/>
                <w:bCs/>
                <w:sz w:val="16"/>
                <w:szCs w:val="16"/>
              </w:rPr>
              <w:br/>
            </w:r>
            <w:r w:rsidRPr="006728FF">
              <w:rPr>
                <w:rFonts w:ascii="Arial" w:hAnsi="Arial" w:cs="Arial"/>
                <w:b/>
                <w:bCs/>
                <w:sz w:val="16"/>
                <w:szCs w:val="16"/>
              </w:rPr>
              <w:br w:type="page"/>
              <w:t>$'000</w:t>
            </w:r>
          </w:p>
        </w:tc>
        <w:tc>
          <w:tcPr>
            <w:tcW w:w="940" w:type="dxa"/>
            <w:tcBorders>
              <w:top w:val="single" w:sz="4" w:space="0" w:color="000000"/>
              <w:left w:val="nil"/>
              <w:bottom w:val="single" w:sz="4" w:space="0" w:color="000000"/>
              <w:right w:val="nil"/>
            </w:tcBorders>
            <w:shd w:val="clear" w:color="auto" w:fill="auto"/>
            <w:vAlign w:val="bottom"/>
            <w:hideMark/>
          </w:tcPr>
          <w:p w14:paraId="56B4AC3F" w14:textId="100298CA" w:rsidR="006728FF" w:rsidRPr="006728FF" w:rsidRDefault="006728FF" w:rsidP="000A3424">
            <w:pPr>
              <w:spacing w:before="24" w:after="0" w:line="240" w:lineRule="auto"/>
              <w:jc w:val="right"/>
              <w:rPr>
                <w:rFonts w:ascii="Arial" w:hAnsi="Arial" w:cs="Arial"/>
                <w:b/>
                <w:bCs/>
                <w:sz w:val="16"/>
                <w:szCs w:val="16"/>
              </w:rPr>
            </w:pPr>
            <w:r w:rsidRPr="006728FF">
              <w:rPr>
                <w:rFonts w:ascii="Arial" w:hAnsi="Arial" w:cs="Arial"/>
                <w:b/>
                <w:bCs/>
                <w:sz w:val="16"/>
                <w:szCs w:val="16"/>
              </w:rPr>
              <w:t>2024–25</w:t>
            </w:r>
            <w:r>
              <w:rPr>
                <w:rFonts w:ascii="Arial" w:hAnsi="Arial" w:cs="Arial"/>
                <w:b/>
                <w:bCs/>
                <w:sz w:val="16"/>
                <w:szCs w:val="16"/>
              </w:rPr>
              <w:br/>
            </w:r>
            <w:r w:rsidRPr="006728FF">
              <w:rPr>
                <w:rFonts w:ascii="Arial" w:hAnsi="Arial" w:cs="Arial"/>
                <w:b/>
                <w:bCs/>
                <w:sz w:val="16"/>
                <w:szCs w:val="16"/>
              </w:rPr>
              <w:br w:type="page"/>
              <w:t>$'000</w:t>
            </w:r>
          </w:p>
        </w:tc>
        <w:tc>
          <w:tcPr>
            <w:tcW w:w="940" w:type="dxa"/>
            <w:tcBorders>
              <w:top w:val="single" w:sz="4" w:space="0" w:color="000000"/>
              <w:left w:val="nil"/>
              <w:bottom w:val="single" w:sz="4" w:space="0" w:color="000000"/>
              <w:right w:val="nil"/>
            </w:tcBorders>
            <w:shd w:val="clear" w:color="auto" w:fill="auto"/>
            <w:vAlign w:val="bottom"/>
            <w:hideMark/>
          </w:tcPr>
          <w:p w14:paraId="6C40C8BF" w14:textId="4AA9B879" w:rsidR="006728FF" w:rsidRPr="006728FF" w:rsidRDefault="006728FF" w:rsidP="000A3424">
            <w:pPr>
              <w:spacing w:before="24" w:after="0" w:line="240" w:lineRule="auto"/>
              <w:jc w:val="right"/>
              <w:rPr>
                <w:rFonts w:ascii="Arial" w:hAnsi="Arial" w:cs="Arial"/>
                <w:b/>
                <w:bCs/>
                <w:sz w:val="16"/>
                <w:szCs w:val="16"/>
              </w:rPr>
            </w:pPr>
            <w:r w:rsidRPr="006728FF">
              <w:rPr>
                <w:rFonts w:ascii="Arial" w:hAnsi="Arial" w:cs="Arial"/>
                <w:b/>
                <w:bCs/>
                <w:sz w:val="16"/>
                <w:szCs w:val="16"/>
              </w:rPr>
              <w:t>2025–26</w:t>
            </w:r>
            <w:r>
              <w:rPr>
                <w:rFonts w:ascii="Arial" w:hAnsi="Arial" w:cs="Arial"/>
                <w:b/>
                <w:bCs/>
                <w:sz w:val="16"/>
                <w:szCs w:val="16"/>
              </w:rPr>
              <w:br/>
            </w:r>
            <w:r w:rsidRPr="006728FF">
              <w:rPr>
                <w:rFonts w:ascii="Arial" w:hAnsi="Arial" w:cs="Arial"/>
                <w:b/>
                <w:bCs/>
                <w:sz w:val="16"/>
                <w:szCs w:val="16"/>
              </w:rPr>
              <w:br w:type="page"/>
              <w:t>$'000</w:t>
            </w:r>
          </w:p>
        </w:tc>
        <w:tc>
          <w:tcPr>
            <w:tcW w:w="940" w:type="dxa"/>
            <w:tcBorders>
              <w:top w:val="single" w:sz="4" w:space="0" w:color="000000"/>
              <w:left w:val="nil"/>
              <w:bottom w:val="single" w:sz="4" w:space="0" w:color="000000"/>
              <w:right w:val="nil"/>
            </w:tcBorders>
            <w:shd w:val="clear" w:color="auto" w:fill="auto"/>
            <w:vAlign w:val="bottom"/>
            <w:hideMark/>
          </w:tcPr>
          <w:p w14:paraId="0C623BC1" w14:textId="36C493EF" w:rsidR="006728FF" w:rsidRPr="006728FF" w:rsidRDefault="006728FF" w:rsidP="000A3424">
            <w:pPr>
              <w:spacing w:before="24" w:after="0" w:line="240" w:lineRule="auto"/>
              <w:jc w:val="right"/>
              <w:rPr>
                <w:rFonts w:ascii="Arial" w:hAnsi="Arial" w:cs="Arial"/>
                <w:b/>
                <w:bCs/>
                <w:sz w:val="16"/>
                <w:szCs w:val="16"/>
              </w:rPr>
            </w:pPr>
            <w:r w:rsidRPr="006728FF">
              <w:rPr>
                <w:rFonts w:ascii="Arial" w:hAnsi="Arial" w:cs="Arial"/>
                <w:b/>
                <w:bCs/>
                <w:sz w:val="16"/>
                <w:szCs w:val="16"/>
              </w:rPr>
              <w:t>2026–27</w:t>
            </w:r>
            <w:r>
              <w:rPr>
                <w:rFonts w:ascii="Arial" w:hAnsi="Arial" w:cs="Arial"/>
                <w:b/>
                <w:bCs/>
                <w:sz w:val="16"/>
                <w:szCs w:val="16"/>
              </w:rPr>
              <w:br/>
            </w:r>
            <w:r w:rsidRPr="006728FF">
              <w:rPr>
                <w:rFonts w:ascii="Arial" w:hAnsi="Arial" w:cs="Arial"/>
                <w:b/>
                <w:bCs/>
                <w:sz w:val="16"/>
                <w:szCs w:val="16"/>
              </w:rPr>
              <w:br w:type="page"/>
              <w:t>$'000</w:t>
            </w:r>
          </w:p>
        </w:tc>
      </w:tr>
      <w:tr w:rsidR="006728FF" w:rsidRPr="006728FF" w14:paraId="56A88367" w14:textId="77777777" w:rsidTr="00740335">
        <w:trPr>
          <w:trHeight w:val="283"/>
          <w:jc w:val="center"/>
        </w:trPr>
        <w:tc>
          <w:tcPr>
            <w:tcW w:w="7560" w:type="dxa"/>
            <w:gridSpan w:val="7"/>
            <w:tcBorders>
              <w:top w:val="nil"/>
              <w:left w:val="nil"/>
              <w:bottom w:val="nil"/>
              <w:right w:val="nil"/>
            </w:tcBorders>
            <w:shd w:val="clear" w:color="auto" w:fill="auto"/>
            <w:vAlign w:val="bottom"/>
            <w:hideMark/>
          </w:tcPr>
          <w:p w14:paraId="6B0FC293" w14:textId="77777777" w:rsidR="006728FF" w:rsidRPr="006728FF" w:rsidRDefault="006728FF" w:rsidP="006728FF">
            <w:pPr>
              <w:spacing w:before="0" w:after="0" w:line="240" w:lineRule="auto"/>
              <w:rPr>
                <w:rFonts w:ascii="Arial" w:hAnsi="Arial" w:cs="Arial"/>
                <w:b/>
                <w:bCs/>
                <w:sz w:val="16"/>
                <w:szCs w:val="16"/>
              </w:rPr>
            </w:pPr>
            <w:r w:rsidRPr="006728FF">
              <w:rPr>
                <w:rFonts w:ascii="Arial" w:hAnsi="Arial" w:cs="Arial"/>
                <w:b/>
                <w:bCs/>
                <w:sz w:val="16"/>
                <w:szCs w:val="16"/>
              </w:rPr>
              <w:t xml:space="preserve">Reducing Harm Caused by Alcohol and Other Drugs in Australia </w:t>
            </w:r>
            <w:r w:rsidRPr="006728FF">
              <w:rPr>
                <w:rFonts w:ascii="Arial" w:hAnsi="Arial" w:cs="Arial"/>
                <w:b/>
                <w:bCs/>
                <w:sz w:val="16"/>
                <w:szCs w:val="16"/>
                <w:vertAlign w:val="superscript"/>
              </w:rPr>
              <w:t>(b)</w:t>
            </w:r>
          </w:p>
        </w:tc>
      </w:tr>
      <w:tr w:rsidR="006728FF" w:rsidRPr="006728FF" w14:paraId="6B1C903F" w14:textId="77777777" w:rsidTr="00740335">
        <w:trPr>
          <w:trHeight w:val="425"/>
          <w:jc w:val="center"/>
        </w:trPr>
        <w:tc>
          <w:tcPr>
            <w:tcW w:w="2380" w:type="dxa"/>
            <w:tcBorders>
              <w:top w:val="nil"/>
              <w:left w:val="nil"/>
              <w:bottom w:val="nil"/>
              <w:right w:val="nil"/>
            </w:tcBorders>
            <w:shd w:val="clear" w:color="auto" w:fill="auto"/>
            <w:vAlign w:val="bottom"/>
            <w:hideMark/>
          </w:tcPr>
          <w:p w14:paraId="19C5E5F4" w14:textId="77777777" w:rsidR="006728FF" w:rsidRPr="006728FF" w:rsidRDefault="006728FF" w:rsidP="006728FF">
            <w:pPr>
              <w:spacing w:before="0" w:after="0" w:line="240" w:lineRule="auto"/>
              <w:rPr>
                <w:rFonts w:ascii="Arial" w:hAnsi="Arial" w:cs="Arial"/>
                <w:sz w:val="16"/>
                <w:szCs w:val="16"/>
              </w:rPr>
            </w:pPr>
            <w:r w:rsidRPr="006728FF">
              <w:rPr>
                <w:rFonts w:ascii="Arial" w:hAnsi="Arial" w:cs="Arial"/>
                <w:sz w:val="16"/>
                <w:szCs w:val="16"/>
              </w:rPr>
              <w:t xml:space="preserve">Department of Health and Aged Care </w:t>
            </w:r>
          </w:p>
        </w:tc>
        <w:tc>
          <w:tcPr>
            <w:tcW w:w="480" w:type="dxa"/>
            <w:tcBorders>
              <w:top w:val="nil"/>
              <w:left w:val="nil"/>
              <w:bottom w:val="nil"/>
              <w:right w:val="nil"/>
            </w:tcBorders>
            <w:shd w:val="clear" w:color="auto" w:fill="auto"/>
            <w:noWrap/>
            <w:vAlign w:val="bottom"/>
            <w:hideMark/>
          </w:tcPr>
          <w:p w14:paraId="58138BD2" w14:textId="77777777" w:rsidR="006728FF" w:rsidRPr="006728FF" w:rsidRDefault="006728FF" w:rsidP="006728FF">
            <w:pPr>
              <w:spacing w:before="0" w:after="0" w:line="240" w:lineRule="auto"/>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00E7CA64" w14:textId="77777777" w:rsidR="006728FF" w:rsidRPr="006728FF" w:rsidRDefault="006728FF" w:rsidP="006728FF">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74BFC4C" w14:textId="77777777" w:rsidR="006728FF" w:rsidRPr="006728FF" w:rsidRDefault="006728FF" w:rsidP="006728FF">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91AE2A1" w14:textId="77777777" w:rsidR="006728FF" w:rsidRPr="006728FF" w:rsidRDefault="006728FF" w:rsidP="006728FF">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3774F276" w14:textId="77777777" w:rsidR="006728FF" w:rsidRPr="006728FF" w:rsidRDefault="006728FF" w:rsidP="006728FF">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1C8666A5" w14:textId="77777777" w:rsidR="006728FF" w:rsidRPr="006728FF" w:rsidRDefault="006728FF" w:rsidP="006728FF">
            <w:pPr>
              <w:spacing w:before="0" w:after="0" w:line="240" w:lineRule="auto"/>
              <w:jc w:val="right"/>
              <w:rPr>
                <w:rFonts w:ascii="Times New Roman" w:hAnsi="Times New Roman"/>
                <w:sz w:val="20"/>
              </w:rPr>
            </w:pPr>
          </w:p>
        </w:tc>
      </w:tr>
      <w:tr w:rsidR="006728FF" w:rsidRPr="006728FF" w14:paraId="59FAA185" w14:textId="77777777" w:rsidTr="000A3424">
        <w:trPr>
          <w:trHeight w:val="225"/>
          <w:jc w:val="center"/>
        </w:trPr>
        <w:tc>
          <w:tcPr>
            <w:tcW w:w="2380" w:type="dxa"/>
            <w:tcBorders>
              <w:top w:val="nil"/>
              <w:left w:val="nil"/>
              <w:bottom w:val="nil"/>
              <w:right w:val="nil"/>
            </w:tcBorders>
            <w:shd w:val="clear" w:color="auto" w:fill="auto"/>
            <w:noWrap/>
            <w:vAlign w:val="bottom"/>
            <w:hideMark/>
          </w:tcPr>
          <w:p w14:paraId="41D6A597" w14:textId="77777777" w:rsidR="006728FF" w:rsidRPr="006728FF" w:rsidRDefault="006728FF" w:rsidP="000A3424">
            <w:pPr>
              <w:spacing w:before="0" w:after="0" w:line="240" w:lineRule="auto"/>
              <w:ind w:leftChars="75" w:left="143"/>
              <w:rPr>
                <w:rFonts w:ascii="Arial" w:hAnsi="Arial" w:cs="Arial"/>
                <w:sz w:val="16"/>
                <w:szCs w:val="16"/>
              </w:rPr>
            </w:pPr>
            <w:r w:rsidRPr="006728FF">
              <w:rPr>
                <w:rFonts w:ascii="Arial" w:hAnsi="Arial" w:cs="Arial"/>
                <w:sz w:val="16"/>
                <w:szCs w:val="16"/>
              </w:rPr>
              <w:t>Administered payments</w:t>
            </w:r>
          </w:p>
        </w:tc>
        <w:tc>
          <w:tcPr>
            <w:tcW w:w="480" w:type="dxa"/>
            <w:tcBorders>
              <w:top w:val="nil"/>
              <w:left w:val="nil"/>
              <w:bottom w:val="nil"/>
              <w:right w:val="nil"/>
            </w:tcBorders>
            <w:shd w:val="clear" w:color="auto" w:fill="auto"/>
            <w:noWrap/>
            <w:vAlign w:val="bottom"/>
            <w:hideMark/>
          </w:tcPr>
          <w:p w14:paraId="629B707D"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1.5</w:t>
            </w:r>
          </w:p>
        </w:tc>
        <w:tc>
          <w:tcPr>
            <w:tcW w:w="940" w:type="dxa"/>
            <w:tcBorders>
              <w:top w:val="nil"/>
              <w:left w:val="nil"/>
              <w:bottom w:val="nil"/>
              <w:right w:val="nil"/>
            </w:tcBorders>
            <w:shd w:val="clear" w:color="auto" w:fill="auto"/>
            <w:noWrap/>
            <w:vAlign w:val="bottom"/>
            <w:hideMark/>
          </w:tcPr>
          <w:p w14:paraId="00375510"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c>
          <w:tcPr>
            <w:tcW w:w="940" w:type="dxa"/>
            <w:tcBorders>
              <w:top w:val="nil"/>
              <w:left w:val="nil"/>
              <w:bottom w:val="nil"/>
              <w:right w:val="nil"/>
            </w:tcBorders>
            <w:shd w:val="clear" w:color="000000" w:fill="D9D9D9"/>
            <w:noWrap/>
            <w:vAlign w:val="bottom"/>
            <w:hideMark/>
          </w:tcPr>
          <w:p w14:paraId="65C6FEA2"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19,225 </w:t>
            </w:r>
          </w:p>
        </w:tc>
        <w:tc>
          <w:tcPr>
            <w:tcW w:w="940" w:type="dxa"/>
            <w:tcBorders>
              <w:top w:val="nil"/>
              <w:left w:val="nil"/>
              <w:bottom w:val="nil"/>
              <w:right w:val="nil"/>
            </w:tcBorders>
            <w:shd w:val="clear" w:color="auto" w:fill="auto"/>
            <w:noWrap/>
            <w:vAlign w:val="bottom"/>
            <w:hideMark/>
          </w:tcPr>
          <w:p w14:paraId="1E23730F"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13,606 </w:t>
            </w:r>
          </w:p>
        </w:tc>
        <w:tc>
          <w:tcPr>
            <w:tcW w:w="940" w:type="dxa"/>
            <w:tcBorders>
              <w:top w:val="nil"/>
              <w:left w:val="nil"/>
              <w:bottom w:val="nil"/>
              <w:right w:val="nil"/>
            </w:tcBorders>
            <w:shd w:val="clear" w:color="auto" w:fill="auto"/>
            <w:noWrap/>
            <w:vAlign w:val="bottom"/>
            <w:hideMark/>
          </w:tcPr>
          <w:p w14:paraId="5101BF05"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4B0A01FA"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r>
      <w:tr w:rsidR="006728FF" w:rsidRPr="006728FF" w14:paraId="3B966B5E" w14:textId="77777777" w:rsidTr="000A3424">
        <w:trPr>
          <w:trHeight w:val="225"/>
          <w:jc w:val="center"/>
        </w:trPr>
        <w:tc>
          <w:tcPr>
            <w:tcW w:w="2380" w:type="dxa"/>
            <w:tcBorders>
              <w:top w:val="nil"/>
              <w:left w:val="nil"/>
              <w:bottom w:val="nil"/>
              <w:right w:val="nil"/>
            </w:tcBorders>
            <w:shd w:val="clear" w:color="auto" w:fill="auto"/>
            <w:vAlign w:val="bottom"/>
            <w:hideMark/>
          </w:tcPr>
          <w:p w14:paraId="7F135303" w14:textId="77777777" w:rsidR="006728FF" w:rsidRPr="006728FF" w:rsidRDefault="006728FF" w:rsidP="000A3424">
            <w:pPr>
              <w:spacing w:before="0" w:after="0" w:line="240" w:lineRule="auto"/>
              <w:ind w:leftChars="75" w:left="143"/>
              <w:rPr>
                <w:rFonts w:ascii="Arial" w:hAnsi="Arial" w:cs="Arial"/>
                <w:sz w:val="16"/>
                <w:szCs w:val="16"/>
              </w:rPr>
            </w:pPr>
            <w:r w:rsidRPr="006728FF">
              <w:rPr>
                <w:rFonts w:ascii="Arial" w:hAnsi="Arial" w:cs="Arial"/>
                <w:sz w:val="16"/>
                <w:szCs w:val="16"/>
              </w:rPr>
              <w:t>Departmental payments</w:t>
            </w:r>
          </w:p>
        </w:tc>
        <w:tc>
          <w:tcPr>
            <w:tcW w:w="480" w:type="dxa"/>
            <w:tcBorders>
              <w:top w:val="nil"/>
              <w:left w:val="nil"/>
              <w:bottom w:val="nil"/>
              <w:right w:val="nil"/>
            </w:tcBorders>
            <w:shd w:val="clear" w:color="auto" w:fill="auto"/>
            <w:noWrap/>
            <w:vAlign w:val="bottom"/>
            <w:hideMark/>
          </w:tcPr>
          <w:p w14:paraId="2364A948"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1</w:t>
            </w:r>
          </w:p>
        </w:tc>
        <w:tc>
          <w:tcPr>
            <w:tcW w:w="940" w:type="dxa"/>
            <w:tcBorders>
              <w:top w:val="nil"/>
              <w:left w:val="nil"/>
              <w:bottom w:val="nil"/>
              <w:right w:val="nil"/>
            </w:tcBorders>
            <w:shd w:val="clear" w:color="auto" w:fill="auto"/>
            <w:noWrap/>
            <w:vAlign w:val="bottom"/>
            <w:hideMark/>
          </w:tcPr>
          <w:p w14:paraId="67BEE720"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c>
          <w:tcPr>
            <w:tcW w:w="940" w:type="dxa"/>
            <w:tcBorders>
              <w:top w:val="nil"/>
              <w:left w:val="nil"/>
              <w:bottom w:val="nil"/>
              <w:right w:val="nil"/>
            </w:tcBorders>
            <w:shd w:val="clear" w:color="000000" w:fill="D9D9D9"/>
            <w:noWrap/>
            <w:vAlign w:val="bottom"/>
            <w:hideMark/>
          </w:tcPr>
          <w:p w14:paraId="21B5AAC4"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196 </w:t>
            </w:r>
          </w:p>
        </w:tc>
        <w:tc>
          <w:tcPr>
            <w:tcW w:w="940" w:type="dxa"/>
            <w:tcBorders>
              <w:top w:val="nil"/>
              <w:left w:val="nil"/>
              <w:bottom w:val="nil"/>
              <w:right w:val="nil"/>
            </w:tcBorders>
            <w:shd w:val="clear" w:color="auto" w:fill="auto"/>
            <w:noWrap/>
            <w:vAlign w:val="bottom"/>
            <w:hideMark/>
          </w:tcPr>
          <w:p w14:paraId="5164E982"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93 </w:t>
            </w:r>
          </w:p>
        </w:tc>
        <w:tc>
          <w:tcPr>
            <w:tcW w:w="940" w:type="dxa"/>
            <w:tcBorders>
              <w:top w:val="nil"/>
              <w:left w:val="nil"/>
              <w:bottom w:val="nil"/>
              <w:right w:val="nil"/>
            </w:tcBorders>
            <w:shd w:val="clear" w:color="auto" w:fill="auto"/>
            <w:noWrap/>
            <w:vAlign w:val="bottom"/>
            <w:hideMark/>
          </w:tcPr>
          <w:p w14:paraId="275F04EF"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c>
          <w:tcPr>
            <w:tcW w:w="940" w:type="dxa"/>
            <w:tcBorders>
              <w:top w:val="nil"/>
              <w:left w:val="nil"/>
              <w:bottom w:val="nil"/>
              <w:right w:val="nil"/>
            </w:tcBorders>
            <w:shd w:val="clear" w:color="auto" w:fill="auto"/>
            <w:noWrap/>
            <w:vAlign w:val="bottom"/>
            <w:hideMark/>
          </w:tcPr>
          <w:p w14:paraId="034CFD19" w14:textId="77777777" w:rsidR="006728FF" w:rsidRPr="006728FF" w:rsidRDefault="006728FF" w:rsidP="006728FF">
            <w:pPr>
              <w:spacing w:before="0" w:after="0" w:line="240" w:lineRule="auto"/>
              <w:jc w:val="right"/>
              <w:rPr>
                <w:rFonts w:ascii="Arial" w:hAnsi="Arial" w:cs="Arial"/>
                <w:sz w:val="16"/>
                <w:szCs w:val="16"/>
              </w:rPr>
            </w:pPr>
            <w:r w:rsidRPr="006728FF">
              <w:rPr>
                <w:rFonts w:ascii="Arial" w:hAnsi="Arial" w:cs="Arial"/>
                <w:sz w:val="16"/>
                <w:szCs w:val="16"/>
              </w:rPr>
              <w:t xml:space="preserve">- </w:t>
            </w:r>
          </w:p>
        </w:tc>
      </w:tr>
      <w:tr w:rsidR="006728FF" w:rsidRPr="006728FF" w14:paraId="1905D81F" w14:textId="77777777" w:rsidTr="000A3424">
        <w:trPr>
          <w:trHeight w:val="225"/>
          <w:jc w:val="center"/>
        </w:trPr>
        <w:tc>
          <w:tcPr>
            <w:tcW w:w="2380" w:type="dxa"/>
            <w:tcBorders>
              <w:top w:val="nil"/>
              <w:left w:val="nil"/>
              <w:bottom w:val="nil"/>
              <w:right w:val="nil"/>
            </w:tcBorders>
            <w:shd w:val="clear" w:color="auto" w:fill="auto"/>
            <w:noWrap/>
            <w:vAlign w:val="bottom"/>
            <w:hideMark/>
          </w:tcPr>
          <w:p w14:paraId="14A1D357" w14:textId="77777777" w:rsidR="006728FF" w:rsidRPr="006728FF" w:rsidRDefault="006728FF" w:rsidP="006728FF">
            <w:pPr>
              <w:spacing w:before="0" w:after="0" w:line="240" w:lineRule="auto"/>
              <w:rPr>
                <w:rFonts w:ascii="Arial" w:hAnsi="Arial" w:cs="Arial"/>
                <w:b/>
                <w:bCs/>
                <w:sz w:val="16"/>
                <w:szCs w:val="16"/>
              </w:rPr>
            </w:pPr>
            <w:r w:rsidRPr="006728FF">
              <w:rPr>
                <w:rFonts w:ascii="Arial" w:hAnsi="Arial" w:cs="Arial"/>
                <w:b/>
                <w:bCs/>
                <w:sz w:val="16"/>
                <w:szCs w:val="16"/>
              </w:rPr>
              <w:t>Total payments</w:t>
            </w:r>
          </w:p>
        </w:tc>
        <w:tc>
          <w:tcPr>
            <w:tcW w:w="480" w:type="dxa"/>
            <w:tcBorders>
              <w:top w:val="nil"/>
              <w:left w:val="nil"/>
              <w:bottom w:val="nil"/>
              <w:right w:val="nil"/>
            </w:tcBorders>
            <w:shd w:val="clear" w:color="auto" w:fill="auto"/>
            <w:noWrap/>
            <w:vAlign w:val="bottom"/>
            <w:hideMark/>
          </w:tcPr>
          <w:p w14:paraId="1F356116" w14:textId="77777777" w:rsidR="006728FF" w:rsidRPr="006728FF" w:rsidRDefault="006728FF" w:rsidP="006728FF">
            <w:pPr>
              <w:spacing w:before="0" w:after="0" w:line="240" w:lineRule="auto"/>
              <w:rPr>
                <w:rFonts w:ascii="Arial" w:hAnsi="Arial" w:cs="Arial"/>
                <w:b/>
                <w:bCs/>
                <w:sz w:val="16"/>
                <w:szCs w:val="16"/>
              </w:rPr>
            </w:pPr>
          </w:p>
        </w:tc>
        <w:tc>
          <w:tcPr>
            <w:tcW w:w="940" w:type="dxa"/>
            <w:tcBorders>
              <w:top w:val="single" w:sz="4" w:space="0" w:color="000000"/>
              <w:left w:val="nil"/>
              <w:bottom w:val="single" w:sz="4" w:space="0" w:color="000000"/>
              <w:right w:val="nil"/>
            </w:tcBorders>
            <w:shd w:val="clear" w:color="auto" w:fill="auto"/>
            <w:noWrap/>
            <w:vAlign w:val="bottom"/>
            <w:hideMark/>
          </w:tcPr>
          <w:p w14:paraId="5DDA5079" w14:textId="77777777" w:rsidR="006728FF" w:rsidRPr="006728FF" w:rsidRDefault="006728FF" w:rsidP="006728FF">
            <w:pPr>
              <w:spacing w:before="0" w:after="0" w:line="240" w:lineRule="auto"/>
              <w:jc w:val="right"/>
              <w:rPr>
                <w:rFonts w:ascii="Arial" w:hAnsi="Arial" w:cs="Arial"/>
                <w:b/>
                <w:bCs/>
                <w:sz w:val="16"/>
                <w:szCs w:val="16"/>
              </w:rPr>
            </w:pPr>
            <w:r w:rsidRPr="006728FF">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000000" w:fill="D9D9D9"/>
            <w:noWrap/>
            <w:vAlign w:val="bottom"/>
            <w:hideMark/>
          </w:tcPr>
          <w:p w14:paraId="1B4E16BD" w14:textId="77777777" w:rsidR="006728FF" w:rsidRPr="006728FF" w:rsidRDefault="006728FF" w:rsidP="006728FF">
            <w:pPr>
              <w:spacing w:before="0" w:after="0" w:line="240" w:lineRule="auto"/>
              <w:jc w:val="right"/>
              <w:rPr>
                <w:rFonts w:ascii="Arial" w:hAnsi="Arial" w:cs="Arial"/>
                <w:b/>
                <w:bCs/>
                <w:sz w:val="16"/>
                <w:szCs w:val="16"/>
              </w:rPr>
            </w:pPr>
            <w:r w:rsidRPr="006728FF">
              <w:rPr>
                <w:rFonts w:ascii="Arial" w:hAnsi="Arial" w:cs="Arial"/>
                <w:b/>
                <w:bCs/>
                <w:sz w:val="16"/>
                <w:szCs w:val="16"/>
              </w:rPr>
              <w:t xml:space="preserve">19,421 </w:t>
            </w:r>
          </w:p>
        </w:tc>
        <w:tc>
          <w:tcPr>
            <w:tcW w:w="940" w:type="dxa"/>
            <w:tcBorders>
              <w:top w:val="single" w:sz="4" w:space="0" w:color="000000"/>
              <w:left w:val="nil"/>
              <w:bottom w:val="single" w:sz="4" w:space="0" w:color="000000"/>
              <w:right w:val="nil"/>
            </w:tcBorders>
            <w:shd w:val="clear" w:color="auto" w:fill="auto"/>
            <w:noWrap/>
            <w:vAlign w:val="bottom"/>
            <w:hideMark/>
          </w:tcPr>
          <w:p w14:paraId="1DCB0FE7" w14:textId="77777777" w:rsidR="006728FF" w:rsidRPr="006728FF" w:rsidRDefault="006728FF" w:rsidP="006728FF">
            <w:pPr>
              <w:spacing w:before="0" w:after="0" w:line="240" w:lineRule="auto"/>
              <w:jc w:val="right"/>
              <w:rPr>
                <w:rFonts w:ascii="Arial" w:hAnsi="Arial" w:cs="Arial"/>
                <w:b/>
                <w:bCs/>
                <w:sz w:val="16"/>
                <w:szCs w:val="16"/>
              </w:rPr>
            </w:pPr>
            <w:r w:rsidRPr="006728FF">
              <w:rPr>
                <w:rFonts w:ascii="Arial" w:hAnsi="Arial" w:cs="Arial"/>
                <w:b/>
                <w:bCs/>
                <w:sz w:val="16"/>
                <w:szCs w:val="16"/>
              </w:rPr>
              <w:t xml:space="preserve">13,699 </w:t>
            </w:r>
          </w:p>
        </w:tc>
        <w:tc>
          <w:tcPr>
            <w:tcW w:w="940" w:type="dxa"/>
            <w:tcBorders>
              <w:top w:val="single" w:sz="4" w:space="0" w:color="000000"/>
              <w:left w:val="nil"/>
              <w:bottom w:val="single" w:sz="4" w:space="0" w:color="000000"/>
              <w:right w:val="nil"/>
            </w:tcBorders>
            <w:shd w:val="clear" w:color="auto" w:fill="auto"/>
            <w:noWrap/>
            <w:vAlign w:val="bottom"/>
            <w:hideMark/>
          </w:tcPr>
          <w:p w14:paraId="122DD016" w14:textId="77777777" w:rsidR="006728FF" w:rsidRPr="006728FF" w:rsidRDefault="006728FF" w:rsidP="006728FF">
            <w:pPr>
              <w:spacing w:before="0" w:after="0" w:line="240" w:lineRule="auto"/>
              <w:jc w:val="right"/>
              <w:rPr>
                <w:rFonts w:ascii="Arial" w:hAnsi="Arial" w:cs="Arial"/>
                <w:b/>
                <w:bCs/>
                <w:sz w:val="16"/>
                <w:szCs w:val="16"/>
              </w:rPr>
            </w:pPr>
            <w:r w:rsidRPr="006728FF">
              <w:rPr>
                <w:rFonts w:ascii="Arial" w:hAnsi="Arial"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14:paraId="02949431" w14:textId="77777777" w:rsidR="006728FF" w:rsidRPr="006728FF" w:rsidRDefault="006728FF" w:rsidP="006728FF">
            <w:pPr>
              <w:spacing w:before="0" w:after="0" w:line="240" w:lineRule="auto"/>
              <w:jc w:val="right"/>
              <w:rPr>
                <w:rFonts w:ascii="Arial" w:hAnsi="Arial" w:cs="Arial"/>
                <w:b/>
                <w:bCs/>
                <w:sz w:val="16"/>
                <w:szCs w:val="16"/>
              </w:rPr>
            </w:pPr>
            <w:r w:rsidRPr="006728FF">
              <w:rPr>
                <w:rFonts w:ascii="Arial" w:hAnsi="Arial" w:cs="Arial"/>
                <w:b/>
                <w:bCs/>
                <w:sz w:val="16"/>
                <w:szCs w:val="16"/>
              </w:rPr>
              <w:t xml:space="preserve">- </w:t>
            </w:r>
          </w:p>
        </w:tc>
      </w:tr>
    </w:tbl>
    <w:p w14:paraId="2F981D28" w14:textId="10D25B97" w:rsidR="006728FF" w:rsidRPr="008C61E8" w:rsidRDefault="006728FF" w:rsidP="008C61E8">
      <w:pPr>
        <w:pStyle w:val="FootnoteText"/>
        <w:spacing w:before="120"/>
        <w:rPr>
          <w:sz w:val="15"/>
          <w:szCs w:val="15"/>
        </w:rPr>
      </w:pPr>
      <w:r w:rsidRPr="002B3EDD">
        <w:rPr>
          <w:sz w:val="15"/>
          <w:szCs w:val="15"/>
          <w:vertAlign w:val="superscript"/>
        </w:rPr>
        <w:t>(b)</w:t>
      </w:r>
      <w:r w:rsidRPr="002B3EDD">
        <w:rPr>
          <w:sz w:val="15"/>
          <w:szCs w:val="15"/>
        </w:rPr>
        <w:tab/>
        <w:t>Part of the costs of this measure will be met from within existing resources.</w:t>
      </w:r>
    </w:p>
    <w:bookmarkStart w:id="209" w:name="_Toc531095065"/>
    <w:bookmarkStart w:id="210" w:name="_Toc152600107"/>
    <w:p w14:paraId="546B30BF" w14:textId="41BC5B01" w:rsidR="00736DD8" w:rsidRPr="001E1BB6" w:rsidRDefault="008E7F4F" w:rsidP="00736DD8">
      <w:pPr>
        <w:pStyle w:val="Heading3"/>
        <w:ind w:left="567" w:hanging="567"/>
      </w:pPr>
      <w:r w:rsidRPr="004B4E5C">
        <w:rPr>
          <w:rFonts w:cs="Arial"/>
          <w:b w:val="0"/>
          <w:szCs w:val="22"/>
        </w:rPr>
        <w:lastRenderedPageBreak/>
        <w:fldChar w:fldCharType="begin"/>
      </w:r>
      <w:r w:rsidRPr="004B4E5C">
        <w:rPr>
          <w:rFonts w:cs="Arial"/>
          <w:b w:val="0"/>
          <w:szCs w:val="22"/>
        </w:rPr>
        <w:instrText xml:space="preserve"> </w:instrText>
      </w:r>
      <w:proofErr w:type="gramStart"/>
      <w:r w:rsidRPr="004B4E5C">
        <w:rPr>
          <w:rFonts w:cs="Arial"/>
          <w:b w:val="0"/>
          <w:szCs w:val="22"/>
        </w:rPr>
        <w:instrText>TC  "</w:instrText>
      </w:r>
      <w:bookmarkStart w:id="211" w:name="_Toc155882368"/>
      <w:proofErr w:type="gramEnd"/>
      <w:r w:rsidRPr="004B4E5C">
        <w:rPr>
          <w:rFonts w:cs="Arial"/>
          <w:b w:val="0"/>
          <w:szCs w:val="22"/>
        </w:rPr>
        <w:instrText>1.</w:instrText>
      </w:r>
      <w:r>
        <w:rPr>
          <w:rFonts w:cs="Arial"/>
          <w:b w:val="0"/>
          <w:szCs w:val="22"/>
        </w:rPr>
        <w:instrText>4</w:instrText>
      </w:r>
      <w:r w:rsidRPr="004B4E5C">
        <w:rPr>
          <w:rFonts w:cs="Arial"/>
          <w:b w:val="0"/>
          <w:szCs w:val="22"/>
        </w:rPr>
        <w:tab/>
      </w:r>
      <w:r>
        <w:rPr>
          <w:rFonts w:cs="Arial"/>
          <w:b w:val="0"/>
          <w:szCs w:val="22"/>
        </w:rPr>
        <w:instrText>Additional estimates, resourcing and variations to outcomes</w:instrText>
      </w:r>
      <w:bookmarkEnd w:id="211"/>
      <w:r w:rsidRPr="004B4E5C">
        <w:rPr>
          <w:rFonts w:cs="Arial"/>
          <w:b w:val="0"/>
          <w:szCs w:val="22"/>
        </w:rPr>
        <w:instrText xml:space="preserve">" \f </w:instrText>
      </w:r>
      <w:proofErr w:type="spellStart"/>
      <w:r w:rsidRPr="004B4E5C">
        <w:rPr>
          <w:rFonts w:cs="Arial"/>
          <w:b w:val="0"/>
          <w:szCs w:val="22"/>
        </w:rPr>
        <w:instrText>dohac</w:instrText>
      </w:r>
      <w:proofErr w:type="spellEnd"/>
      <w:r w:rsidRPr="004B4E5C">
        <w:rPr>
          <w:rFonts w:cs="Arial"/>
          <w:b w:val="0"/>
          <w:szCs w:val="22"/>
        </w:rPr>
        <w:instrText xml:space="preserve"> \l 2 </w:instrText>
      </w:r>
      <w:r w:rsidRPr="004B4E5C">
        <w:rPr>
          <w:rFonts w:cs="Arial"/>
          <w:b w:val="0"/>
          <w:szCs w:val="22"/>
        </w:rPr>
        <w:fldChar w:fldCharType="end"/>
      </w:r>
      <w:bookmarkStart w:id="212" w:name="_Toc157591993"/>
      <w:bookmarkStart w:id="213" w:name="_Toc157592176"/>
      <w:r w:rsidR="00736DD8">
        <w:t>1.4</w:t>
      </w:r>
      <w:r w:rsidR="00736DD8">
        <w:tab/>
        <w:t>Additional estimates, resourcing and v</w:t>
      </w:r>
      <w:r w:rsidR="00736DD8" w:rsidRPr="00597122">
        <w:t>ariations</w:t>
      </w:r>
      <w:r w:rsidR="00736DD8">
        <w:t xml:space="preserve"> to outcomes</w:t>
      </w:r>
      <w:bookmarkEnd w:id="209"/>
      <w:bookmarkEnd w:id="210"/>
      <w:bookmarkEnd w:id="212"/>
      <w:bookmarkEnd w:id="213"/>
    </w:p>
    <w:p w14:paraId="2F39E974" w14:textId="69EE2299" w:rsidR="00736DD8" w:rsidRPr="00190894" w:rsidRDefault="00736DD8" w:rsidP="00736DD8">
      <w:pPr>
        <w:rPr>
          <w:sz w:val="20"/>
        </w:rPr>
      </w:pPr>
      <w:r w:rsidRPr="00190894">
        <w:rPr>
          <w:sz w:val="20"/>
        </w:rPr>
        <w:t xml:space="preserve">The following tables detail the changes to the resourcing for the Department of Health and Aged Care at Additional Estimates, by outcome. Table 1.3 details the Additional Estimates resulting from new measures and other variations since the 2023–24 Budget in Appropriation Bills </w:t>
      </w:r>
      <w:r w:rsidR="008974FD">
        <w:rPr>
          <w:sz w:val="20"/>
        </w:rPr>
        <w:t>(</w:t>
      </w:r>
      <w:r w:rsidRPr="00190894">
        <w:rPr>
          <w:sz w:val="20"/>
        </w:rPr>
        <w:t>Nos. 3 and 4</w:t>
      </w:r>
      <w:r w:rsidR="008974FD">
        <w:rPr>
          <w:sz w:val="20"/>
        </w:rPr>
        <w:t>)</w:t>
      </w:r>
      <w:r w:rsidRPr="00190894">
        <w:rPr>
          <w:sz w:val="20"/>
        </w:rPr>
        <w:t>.</w:t>
      </w:r>
    </w:p>
    <w:p w14:paraId="5BBDC75A" w14:textId="77777777" w:rsidR="00736DD8" w:rsidRDefault="00736DD8" w:rsidP="00736DD8">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p w14:paraId="2A5FEF1E" w14:textId="7A0CA7E8" w:rsidR="00736DD8" w:rsidRPr="00221052" w:rsidRDefault="00221052" w:rsidP="00425BC9">
      <w:pPr>
        <w:pStyle w:val="TableGraphic"/>
        <w:spacing w:before="120"/>
        <w:rPr>
          <w:sz w:val="20"/>
        </w:rPr>
      </w:pPr>
      <w:bookmarkStart w:id="214" w:name="_Toc436624143"/>
      <w:bookmarkStart w:id="215" w:name="_Toc436625444"/>
      <w:bookmarkStart w:id="216" w:name="_Toc446237032"/>
      <w:bookmarkStart w:id="217" w:name="_Toc449255764"/>
      <w:bookmarkStart w:id="218" w:name="_Toc490972409"/>
      <w:bookmarkStart w:id="219" w:name="_Toc491014629"/>
      <w:bookmarkStart w:id="220" w:name="_Toc491014771"/>
      <w:bookmarkStart w:id="221" w:name="_Toc491014951"/>
      <w:bookmarkStart w:id="222" w:name="_Toc491015098"/>
      <w:bookmarkStart w:id="223" w:name="_Toc491029242"/>
      <w:bookmarkStart w:id="224" w:name="_Toc491030331"/>
      <w:bookmarkStart w:id="225" w:name="_Toc491030790"/>
      <w:bookmarkStart w:id="226" w:name="_Toc491031353"/>
      <w:bookmarkStart w:id="227" w:name="_Toc491031940"/>
      <w:bookmarkStart w:id="228" w:name="_Toc491032113"/>
      <w:bookmarkStart w:id="229" w:name="_Toc491032221"/>
      <w:bookmarkStart w:id="230" w:name="_Toc491032328"/>
      <w:bookmarkStart w:id="231" w:name="_Toc491771720"/>
      <w:bookmarkStart w:id="232" w:name="_Toc491773295"/>
      <w:bookmarkStart w:id="233" w:name="_Toc23559353"/>
      <w:bookmarkStart w:id="234" w:name="_Toc23559387"/>
      <w:bookmarkStart w:id="235" w:name="_Toc23559674"/>
      <w:bookmarkStart w:id="236" w:name="_Toc23560142"/>
      <w:bookmarkStart w:id="237" w:name="_Toc23563436"/>
      <w:bookmarkStart w:id="238" w:name="_Toc77998688"/>
      <w:bookmarkStart w:id="239" w:name="_Toc79399717"/>
      <w:bookmarkStart w:id="240" w:name="_Toc112211966"/>
      <w:bookmarkStart w:id="241" w:name="_Toc112212060"/>
      <w:bookmarkStart w:id="242" w:name="_Toc112137878"/>
      <w:bookmarkStart w:id="243" w:name="_Toc112137900"/>
      <w:bookmarkStart w:id="244" w:name="_Toc210646453"/>
      <w:bookmarkStart w:id="245" w:name="_Toc210698432"/>
      <w:bookmarkStart w:id="246" w:name="_Toc210703214"/>
      <w:bookmarkEnd w:id="194"/>
      <w:bookmarkEnd w:id="195"/>
      <w:bookmarkEnd w:id="196"/>
      <w:bookmarkEnd w:id="197"/>
      <w:bookmarkEnd w:id="198"/>
      <w:bookmarkEnd w:id="199"/>
      <w:bookmarkEnd w:id="206"/>
      <w:bookmarkEnd w:id="207"/>
      <w:r w:rsidRPr="00221052">
        <w:rPr>
          <w:bCs/>
          <w:sz w:val="20"/>
        </w:rPr>
        <w:t xml:space="preserve">This table is not applicable to the Department of Health and Aged Care in 2023–24. </w:t>
      </w:r>
      <w:r>
        <w:rPr>
          <w:bCs/>
          <w:sz w:val="20"/>
        </w:rPr>
        <w:br/>
      </w:r>
      <w:r w:rsidRPr="00221052">
        <w:rPr>
          <w:bCs/>
          <w:sz w:val="20"/>
        </w:rPr>
        <w:t>For details on changes to the resourcing from the Department of Health and Aged Care at Additional Estimates from measures and other variations, refer to each Outcome chapter in Section 2: Rev</w:t>
      </w:r>
      <w:r w:rsidR="008C61E8">
        <w:rPr>
          <w:bCs/>
          <w:sz w:val="20"/>
        </w:rPr>
        <w:t>isions to outcomes and planned p</w:t>
      </w:r>
      <w:r w:rsidRPr="00221052">
        <w:rPr>
          <w:bCs/>
          <w:sz w:val="20"/>
        </w:rPr>
        <w:t xml:space="preserve">erformance. </w:t>
      </w:r>
    </w:p>
    <w:p w14:paraId="53AB6B25" w14:textId="53365F73" w:rsidR="00736DD8" w:rsidRPr="00D95DEB" w:rsidRDefault="00736DD8" w:rsidP="00425BC9">
      <w:pPr>
        <w:pStyle w:val="TableHeading"/>
      </w:pPr>
      <w:r>
        <w:br w:type="page"/>
      </w:r>
    </w:p>
    <w:bookmarkStart w:id="247" w:name="_Toc531095066"/>
    <w:bookmarkStart w:id="248" w:name="_Toc152600108"/>
    <w:p w14:paraId="3FAAF7B8" w14:textId="6D4C339B" w:rsidR="00736DD8" w:rsidRPr="00564C0F" w:rsidRDefault="008E7F4F" w:rsidP="00736DD8">
      <w:pPr>
        <w:pStyle w:val="Heading3"/>
        <w:ind w:right="-156"/>
      </w:pPr>
      <w:r w:rsidRPr="004B4E5C">
        <w:rPr>
          <w:rFonts w:cs="Arial"/>
          <w:b w:val="0"/>
          <w:szCs w:val="22"/>
        </w:rPr>
        <w:lastRenderedPageBreak/>
        <w:fldChar w:fldCharType="begin"/>
      </w:r>
      <w:r w:rsidRPr="004B4E5C">
        <w:rPr>
          <w:rFonts w:cs="Arial"/>
          <w:b w:val="0"/>
          <w:szCs w:val="22"/>
        </w:rPr>
        <w:instrText xml:space="preserve"> </w:instrText>
      </w:r>
      <w:proofErr w:type="gramStart"/>
      <w:r w:rsidRPr="004B4E5C">
        <w:rPr>
          <w:rFonts w:cs="Arial"/>
          <w:b w:val="0"/>
          <w:szCs w:val="22"/>
        </w:rPr>
        <w:instrText>TC  "</w:instrText>
      </w:r>
      <w:bookmarkStart w:id="249" w:name="_Toc155882369"/>
      <w:proofErr w:type="gramEnd"/>
      <w:r w:rsidRPr="004B4E5C">
        <w:rPr>
          <w:rFonts w:cs="Arial"/>
          <w:b w:val="0"/>
          <w:szCs w:val="22"/>
        </w:rPr>
        <w:instrText>1</w:instrText>
      </w:r>
      <w:r>
        <w:rPr>
          <w:rFonts w:cs="Arial"/>
          <w:b w:val="0"/>
          <w:szCs w:val="22"/>
        </w:rPr>
        <w:instrText>.5</w:instrText>
      </w:r>
      <w:r w:rsidRPr="004B4E5C">
        <w:rPr>
          <w:rFonts w:cs="Arial"/>
          <w:b w:val="0"/>
          <w:szCs w:val="22"/>
        </w:rPr>
        <w:tab/>
      </w:r>
      <w:r>
        <w:rPr>
          <w:rFonts w:cs="Arial"/>
          <w:b w:val="0"/>
          <w:szCs w:val="22"/>
        </w:rPr>
        <w:instrText>Breakdown of additional estimates by appropriation bill</w:instrText>
      </w:r>
      <w:bookmarkEnd w:id="249"/>
      <w:r w:rsidRPr="004B4E5C">
        <w:rPr>
          <w:rFonts w:cs="Arial"/>
          <w:b w:val="0"/>
          <w:szCs w:val="22"/>
        </w:rPr>
        <w:instrText xml:space="preserve">" \f </w:instrText>
      </w:r>
      <w:proofErr w:type="spellStart"/>
      <w:r w:rsidRPr="004B4E5C">
        <w:rPr>
          <w:rFonts w:cs="Arial"/>
          <w:b w:val="0"/>
          <w:szCs w:val="22"/>
        </w:rPr>
        <w:instrText>dohac</w:instrText>
      </w:r>
      <w:proofErr w:type="spellEnd"/>
      <w:r w:rsidRPr="004B4E5C">
        <w:rPr>
          <w:rFonts w:cs="Arial"/>
          <w:b w:val="0"/>
          <w:szCs w:val="22"/>
        </w:rPr>
        <w:instrText xml:space="preserve"> \l 2 </w:instrText>
      </w:r>
      <w:r w:rsidRPr="004B4E5C">
        <w:rPr>
          <w:rFonts w:cs="Arial"/>
          <w:b w:val="0"/>
          <w:szCs w:val="22"/>
        </w:rPr>
        <w:fldChar w:fldCharType="end"/>
      </w:r>
      <w:bookmarkStart w:id="250" w:name="_Toc157591994"/>
      <w:bookmarkStart w:id="251" w:name="_Toc157592177"/>
      <w:r w:rsidR="00736DD8">
        <w:t>1.5</w:t>
      </w:r>
      <w:r w:rsidR="00736DD8">
        <w:tab/>
      </w:r>
      <w:bookmarkStart w:id="252" w:name="_Toc210646451"/>
      <w:bookmarkStart w:id="253" w:name="_Toc210698430"/>
      <w:bookmarkStart w:id="254" w:name="_Toc210703213"/>
      <w:r w:rsidR="00736DD8" w:rsidRPr="00564C0F">
        <w:t>Breakdown of additional estimates by appropriation bill</w:t>
      </w:r>
      <w:bookmarkEnd w:id="247"/>
      <w:bookmarkEnd w:id="248"/>
      <w:bookmarkEnd w:id="250"/>
      <w:bookmarkEnd w:id="251"/>
      <w:bookmarkEnd w:id="252"/>
      <w:bookmarkEnd w:id="253"/>
      <w:bookmarkEnd w:id="254"/>
    </w:p>
    <w:p w14:paraId="1CEE1627" w14:textId="0EC4596D" w:rsidR="00736DD8" w:rsidRPr="00880134" w:rsidRDefault="00736DD8" w:rsidP="00736DD8">
      <w:pPr>
        <w:rPr>
          <w:sz w:val="20"/>
        </w:rPr>
      </w:pPr>
      <w:r w:rsidRPr="00880134">
        <w:rPr>
          <w:sz w:val="20"/>
        </w:rPr>
        <w:t>The following tables detail the Additional Estimates sought for</w:t>
      </w:r>
      <w:r w:rsidR="008B2968" w:rsidRPr="00880134">
        <w:rPr>
          <w:sz w:val="20"/>
        </w:rPr>
        <w:t xml:space="preserve"> the</w:t>
      </w:r>
      <w:r w:rsidRPr="00880134">
        <w:rPr>
          <w:sz w:val="20"/>
        </w:rPr>
        <w:t xml:space="preserve"> </w:t>
      </w:r>
      <w:r w:rsidR="008B2968" w:rsidRPr="00880134">
        <w:rPr>
          <w:sz w:val="20"/>
        </w:rPr>
        <w:t xml:space="preserve">Department of Health and Aged Care </w:t>
      </w:r>
      <w:r w:rsidRPr="00880134">
        <w:rPr>
          <w:sz w:val="20"/>
        </w:rPr>
        <w:t xml:space="preserve">through Appropriation Bills </w:t>
      </w:r>
      <w:r w:rsidR="008974FD">
        <w:rPr>
          <w:sz w:val="20"/>
        </w:rPr>
        <w:t>(</w:t>
      </w:r>
      <w:r w:rsidRPr="00880134">
        <w:rPr>
          <w:sz w:val="20"/>
        </w:rPr>
        <w:t>Nos. 3 and 4</w:t>
      </w:r>
      <w:r w:rsidR="008974FD">
        <w:rPr>
          <w:sz w:val="20"/>
        </w:rPr>
        <w:t>)</w:t>
      </w:r>
      <w:r w:rsidRPr="00880134">
        <w:rPr>
          <w:sz w:val="20"/>
        </w:rPr>
        <w:t>.</w:t>
      </w:r>
    </w:p>
    <w:p w14:paraId="74D49481" w14:textId="77777777" w:rsidR="00736DD8" w:rsidRDefault="00736DD8" w:rsidP="00736DD8">
      <w:pPr>
        <w:pStyle w:val="TableHeading"/>
      </w:pPr>
      <w:bookmarkStart w:id="255" w:name="_Toc491771713"/>
      <w:bookmarkStart w:id="256" w:name="_Toc491773288"/>
      <w:bookmarkStart w:id="257" w:name="_Toc23559346"/>
      <w:bookmarkStart w:id="258" w:name="_Toc23559380"/>
      <w:bookmarkStart w:id="259" w:name="_Toc23560135"/>
      <w:bookmarkStart w:id="260" w:name="_Toc23563429"/>
      <w:r>
        <w:t>Table 1.4</w:t>
      </w:r>
      <w:r w:rsidRPr="00564C0F">
        <w:t xml:space="preserve">: Appropriation Bill (No. 3) </w:t>
      </w:r>
      <w:bookmarkEnd w:id="255"/>
      <w:bookmarkEnd w:id="256"/>
      <w:bookmarkEnd w:id="257"/>
      <w:bookmarkEnd w:id="258"/>
      <w:bookmarkEnd w:id="259"/>
      <w:bookmarkEnd w:id="260"/>
      <w:r>
        <w:t>2023–2024</w:t>
      </w:r>
    </w:p>
    <w:tbl>
      <w:tblPr>
        <w:tblW w:w="7711" w:type="dxa"/>
        <w:jc w:val="center"/>
        <w:tblLayout w:type="fixed"/>
        <w:tblLook w:val="04A0" w:firstRow="1" w:lastRow="0" w:firstColumn="1" w:lastColumn="0" w:noHBand="0" w:noVBand="1"/>
      </w:tblPr>
      <w:tblGrid>
        <w:gridCol w:w="2753"/>
        <w:gridCol w:w="974"/>
        <w:gridCol w:w="1010"/>
        <w:gridCol w:w="1010"/>
        <w:gridCol w:w="992"/>
        <w:gridCol w:w="972"/>
      </w:tblGrid>
      <w:tr w:rsidR="00565156" w:rsidRPr="00565156" w14:paraId="5BA04DE8" w14:textId="77777777" w:rsidTr="00F11F72">
        <w:trPr>
          <w:trHeight w:val="510"/>
          <w:jc w:val="center"/>
        </w:trPr>
        <w:tc>
          <w:tcPr>
            <w:tcW w:w="2753" w:type="dxa"/>
            <w:tcBorders>
              <w:top w:val="single" w:sz="4" w:space="0" w:color="000000"/>
              <w:left w:val="nil"/>
              <w:bottom w:val="nil"/>
              <w:right w:val="nil"/>
            </w:tcBorders>
            <w:shd w:val="clear" w:color="auto" w:fill="auto"/>
            <w:noWrap/>
            <w:vAlign w:val="bottom"/>
            <w:hideMark/>
          </w:tcPr>
          <w:p w14:paraId="484FD390" w14:textId="77777777" w:rsidR="00565156" w:rsidRPr="00565156" w:rsidRDefault="00565156" w:rsidP="000A3424">
            <w:pPr>
              <w:spacing w:before="24" w:after="0" w:line="240" w:lineRule="auto"/>
              <w:jc w:val="right"/>
              <w:rPr>
                <w:rFonts w:ascii="Arial" w:hAnsi="Arial" w:cs="Arial"/>
                <w:color w:val="000000"/>
                <w:sz w:val="16"/>
                <w:szCs w:val="16"/>
              </w:rPr>
            </w:pPr>
            <w:r w:rsidRPr="00565156">
              <w:rPr>
                <w:rFonts w:ascii="Arial" w:hAnsi="Arial" w:cs="Arial"/>
                <w:color w:val="000000"/>
                <w:sz w:val="16"/>
                <w:szCs w:val="16"/>
              </w:rPr>
              <w:t> </w:t>
            </w:r>
          </w:p>
        </w:tc>
        <w:tc>
          <w:tcPr>
            <w:tcW w:w="974" w:type="dxa"/>
            <w:tcBorders>
              <w:top w:val="single" w:sz="4" w:space="0" w:color="auto"/>
              <w:left w:val="nil"/>
              <w:bottom w:val="single" w:sz="4" w:space="0" w:color="auto"/>
              <w:right w:val="nil"/>
            </w:tcBorders>
            <w:shd w:val="clear" w:color="auto" w:fill="auto"/>
            <w:tcMar>
              <w:left w:w="0" w:type="dxa"/>
            </w:tcMar>
            <w:vAlign w:val="bottom"/>
            <w:hideMark/>
          </w:tcPr>
          <w:p w14:paraId="39741AEC" w14:textId="750B323B" w:rsidR="00565156" w:rsidRPr="00565156" w:rsidRDefault="000A3424" w:rsidP="000A3424">
            <w:pPr>
              <w:spacing w:before="24"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Available</w:t>
            </w:r>
            <w:r w:rsidR="00565156" w:rsidRPr="00565156">
              <w:rPr>
                <w:rFonts w:ascii="Arial" w:hAnsi="Arial" w:cs="Arial"/>
                <w:b/>
                <w:bCs/>
                <w:sz w:val="16"/>
                <w:szCs w:val="16"/>
                <w:vertAlign w:val="superscript"/>
              </w:rPr>
              <w:t>(a)</w:t>
            </w:r>
            <w:r w:rsidR="00565156" w:rsidRPr="00565156">
              <w:rPr>
                <w:rFonts w:ascii="Arial" w:hAnsi="Arial" w:cs="Arial"/>
                <w:b/>
                <w:bCs/>
                <w:sz w:val="16"/>
                <w:szCs w:val="16"/>
              </w:rPr>
              <w:br/>
            </w:r>
            <w:r w:rsidR="00565156" w:rsidRPr="00565156">
              <w:rPr>
                <w:rFonts w:ascii="Arial" w:hAnsi="Arial" w:cs="Arial"/>
                <w:sz w:val="16"/>
                <w:szCs w:val="16"/>
              </w:rPr>
              <w:t>$'000</w:t>
            </w:r>
          </w:p>
        </w:tc>
        <w:tc>
          <w:tcPr>
            <w:tcW w:w="1010" w:type="dxa"/>
            <w:tcBorders>
              <w:top w:val="single" w:sz="4" w:space="0" w:color="auto"/>
              <w:left w:val="nil"/>
              <w:bottom w:val="single" w:sz="4" w:space="0" w:color="auto"/>
              <w:right w:val="nil"/>
            </w:tcBorders>
            <w:shd w:val="clear" w:color="auto" w:fill="auto"/>
            <w:vAlign w:val="bottom"/>
            <w:hideMark/>
          </w:tcPr>
          <w:p w14:paraId="3639A0E2" w14:textId="23A75ACD" w:rsidR="00565156" w:rsidRPr="00565156" w:rsidRDefault="000A3424" w:rsidP="000A3424">
            <w:pPr>
              <w:spacing w:before="24" w:after="0" w:line="240" w:lineRule="auto"/>
              <w:jc w:val="right"/>
              <w:rPr>
                <w:rFonts w:ascii="Arial" w:hAnsi="Arial" w:cs="Arial"/>
                <w:b/>
                <w:bCs/>
                <w:sz w:val="16"/>
                <w:szCs w:val="16"/>
              </w:rPr>
            </w:pPr>
            <w:r>
              <w:rPr>
                <w:rFonts w:ascii="Arial" w:hAnsi="Arial" w:cs="Arial"/>
                <w:b/>
                <w:bCs/>
                <w:sz w:val="16"/>
                <w:szCs w:val="16"/>
              </w:rPr>
              <w:t>2023–</w:t>
            </w:r>
            <w:r w:rsidR="00565156" w:rsidRPr="00565156">
              <w:rPr>
                <w:rFonts w:ascii="Arial" w:hAnsi="Arial" w:cs="Arial"/>
                <w:b/>
                <w:bCs/>
                <w:sz w:val="16"/>
                <w:szCs w:val="16"/>
              </w:rPr>
              <w:t>24</w:t>
            </w:r>
            <w:r w:rsidR="00565156" w:rsidRPr="00565156">
              <w:rPr>
                <w:rFonts w:ascii="Arial" w:hAnsi="Arial" w:cs="Arial"/>
                <w:b/>
                <w:bCs/>
                <w:sz w:val="16"/>
                <w:szCs w:val="16"/>
              </w:rPr>
              <w:br/>
              <w:t>Budget</w:t>
            </w:r>
            <w:r w:rsidR="00565156" w:rsidRPr="00565156">
              <w:rPr>
                <w:rFonts w:ascii="Arial" w:hAnsi="Arial" w:cs="Arial"/>
                <w:b/>
                <w:bCs/>
                <w:sz w:val="16"/>
                <w:szCs w:val="16"/>
              </w:rPr>
              <w:br/>
            </w:r>
            <w:r w:rsidR="00565156" w:rsidRPr="00565156">
              <w:rPr>
                <w:rFonts w:ascii="Arial" w:hAnsi="Arial" w:cs="Arial"/>
                <w:sz w:val="16"/>
                <w:szCs w:val="16"/>
              </w:rPr>
              <w:t>$'000</w:t>
            </w:r>
          </w:p>
        </w:tc>
        <w:tc>
          <w:tcPr>
            <w:tcW w:w="1010" w:type="dxa"/>
            <w:tcBorders>
              <w:top w:val="single" w:sz="4" w:space="0" w:color="auto"/>
              <w:left w:val="nil"/>
              <w:bottom w:val="single" w:sz="4" w:space="0" w:color="auto"/>
              <w:right w:val="nil"/>
            </w:tcBorders>
            <w:shd w:val="clear" w:color="auto" w:fill="auto"/>
            <w:vAlign w:val="bottom"/>
            <w:hideMark/>
          </w:tcPr>
          <w:p w14:paraId="5BDDCD13" w14:textId="40FD8D9A" w:rsidR="00565156" w:rsidRPr="00565156" w:rsidRDefault="00565156" w:rsidP="000A3424">
            <w:pPr>
              <w:spacing w:before="24" w:after="0" w:line="240" w:lineRule="auto"/>
              <w:jc w:val="right"/>
              <w:rPr>
                <w:rFonts w:ascii="Arial" w:hAnsi="Arial" w:cs="Arial"/>
                <w:b/>
                <w:bCs/>
                <w:sz w:val="16"/>
                <w:szCs w:val="16"/>
              </w:rPr>
            </w:pPr>
            <w:r w:rsidRPr="00565156">
              <w:rPr>
                <w:rFonts w:ascii="Arial" w:hAnsi="Arial" w:cs="Arial"/>
                <w:b/>
                <w:bCs/>
                <w:sz w:val="16"/>
                <w:szCs w:val="16"/>
              </w:rPr>
              <w:t>2023</w:t>
            </w:r>
            <w:r w:rsidR="000A3424">
              <w:rPr>
                <w:rFonts w:ascii="Arial" w:hAnsi="Arial" w:cs="Arial"/>
                <w:b/>
                <w:bCs/>
                <w:sz w:val="16"/>
                <w:szCs w:val="16"/>
              </w:rPr>
              <w:t>–</w:t>
            </w:r>
            <w:r w:rsidRPr="00565156">
              <w:rPr>
                <w:rFonts w:ascii="Arial" w:hAnsi="Arial" w:cs="Arial"/>
                <w:b/>
                <w:bCs/>
                <w:sz w:val="16"/>
                <w:szCs w:val="16"/>
              </w:rPr>
              <w:t>24</w:t>
            </w:r>
            <w:r w:rsidRPr="00565156">
              <w:rPr>
                <w:rFonts w:ascii="Arial" w:hAnsi="Arial" w:cs="Arial"/>
                <w:b/>
                <w:bCs/>
                <w:sz w:val="16"/>
                <w:szCs w:val="16"/>
              </w:rPr>
              <w:br/>
              <w:t>Revised</w:t>
            </w:r>
            <w:r w:rsidRPr="00565156">
              <w:rPr>
                <w:rFonts w:ascii="Arial" w:hAnsi="Arial" w:cs="Arial"/>
                <w:b/>
                <w:bCs/>
                <w:sz w:val="16"/>
                <w:szCs w:val="16"/>
              </w:rPr>
              <w:br/>
            </w:r>
            <w:r w:rsidRPr="00565156">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D9D9D9"/>
            <w:tcMar>
              <w:left w:w="0" w:type="dxa"/>
            </w:tcMar>
            <w:vAlign w:val="bottom"/>
            <w:hideMark/>
          </w:tcPr>
          <w:p w14:paraId="67113CF9" w14:textId="77777777" w:rsidR="00565156" w:rsidRPr="00565156" w:rsidRDefault="00565156" w:rsidP="000A3424">
            <w:pPr>
              <w:spacing w:before="24" w:after="0" w:line="240" w:lineRule="auto"/>
              <w:jc w:val="right"/>
              <w:rPr>
                <w:rFonts w:ascii="Arial" w:hAnsi="Arial" w:cs="Arial"/>
                <w:b/>
                <w:bCs/>
                <w:sz w:val="16"/>
                <w:szCs w:val="16"/>
              </w:rPr>
            </w:pPr>
            <w:r w:rsidRPr="00565156">
              <w:rPr>
                <w:rFonts w:ascii="Arial" w:hAnsi="Arial" w:cs="Arial"/>
                <w:b/>
                <w:bCs/>
                <w:sz w:val="16"/>
                <w:szCs w:val="16"/>
              </w:rPr>
              <w:t>Additional</w:t>
            </w:r>
            <w:r w:rsidRPr="00565156">
              <w:rPr>
                <w:rFonts w:ascii="Arial" w:hAnsi="Arial" w:cs="Arial"/>
                <w:b/>
                <w:bCs/>
                <w:sz w:val="16"/>
                <w:szCs w:val="16"/>
              </w:rPr>
              <w:br/>
              <w:t>Estimates</w:t>
            </w:r>
            <w:r w:rsidRPr="00565156">
              <w:rPr>
                <w:rFonts w:ascii="Arial" w:hAnsi="Arial" w:cs="Arial"/>
                <w:b/>
                <w:bCs/>
                <w:sz w:val="16"/>
                <w:szCs w:val="16"/>
              </w:rPr>
              <w:br/>
            </w:r>
            <w:r w:rsidRPr="00565156">
              <w:rPr>
                <w:rFonts w:ascii="Arial" w:hAnsi="Arial" w:cs="Arial"/>
                <w:sz w:val="16"/>
                <w:szCs w:val="16"/>
              </w:rPr>
              <w:t>$'000</w:t>
            </w:r>
          </w:p>
        </w:tc>
        <w:tc>
          <w:tcPr>
            <w:tcW w:w="972" w:type="dxa"/>
            <w:tcBorders>
              <w:top w:val="single" w:sz="4" w:space="0" w:color="auto"/>
              <w:left w:val="nil"/>
              <w:bottom w:val="single" w:sz="4" w:space="0" w:color="auto"/>
              <w:right w:val="nil"/>
            </w:tcBorders>
            <w:shd w:val="clear" w:color="auto" w:fill="auto"/>
            <w:tcMar>
              <w:left w:w="0" w:type="dxa"/>
            </w:tcMar>
            <w:vAlign w:val="bottom"/>
            <w:hideMark/>
          </w:tcPr>
          <w:p w14:paraId="1B5D0BF4" w14:textId="77777777" w:rsidR="00565156" w:rsidRPr="00565156" w:rsidRDefault="00565156" w:rsidP="000A3424">
            <w:pPr>
              <w:spacing w:before="24" w:after="0" w:line="240" w:lineRule="auto"/>
              <w:jc w:val="right"/>
              <w:rPr>
                <w:rFonts w:ascii="Arial" w:hAnsi="Arial" w:cs="Arial"/>
                <w:b/>
                <w:bCs/>
                <w:sz w:val="16"/>
                <w:szCs w:val="16"/>
              </w:rPr>
            </w:pPr>
            <w:r w:rsidRPr="00565156">
              <w:rPr>
                <w:rFonts w:ascii="Arial" w:hAnsi="Arial" w:cs="Arial"/>
                <w:b/>
                <w:bCs/>
                <w:sz w:val="16"/>
                <w:szCs w:val="16"/>
              </w:rPr>
              <w:t>Reduced</w:t>
            </w:r>
            <w:r w:rsidRPr="00565156">
              <w:rPr>
                <w:rFonts w:ascii="Arial" w:hAnsi="Arial" w:cs="Arial"/>
                <w:b/>
                <w:bCs/>
                <w:sz w:val="16"/>
                <w:szCs w:val="16"/>
              </w:rPr>
              <w:br/>
              <w:t>Estimates</w:t>
            </w:r>
            <w:r w:rsidRPr="00565156">
              <w:rPr>
                <w:rFonts w:ascii="Arial" w:hAnsi="Arial" w:cs="Arial"/>
                <w:b/>
                <w:bCs/>
                <w:sz w:val="16"/>
                <w:szCs w:val="16"/>
              </w:rPr>
              <w:br/>
            </w:r>
            <w:r w:rsidRPr="00565156">
              <w:rPr>
                <w:rFonts w:ascii="Arial" w:hAnsi="Arial" w:cs="Arial"/>
                <w:sz w:val="16"/>
                <w:szCs w:val="16"/>
              </w:rPr>
              <w:t>$'000</w:t>
            </w:r>
          </w:p>
        </w:tc>
      </w:tr>
      <w:tr w:rsidR="00565156" w:rsidRPr="00565156" w14:paraId="689D35CB" w14:textId="77777777" w:rsidTr="00F11F72">
        <w:trPr>
          <w:trHeight w:val="283"/>
          <w:jc w:val="center"/>
        </w:trPr>
        <w:tc>
          <w:tcPr>
            <w:tcW w:w="2753" w:type="dxa"/>
            <w:tcBorders>
              <w:top w:val="nil"/>
              <w:left w:val="nil"/>
              <w:bottom w:val="nil"/>
              <w:right w:val="nil"/>
            </w:tcBorders>
            <w:shd w:val="clear" w:color="auto" w:fill="auto"/>
            <w:noWrap/>
            <w:vAlign w:val="bottom"/>
            <w:hideMark/>
          </w:tcPr>
          <w:p w14:paraId="2FD994F3" w14:textId="77777777" w:rsidR="00565156" w:rsidRPr="00565156" w:rsidRDefault="00565156" w:rsidP="00565156">
            <w:pPr>
              <w:spacing w:before="0" w:after="0" w:line="240" w:lineRule="auto"/>
              <w:rPr>
                <w:rFonts w:ascii="Arial" w:hAnsi="Arial" w:cs="Arial"/>
                <w:b/>
                <w:bCs/>
                <w:sz w:val="20"/>
              </w:rPr>
            </w:pPr>
            <w:r w:rsidRPr="00565156">
              <w:rPr>
                <w:rFonts w:ascii="Arial" w:hAnsi="Arial" w:cs="Arial"/>
                <w:b/>
                <w:bCs/>
                <w:sz w:val="20"/>
              </w:rPr>
              <w:t>Administered</w:t>
            </w:r>
          </w:p>
        </w:tc>
        <w:tc>
          <w:tcPr>
            <w:tcW w:w="974" w:type="dxa"/>
            <w:tcBorders>
              <w:top w:val="nil"/>
              <w:left w:val="nil"/>
              <w:bottom w:val="nil"/>
              <w:right w:val="nil"/>
            </w:tcBorders>
            <w:shd w:val="clear" w:color="auto" w:fill="auto"/>
            <w:noWrap/>
            <w:vAlign w:val="bottom"/>
            <w:hideMark/>
          </w:tcPr>
          <w:p w14:paraId="4933F5AF" w14:textId="77777777" w:rsidR="00565156" w:rsidRPr="00565156" w:rsidRDefault="00565156" w:rsidP="00565156">
            <w:pPr>
              <w:spacing w:before="0" w:after="0" w:line="240" w:lineRule="auto"/>
              <w:rPr>
                <w:rFonts w:ascii="Arial" w:hAnsi="Arial" w:cs="Arial"/>
                <w:b/>
                <w:bCs/>
                <w:sz w:val="20"/>
              </w:rPr>
            </w:pPr>
          </w:p>
        </w:tc>
        <w:tc>
          <w:tcPr>
            <w:tcW w:w="1010" w:type="dxa"/>
            <w:tcBorders>
              <w:top w:val="nil"/>
              <w:left w:val="nil"/>
              <w:bottom w:val="nil"/>
              <w:right w:val="nil"/>
            </w:tcBorders>
            <w:shd w:val="clear" w:color="auto" w:fill="auto"/>
            <w:noWrap/>
            <w:vAlign w:val="bottom"/>
            <w:hideMark/>
          </w:tcPr>
          <w:p w14:paraId="69651862"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66655153"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57EDC24E"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57440C6A"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1F2BA919"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72258D2D"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1</w:t>
            </w:r>
          </w:p>
        </w:tc>
        <w:tc>
          <w:tcPr>
            <w:tcW w:w="974" w:type="dxa"/>
            <w:tcBorders>
              <w:top w:val="nil"/>
              <w:left w:val="nil"/>
              <w:bottom w:val="nil"/>
              <w:right w:val="nil"/>
            </w:tcBorders>
            <w:shd w:val="clear" w:color="auto" w:fill="auto"/>
            <w:noWrap/>
            <w:vAlign w:val="bottom"/>
            <w:hideMark/>
          </w:tcPr>
          <w:p w14:paraId="25A5EEC9" w14:textId="77777777" w:rsidR="00565156" w:rsidRPr="00565156" w:rsidRDefault="00565156" w:rsidP="00565156">
            <w:pPr>
              <w:spacing w:before="0" w:after="0" w:line="240" w:lineRule="auto"/>
              <w:rPr>
                <w:rFonts w:ascii="Arial" w:hAnsi="Arial" w:cs="Arial"/>
                <w:b/>
                <w:bCs/>
                <w:sz w:val="16"/>
                <w:szCs w:val="16"/>
              </w:rPr>
            </w:pPr>
          </w:p>
        </w:tc>
        <w:tc>
          <w:tcPr>
            <w:tcW w:w="1010" w:type="dxa"/>
            <w:tcBorders>
              <w:top w:val="nil"/>
              <w:left w:val="nil"/>
              <w:bottom w:val="nil"/>
              <w:right w:val="nil"/>
            </w:tcBorders>
            <w:shd w:val="clear" w:color="auto" w:fill="auto"/>
            <w:noWrap/>
            <w:vAlign w:val="bottom"/>
            <w:hideMark/>
          </w:tcPr>
          <w:p w14:paraId="69C65D2C"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79F15E1D"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3BB4656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12A3561F"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55885C38" w14:textId="77777777" w:rsidTr="000A3424">
        <w:trPr>
          <w:trHeight w:val="225"/>
          <w:jc w:val="center"/>
        </w:trPr>
        <w:tc>
          <w:tcPr>
            <w:tcW w:w="2753" w:type="dxa"/>
            <w:tcBorders>
              <w:top w:val="nil"/>
              <w:left w:val="nil"/>
              <w:bottom w:val="nil"/>
              <w:right w:val="nil"/>
            </w:tcBorders>
            <w:shd w:val="clear" w:color="auto" w:fill="auto"/>
            <w:vAlign w:val="bottom"/>
            <w:hideMark/>
          </w:tcPr>
          <w:p w14:paraId="6902E2A5"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 xml:space="preserve">Health Policy, </w:t>
            </w:r>
            <w:proofErr w:type="gramStart"/>
            <w:r w:rsidRPr="00565156">
              <w:rPr>
                <w:rFonts w:ascii="Arial" w:hAnsi="Arial" w:cs="Arial"/>
                <w:sz w:val="16"/>
                <w:szCs w:val="16"/>
              </w:rPr>
              <w:t>Access</w:t>
            </w:r>
            <w:proofErr w:type="gramEnd"/>
            <w:r w:rsidRPr="00565156">
              <w:rPr>
                <w:rFonts w:ascii="Arial" w:hAnsi="Arial" w:cs="Arial"/>
                <w:sz w:val="16"/>
                <w:szCs w:val="16"/>
              </w:rPr>
              <w:t xml:space="preserve"> and Support</w:t>
            </w:r>
          </w:p>
        </w:tc>
        <w:tc>
          <w:tcPr>
            <w:tcW w:w="974" w:type="dxa"/>
            <w:tcBorders>
              <w:top w:val="nil"/>
              <w:left w:val="nil"/>
              <w:bottom w:val="nil"/>
              <w:right w:val="nil"/>
            </w:tcBorders>
            <w:shd w:val="clear" w:color="000000" w:fill="FFFFFF"/>
            <w:noWrap/>
            <w:tcMar>
              <w:left w:w="0" w:type="dxa"/>
            </w:tcMar>
            <w:vAlign w:val="bottom"/>
            <w:hideMark/>
          </w:tcPr>
          <w:p w14:paraId="2EBDC77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11,039,573 </w:t>
            </w:r>
          </w:p>
        </w:tc>
        <w:tc>
          <w:tcPr>
            <w:tcW w:w="1010" w:type="dxa"/>
            <w:tcBorders>
              <w:top w:val="nil"/>
              <w:left w:val="nil"/>
              <w:bottom w:val="nil"/>
              <w:right w:val="nil"/>
            </w:tcBorders>
            <w:shd w:val="clear" w:color="000000" w:fill="FFFFFF"/>
            <w:noWrap/>
            <w:vAlign w:val="bottom"/>
            <w:hideMark/>
          </w:tcPr>
          <w:p w14:paraId="419A96F8"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7,856,270 </w:t>
            </w:r>
          </w:p>
        </w:tc>
        <w:tc>
          <w:tcPr>
            <w:tcW w:w="1010" w:type="dxa"/>
            <w:tcBorders>
              <w:top w:val="nil"/>
              <w:left w:val="nil"/>
              <w:bottom w:val="nil"/>
              <w:right w:val="nil"/>
            </w:tcBorders>
            <w:shd w:val="clear" w:color="000000" w:fill="FFFFFF"/>
            <w:noWrap/>
            <w:vAlign w:val="bottom"/>
            <w:hideMark/>
          </w:tcPr>
          <w:p w14:paraId="629E876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8,197,650 </w:t>
            </w:r>
          </w:p>
        </w:tc>
        <w:tc>
          <w:tcPr>
            <w:tcW w:w="992" w:type="dxa"/>
            <w:tcBorders>
              <w:top w:val="nil"/>
              <w:left w:val="nil"/>
              <w:bottom w:val="nil"/>
              <w:right w:val="nil"/>
            </w:tcBorders>
            <w:shd w:val="clear" w:color="000000" w:fill="D9D9D9"/>
            <w:noWrap/>
            <w:vAlign w:val="bottom"/>
            <w:hideMark/>
          </w:tcPr>
          <w:p w14:paraId="76BD560D"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341,380 </w:t>
            </w:r>
          </w:p>
        </w:tc>
        <w:tc>
          <w:tcPr>
            <w:tcW w:w="972" w:type="dxa"/>
            <w:tcBorders>
              <w:top w:val="nil"/>
              <w:left w:val="nil"/>
              <w:bottom w:val="nil"/>
              <w:right w:val="nil"/>
            </w:tcBorders>
            <w:shd w:val="clear" w:color="auto" w:fill="auto"/>
            <w:noWrap/>
            <w:vAlign w:val="bottom"/>
            <w:hideMark/>
          </w:tcPr>
          <w:p w14:paraId="589B368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0E490588"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6B46B57F"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2</w:t>
            </w:r>
          </w:p>
        </w:tc>
        <w:tc>
          <w:tcPr>
            <w:tcW w:w="974" w:type="dxa"/>
            <w:tcBorders>
              <w:top w:val="nil"/>
              <w:left w:val="nil"/>
              <w:bottom w:val="nil"/>
              <w:right w:val="nil"/>
            </w:tcBorders>
            <w:shd w:val="clear" w:color="000000" w:fill="FFFFFF"/>
            <w:noWrap/>
            <w:vAlign w:val="bottom"/>
            <w:hideMark/>
          </w:tcPr>
          <w:p w14:paraId="12ADAB39"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2B8E5458"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0E467503"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92" w:type="dxa"/>
            <w:tcBorders>
              <w:top w:val="nil"/>
              <w:left w:val="nil"/>
              <w:bottom w:val="nil"/>
              <w:right w:val="nil"/>
            </w:tcBorders>
            <w:shd w:val="clear" w:color="000000" w:fill="D9D9D9"/>
            <w:noWrap/>
            <w:vAlign w:val="bottom"/>
            <w:hideMark/>
          </w:tcPr>
          <w:p w14:paraId="40039AAE"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6551CD97"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2CB2DCB5"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2265E68F"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Individual Health Benefits</w:t>
            </w:r>
          </w:p>
        </w:tc>
        <w:tc>
          <w:tcPr>
            <w:tcW w:w="974" w:type="dxa"/>
            <w:tcBorders>
              <w:top w:val="nil"/>
              <w:left w:val="nil"/>
              <w:bottom w:val="nil"/>
              <w:right w:val="nil"/>
            </w:tcBorders>
            <w:shd w:val="clear" w:color="000000" w:fill="FFFFFF"/>
            <w:noWrap/>
            <w:vAlign w:val="bottom"/>
            <w:hideMark/>
          </w:tcPr>
          <w:p w14:paraId="3A4ABF9C"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1,821,084 </w:t>
            </w:r>
          </w:p>
        </w:tc>
        <w:tc>
          <w:tcPr>
            <w:tcW w:w="1010" w:type="dxa"/>
            <w:tcBorders>
              <w:top w:val="nil"/>
              <w:left w:val="nil"/>
              <w:bottom w:val="nil"/>
              <w:right w:val="nil"/>
            </w:tcBorders>
            <w:shd w:val="clear" w:color="000000" w:fill="FFFFFF"/>
            <w:noWrap/>
            <w:vAlign w:val="bottom"/>
            <w:hideMark/>
          </w:tcPr>
          <w:p w14:paraId="60A59E55"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1,720,973 </w:t>
            </w:r>
          </w:p>
        </w:tc>
        <w:tc>
          <w:tcPr>
            <w:tcW w:w="1010" w:type="dxa"/>
            <w:tcBorders>
              <w:top w:val="nil"/>
              <w:left w:val="nil"/>
              <w:bottom w:val="nil"/>
              <w:right w:val="nil"/>
            </w:tcBorders>
            <w:shd w:val="clear" w:color="000000" w:fill="FFFFFF"/>
            <w:noWrap/>
            <w:vAlign w:val="bottom"/>
            <w:hideMark/>
          </w:tcPr>
          <w:p w14:paraId="4CB81AD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1,834,961 </w:t>
            </w:r>
          </w:p>
        </w:tc>
        <w:tc>
          <w:tcPr>
            <w:tcW w:w="992" w:type="dxa"/>
            <w:tcBorders>
              <w:top w:val="nil"/>
              <w:left w:val="nil"/>
              <w:bottom w:val="nil"/>
              <w:right w:val="nil"/>
            </w:tcBorders>
            <w:shd w:val="clear" w:color="000000" w:fill="D9D9D9"/>
            <w:noWrap/>
            <w:vAlign w:val="bottom"/>
            <w:hideMark/>
          </w:tcPr>
          <w:p w14:paraId="4DEA7C8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113,988 </w:t>
            </w:r>
          </w:p>
        </w:tc>
        <w:tc>
          <w:tcPr>
            <w:tcW w:w="972" w:type="dxa"/>
            <w:tcBorders>
              <w:top w:val="nil"/>
              <w:left w:val="nil"/>
              <w:bottom w:val="nil"/>
              <w:right w:val="nil"/>
            </w:tcBorders>
            <w:shd w:val="clear" w:color="auto" w:fill="auto"/>
            <w:noWrap/>
            <w:vAlign w:val="bottom"/>
            <w:hideMark/>
          </w:tcPr>
          <w:p w14:paraId="37B81964"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1CDE5EC7"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64C9DB40"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3</w:t>
            </w:r>
          </w:p>
        </w:tc>
        <w:tc>
          <w:tcPr>
            <w:tcW w:w="974" w:type="dxa"/>
            <w:tcBorders>
              <w:top w:val="nil"/>
              <w:left w:val="nil"/>
              <w:bottom w:val="nil"/>
              <w:right w:val="nil"/>
            </w:tcBorders>
            <w:shd w:val="clear" w:color="000000" w:fill="FFFFFF"/>
            <w:noWrap/>
            <w:vAlign w:val="bottom"/>
            <w:hideMark/>
          </w:tcPr>
          <w:p w14:paraId="2EED1BBD"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594DF44E"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1EA23B9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92" w:type="dxa"/>
            <w:tcBorders>
              <w:top w:val="nil"/>
              <w:left w:val="nil"/>
              <w:bottom w:val="nil"/>
              <w:right w:val="nil"/>
            </w:tcBorders>
            <w:shd w:val="clear" w:color="000000" w:fill="D9D9D9"/>
            <w:noWrap/>
            <w:vAlign w:val="bottom"/>
            <w:hideMark/>
          </w:tcPr>
          <w:p w14:paraId="50D4CEDF"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0F1111A3"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5D9C2E64"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19E6B37D"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Ageing and Aged Care</w:t>
            </w:r>
          </w:p>
        </w:tc>
        <w:tc>
          <w:tcPr>
            <w:tcW w:w="974" w:type="dxa"/>
            <w:tcBorders>
              <w:top w:val="nil"/>
              <w:left w:val="nil"/>
              <w:bottom w:val="nil"/>
              <w:right w:val="nil"/>
            </w:tcBorders>
            <w:shd w:val="clear" w:color="000000" w:fill="FFFFFF"/>
            <w:noWrap/>
            <w:vAlign w:val="bottom"/>
            <w:hideMark/>
          </w:tcPr>
          <w:p w14:paraId="428088E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6,444,091 </w:t>
            </w:r>
          </w:p>
        </w:tc>
        <w:tc>
          <w:tcPr>
            <w:tcW w:w="1010" w:type="dxa"/>
            <w:tcBorders>
              <w:top w:val="nil"/>
              <w:left w:val="nil"/>
              <w:bottom w:val="nil"/>
              <w:right w:val="nil"/>
            </w:tcBorders>
            <w:shd w:val="clear" w:color="000000" w:fill="FFFFFF"/>
            <w:noWrap/>
            <w:vAlign w:val="bottom"/>
            <w:hideMark/>
          </w:tcPr>
          <w:p w14:paraId="58117649"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6,285,028 </w:t>
            </w:r>
          </w:p>
        </w:tc>
        <w:tc>
          <w:tcPr>
            <w:tcW w:w="1010" w:type="dxa"/>
            <w:tcBorders>
              <w:top w:val="nil"/>
              <w:left w:val="nil"/>
              <w:bottom w:val="nil"/>
              <w:right w:val="nil"/>
            </w:tcBorders>
            <w:shd w:val="clear" w:color="000000" w:fill="FFFFFF"/>
            <w:noWrap/>
            <w:vAlign w:val="bottom"/>
            <w:hideMark/>
          </w:tcPr>
          <w:p w14:paraId="30F3C355"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6,750,892 </w:t>
            </w:r>
          </w:p>
        </w:tc>
        <w:tc>
          <w:tcPr>
            <w:tcW w:w="992" w:type="dxa"/>
            <w:tcBorders>
              <w:top w:val="nil"/>
              <w:left w:val="nil"/>
              <w:bottom w:val="nil"/>
              <w:right w:val="nil"/>
            </w:tcBorders>
            <w:shd w:val="clear" w:color="000000" w:fill="D9D9D9"/>
            <w:noWrap/>
            <w:vAlign w:val="bottom"/>
            <w:hideMark/>
          </w:tcPr>
          <w:p w14:paraId="1299748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465,864 </w:t>
            </w:r>
          </w:p>
        </w:tc>
        <w:tc>
          <w:tcPr>
            <w:tcW w:w="972" w:type="dxa"/>
            <w:tcBorders>
              <w:top w:val="nil"/>
              <w:left w:val="nil"/>
              <w:bottom w:val="nil"/>
              <w:right w:val="nil"/>
            </w:tcBorders>
            <w:shd w:val="clear" w:color="auto" w:fill="auto"/>
            <w:noWrap/>
            <w:vAlign w:val="bottom"/>
            <w:hideMark/>
          </w:tcPr>
          <w:p w14:paraId="241891C0"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1437D6C9"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4BACA2A5"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4</w:t>
            </w:r>
          </w:p>
        </w:tc>
        <w:tc>
          <w:tcPr>
            <w:tcW w:w="974" w:type="dxa"/>
            <w:tcBorders>
              <w:top w:val="nil"/>
              <w:left w:val="nil"/>
              <w:bottom w:val="nil"/>
              <w:right w:val="nil"/>
            </w:tcBorders>
            <w:shd w:val="clear" w:color="000000" w:fill="FFFFFF"/>
            <w:noWrap/>
            <w:vAlign w:val="bottom"/>
            <w:hideMark/>
          </w:tcPr>
          <w:p w14:paraId="38E8787F"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496370D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1010" w:type="dxa"/>
            <w:tcBorders>
              <w:top w:val="nil"/>
              <w:left w:val="nil"/>
              <w:bottom w:val="nil"/>
              <w:right w:val="nil"/>
            </w:tcBorders>
            <w:shd w:val="clear" w:color="000000" w:fill="FFFFFF"/>
            <w:noWrap/>
            <w:vAlign w:val="bottom"/>
            <w:hideMark/>
          </w:tcPr>
          <w:p w14:paraId="06EC8D4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92" w:type="dxa"/>
            <w:tcBorders>
              <w:top w:val="nil"/>
              <w:left w:val="nil"/>
              <w:bottom w:val="nil"/>
              <w:right w:val="nil"/>
            </w:tcBorders>
            <w:shd w:val="clear" w:color="000000" w:fill="D9D9D9"/>
            <w:noWrap/>
            <w:vAlign w:val="bottom"/>
            <w:hideMark/>
          </w:tcPr>
          <w:p w14:paraId="3BF46D81"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2B19B4BF"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6F8621C6"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3D3796DD"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Sport and Recreation</w:t>
            </w:r>
          </w:p>
        </w:tc>
        <w:tc>
          <w:tcPr>
            <w:tcW w:w="974" w:type="dxa"/>
            <w:tcBorders>
              <w:top w:val="nil"/>
              <w:left w:val="nil"/>
              <w:bottom w:val="nil"/>
              <w:right w:val="nil"/>
            </w:tcBorders>
            <w:shd w:val="clear" w:color="000000" w:fill="FFFFFF"/>
            <w:noWrap/>
            <w:vAlign w:val="bottom"/>
            <w:hideMark/>
          </w:tcPr>
          <w:p w14:paraId="18A37ED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166,669 </w:t>
            </w:r>
          </w:p>
        </w:tc>
        <w:tc>
          <w:tcPr>
            <w:tcW w:w="1010" w:type="dxa"/>
            <w:tcBorders>
              <w:top w:val="nil"/>
              <w:left w:val="nil"/>
              <w:bottom w:val="nil"/>
              <w:right w:val="nil"/>
            </w:tcBorders>
            <w:shd w:val="clear" w:color="000000" w:fill="FFFFFF"/>
            <w:noWrap/>
            <w:vAlign w:val="bottom"/>
            <w:hideMark/>
          </w:tcPr>
          <w:p w14:paraId="5344EC4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41,706 </w:t>
            </w:r>
          </w:p>
        </w:tc>
        <w:tc>
          <w:tcPr>
            <w:tcW w:w="1010" w:type="dxa"/>
            <w:tcBorders>
              <w:top w:val="nil"/>
              <w:left w:val="nil"/>
              <w:bottom w:val="nil"/>
              <w:right w:val="nil"/>
            </w:tcBorders>
            <w:shd w:val="clear" w:color="000000" w:fill="FFFFFF"/>
            <w:noWrap/>
            <w:vAlign w:val="bottom"/>
            <w:hideMark/>
          </w:tcPr>
          <w:p w14:paraId="1629E75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98,448 </w:t>
            </w:r>
          </w:p>
        </w:tc>
        <w:tc>
          <w:tcPr>
            <w:tcW w:w="992" w:type="dxa"/>
            <w:tcBorders>
              <w:top w:val="nil"/>
              <w:left w:val="nil"/>
              <w:bottom w:val="nil"/>
              <w:right w:val="nil"/>
            </w:tcBorders>
            <w:shd w:val="clear" w:color="000000" w:fill="D9D9D9"/>
            <w:noWrap/>
            <w:vAlign w:val="bottom"/>
            <w:hideMark/>
          </w:tcPr>
          <w:p w14:paraId="609BE1BF"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56,742 </w:t>
            </w:r>
          </w:p>
        </w:tc>
        <w:tc>
          <w:tcPr>
            <w:tcW w:w="972" w:type="dxa"/>
            <w:tcBorders>
              <w:top w:val="nil"/>
              <w:left w:val="nil"/>
              <w:bottom w:val="nil"/>
              <w:right w:val="nil"/>
            </w:tcBorders>
            <w:shd w:val="clear" w:color="auto" w:fill="auto"/>
            <w:noWrap/>
            <w:vAlign w:val="bottom"/>
            <w:hideMark/>
          </w:tcPr>
          <w:p w14:paraId="573035A0"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56C6E36C"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07CAA34B"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 xml:space="preserve">Total administered </w:t>
            </w:r>
          </w:p>
        </w:tc>
        <w:tc>
          <w:tcPr>
            <w:tcW w:w="974" w:type="dxa"/>
            <w:tcBorders>
              <w:top w:val="single" w:sz="4" w:space="0" w:color="auto"/>
              <w:left w:val="nil"/>
              <w:bottom w:val="single" w:sz="4" w:space="0" w:color="auto"/>
              <w:right w:val="nil"/>
            </w:tcBorders>
            <w:shd w:val="clear" w:color="auto" w:fill="auto"/>
            <w:noWrap/>
            <w:tcMar>
              <w:left w:w="0" w:type="dxa"/>
            </w:tcMar>
            <w:vAlign w:val="bottom"/>
            <w:hideMark/>
          </w:tcPr>
          <w:p w14:paraId="03E71931"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19,471,417 </w:t>
            </w:r>
          </w:p>
        </w:tc>
        <w:tc>
          <w:tcPr>
            <w:tcW w:w="1010" w:type="dxa"/>
            <w:tcBorders>
              <w:top w:val="single" w:sz="4" w:space="0" w:color="auto"/>
              <w:left w:val="nil"/>
              <w:bottom w:val="single" w:sz="4" w:space="0" w:color="auto"/>
              <w:right w:val="nil"/>
            </w:tcBorders>
            <w:shd w:val="clear" w:color="auto" w:fill="auto"/>
            <w:noWrap/>
            <w:tcMar>
              <w:left w:w="0" w:type="dxa"/>
            </w:tcMar>
            <w:vAlign w:val="bottom"/>
            <w:hideMark/>
          </w:tcPr>
          <w:p w14:paraId="53BE0EF8"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15,903,977 </w:t>
            </w:r>
          </w:p>
        </w:tc>
        <w:tc>
          <w:tcPr>
            <w:tcW w:w="1010" w:type="dxa"/>
            <w:tcBorders>
              <w:top w:val="single" w:sz="4" w:space="0" w:color="auto"/>
              <w:left w:val="nil"/>
              <w:bottom w:val="single" w:sz="4" w:space="0" w:color="auto"/>
              <w:right w:val="nil"/>
            </w:tcBorders>
            <w:shd w:val="clear" w:color="auto" w:fill="auto"/>
            <w:noWrap/>
            <w:tcMar>
              <w:left w:w="0" w:type="dxa"/>
            </w:tcMar>
            <w:vAlign w:val="bottom"/>
            <w:hideMark/>
          </w:tcPr>
          <w:p w14:paraId="3D511357"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16,881,951 </w:t>
            </w:r>
          </w:p>
        </w:tc>
        <w:tc>
          <w:tcPr>
            <w:tcW w:w="992" w:type="dxa"/>
            <w:tcBorders>
              <w:top w:val="single" w:sz="4" w:space="0" w:color="auto"/>
              <w:left w:val="nil"/>
              <w:bottom w:val="single" w:sz="4" w:space="0" w:color="auto"/>
              <w:right w:val="nil"/>
            </w:tcBorders>
            <w:shd w:val="clear" w:color="000000" w:fill="D9D9D9"/>
            <w:noWrap/>
            <w:vAlign w:val="bottom"/>
            <w:hideMark/>
          </w:tcPr>
          <w:p w14:paraId="6A5FC2E0"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977,974 </w:t>
            </w:r>
          </w:p>
        </w:tc>
        <w:tc>
          <w:tcPr>
            <w:tcW w:w="972" w:type="dxa"/>
            <w:tcBorders>
              <w:top w:val="single" w:sz="4" w:space="0" w:color="auto"/>
              <w:left w:val="nil"/>
              <w:bottom w:val="single" w:sz="4" w:space="0" w:color="auto"/>
              <w:right w:val="nil"/>
            </w:tcBorders>
            <w:shd w:val="clear" w:color="auto" w:fill="auto"/>
            <w:noWrap/>
            <w:vAlign w:val="bottom"/>
            <w:hideMark/>
          </w:tcPr>
          <w:p w14:paraId="76C3F625"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 </w:t>
            </w:r>
          </w:p>
        </w:tc>
      </w:tr>
      <w:tr w:rsidR="00565156" w:rsidRPr="00565156" w14:paraId="43C63253" w14:textId="77777777" w:rsidTr="00F11F72">
        <w:trPr>
          <w:trHeight w:val="283"/>
          <w:jc w:val="center"/>
        </w:trPr>
        <w:tc>
          <w:tcPr>
            <w:tcW w:w="2753" w:type="dxa"/>
            <w:tcBorders>
              <w:top w:val="nil"/>
              <w:left w:val="nil"/>
              <w:bottom w:val="nil"/>
              <w:right w:val="nil"/>
            </w:tcBorders>
            <w:shd w:val="clear" w:color="auto" w:fill="auto"/>
            <w:noWrap/>
            <w:vAlign w:val="bottom"/>
            <w:hideMark/>
          </w:tcPr>
          <w:p w14:paraId="270F9B59" w14:textId="77777777" w:rsidR="00565156" w:rsidRPr="00565156" w:rsidRDefault="00565156" w:rsidP="00565156">
            <w:pPr>
              <w:spacing w:before="0" w:after="0" w:line="240" w:lineRule="auto"/>
              <w:rPr>
                <w:rFonts w:ascii="Arial" w:hAnsi="Arial" w:cs="Arial"/>
                <w:b/>
                <w:bCs/>
                <w:sz w:val="20"/>
              </w:rPr>
            </w:pPr>
            <w:r w:rsidRPr="00565156">
              <w:rPr>
                <w:rFonts w:ascii="Arial" w:hAnsi="Arial" w:cs="Arial"/>
                <w:b/>
                <w:bCs/>
                <w:sz w:val="20"/>
              </w:rPr>
              <w:t xml:space="preserve">Departmental </w:t>
            </w:r>
          </w:p>
        </w:tc>
        <w:tc>
          <w:tcPr>
            <w:tcW w:w="974" w:type="dxa"/>
            <w:tcBorders>
              <w:top w:val="nil"/>
              <w:left w:val="nil"/>
              <w:bottom w:val="nil"/>
              <w:right w:val="nil"/>
            </w:tcBorders>
            <w:shd w:val="clear" w:color="auto" w:fill="auto"/>
            <w:noWrap/>
            <w:vAlign w:val="bottom"/>
            <w:hideMark/>
          </w:tcPr>
          <w:p w14:paraId="1CC77B81" w14:textId="77777777" w:rsidR="00565156" w:rsidRPr="00565156" w:rsidRDefault="00565156" w:rsidP="00565156">
            <w:pPr>
              <w:spacing w:before="0" w:after="0" w:line="240" w:lineRule="auto"/>
              <w:rPr>
                <w:rFonts w:ascii="Arial" w:hAnsi="Arial" w:cs="Arial"/>
                <w:b/>
                <w:bCs/>
                <w:sz w:val="20"/>
              </w:rPr>
            </w:pPr>
          </w:p>
        </w:tc>
        <w:tc>
          <w:tcPr>
            <w:tcW w:w="1010" w:type="dxa"/>
            <w:tcBorders>
              <w:top w:val="nil"/>
              <w:left w:val="nil"/>
              <w:bottom w:val="nil"/>
              <w:right w:val="nil"/>
            </w:tcBorders>
            <w:shd w:val="clear" w:color="auto" w:fill="auto"/>
            <w:noWrap/>
            <w:vAlign w:val="bottom"/>
            <w:hideMark/>
          </w:tcPr>
          <w:p w14:paraId="2BD9B2FF"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59B49DC7"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0115BD8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3A149C8A"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0CCD231B"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25857771"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1</w:t>
            </w:r>
          </w:p>
        </w:tc>
        <w:tc>
          <w:tcPr>
            <w:tcW w:w="974" w:type="dxa"/>
            <w:tcBorders>
              <w:top w:val="nil"/>
              <w:left w:val="nil"/>
              <w:bottom w:val="nil"/>
              <w:right w:val="nil"/>
            </w:tcBorders>
            <w:shd w:val="clear" w:color="auto" w:fill="auto"/>
            <w:noWrap/>
            <w:vAlign w:val="bottom"/>
            <w:hideMark/>
          </w:tcPr>
          <w:p w14:paraId="0C43E300" w14:textId="77777777" w:rsidR="00565156" w:rsidRPr="00565156" w:rsidRDefault="00565156" w:rsidP="00565156">
            <w:pPr>
              <w:spacing w:before="0" w:after="0" w:line="240" w:lineRule="auto"/>
              <w:rPr>
                <w:rFonts w:ascii="Arial" w:hAnsi="Arial" w:cs="Arial"/>
                <w:b/>
                <w:bCs/>
                <w:sz w:val="16"/>
                <w:szCs w:val="16"/>
              </w:rPr>
            </w:pPr>
          </w:p>
        </w:tc>
        <w:tc>
          <w:tcPr>
            <w:tcW w:w="1010" w:type="dxa"/>
            <w:tcBorders>
              <w:top w:val="nil"/>
              <w:left w:val="nil"/>
              <w:bottom w:val="nil"/>
              <w:right w:val="nil"/>
            </w:tcBorders>
            <w:shd w:val="clear" w:color="auto" w:fill="auto"/>
            <w:noWrap/>
            <w:vAlign w:val="bottom"/>
            <w:hideMark/>
          </w:tcPr>
          <w:p w14:paraId="23682C47"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6E7758E3"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7399E609"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721AE4EC"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0E23577A" w14:textId="77777777" w:rsidTr="000A3424">
        <w:trPr>
          <w:trHeight w:val="225"/>
          <w:jc w:val="center"/>
        </w:trPr>
        <w:tc>
          <w:tcPr>
            <w:tcW w:w="2753" w:type="dxa"/>
            <w:tcBorders>
              <w:top w:val="nil"/>
              <w:left w:val="nil"/>
              <w:bottom w:val="nil"/>
              <w:right w:val="nil"/>
            </w:tcBorders>
            <w:shd w:val="clear" w:color="auto" w:fill="auto"/>
            <w:vAlign w:val="bottom"/>
            <w:hideMark/>
          </w:tcPr>
          <w:p w14:paraId="34C86F8B"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 xml:space="preserve">Health Policy, </w:t>
            </w:r>
            <w:proofErr w:type="gramStart"/>
            <w:r w:rsidRPr="00565156">
              <w:rPr>
                <w:rFonts w:ascii="Arial" w:hAnsi="Arial" w:cs="Arial"/>
                <w:sz w:val="16"/>
                <w:szCs w:val="16"/>
              </w:rPr>
              <w:t>Access</w:t>
            </w:r>
            <w:proofErr w:type="gramEnd"/>
            <w:r w:rsidRPr="00565156">
              <w:rPr>
                <w:rFonts w:ascii="Arial" w:hAnsi="Arial" w:cs="Arial"/>
                <w:sz w:val="16"/>
                <w:szCs w:val="16"/>
              </w:rPr>
              <w:t xml:space="preserve"> and Support</w:t>
            </w:r>
          </w:p>
        </w:tc>
        <w:tc>
          <w:tcPr>
            <w:tcW w:w="974" w:type="dxa"/>
            <w:tcBorders>
              <w:top w:val="nil"/>
              <w:left w:val="nil"/>
              <w:bottom w:val="nil"/>
              <w:right w:val="nil"/>
            </w:tcBorders>
            <w:shd w:val="clear" w:color="auto" w:fill="auto"/>
            <w:noWrap/>
            <w:vAlign w:val="bottom"/>
            <w:hideMark/>
          </w:tcPr>
          <w:p w14:paraId="086BEBD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538,015 </w:t>
            </w:r>
          </w:p>
        </w:tc>
        <w:tc>
          <w:tcPr>
            <w:tcW w:w="1010" w:type="dxa"/>
            <w:tcBorders>
              <w:top w:val="nil"/>
              <w:left w:val="nil"/>
              <w:bottom w:val="nil"/>
              <w:right w:val="nil"/>
            </w:tcBorders>
            <w:shd w:val="clear" w:color="auto" w:fill="auto"/>
            <w:noWrap/>
            <w:vAlign w:val="bottom"/>
            <w:hideMark/>
          </w:tcPr>
          <w:p w14:paraId="2F431708"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485,177 </w:t>
            </w:r>
          </w:p>
        </w:tc>
        <w:tc>
          <w:tcPr>
            <w:tcW w:w="1010" w:type="dxa"/>
            <w:tcBorders>
              <w:top w:val="nil"/>
              <w:left w:val="nil"/>
              <w:bottom w:val="nil"/>
              <w:right w:val="nil"/>
            </w:tcBorders>
            <w:shd w:val="clear" w:color="auto" w:fill="auto"/>
            <w:noWrap/>
            <w:vAlign w:val="bottom"/>
            <w:hideMark/>
          </w:tcPr>
          <w:p w14:paraId="3BD760C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547,775 </w:t>
            </w:r>
          </w:p>
        </w:tc>
        <w:tc>
          <w:tcPr>
            <w:tcW w:w="992" w:type="dxa"/>
            <w:tcBorders>
              <w:top w:val="nil"/>
              <w:left w:val="nil"/>
              <w:bottom w:val="nil"/>
              <w:right w:val="nil"/>
            </w:tcBorders>
            <w:shd w:val="clear" w:color="000000" w:fill="D9D9D9"/>
            <w:noWrap/>
            <w:vAlign w:val="bottom"/>
            <w:hideMark/>
          </w:tcPr>
          <w:p w14:paraId="50A8881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62,598 </w:t>
            </w:r>
          </w:p>
        </w:tc>
        <w:tc>
          <w:tcPr>
            <w:tcW w:w="972" w:type="dxa"/>
            <w:tcBorders>
              <w:top w:val="nil"/>
              <w:left w:val="nil"/>
              <w:bottom w:val="nil"/>
              <w:right w:val="nil"/>
            </w:tcBorders>
            <w:shd w:val="clear" w:color="auto" w:fill="auto"/>
            <w:noWrap/>
            <w:vAlign w:val="bottom"/>
            <w:hideMark/>
          </w:tcPr>
          <w:p w14:paraId="6C798D01"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4C911E5E"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7CDF9D63"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2</w:t>
            </w:r>
          </w:p>
        </w:tc>
        <w:tc>
          <w:tcPr>
            <w:tcW w:w="974" w:type="dxa"/>
            <w:tcBorders>
              <w:top w:val="nil"/>
              <w:left w:val="nil"/>
              <w:bottom w:val="nil"/>
              <w:right w:val="nil"/>
            </w:tcBorders>
            <w:shd w:val="clear" w:color="auto" w:fill="auto"/>
            <w:noWrap/>
            <w:vAlign w:val="bottom"/>
            <w:hideMark/>
          </w:tcPr>
          <w:p w14:paraId="29A5D667" w14:textId="77777777" w:rsidR="00565156" w:rsidRPr="00565156" w:rsidRDefault="00565156" w:rsidP="00565156">
            <w:pPr>
              <w:spacing w:before="0" w:after="0" w:line="240" w:lineRule="auto"/>
              <w:rPr>
                <w:rFonts w:ascii="Arial" w:hAnsi="Arial" w:cs="Arial"/>
                <w:b/>
                <w:bCs/>
                <w:sz w:val="16"/>
                <w:szCs w:val="16"/>
              </w:rPr>
            </w:pPr>
          </w:p>
        </w:tc>
        <w:tc>
          <w:tcPr>
            <w:tcW w:w="1010" w:type="dxa"/>
            <w:tcBorders>
              <w:top w:val="nil"/>
              <w:left w:val="nil"/>
              <w:bottom w:val="nil"/>
              <w:right w:val="nil"/>
            </w:tcBorders>
            <w:shd w:val="clear" w:color="auto" w:fill="auto"/>
            <w:noWrap/>
            <w:vAlign w:val="bottom"/>
            <w:hideMark/>
          </w:tcPr>
          <w:p w14:paraId="5A1EF593"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70BFDF2B"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0BE15B80"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5F80001C"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444D438D"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7646E113"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Individual Health Benefits</w:t>
            </w:r>
          </w:p>
        </w:tc>
        <w:tc>
          <w:tcPr>
            <w:tcW w:w="974" w:type="dxa"/>
            <w:tcBorders>
              <w:top w:val="nil"/>
              <w:left w:val="nil"/>
              <w:bottom w:val="nil"/>
              <w:right w:val="nil"/>
            </w:tcBorders>
            <w:shd w:val="clear" w:color="auto" w:fill="auto"/>
            <w:noWrap/>
            <w:vAlign w:val="bottom"/>
            <w:hideMark/>
          </w:tcPr>
          <w:p w14:paraId="1835897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151,242 </w:t>
            </w:r>
          </w:p>
        </w:tc>
        <w:tc>
          <w:tcPr>
            <w:tcW w:w="1010" w:type="dxa"/>
            <w:tcBorders>
              <w:top w:val="nil"/>
              <w:left w:val="nil"/>
              <w:bottom w:val="nil"/>
              <w:right w:val="nil"/>
            </w:tcBorders>
            <w:shd w:val="clear" w:color="auto" w:fill="auto"/>
            <w:noWrap/>
            <w:vAlign w:val="bottom"/>
            <w:hideMark/>
          </w:tcPr>
          <w:p w14:paraId="58E6917C"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220,018 </w:t>
            </w:r>
          </w:p>
        </w:tc>
        <w:tc>
          <w:tcPr>
            <w:tcW w:w="1010" w:type="dxa"/>
            <w:tcBorders>
              <w:top w:val="nil"/>
              <w:left w:val="nil"/>
              <w:bottom w:val="nil"/>
              <w:right w:val="nil"/>
            </w:tcBorders>
            <w:shd w:val="clear" w:color="auto" w:fill="auto"/>
            <w:noWrap/>
            <w:vAlign w:val="bottom"/>
            <w:hideMark/>
          </w:tcPr>
          <w:p w14:paraId="20682F4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220,446 </w:t>
            </w:r>
          </w:p>
        </w:tc>
        <w:tc>
          <w:tcPr>
            <w:tcW w:w="992" w:type="dxa"/>
            <w:tcBorders>
              <w:top w:val="nil"/>
              <w:left w:val="nil"/>
              <w:bottom w:val="nil"/>
              <w:right w:val="nil"/>
            </w:tcBorders>
            <w:shd w:val="clear" w:color="000000" w:fill="D9D9D9"/>
            <w:noWrap/>
            <w:vAlign w:val="bottom"/>
            <w:hideMark/>
          </w:tcPr>
          <w:p w14:paraId="57EB23A4"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428 </w:t>
            </w:r>
          </w:p>
        </w:tc>
        <w:tc>
          <w:tcPr>
            <w:tcW w:w="972" w:type="dxa"/>
            <w:tcBorders>
              <w:top w:val="nil"/>
              <w:left w:val="nil"/>
              <w:bottom w:val="nil"/>
              <w:right w:val="nil"/>
            </w:tcBorders>
            <w:shd w:val="clear" w:color="auto" w:fill="auto"/>
            <w:noWrap/>
            <w:vAlign w:val="bottom"/>
            <w:hideMark/>
          </w:tcPr>
          <w:p w14:paraId="72C32AC9"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719F00B0"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63254CAA"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3</w:t>
            </w:r>
          </w:p>
        </w:tc>
        <w:tc>
          <w:tcPr>
            <w:tcW w:w="974" w:type="dxa"/>
            <w:tcBorders>
              <w:top w:val="nil"/>
              <w:left w:val="nil"/>
              <w:bottom w:val="nil"/>
              <w:right w:val="nil"/>
            </w:tcBorders>
            <w:shd w:val="clear" w:color="auto" w:fill="auto"/>
            <w:noWrap/>
            <w:vAlign w:val="bottom"/>
            <w:hideMark/>
          </w:tcPr>
          <w:p w14:paraId="28FB0ACC" w14:textId="77777777" w:rsidR="00565156" w:rsidRPr="00565156" w:rsidRDefault="00565156" w:rsidP="00565156">
            <w:pPr>
              <w:spacing w:before="0" w:after="0" w:line="240" w:lineRule="auto"/>
              <w:rPr>
                <w:rFonts w:ascii="Arial" w:hAnsi="Arial" w:cs="Arial"/>
                <w:b/>
                <w:bCs/>
                <w:sz w:val="16"/>
                <w:szCs w:val="16"/>
              </w:rPr>
            </w:pPr>
          </w:p>
        </w:tc>
        <w:tc>
          <w:tcPr>
            <w:tcW w:w="1010" w:type="dxa"/>
            <w:tcBorders>
              <w:top w:val="nil"/>
              <w:left w:val="nil"/>
              <w:bottom w:val="nil"/>
              <w:right w:val="nil"/>
            </w:tcBorders>
            <w:shd w:val="clear" w:color="auto" w:fill="auto"/>
            <w:noWrap/>
            <w:vAlign w:val="bottom"/>
            <w:hideMark/>
          </w:tcPr>
          <w:p w14:paraId="41DA034F"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63BDC750"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02942B3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0949DC8F"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0F2861A9"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7BEA4D3F"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Ageing and Aged Care</w:t>
            </w:r>
          </w:p>
        </w:tc>
        <w:tc>
          <w:tcPr>
            <w:tcW w:w="974" w:type="dxa"/>
            <w:tcBorders>
              <w:top w:val="nil"/>
              <w:left w:val="nil"/>
              <w:bottom w:val="nil"/>
              <w:right w:val="nil"/>
            </w:tcBorders>
            <w:shd w:val="clear" w:color="auto" w:fill="auto"/>
            <w:noWrap/>
            <w:vAlign w:val="bottom"/>
            <w:hideMark/>
          </w:tcPr>
          <w:p w14:paraId="66A25B6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361,085 </w:t>
            </w:r>
          </w:p>
        </w:tc>
        <w:tc>
          <w:tcPr>
            <w:tcW w:w="1010" w:type="dxa"/>
            <w:tcBorders>
              <w:top w:val="nil"/>
              <w:left w:val="nil"/>
              <w:bottom w:val="nil"/>
              <w:right w:val="nil"/>
            </w:tcBorders>
            <w:shd w:val="clear" w:color="auto" w:fill="auto"/>
            <w:noWrap/>
            <w:vAlign w:val="bottom"/>
            <w:hideMark/>
          </w:tcPr>
          <w:p w14:paraId="7D995F7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510,104 </w:t>
            </w:r>
          </w:p>
        </w:tc>
        <w:tc>
          <w:tcPr>
            <w:tcW w:w="1010" w:type="dxa"/>
            <w:tcBorders>
              <w:top w:val="nil"/>
              <w:left w:val="nil"/>
              <w:bottom w:val="nil"/>
              <w:right w:val="nil"/>
            </w:tcBorders>
            <w:shd w:val="clear" w:color="auto" w:fill="auto"/>
            <w:noWrap/>
            <w:vAlign w:val="bottom"/>
            <w:hideMark/>
          </w:tcPr>
          <w:p w14:paraId="7FEFA13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581,211 </w:t>
            </w:r>
          </w:p>
        </w:tc>
        <w:tc>
          <w:tcPr>
            <w:tcW w:w="992" w:type="dxa"/>
            <w:tcBorders>
              <w:top w:val="nil"/>
              <w:left w:val="nil"/>
              <w:bottom w:val="nil"/>
              <w:right w:val="nil"/>
            </w:tcBorders>
            <w:shd w:val="clear" w:color="000000" w:fill="D9D9D9"/>
            <w:noWrap/>
            <w:vAlign w:val="bottom"/>
            <w:hideMark/>
          </w:tcPr>
          <w:p w14:paraId="27094859"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71,107 </w:t>
            </w:r>
          </w:p>
        </w:tc>
        <w:tc>
          <w:tcPr>
            <w:tcW w:w="972" w:type="dxa"/>
            <w:tcBorders>
              <w:top w:val="nil"/>
              <w:left w:val="nil"/>
              <w:bottom w:val="nil"/>
              <w:right w:val="nil"/>
            </w:tcBorders>
            <w:shd w:val="clear" w:color="auto" w:fill="auto"/>
            <w:noWrap/>
            <w:vAlign w:val="bottom"/>
            <w:hideMark/>
          </w:tcPr>
          <w:p w14:paraId="2A29582C"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4FBC5818"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1B37436C"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Outcome 4</w:t>
            </w:r>
          </w:p>
        </w:tc>
        <w:tc>
          <w:tcPr>
            <w:tcW w:w="974" w:type="dxa"/>
            <w:tcBorders>
              <w:top w:val="nil"/>
              <w:left w:val="nil"/>
              <w:bottom w:val="nil"/>
              <w:right w:val="nil"/>
            </w:tcBorders>
            <w:shd w:val="clear" w:color="auto" w:fill="auto"/>
            <w:noWrap/>
            <w:vAlign w:val="bottom"/>
            <w:hideMark/>
          </w:tcPr>
          <w:p w14:paraId="32225476" w14:textId="77777777" w:rsidR="00565156" w:rsidRPr="00565156" w:rsidRDefault="00565156" w:rsidP="00565156">
            <w:pPr>
              <w:spacing w:before="0" w:after="0" w:line="240" w:lineRule="auto"/>
              <w:rPr>
                <w:rFonts w:ascii="Arial" w:hAnsi="Arial" w:cs="Arial"/>
                <w:b/>
                <w:bCs/>
                <w:sz w:val="16"/>
                <w:szCs w:val="16"/>
              </w:rPr>
            </w:pPr>
          </w:p>
        </w:tc>
        <w:tc>
          <w:tcPr>
            <w:tcW w:w="1010" w:type="dxa"/>
            <w:tcBorders>
              <w:top w:val="nil"/>
              <w:left w:val="nil"/>
              <w:bottom w:val="nil"/>
              <w:right w:val="nil"/>
            </w:tcBorders>
            <w:shd w:val="clear" w:color="auto" w:fill="auto"/>
            <w:noWrap/>
            <w:vAlign w:val="bottom"/>
            <w:hideMark/>
          </w:tcPr>
          <w:p w14:paraId="6A0EFE9E" w14:textId="77777777" w:rsidR="00565156" w:rsidRPr="00565156" w:rsidRDefault="00565156" w:rsidP="00565156">
            <w:pPr>
              <w:spacing w:before="0" w:after="0" w:line="240" w:lineRule="auto"/>
              <w:jc w:val="right"/>
              <w:rPr>
                <w:rFonts w:ascii="Times New Roman" w:hAnsi="Times New Roman"/>
                <w:sz w:val="20"/>
              </w:rPr>
            </w:pPr>
          </w:p>
        </w:tc>
        <w:tc>
          <w:tcPr>
            <w:tcW w:w="1010" w:type="dxa"/>
            <w:tcBorders>
              <w:top w:val="nil"/>
              <w:left w:val="nil"/>
              <w:bottom w:val="nil"/>
              <w:right w:val="nil"/>
            </w:tcBorders>
            <w:shd w:val="clear" w:color="auto" w:fill="auto"/>
            <w:noWrap/>
            <w:vAlign w:val="bottom"/>
            <w:hideMark/>
          </w:tcPr>
          <w:p w14:paraId="5C4AE5BD" w14:textId="77777777" w:rsidR="00565156" w:rsidRPr="00565156" w:rsidRDefault="00565156" w:rsidP="005651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405C648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2" w:type="dxa"/>
            <w:tcBorders>
              <w:top w:val="nil"/>
              <w:left w:val="nil"/>
              <w:bottom w:val="nil"/>
              <w:right w:val="nil"/>
            </w:tcBorders>
            <w:shd w:val="clear" w:color="auto" w:fill="auto"/>
            <w:noWrap/>
            <w:vAlign w:val="bottom"/>
            <w:hideMark/>
          </w:tcPr>
          <w:p w14:paraId="3389FD04"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41F110F1" w14:textId="77777777" w:rsidTr="000A3424">
        <w:trPr>
          <w:trHeight w:val="225"/>
          <w:jc w:val="center"/>
        </w:trPr>
        <w:tc>
          <w:tcPr>
            <w:tcW w:w="2753" w:type="dxa"/>
            <w:tcBorders>
              <w:top w:val="nil"/>
              <w:left w:val="nil"/>
              <w:bottom w:val="nil"/>
              <w:right w:val="nil"/>
            </w:tcBorders>
            <w:shd w:val="clear" w:color="auto" w:fill="auto"/>
            <w:noWrap/>
            <w:vAlign w:val="bottom"/>
            <w:hideMark/>
          </w:tcPr>
          <w:p w14:paraId="078C822A"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Sport and Recreation</w:t>
            </w:r>
          </w:p>
        </w:tc>
        <w:tc>
          <w:tcPr>
            <w:tcW w:w="974" w:type="dxa"/>
            <w:tcBorders>
              <w:top w:val="nil"/>
              <w:left w:val="nil"/>
              <w:bottom w:val="nil"/>
              <w:right w:val="nil"/>
            </w:tcBorders>
            <w:shd w:val="clear" w:color="auto" w:fill="auto"/>
            <w:noWrap/>
            <w:vAlign w:val="bottom"/>
            <w:hideMark/>
          </w:tcPr>
          <w:p w14:paraId="346A38E2"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10,780 </w:t>
            </w:r>
          </w:p>
        </w:tc>
        <w:tc>
          <w:tcPr>
            <w:tcW w:w="1010" w:type="dxa"/>
            <w:tcBorders>
              <w:top w:val="nil"/>
              <w:left w:val="nil"/>
              <w:bottom w:val="nil"/>
              <w:right w:val="nil"/>
            </w:tcBorders>
            <w:shd w:val="clear" w:color="auto" w:fill="auto"/>
            <w:noWrap/>
            <w:vAlign w:val="bottom"/>
            <w:hideMark/>
          </w:tcPr>
          <w:p w14:paraId="6A1515B5"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10,531 </w:t>
            </w:r>
          </w:p>
        </w:tc>
        <w:tc>
          <w:tcPr>
            <w:tcW w:w="1010" w:type="dxa"/>
            <w:tcBorders>
              <w:top w:val="nil"/>
              <w:left w:val="nil"/>
              <w:bottom w:val="nil"/>
              <w:right w:val="nil"/>
            </w:tcBorders>
            <w:shd w:val="clear" w:color="auto" w:fill="auto"/>
            <w:noWrap/>
            <w:vAlign w:val="bottom"/>
            <w:hideMark/>
          </w:tcPr>
          <w:p w14:paraId="45EEB844"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12,172 </w:t>
            </w:r>
          </w:p>
        </w:tc>
        <w:tc>
          <w:tcPr>
            <w:tcW w:w="992" w:type="dxa"/>
            <w:tcBorders>
              <w:top w:val="nil"/>
              <w:left w:val="nil"/>
              <w:bottom w:val="nil"/>
              <w:right w:val="nil"/>
            </w:tcBorders>
            <w:shd w:val="clear" w:color="000000" w:fill="D9D9D9"/>
            <w:noWrap/>
            <w:vAlign w:val="bottom"/>
            <w:hideMark/>
          </w:tcPr>
          <w:p w14:paraId="721FD7AD"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1,641 </w:t>
            </w:r>
          </w:p>
        </w:tc>
        <w:tc>
          <w:tcPr>
            <w:tcW w:w="972" w:type="dxa"/>
            <w:tcBorders>
              <w:top w:val="nil"/>
              <w:left w:val="nil"/>
              <w:bottom w:val="nil"/>
              <w:right w:val="nil"/>
            </w:tcBorders>
            <w:shd w:val="clear" w:color="auto" w:fill="auto"/>
            <w:noWrap/>
            <w:vAlign w:val="bottom"/>
            <w:hideMark/>
          </w:tcPr>
          <w:p w14:paraId="4AA1F2EB"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6F9AB6AE" w14:textId="77777777" w:rsidTr="00D102B9">
        <w:trPr>
          <w:trHeight w:val="283"/>
          <w:jc w:val="center"/>
        </w:trPr>
        <w:tc>
          <w:tcPr>
            <w:tcW w:w="2753" w:type="dxa"/>
            <w:tcBorders>
              <w:top w:val="nil"/>
              <w:left w:val="nil"/>
              <w:bottom w:val="nil"/>
              <w:right w:val="nil"/>
            </w:tcBorders>
            <w:shd w:val="clear" w:color="auto" w:fill="auto"/>
            <w:noWrap/>
            <w:vAlign w:val="bottom"/>
            <w:hideMark/>
          </w:tcPr>
          <w:p w14:paraId="5823B2C9"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 xml:space="preserve">Total departmental </w:t>
            </w:r>
          </w:p>
        </w:tc>
        <w:tc>
          <w:tcPr>
            <w:tcW w:w="974" w:type="dxa"/>
            <w:tcBorders>
              <w:top w:val="single" w:sz="4" w:space="0" w:color="auto"/>
              <w:left w:val="nil"/>
              <w:bottom w:val="single" w:sz="4" w:space="0" w:color="auto"/>
              <w:right w:val="nil"/>
            </w:tcBorders>
            <w:shd w:val="clear" w:color="auto" w:fill="auto"/>
            <w:noWrap/>
            <w:vAlign w:val="bottom"/>
            <w:hideMark/>
          </w:tcPr>
          <w:p w14:paraId="6C8E9C90"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1,061,122 </w:t>
            </w:r>
          </w:p>
        </w:tc>
        <w:tc>
          <w:tcPr>
            <w:tcW w:w="1010" w:type="dxa"/>
            <w:tcBorders>
              <w:top w:val="single" w:sz="4" w:space="0" w:color="auto"/>
              <w:left w:val="nil"/>
              <w:bottom w:val="single" w:sz="4" w:space="0" w:color="auto"/>
              <w:right w:val="nil"/>
            </w:tcBorders>
            <w:shd w:val="clear" w:color="auto" w:fill="auto"/>
            <w:noWrap/>
            <w:vAlign w:val="bottom"/>
            <w:hideMark/>
          </w:tcPr>
          <w:p w14:paraId="36192E75"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1,225,830 </w:t>
            </w:r>
          </w:p>
        </w:tc>
        <w:tc>
          <w:tcPr>
            <w:tcW w:w="1010" w:type="dxa"/>
            <w:tcBorders>
              <w:top w:val="single" w:sz="4" w:space="0" w:color="auto"/>
              <w:left w:val="nil"/>
              <w:bottom w:val="single" w:sz="4" w:space="0" w:color="auto"/>
              <w:right w:val="nil"/>
            </w:tcBorders>
            <w:shd w:val="clear" w:color="auto" w:fill="auto"/>
            <w:noWrap/>
            <w:vAlign w:val="bottom"/>
            <w:hideMark/>
          </w:tcPr>
          <w:p w14:paraId="7F1818F0"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1,361,604 </w:t>
            </w:r>
          </w:p>
        </w:tc>
        <w:tc>
          <w:tcPr>
            <w:tcW w:w="992" w:type="dxa"/>
            <w:tcBorders>
              <w:top w:val="single" w:sz="4" w:space="0" w:color="auto"/>
              <w:left w:val="nil"/>
              <w:bottom w:val="single" w:sz="4" w:space="0" w:color="auto"/>
              <w:right w:val="nil"/>
            </w:tcBorders>
            <w:shd w:val="clear" w:color="000000" w:fill="D9D9D9"/>
            <w:noWrap/>
            <w:vAlign w:val="bottom"/>
            <w:hideMark/>
          </w:tcPr>
          <w:p w14:paraId="5A81B89B"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135,774 </w:t>
            </w:r>
          </w:p>
        </w:tc>
        <w:tc>
          <w:tcPr>
            <w:tcW w:w="972" w:type="dxa"/>
            <w:tcBorders>
              <w:top w:val="single" w:sz="4" w:space="0" w:color="auto"/>
              <w:left w:val="nil"/>
              <w:bottom w:val="single" w:sz="4" w:space="0" w:color="auto"/>
              <w:right w:val="nil"/>
            </w:tcBorders>
            <w:shd w:val="clear" w:color="auto" w:fill="auto"/>
            <w:noWrap/>
            <w:vAlign w:val="bottom"/>
            <w:hideMark/>
          </w:tcPr>
          <w:p w14:paraId="3D93F13E"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 </w:t>
            </w:r>
          </w:p>
        </w:tc>
      </w:tr>
      <w:tr w:rsidR="00565156" w:rsidRPr="00565156" w14:paraId="6B9BA57B" w14:textId="77777777" w:rsidTr="00D102B9">
        <w:trPr>
          <w:trHeight w:val="454"/>
          <w:jc w:val="center"/>
        </w:trPr>
        <w:tc>
          <w:tcPr>
            <w:tcW w:w="2753" w:type="dxa"/>
            <w:tcBorders>
              <w:top w:val="nil"/>
              <w:left w:val="nil"/>
              <w:bottom w:val="single" w:sz="4" w:space="0" w:color="auto"/>
              <w:right w:val="nil"/>
            </w:tcBorders>
            <w:shd w:val="clear" w:color="auto" w:fill="auto"/>
            <w:vAlign w:val="bottom"/>
            <w:hideMark/>
          </w:tcPr>
          <w:p w14:paraId="1D5F2547"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Total appropriation administered and departmental Bill (No. 3)</w:t>
            </w:r>
          </w:p>
        </w:tc>
        <w:tc>
          <w:tcPr>
            <w:tcW w:w="974" w:type="dxa"/>
            <w:tcBorders>
              <w:top w:val="nil"/>
              <w:left w:val="nil"/>
              <w:bottom w:val="single" w:sz="4" w:space="0" w:color="auto"/>
              <w:right w:val="nil"/>
            </w:tcBorders>
            <w:shd w:val="clear" w:color="auto" w:fill="auto"/>
            <w:noWrap/>
            <w:tcMar>
              <w:left w:w="0" w:type="dxa"/>
            </w:tcMar>
            <w:vAlign w:val="bottom"/>
            <w:hideMark/>
          </w:tcPr>
          <w:p w14:paraId="6625D634"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20,532,539 </w:t>
            </w:r>
          </w:p>
        </w:tc>
        <w:tc>
          <w:tcPr>
            <w:tcW w:w="1010" w:type="dxa"/>
            <w:tcBorders>
              <w:top w:val="nil"/>
              <w:left w:val="nil"/>
              <w:bottom w:val="single" w:sz="4" w:space="0" w:color="auto"/>
              <w:right w:val="nil"/>
            </w:tcBorders>
            <w:shd w:val="clear" w:color="auto" w:fill="auto"/>
            <w:noWrap/>
            <w:tcMar>
              <w:left w:w="0" w:type="dxa"/>
            </w:tcMar>
            <w:vAlign w:val="bottom"/>
            <w:hideMark/>
          </w:tcPr>
          <w:p w14:paraId="549778AF"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17,129,807 </w:t>
            </w:r>
          </w:p>
        </w:tc>
        <w:tc>
          <w:tcPr>
            <w:tcW w:w="1010" w:type="dxa"/>
            <w:tcBorders>
              <w:top w:val="nil"/>
              <w:left w:val="nil"/>
              <w:bottom w:val="single" w:sz="4" w:space="0" w:color="auto"/>
              <w:right w:val="nil"/>
            </w:tcBorders>
            <w:shd w:val="clear" w:color="auto" w:fill="auto"/>
            <w:noWrap/>
            <w:tcMar>
              <w:left w:w="0" w:type="dxa"/>
            </w:tcMar>
            <w:vAlign w:val="bottom"/>
            <w:hideMark/>
          </w:tcPr>
          <w:p w14:paraId="51FDABB6"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18,243,555 </w:t>
            </w:r>
          </w:p>
        </w:tc>
        <w:tc>
          <w:tcPr>
            <w:tcW w:w="992" w:type="dxa"/>
            <w:tcBorders>
              <w:top w:val="nil"/>
              <w:left w:val="nil"/>
              <w:bottom w:val="single" w:sz="4" w:space="0" w:color="auto"/>
              <w:right w:val="nil"/>
            </w:tcBorders>
            <w:shd w:val="clear" w:color="000000" w:fill="D9D9D9"/>
            <w:noWrap/>
            <w:vAlign w:val="bottom"/>
            <w:hideMark/>
          </w:tcPr>
          <w:p w14:paraId="0BB152AA"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1,113,748 </w:t>
            </w:r>
          </w:p>
        </w:tc>
        <w:tc>
          <w:tcPr>
            <w:tcW w:w="972" w:type="dxa"/>
            <w:tcBorders>
              <w:top w:val="nil"/>
              <w:left w:val="nil"/>
              <w:bottom w:val="single" w:sz="4" w:space="0" w:color="auto"/>
              <w:right w:val="nil"/>
            </w:tcBorders>
            <w:shd w:val="clear" w:color="auto" w:fill="auto"/>
            <w:noWrap/>
            <w:vAlign w:val="bottom"/>
            <w:hideMark/>
          </w:tcPr>
          <w:p w14:paraId="2CBD0CAA"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 </w:t>
            </w:r>
          </w:p>
        </w:tc>
      </w:tr>
    </w:tbl>
    <w:p w14:paraId="0CFDC371" w14:textId="0A069D79" w:rsidR="00565156" w:rsidRPr="003D5790" w:rsidRDefault="00565156" w:rsidP="000A3424">
      <w:pPr>
        <w:pStyle w:val="FootnoteText"/>
        <w:spacing w:before="120"/>
        <w:rPr>
          <w:szCs w:val="16"/>
        </w:rPr>
      </w:pPr>
      <w:r w:rsidRPr="003D5790">
        <w:rPr>
          <w:szCs w:val="16"/>
          <w:vertAlign w:val="superscript"/>
        </w:rPr>
        <w:t>(a)</w:t>
      </w:r>
      <w:r w:rsidR="000A3424" w:rsidRPr="003D5790">
        <w:rPr>
          <w:szCs w:val="16"/>
        </w:rPr>
        <w:tab/>
        <w:t>2022–</w:t>
      </w:r>
      <w:r w:rsidRPr="003D5790">
        <w:rPr>
          <w:szCs w:val="16"/>
        </w:rPr>
        <w:t xml:space="preserve">23 available appropriation is included to allow a comparison of this year's appropriation with what was made available for use in the previous year. Available appropriation is the amount available to be drawn </w:t>
      </w:r>
      <w:proofErr w:type="gramStart"/>
      <w:r w:rsidRPr="003D5790">
        <w:rPr>
          <w:szCs w:val="16"/>
        </w:rPr>
        <w:t>down, and</w:t>
      </w:r>
      <w:proofErr w:type="gramEnd"/>
      <w:r w:rsidRPr="003D5790">
        <w:rPr>
          <w:szCs w:val="16"/>
        </w:rPr>
        <w:t xml:space="preserve"> is equal to: Budget Appropriation + Additional Estimates Appropriation + Advance to the Finance Minister - section 51 withholdings - administrative quarantines +/- Machinery of Government transfers.</w:t>
      </w:r>
    </w:p>
    <w:p w14:paraId="37182118" w14:textId="3A755442" w:rsidR="00736DD8" w:rsidRDefault="00736DD8" w:rsidP="00736DD8">
      <w:pPr>
        <w:spacing w:after="0" w:line="240" w:lineRule="auto"/>
      </w:pPr>
    </w:p>
    <w:p w14:paraId="33BA77CD" w14:textId="3B3239A8" w:rsidR="00736DD8" w:rsidRDefault="00565156" w:rsidP="00736DD8">
      <w:pPr>
        <w:pStyle w:val="TableHeading"/>
      </w:pPr>
      <w:r>
        <w:br w:type="column"/>
      </w:r>
      <w:r w:rsidR="00736DD8" w:rsidRPr="00564C0F">
        <w:lastRenderedPageBreak/>
        <w:t>Table 1.5: Appropriation B</w:t>
      </w:r>
      <w:r w:rsidR="00736DD8">
        <w:t>ill (No. 4</w:t>
      </w:r>
      <w:r w:rsidR="00736DD8" w:rsidRPr="00564C0F">
        <w:t xml:space="preserve">) </w:t>
      </w:r>
      <w:r w:rsidR="00736DD8">
        <w:t>2023–2024</w:t>
      </w:r>
    </w:p>
    <w:tbl>
      <w:tblPr>
        <w:tblW w:w="7711" w:type="dxa"/>
        <w:jc w:val="center"/>
        <w:tblLayout w:type="fixed"/>
        <w:tblLook w:val="04A0" w:firstRow="1" w:lastRow="0" w:firstColumn="1" w:lastColumn="0" w:noHBand="0" w:noVBand="1"/>
      </w:tblPr>
      <w:tblGrid>
        <w:gridCol w:w="2891"/>
        <w:gridCol w:w="1031"/>
        <w:gridCol w:w="911"/>
        <w:gridCol w:w="911"/>
        <w:gridCol w:w="997"/>
        <w:gridCol w:w="970"/>
      </w:tblGrid>
      <w:tr w:rsidR="00565156" w:rsidRPr="00565156" w14:paraId="5EC5FD0D" w14:textId="77777777" w:rsidTr="000A3424">
        <w:trPr>
          <w:trHeight w:val="567"/>
          <w:jc w:val="center"/>
        </w:trPr>
        <w:tc>
          <w:tcPr>
            <w:tcW w:w="2891" w:type="dxa"/>
            <w:tcBorders>
              <w:top w:val="single" w:sz="4" w:space="0" w:color="000000"/>
              <w:left w:val="nil"/>
              <w:bottom w:val="nil"/>
              <w:right w:val="nil"/>
            </w:tcBorders>
            <w:shd w:val="clear" w:color="auto" w:fill="auto"/>
            <w:noWrap/>
            <w:vAlign w:val="bottom"/>
            <w:hideMark/>
          </w:tcPr>
          <w:p w14:paraId="257CD264" w14:textId="77777777" w:rsidR="00565156" w:rsidRPr="00565156" w:rsidRDefault="00565156" w:rsidP="000A3424">
            <w:pPr>
              <w:spacing w:before="24" w:after="0" w:line="240" w:lineRule="auto"/>
              <w:jc w:val="right"/>
              <w:rPr>
                <w:rFonts w:ascii="Arial" w:hAnsi="Arial" w:cs="Arial"/>
                <w:color w:val="000000"/>
                <w:sz w:val="16"/>
                <w:szCs w:val="16"/>
              </w:rPr>
            </w:pPr>
            <w:r w:rsidRPr="00565156">
              <w:rPr>
                <w:rFonts w:ascii="Arial" w:hAnsi="Arial" w:cs="Arial"/>
                <w:color w:val="000000"/>
                <w:sz w:val="16"/>
                <w:szCs w:val="16"/>
              </w:rPr>
              <w:t> </w:t>
            </w:r>
          </w:p>
        </w:tc>
        <w:tc>
          <w:tcPr>
            <w:tcW w:w="1031" w:type="dxa"/>
            <w:tcBorders>
              <w:top w:val="single" w:sz="4" w:space="0" w:color="000000"/>
              <w:left w:val="nil"/>
              <w:bottom w:val="single" w:sz="4" w:space="0" w:color="000000"/>
              <w:right w:val="nil"/>
            </w:tcBorders>
            <w:shd w:val="clear" w:color="auto" w:fill="auto"/>
            <w:tcMar>
              <w:left w:w="0" w:type="dxa"/>
            </w:tcMar>
            <w:vAlign w:val="bottom"/>
            <w:hideMark/>
          </w:tcPr>
          <w:p w14:paraId="40A00F29" w14:textId="29BA0D04" w:rsidR="00565156" w:rsidRPr="00565156" w:rsidRDefault="000A3424" w:rsidP="00BD0B9C">
            <w:pPr>
              <w:spacing w:before="24" w:after="0" w:line="240" w:lineRule="auto"/>
              <w:jc w:val="right"/>
              <w:rPr>
                <w:rFonts w:ascii="Arial" w:hAnsi="Arial" w:cs="Arial"/>
                <w:b/>
                <w:bCs/>
                <w:sz w:val="16"/>
                <w:szCs w:val="16"/>
              </w:rPr>
            </w:pPr>
            <w:r>
              <w:rPr>
                <w:rFonts w:ascii="Arial" w:hAnsi="Arial" w:cs="Arial"/>
                <w:b/>
                <w:bCs/>
                <w:sz w:val="16"/>
                <w:szCs w:val="16"/>
              </w:rPr>
              <w:t>2022–</w:t>
            </w:r>
            <w:r w:rsidR="00565156" w:rsidRPr="00565156">
              <w:rPr>
                <w:rFonts w:ascii="Arial" w:hAnsi="Arial" w:cs="Arial"/>
                <w:b/>
                <w:bCs/>
                <w:sz w:val="16"/>
                <w:szCs w:val="16"/>
              </w:rPr>
              <w:t>23</w:t>
            </w:r>
            <w:r w:rsidR="00565156" w:rsidRPr="00565156">
              <w:rPr>
                <w:rFonts w:ascii="Arial" w:hAnsi="Arial" w:cs="Arial"/>
                <w:b/>
                <w:bCs/>
                <w:sz w:val="16"/>
                <w:szCs w:val="16"/>
              </w:rPr>
              <w:br/>
              <w:t>Available</w:t>
            </w:r>
            <w:r w:rsidR="00565156" w:rsidRPr="00565156">
              <w:rPr>
                <w:rFonts w:ascii="Arial" w:hAnsi="Arial" w:cs="Arial"/>
                <w:b/>
                <w:bCs/>
                <w:sz w:val="16"/>
                <w:szCs w:val="16"/>
                <w:vertAlign w:val="superscript"/>
              </w:rPr>
              <w:t>(a)</w:t>
            </w:r>
            <w:r w:rsidR="00565156" w:rsidRPr="00565156">
              <w:rPr>
                <w:rFonts w:ascii="Arial" w:hAnsi="Arial" w:cs="Arial"/>
                <w:b/>
                <w:bCs/>
                <w:sz w:val="16"/>
                <w:szCs w:val="16"/>
              </w:rPr>
              <w:br/>
            </w:r>
            <w:r w:rsidR="00565156" w:rsidRPr="00565156">
              <w:rPr>
                <w:rFonts w:ascii="Arial" w:hAnsi="Arial" w:cs="Arial"/>
                <w:sz w:val="16"/>
                <w:szCs w:val="16"/>
              </w:rPr>
              <w:t>$'000</w:t>
            </w:r>
          </w:p>
        </w:tc>
        <w:tc>
          <w:tcPr>
            <w:tcW w:w="911" w:type="dxa"/>
            <w:tcBorders>
              <w:top w:val="single" w:sz="4" w:space="0" w:color="000000"/>
              <w:left w:val="nil"/>
              <w:bottom w:val="single" w:sz="4" w:space="0" w:color="000000"/>
              <w:right w:val="nil"/>
            </w:tcBorders>
            <w:shd w:val="clear" w:color="auto" w:fill="auto"/>
            <w:tcMar>
              <w:left w:w="0" w:type="dxa"/>
            </w:tcMar>
            <w:vAlign w:val="bottom"/>
            <w:hideMark/>
          </w:tcPr>
          <w:p w14:paraId="577260A6" w14:textId="03C88082" w:rsidR="00565156" w:rsidRPr="00565156" w:rsidRDefault="000A3424" w:rsidP="000A3424">
            <w:pPr>
              <w:spacing w:before="24" w:after="0" w:line="240" w:lineRule="auto"/>
              <w:jc w:val="right"/>
              <w:rPr>
                <w:rFonts w:ascii="Arial" w:hAnsi="Arial" w:cs="Arial"/>
                <w:b/>
                <w:bCs/>
                <w:sz w:val="16"/>
                <w:szCs w:val="16"/>
              </w:rPr>
            </w:pPr>
            <w:r>
              <w:rPr>
                <w:rFonts w:ascii="Arial" w:hAnsi="Arial" w:cs="Arial"/>
                <w:b/>
                <w:bCs/>
                <w:sz w:val="16"/>
                <w:szCs w:val="16"/>
              </w:rPr>
              <w:t>2023–</w:t>
            </w:r>
            <w:r w:rsidR="00565156" w:rsidRPr="00565156">
              <w:rPr>
                <w:rFonts w:ascii="Arial" w:hAnsi="Arial" w:cs="Arial"/>
                <w:b/>
                <w:bCs/>
                <w:sz w:val="16"/>
                <w:szCs w:val="16"/>
              </w:rPr>
              <w:t>24</w:t>
            </w:r>
            <w:r w:rsidR="00565156" w:rsidRPr="00565156">
              <w:rPr>
                <w:rFonts w:ascii="Arial" w:hAnsi="Arial" w:cs="Arial"/>
                <w:b/>
                <w:bCs/>
                <w:sz w:val="16"/>
                <w:szCs w:val="16"/>
              </w:rPr>
              <w:br/>
              <w:t>Budget</w:t>
            </w:r>
            <w:r w:rsidR="00565156" w:rsidRPr="00565156">
              <w:rPr>
                <w:rFonts w:ascii="Arial" w:hAnsi="Arial" w:cs="Arial"/>
                <w:b/>
                <w:bCs/>
                <w:sz w:val="16"/>
                <w:szCs w:val="16"/>
              </w:rPr>
              <w:br/>
            </w:r>
            <w:r w:rsidR="00565156" w:rsidRPr="00565156">
              <w:rPr>
                <w:rFonts w:ascii="Arial" w:hAnsi="Arial" w:cs="Arial"/>
                <w:sz w:val="16"/>
                <w:szCs w:val="16"/>
              </w:rPr>
              <w:t>$'000</w:t>
            </w:r>
          </w:p>
        </w:tc>
        <w:tc>
          <w:tcPr>
            <w:tcW w:w="911" w:type="dxa"/>
            <w:tcBorders>
              <w:top w:val="single" w:sz="4" w:space="0" w:color="000000"/>
              <w:left w:val="nil"/>
              <w:bottom w:val="single" w:sz="4" w:space="0" w:color="000000"/>
              <w:right w:val="nil"/>
            </w:tcBorders>
            <w:shd w:val="clear" w:color="auto" w:fill="auto"/>
            <w:tcMar>
              <w:left w:w="0" w:type="dxa"/>
            </w:tcMar>
            <w:vAlign w:val="bottom"/>
            <w:hideMark/>
          </w:tcPr>
          <w:p w14:paraId="59F2A874" w14:textId="05AC0982" w:rsidR="00565156" w:rsidRPr="00565156" w:rsidRDefault="000A3424" w:rsidP="000A3424">
            <w:pPr>
              <w:spacing w:before="24" w:after="0" w:line="240" w:lineRule="auto"/>
              <w:jc w:val="right"/>
              <w:rPr>
                <w:rFonts w:ascii="Arial" w:hAnsi="Arial" w:cs="Arial"/>
                <w:b/>
                <w:bCs/>
                <w:sz w:val="16"/>
                <w:szCs w:val="16"/>
              </w:rPr>
            </w:pPr>
            <w:r>
              <w:rPr>
                <w:rFonts w:ascii="Arial" w:hAnsi="Arial" w:cs="Arial"/>
                <w:b/>
                <w:bCs/>
                <w:sz w:val="16"/>
                <w:szCs w:val="16"/>
              </w:rPr>
              <w:t>2023–</w:t>
            </w:r>
            <w:r w:rsidR="00565156" w:rsidRPr="00565156">
              <w:rPr>
                <w:rFonts w:ascii="Arial" w:hAnsi="Arial" w:cs="Arial"/>
                <w:b/>
                <w:bCs/>
                <w:sz w:val="16"/>
                <w:szCs w:val="16"/>
              </w:rPr>
              <w:t>24</w:t>
            </w:r>
            <w:r w:rsidR="00565156" w:rsidRPr="00565156">
              <w:rPr>
                <w:rFonts w:ascii="Arial" w:hAnsi="Arial" w:cs="Arial"/>
                <w:b/>
                <w:bCs/>
                <w:sz w:val="16"/>
                <w:szCs w:val="16"/>
              </w:rPr>
              <w:br/>
              <w:t>Revised</w:t>
            </w:r>
            <w:r w:rsidR="00565156" w:rsidRPr="00565156">
              <w:rPr>
                <w:rFonts w:ascii="Arial" w:hAnsi="Arial" w:cs="Arial"/>
                <w:b/>
                <w:bCs/>
                <w:sz w:val="16"/>
                <w:szCs w:val="16"/>
              </w:rPr>
              <w:br/>
            </w:r>
            <w:r w:rsidR="00565156" w:rsidRPr="00565156">
              <w:rPr>
                <w:rFonts w:ascii="Arial" w:hAnsi="Arial" w:cs="Arial"/>
                <w:sz w:val="16"/>
                <w:szCs w:val="16"/>
              </w:rPr>
              <w:t>$'000</w:t>
            </w:r>
          </w:p>
        </w:tc>
        <w:tc>
          <w:tcPr>
            <w:tcW w:w="997" w:type="dxa"/>
            <w:tcBorders>
              <w:top w:val="single" w:sz="4" w:space="0" w:color="000000"/>
              <w:left w:val="nil"/>
              <w:bottom w:val="single" w:sz="4" w:space="0" w:color="000000"/>
              <w:right w:val="nil"/>
            </w:tcBorders>
            <w:shd w:val="clear" w:color="000000" w:fill="D9D9D9"/>
            <w:tcMar>
              <w:left w:w="0" w:type="dxa"/>
            </w:tcMar>
            <w:vAlign w:val="bottom"/>
            <w:hideMark/>
          </w:tcPr>
          <w:p w14:paraId="4D355669" w14:textId="77777777" w:rsidR="00565156" w:rsidRPr="00565156" w:rsidRDefault="00565156" w:rsidP="000A3424">
            <w:pPr>
              <w:spacing w:before="24" w:after="0" w:line="240" w:lineRule="auto"/>
              <w:jc w:val="right"/>
              <w:rPr>
                <w:rFonts w:ascii="Arial" w:hAnsi="Arial" w:cs="Arial"/>
                <w:b/>
                <w:bCs/>
                <w:sz w:val="16"/>
                <w:szCs w:val="16"/>
              </w:rPr>
            </w:pPr>
            <w:r w:rsidRPr="00565156">
              <w:rPr>
                <w:rFonts w:ascii="Arial" w:hAnsi="Arial" w:cs="Arial"/>
                <w:b/>
                <w:bCs/>
                <w:sz w:val="16"/>
                <w:szCs w:val="16"/>
              </w:rPr>
              <w:t>Additional</w:t>
            </w:r>
            <w:r w:rsidRPr="00565156">
              <w:rPr>
                <w:rFonts w:ascii="Arial" w:hAnsi="Arial" w:cs="Arial"/>
                <w:b/>
                <w:bCs/>
                <w:sz w:val="16"/>
                <w:szCs w:val="16"/>
              </w:rPr>
              <w:br/>
              <w:t>Estimates</w:t>
            </w:r>
            <w:r w:rsidRPr="00565156">
              <w:rPr>
                <w:rFonts w:ascii="Arial" w:hAnsi="Arial" w:cs="Arial"/>
                <w:b/>
                <w:bCs/>
                <w:sz w:val="16"/>
                <w:szCs w:val="16"/>
              </w:rPr>
              <w:br/>
            </w:r>
            <w:r w:rsidRPr="00565156">
              <w:rPr>
                <w:rFonts w:ascii="Arial" w:hAnsi="Arial" w:cs="Arial"/>
                <w:sz w:val="16"/>
                <w:szCs w:val="16"/>
              </w:rPr>
              <w:t>$'000</w:t>
            </w:r>
          </w:p>
        </w:tc>
        <w:tc>
          <w:tcPr>
            <w:tcW w:w="970" w:type="dxa"/>
            <w:tcBorders>
              <w:top w:val="single" w:sz="4" w:space="0" w:color="000000"/>
              <w:left w:val="nil"/>
              <w:bottom w:val="single" w:sz="4" w:space="0" w:color="000000"/>
              <w:right w:val="nil"/>
            </w:tcBorders>
            <w:shd w:val="clear" w:color="auto" w:fill="auto"/>
            <w:tcMar>
              <w:left w:w="0" w:type="dxa"/>
            </w:tcMar>
            <w:vAlign w:val="bottom"/>
            <w:hideMark/>
          </w:tcPr>
          <w:p w14:paraId="1240E60B" w14:textId="77777777" w:rsidR="00565156" w:rsidRPr="00565156" w:rsidRDefault="00565156" w:rsidP="000A3424">
            <w:pPr>
              <w:spacing w:before="24" w:after="0" w:line="240" w:lineRule="auto"/>
              <w:jc w:val="right"/>
              <w:rPr>
                <w:rFonts w:ascii="Arial" w:hAnsi="Arial" w:cs="Arial"/>
                <w:b/>
                <w:bCs/>
                <w:sz w:val="16"/>
                <w:szCs w:val="16"/>
              </w:rPr>
            </w:pPr>
            <w:r w:rsidRPr="00565156">
              <w:rPr>
                <w:rFonts w:ascii="Arial" w:hAnsi="Arial" w:cs="Arial"/>
                <w:b/>
                <w:bCs/>
                <w:sz w:val="16"/>
                <w:szCs w:val="16"/>
              </w:rPr>
              <w:t>Reduced</w:t>
            </w:r>
            <w:r w:rsidRPr="00565156">
              <w:rPr>
                <w:rFonts w:ascii="Arial" w:hAnsi="Arial" w:cs="Arial"/>
                <w:b/>
                <w:bCs/>
                <w:sz w:val="16"/>
                <w:szCs w:val="16"/>
              </w:rPr>
              <w:br/>
              <w:t>Estimates</w:t>
            </w:r>
            <w:r w:rsidRPr="00565156">
              <w:rPr>
                <w:rFonts w:ascii="Arial" w:hAnsi="Arial" w:cs="Arial"/>
                <w:b/>
                <w:bCs/>
                <w:sz w:val="16"/>
                <w:szCs w:val="16"/>
              </w:rPr>
              <w:br/>
            </w:r>
            <w:r w:rsidRPr="00565156">
              <w:rPr>
                <w:rFonts w:ascii="Arial" w:hAnsi="Arial" w:cs="Arial"/>
                <w:sz w:val="16"/>
                <w:szCs w:val="16"/>
              </w:rPr>
              <w:t>$'000</w:t>
            </w:r>
          </w:p>
        </w:tc>
      </w:tr>
      <w:tr w:rsidR="00565156" w:rsidRPr="00565156" w14:paraId="39F09CA6" w14:textId="77777777" w:rsidTr="00D102B9">
        <w:trPr>
          <w:trHeight w:val="283"/>
          <w:jc w:val="center"/>
        </w:trPr>
        <w:tc>
          <w:tcPr>
            <w:tcW w:w="2891" w:type="dxa"/>
            <w:tcBorders>
              <w:top w:val="nil"/>
              <w:left w:val="nil"/>
              <w:bottom w:val="nil"/>
              <w:right w:val="nil"/>
            </w:tcBorders>
            <w:shd w:val="clear" w:color="auto" w:fill="auto"/>
            <w:noWrap/>
            <w:vAlign w:val="bottom"/>
            <w:hideMark/>
          </w:tcPr>
          <w:p w14:paraId="6C89B961" w14:textId="77777777" w:rsidR="00565156" w:rsidRPr="00565156" w:rsidRDefault="00565156" w:rsidP="00565156">
            <w:pPr>
              <w:spacing w:before="0" w:after="0" w:line="240" w:lineRule="auto"/>
              <w:rPr>
                <w:rFonts w:ascii="Arial" w:hAnsi="Arial" w:cs="Arial"/>
                <w:b/>
                <w:bCs/>
                <w:sz w:val="20"/>
              </w:rPr>
            </w:pPr>
            <w:r w:rsidRPr="00565156">
              <w:rPr>
                <w:rFonts w:ascii="Arial" w:hAnsi="Arial" w:cs="Arial"/>
                <w:b/>
                <w:bCs/>
                <w:sz w:val="20"/>
              </w:rPr>
              <w:t>Non-operating</w:t>
            </w:r>
          </w:p>
        </w:tc>
        <w:tc>
          <w:tcPr>
            <w:tcW w:w="1031" w:type="dxa"/>
            <w:tcBorders>
              <w:top w:val="nil"/>
              <w:left w:val="nil"/>
              <w:bottom w:val="nil"/>
              <w:right w:val="nil"/>
            </w:tcBorders>
            <w:shd w:val="clear" w:color="auto" w:fill="auto"/>
            <w:noWrap/>
            <w:vAlign w:val="bottom"/>
            <w:hideMark/>
          </w:tcPr>
          <w:p w14:paraId="7A99C063" w14:textId="77777777" w:rsidR="00565156" w:rsidRPr="00565156" w:rsidRDefault="00565156" w:rsidP="00565156">
            <w:pPr>
              <w:spacing w:before="0" w:after="0" w:line="240" w:lineRule="auto"/>
              <w:rPr>
                <w:rFonts w:ascii="Arial" w:hAnsi="Arial" w:cs="Arial"/>
                <w:b/>
                <w:bCs/>
                <w:sz w:val="20"/>
              </w:rPr>
            </w:pPr>
          </w:p>
        </w:tc>
        <w:tc>
          <w:tcPr>
            <w:tcW w:w="911" w:type="dxa"/>
            <w:tcBorders>
              <w:top w:val="nil"/>
              <w:left w:val="nil"/>
              <w:bottom w:val="nil"/>
              <w:right w:val="nil"/>
            </w:tcBorders>
            <w:shd w:val="clear" w:color="000000" w:fill="FFFFFF"/>
            <w:noWrap/>
            <w:vAlign w:val="bottom"/>
            <w:hideMark/>
          </w:tcPr>
          <w:p w14:paraId="7776836F"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11" w:type="dxa"/>
            <w:tcBorders>
              <w:top w:val="nil"/>
              <w:left w:val="nil"/>
              <w:bottom w:val="nil"/>
              <w:right w:val="nil"/>
            </w:tcBorders>
            <w:shd w:val="clear" w:color="000000" w:fill="FFFFFF"/>
            <w:noWrap/>
            <w:vAlign w:val="bottom"/>
            <w:hideMark/>
          </w:tcPr>
          <w:p w14:paraId="189D21B4"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97" w:type="dxa"/>
            <w:tcBorders>
              <w:top w:val="nil"/>
              <w:left w:val="nil"/>
              <w:bottom w:val="nil"/>
              <w:right w:val="nil"/>
            </w:tcBorders>
            <w:shd w:val="clear" w:color="000000" w:fill="D9D9D9"/>
            <w:noWrap/>
            <w:vAlign w:val="bottom"/>
            <w:hideMark/>
          </w:tcPr>
          <w:p w14:paraId="5F22AAE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w:t>
            </w:r>
          </w:p>
        </w:tc>
        <w:tc>
          <w:tcPr>
            <w:tcW w:w="970" w:type="dxa"/>
            <w:tcBorders>
              <w:top w:val="nil"/>
              <w:left w:val="nil"/>
              <w:bottom w:val="nil"/>
              <w:right w:val="nil"/>
            </w:tcBorders>
            <w:shd w:val="clear" w:color="auto" w:fill="auto"/>
            <w:noWrap/>
            <w:vAlign w:val="bottom"/>
            <w:hideMark/>
          </w:tcPr>
          <w:p w14:paraId="5003B982" w14:textId="77777777" w:rsidR="00565156" w:rsidRPr="00565156" w:rsidRDefault="00565156" w:rsidP="00565156">
            <w:pPr>
              <w:spacing w:before="0" w:after="0" w:line="240" w:lineRule="auto"/>
              <w:jc w:val="right"/>
              <w:rPr>
                <w:rFonts w:ascii="Arial" w:hAnsi="Arial" w:cs="Arial"/>
                <w:sz w:val="16"/>
                <w:szCs w:val="16"/>
              </w:rPr>
            </w:pPr>
          </w:p>
        </w:tc>
      </w:tr>
      <w:tr w:rsidR="00565156" w:rsidRPr="00565156" w14:paraId="4DF644CE" w14:textId="77777777" w:rsidTr="00D102B9">
        <w:trPr>
          <w:trHeight w:val="283"/>
          <w:jc w:val="center"/>
        </w:trPr>
        <w:tc>
          <w:tcPr>
            <w:tcW w:w="2891" w:type="dxa"/>
            <w:tcBorders>
              <w:top w:val="nil"/>
              <w:left w:val="nil"/>
              <w:bottom w:val="nil"/>
              <w:right w:val="nil"/>
            </w:tcBorders>
            <w:shd w:val="clear" w:color="auto" w:fill="auto"/>
            <w:noWrap/>
            <w:vAlign w:val="bottom"/>
            <w:hideMark/>
          </w:tcPr>
          <w:p w14:paraId="5EB65FC6"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Equity injections</w:t>
            </w:r>
          </w:p>
        </w:tc>
        <w:tc>
          <w:tcPr>
            <w:tcW w:w="1031" w:type="dxa"/>
            <w:tcBorders>
              <w:top w:val="nil"/>
              <w:left w:val="nil"/>
              <w:bottom w:val="nil"/>
              <w:right w:val="nil"/>
            </w:tcBorders>
            <w:shd w:val="clear" w:color="auto" w:fill="auto"/>
            <w:noWrap/>
            <w:vAlign w:val="bottom"/>
            <w:hideMark/>
          </w:tcPr>
          <w:p w14:paraId="1585161C"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126,415 </w:t>
            </w:r>
          </w:p>
        </w:tc>
        <w:tc>
          <w:tcPr>
            <w:tcW w:w="911" w:type="dxa"/>
            <w:tcBorders>
              <w:top w:val="nil"/>
              <w:left w:val="nil"/>
              <w:bottom w:val="nil"/>
              <w:right w:val="nil"/>
            </w:tcBorders>
            <w:shd w:val="clear" w:color="auto" w:fill="auto"/>
            <w:noWrap/>
            <w:vAlign w:val="bottom"/>
            <w:hideMark/>
          </w:tcPr>
          <w:p w14:paraId="2DADE838"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119,943 </w:t>
            </w:r>
          </w:p>
        </w:tc>
        <w:tc>
          <w:tcPr>
            <w:tcW w:w="911" w:type="dxa"/>
            <w:tcBorders>
              <w:top w:val="nil"/>
              <w:left w:val="nil"/>
              <w:bottom w:val="nil"/>
              <w:right w:val="nil"/>
            </w:tcBorders>
            <w:shd w:val="clear" w:color="auto" w:fill="auto"/>
            <w:noWrap/>
            <w:vAlign w:val="bottom"/>
            <w:hideMark/>
          </w:tcPr>
          <w:p w14:paraId="03B28117"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239,832 </w:t>
            </w:r>
          </w:p>
        </w:tc>
        <w:tc>
          <w:tcPr>
            <w:tcW w:w="997" w:type="dxa"/>
            <w:tcBorders>
              <w:top w:val="nil"/>
              <w:left w:val="nil"/>
              <w:bottom w:val="nil"/>
              <w:right w:val="nil"/>
            </w:tcBorders>
            <w:shd w:val="clear" w:color="000000" w:fill="D9D9D9"/>
            <w:noWrap/>
            <w:vAlign w:val="bottom"/>
            <w:hideMark/>
          </w:tcPr>
          <w:p w14:paraId="720F138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119,889 </w:t>
            </w:r>
          </w:p>
        </w:tc>
        <w:tc>
          <w:tcPr>
            <w:tcW w:w="970" w:type="dxa"/>
            <w:tcBorders>
              <w:top w:val="nil"/>
              <w:left w:val="nil"/>
              <w:bottom w:val="nil"/>
              <w:right w:val="nil"/>
            </w:tcBorders>
            <w:shd w:val="clear" w:color="auto" w:fill="auto"/>
            <w:noWrap/>
            <w:vAlign w:val="bottom"/>
            <w:hideMark/>
          </w:tcPr>
          <w:p w14:paraId="476D7A3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0332B0F0" w14:textId="77777777" w:rsidTr="00D102B9">
        <w:trPr>
          <w:trHeight w:val="283"/>
          <w:jc w:val="center"/>
        </w:trPr>
        <w:tc>
          <w:tcPr>
            <w:tcW w:w="2891" w:type="dxa"/>
            <w:tcBorders>
              <w:top w:val="nil"/>
              <w:left w:val="nil"/>
              <w:bottom w:val="nil"/>
              <w:right w:val="nil"/>
            </w:tcBorders>
            <w:shd w:val="clear" w:color="auto" w:fill="auto"/>
            <w:noWrap/>
            <w:vAlign w:val="bottom"/>
            <w:hideMark/>
          </w:tcPr>
          <w:p w14:paraId="7BBA6ED8" w14:textId="77777777" w:rsidR="00565156" w:rsidRPr="00565156" w:rsidRDefault="00565156" w:rsidP="000A3424">
            <w:pPr>
              <w:spacing w:before="0" w:after="0" w:line="240" w:lineRule="auto"/>
              <w:ind w:leftChars="75" w:left="143"/>
              <w:rPr>
                <w:rFonts w:ascii="Arial" w:hAnsi="Arial" w:cs="Arial"/>
                <w:sz w:val="16"/>
                <w:szCs w:val="16"/>
              </w:rPr>
            </w:pPr>
            <w:r w:rsidRPr="00565156">
              <w:rPr>
                <w:rFonts w:ascii="Arial" w:hAnsi="Arial" w:cs="Arial"/>
                <w:sz w:val="16"/>
                <w:szCs w:val="16"/>
              </w:rPr>
              <w:t>Administered assets and liabilities</w:t>
            </w:r>
          </w:p>
        </w:tc>
        <w:tc>
          <w:tcPr>
            <w:tcW w:w="1031" w:type="dxa"/>
            <w:tcBorders>
              <w:top w:val="nil"/>
              <w:left w:val="nil"/>
              <w:bottom w:val="nil"/>
              <w:right w:val="nil"/>
            </w:tcBorders>
            <w:shd w:val="clear" w:color="auto" w:fill="auto"/>
            <w:noWrap/>
            <w:vAlign w:val="bottom"/>
            <w:hideMark/>
          </w:tcPr>
          <w:p w14:paraId="3A3B56C5"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1,006,137 </w:t>
            </w:r>
          </w:p>
        </w:tc>
        <w:tc>
          <w:tcPr>
            <w:tcW w:w="911" w:type="dxa"/>
            <w:tcBorders>
              <w:top w:val="nil"/>
              <w:left w:val="nil"/>
              <w:bottom w:val="nil"/>
              <w:right w:val="nil"/>
            </w:tcBorders>
            <w:shd w:val="clear" w:color="auto" w:fill="auto"/>
            <w:noWrap/>
            <w:vAlign w:val="bottom"/>
            <w:hideMark/>
          </w:tcPr>
          <w:p w14:paraId="117C989D"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3,749 </w:t>
            </w:r>
          </w:p>
        </w:tc>
        <w:tc>
          <w:tcPr>
            <w:tcW w:w="911" w:type="dxa"/>
            <w:tcBorders>
              <w:top w:val="nil"/>
              <w:left w:val="nil"/>
              <w:bottom w:val="nil"/>
              <w:right w:val="nil"/>
            </w:tcBorders>
            <w:shd w:val="clear" w:color="auto" w:fill="auto"/>
            <w:noWrap/>
            <w:vAlign w:val="bottom"/>
            <w:hideMark/>
          </w:tcPr>
          <w:p w14:paraId="73F778B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43,887 </w:t>
            </w:r>
          </w:p>
        </w:tc>
        <w:tc>
          <w:tcPr>
            <w:tcW w:w="997" w:type="dxa"/>
            <w:tcBorders>
              <w:top w:val="nil"/>
              <w:left w:val="nil"/>
              <w:bottom w:val="nil"/>
              <w:right w:val="nil"/>
            </w:tcBorders>
            <w:shd w:val="clear" w:color="000000" w:fill="D9D9D9"/>
            <w:noWrap/>
            <w:vAlign w:val="bottom"/>
            <w:hideMark/>
          </w:tcPr>
          <w:p w14:paraId="77DF7286"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40,138 </w:t>
            </w:r>
          </w:p>
        </w:tc>
        <w:tc>
          <w:tcPr>
            <w:tcW w:w="970" w:type="dxa"/>
            <w:tcBorders>
              <w:top w:val="nil"/>
              <w:left w:val="nil"/>
              <w:bottom w:val="nil"/>
              <w:right w:val="nil"/>
            </w:tcBorders>
            <w:shd w:val="clear" w:color="auto" w:fill="auto"/>
            <w:noWrap/>
            <w:vAlign w:val="bottom"/>
            <w:hideMark/>
          </w:tcPr>
          <w:p w14:paraId="523981BA" w14:textId="77777777" w:rsidR="00565156" w:rsidRPr="00565156" w:rsidRDefault="00565156" w:rsidP="00565156">
            <w:pPr>
              <w:spacing w:before="0" w:after="0" w:line="240" w:lineRule="auto"/>
              <w:jc w:val="right"/>
              <w:rPr>
                <w:rFonts w:ascii="Arial" w:hAnsi="Arial" w:cs="Arial"/>
                <w:sz w:val="16"/>
                <w:szCs w:val="16"/>
              </w:rPr>
            </w:pPr>
            <w:r w:rsidRPr="00565156">
              <w:rPr>
                <w:rFonts w:ascii="Arial" w:hAnsi="Arial" w:cs="Arial"/>
                <w:sz w:val="16"/>
                <w:szCs w:val="16"/>
              </w:rPr>
              <w:t xml:space="preserve">- </w:t>
            </w:r>
          </w:p>
        </w:tc>
      </w:tr>
      <w:tr w:rsidR="00565156" w:rsidRPr="00565156" w14:paraId="00DCA049" w14:textId="77777777" w:rsidTr="00D102B9">
        <w:trPr>
          <w:trHeight w:val="283"/>
          <w:jc w:val="center"/>
        </w:trPr>
        <w:tc>
          <w:tcPr>
            <w:tcW w:w="2891" w:type="dxa"/>
            <w:tcBorders>
              <w:top w:val="nil"/>
              <w:left w:val="nil"/>
              <w:bottom w:val="nil"/>
              <w:right w:val="nil"/>
            </w:tcBorders>
            <w:shd w:val="clear" w:color="auto" w:fill="auto"/>
            <w:noWrap/>
            <w:vAlign w:val="bottom"/>
            <w:hideMark/>
          </w:tcPr>
          <w:p w14:paraId="4ABA9E09"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Total non-operating</w:t>
            </w:r>
          </w:p>
        </w:tc>
        <w:tc>
          <w:tcPr>
            <w:tcW w:w="1031" w:type="dxa"/>
            <w:tcBorders>
              <w:top w:val="single" w:sz="4" w:space="0" w:color="auto"/>
              <w:left w:val="nil"/>
              <w:bottom w:val="single" w:sz="4" w:space="0" w:color="auto"/>
              <w:right w:val="nil"/>
            </w:tcBorders>
            <w:shd w:val="clear" w:color="auto" w:fill="auto"/>
            <w:noWrap/>
            <w:vAlign w:val="bottom"/>
            <w:hideMark/>
          </w:tcPr>
          <w:p w14:paraId="744D979C"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1,132,552 </w:t>
            </w:r>
          </w:p>
        </w:tc>
        <w:tc>
          <w:tcPr>
            <w:tcW w:w="911" w:type="dxa"/>
            <w:tcBorders>
              <w:top w:val="single" w:sz="4" w:space="0" w:color="auto"/>
              <w:left w:val="nil"/>
              <w:bottom w:val="single" w:sz="4" w:space="0" w:color="auto"/>
              <w:right w:val="nil"/>
            </w:tcBorders>
            <w:shd w:val="clear" w:color="000000" w:fill="FFFFFF"/>
            <w:noWrap/>
            <w:vAlign w:val="bottom"/>
            <w:hideMark/>
          </w:tcPr>
          <w:p w14:paraId="5FBE326E"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123,692 </w:t>
            </w:r>
          </w:p>
        </w:tc>
        <w:tc>
          <w:tcPr>
            <w:tcW w:w="911" w:type="dxa"/>
            <w:tcBorders>
              <w:top w:val="single" w:sz="4" w:space="0" w:color="auto"/>
              <w:left w:val="nil"/>
              <w:bottom w:val="single" w:sz="4" w:space="0" w:color="auto"/>
              <w:right w:val="nil"/>
            </w:tcBorders>
            <w:shd w:val="clear" w:color="000000" w:fill="FFFFFF"/>
            <w:noWrap/>
            <w:vAlign w:val="bottom"/>
            <w:hideMark/>
          </w:tcPr>
          <w:p w14:paraId="1EA1A26B"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283,719 </w:t>
            </w:r>
          </w:p>
        </w:tc>
        <w:tc>
          <w:tcPr>
            <w:tcW w:w="997" w:type="dxa"/>
            <w:tcBorders>
              <w:top w:val="single" w:sz="4" w:space="0" w:color="auto"/>
              <w:left w:val="nil"/>
              <w:bottom w:val="single" w:sz="4" w:space="0" w:color="auto"/>
              <w:right w:val="nil"/>
            </w:tcBorders>
            <w:shd w:val="clear" w:color="000000" w:fill="D9D9D9"/>
            <w:noWrap/>
            <w:vAlign w:val="bottom"/>
            <w:hideMark/>
          </w:tcPr>
          <w:p w14:paraId="39E0B166"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160,027 </w:t>
            </w:r>
          </w:p>
        </w:tc>
        <w:tc>
          <w:tcPr>
            <w:tcW w:w="970" w:type="dxa"/>
            <w:tcBorders>
              <w:top w:val="single" w:sz="4" w:space="0" w:color="auto"/>
              <w:left w:val="nil"/>
              <w:bottom w:val="single" w:sz="4" w:space="0" w:color="auto"/>
              <w:right w:val="nil"/>
            </w:tcBorders>
            <w:shd w:val="clear" w:color="auto" w:fill="auto"/>
            <w:noWrap/>
            <w:vAlign w:val="bottom"/>
            <w:hideMark/>
          </w:tcPr>
          <w:p w14:paraId="7C025750"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 </w:t>
            </w:r>
          </w:p>
        </w:tc>
      </w:tr>
      <w:tr w:rsidR="00565156" w:rsidRPr="00565156" w14:paraId="15D6992E" w14:textId="77777777" w:rsidTr="00D102B9">
        <w:trPr>
          <w:trHeight w:val="454"/>
          <w:jc w:val="center"/>
        </w:trPr>
        <w:tc>
          <w:tcPr>
            <w:tcW w:w="2891" w:type="dxa"/>
            <w:tcBorders>
              <w:top w:val="nil"/>
              <w:left w:val="nil"/>
              <w:bottom w:val="single" w:sz="4" w:space="0" w:color="auto"/>
              <w:right w:val="nil"/>
            </w:tcBorders>
            <w:shd w:val="clear" w:color="auto" w:fill="auto"/>
            <w:vAlign w:val="bottom"/>
            <w:hideMark/>
          </w:tcPr>
          <w:p w14:paraId="2AFDCCB0" w14:textId="77777777" w:rsidR="00565156" w:rsidRPr="00565156" w:rsidRDefault="00565156" w:rsidP="00565156">
            <w:pPr>
              <w:spacing w:before="0" w:after="0" w:line="240" w:lineRule="auto"/>
              <w:rPr>
                <w:rFonts w:ascii="Arial" w:hAnsi="Arial" w:cs="Arial"/>
                <w:b/>
                <w:bCs/>
                <w:sz w:val="16"/>
                <w:szCs w:val="16"/>
              </w:rPr>
            </w:pPr>
            <w:r w:rsidRPr="00565156">
              <w:rPr>
                <w:rFonts w:ascii="Arial" w:hAnsi="Arial" w:cs="Arial"/>
                <w:b/>
                <w:bCs/>
                <w:sz w:val="16"/>
                <w:szCs w:val="16"/>
              </w:rPr>
              <w:t>Total appropriation administered and departmental Bill (No. 4)</w:t>
            </w:r>
          </w:p>
        </w:tc>
        <w:tc>
          <w:tcPr>
            <w:tcW w:w="1031" w:type="dxa"/>
            <w:tcBorders>
              <w:top w:val="nil"/>
              <w:left w:val="nil"/>
              <w:bottom w:val="single" w:sz="4" w:space="0" w:color="auto"/>
              <w:right w:val="nil"/>
            </w:tcBorders>
            <w:shd w:val="clear" w:color="auto" w:fill="auto"/>
            <w:noWrap/>
            <w:vAlign w:val="bottom"/>
            <w:hideMark/>
          </w:tcPr>
          <w:p w14:paraId="65A2504E"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1,132,552 </w:t>
            </w:r>
          </w:p>
        </w:tc>
        <w:tc>
          <w:tcPr>
            <w:tcW w:w="911" w:type="dxa"/>
            <w:tcBorders>
              <w:top w:val="nil"/>
              <w:left w:val="nil"/>
              <w:bottom w:val="single" w:sz="4" w:space="0" w:color="auto"/>
              <w:right w:val="nil"/>
            </w:tcBorders>
            <w:shd w:val="clear" w:color="auto" w:fill="auto"/>
            <w:noWrap/>
            <w:vAlign w:val="bottom"/>
            <w:hideMark/>
          </w:tcPr>
          <w:p w14:paraId="1EEFB9E9"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123,692 </w:t>
            </w:r>
          </w:p>
        </w:tc>
        <w:tc>
          <w:tcPr>
            <w:tcW w:w="911" w:type="dxa"/>
            <w:tcBorders>
              <w:top w:val="nil"/>
              <w:left w:val="nil"/>
              <w:bottom w:val="single" w:sz="4" w:space="0" w:color="auto"/>
              <w:right w:val="nil"/>
            </w:tcBorders>
            <w:shd w:val="clear" w:color="auto" w:fill="auto"/>
            <w:noWrap/>
            <w:vAlign w:val="bottom"/>
            <w:hideMark/>
          </w:tcPr>
          <w:p w14:paraId="6DBBDB49"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283,719 </w:t>
            </w:r>
          </w:p>
        </w:tc>
        <w:tc>
          <w:tcPr>
            <w:tcW w:w="997" w:type="dxa"/>
            <w:tcBorders>
              <w:top w:val="nil"/>
              <w:left w:val="nil"/>
              <w:bottom w:val="single" w:sz="4" w:space="0" w:color="auto"/>
              <w:right w:val="nil"/>
            </w:tcBorders>
            <w:shd w:val="clear" w:color="000000" w:fill="D9D9D9"/>
            <w:noWrap/>
            <w:vAlign w:val="bottom"/>
            <w:hideMark/>
          </w:tcPr>
          <w:p w14:paraId="5AD86FD6"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160,027 </w:t>
            </w:r>
          </w:p>
        </w:tc>
        <w:tc>
          <w:tcPr>
            <w:tcW w:w="970" w:type="dxa"/>
            <w:tcBorders>
              <w:top w:val="nil"/>
              <w:left w:val="nil"/>
              <w:bottom w:val="single" w:sz="4" w:space="0" w:color="auto"/>
              <w:right w:val="nil"/>
            </w:tcBorders>
            <w:shd w:val="clear" w:color="auto" w:fill="auto"/>
            <w:noWrap/>
            <w:vAlign w:val="bottom"/>
            <w:hideMark/>
          </w:tcPr>
          <w:p w14:paraId="3C47495F" w14:textId="77777777" w:rsidR="00565156" w:rsidRPr="00565156" w:rsidRDefault="00565156" w:rsidP="00565156">
            <w:pPr>
              <w:spacing w:before="0" w:after="0" w:line="240" w:lineRule="auto"/>
              <w:jc w:val="right"/>
              <w:rPr>
                <w:rFonts w:ascii="Arial" w:hAnsi="Arial" w:cs="Arial"/>
                <w:b/>
                <w:bCs/>
                <w:sz w:val="16"/>
                <w:szCs w:val="16"/>
              </w:rPr>
            </w:pPr>
            <w:r w:rsidRPr="00565156">
              <w:rPr>
                <w:rFonts w:ascii="Arial" w:hAnsi="Arial" w:cs="Arial"/>
                <w:b/>
                <w:bCs/>
                <w:sz w:val="16"/>
                <w:szCs w:val="16"/>
              </w:rPr>
              <w:t xml:space="preserve">- </w:t>
            </w:r>
          </w:p>
        </w:tc>
      </w:tr>
    </w:tbl>
    <w:p w14:paraId="4CE786CD" w14:textId="55B2DFCD" w:rsidR="00565156" w:rsidRPr="00BD0B9C" w:rsidRDefault="00565156" w:rsidP="000A3424">
      <w:pPr>
        <w:pStyle w:val="FootnoteText"/>
        <w:spacing w:before="120"/>
        <w:rPr>
          <w:szCs w:val="16"/>
        </w:rPr>
      </w:pPr>
      <w:r w:rsidRPr="00BD0B9C">
        <w:rPr>
          <w:szCs w:val="16"/>
          <w:vertAlign w:val="superscript"/>
        </w:rPr>
        <w:t>(a)</w:t>
      </w:r>
      <w:r w:rsidR="000A3424" w:rsidRPr="00BD0B9C">
        <w:rPr>
          <w:szCs w:val="16"/>
        </w:rPr>
        <w:tab/>
        <w:t>2022–</w:t>
      </w:r>
      <w:r w:rsidRPr="00BD0B9C">
        <w:rPr>
          <w:szCs w:val="16"/>
        </w:rPr>
        <w:t xml:space="preserve">23 available appropriation is included to allow a comparison of this year's appropriation with what was made available for use in the previous year. Available appropriation is the amount available to be drawn </w:t>
      </w:r>
      <w:proofErr w:type="gramStart"/>
      <w:r w:rsidRPr="00BD0B9C">
        <w:rPr>
          <w:szCs w:val="16"/>
        </w:rPr>
        <w:t>down, and</w:t>
      </w:r>
      <w:proofErr w:type="gramEnd"/>
      <w:r w:rsidRPr="00BD0B9C">
        <w:rPr>
          <w:szCs w:val="16"/>
        </w:rPr>
        <w:t xml:space="preserve"> is equal to: Budget Appropriation + Additional Estimates Appropriation + Advance to the Finance Minister - section 51 withholdings - administrative quarantines +/- Machinery of Government transfers.</w:t>
      </w:r>
    </w:p>
    <w:p w14:paraId="00853721" w14:textId="77777777" w:rsidR="00736DD8" w:rsidRDefault="00736DD8" w:rsidP="00736DD8">
      <w:pPr>
        <w:pStyle w:val="TableGraphic"/>
      </w:pPr>
    </w:p>
    <w:p w14:paraId="4D05D968" w14:textId="77777777" w:rsidR="003547D3" w:rsidRDefault="003547D3">
      <w:pPr>
        <w:spacing w:before="0" w:after="0" w:line="240" w:lineRule="auto"/>
        <w:rPr>
          <w:rFonts w:ascii="Arial" w:hAnsi="Arial"/>
          <w:b/>
          <w:sz w:val="30"/>
        </w:rPr>
      </w:pPr>
      <w:bookmarkStart w:id="261" w:name="_Toc152600109"/>
      <w:r>
        <w:br w:type="page"/>
      </w:r>
    </w:p>
    <w:p w14:paraId="6550FDE0" w14:textId="1292F142" w:rsidR="00AF44FE" w:rsidRDefault="008E7F4F" w:rsidP="00AF44FE">
      <w:pPr>
        <w:pStyle w:val="Heading2-TOC"/>
      </w:pPr>
      <w:r w:rsidRPr="004B4E5C">
        <w:rPr>
          <w:rFonts w:ascii="Arial Bold" w:hAnsi="Arial Bold" w:cs="Arial"/>
          <w:b w:val="0"/>
          <w:sz w:val="22"/>
          <w:szCs w:val="22"/>
        </w:rPr>
        <w:lastRenderedPageBreak/>
        <w:fldChar w:fldCharType="begin"/>
      </w:r>
      <w:r w:rsidRPr="004B4E5C">
        <w:rPr>
          <w:rFonts w:ascii="Arial Bold" w:hAnsi="Arial Bold" w:cs="Arial"/>
          <w:b w:val="0"/>
          <w:sz w:val="22"/>
          <w:szCs w:val="22"/>
        </w:rPr>
        <w:instrText xml:space="preserve"> </w:instrText>
      </w:r>
      <w:proofErr w:type="gramStart"/>
      <w:r w:rsidRPr="004B4E5C">
        <w:rPr>
          <w:rFonts w:ascii="Arial Bold" w:hAnsi="Arial Bold" w:cs="Arial"/>
          <w:b w:val="0"/>
          <w:sz w:val="22"/>
          <w:szCs w:val="22"/>
        </w:rPr>
        <w:instrText>TC  "</w:instrText>
      </w:r>
      <w:bookmarkStart w:id="262" w:name="_Toc155882370"/>
      <w:proofErr w:type="gramEnd"/>
      <w:r>
        <w:rPr>
          <w:rFonts w:ascii="Arial Bold" w:hAnsi="Arial Bold" w:cs="Arial"/>
          <w:b w:val="0"/>
          <w:sz w:val="22"/>
          <w:szCs w:val="22"/>
        </w:rPr>
        <w:instrText>Section 2: Revisions to outcomes and planned performance</w:instrText>
      </w:r>
      <w:bookmarkEnd w:id="262"/>
      <w:r w:rsidRPr="004B4E5C">
        <w:rPr>
          <w:rFonts w:ascii="Arial Bold" w:hAnsi="Arial Bold" w:cs="Arial"/>
          <w:b w:val="0"/>
          <w:sz w:val="22"/>
          <w:szCs w:val="22"/>
        </w:rPr>
        <w:instrText xml:space="preserve">" \f </w:instrText>
      </w:r>
      <w:proofErr w:type="spellStart"/>
      <w:r w:rsidRPr="004B4E5C">
        <w:rPr>
          <w:rFonts w:ascii="Arial Bold" w:hAnsi="Arial Bold" w:cs="Arial"/>
          <w:b w:val="0"/>
          <w:sz w:val="22"/>
          <w:szCs w:val="22"/>
        </w:rPr>
        <w:instrText>dohac</w:instrText>
      </w:r>
      <w:proofErr w:type="spellEnd"/>
      <w:r w:rsidRPr="004B4E5C">
        <w:rPr>
          <w:rFonts w:ascii="Arial Bold" w:hAnsi="Arial Bold" w:cs="Arial"/>
          <w:b w:val="0"/>
          <w:sz w:val="22"/>
          <w:szCs w:val="22"/>
        </w:rPr>
        <w:instrText xml:space="preserve"> \l </w:instrText>
      </w:r>
      <w:r>
        <w:rPr>
          <w:rFonts w:ascii="Arial Bold" w:hAnsi="Arial Bold" w:cs="Arial"/>
          <w:b w:val="0"/>
          <w:sz w:val="22"/>
          <w:szCs w:val="22"/>
        </w:rPr>
        <w:instrText>1</w:instrText>
      </w:r>
      <w:r w:rsidRPr="004B4E5C">
        <w:rPr>
          <w:rFonts w:ascii="Arial Bold" w:hAnsi="Arial Bold" w:cs="Arial"/>
          <w:b w:val="0"/>
          <w:sz w:val="22"/>
          <w:szCs w:val="22"/>
        </w:rPr>
        <w:instrText xml:space="preserve"> </w:instrText>
      </w:r>
      <w:r w:rsidRPr="004B4E5C">
        <w:rPr>
          <w:rFonts w:ascii="Arial Bold" w:hAnsi="Arial Bold" w:cs="Arial"/>
          <w:b w:val="0"/>
          <w:sz w:val="22"/>
          <w:szCs w:val="22"/>
        </w:rPr>
        <w:fldChar w:fldCharType="end"/>
      </w:r>
      <w:bookmarkStart w:id="263" w:name="_Toc157591995"/>
      <w:bookmarkStart w:id="264" w:name="_Toc157592178"/>
      <w:r w:rsidR="00736DD8" w:rsidRPr="00E41681">
        <w:t>Section 2</w:t>
      </w:r>
      <w:bookmarkEnd w:id="214"/>
      <w:bookmarkEnd w:id="215"/>
      <w:bookmarkEnd w:id="216"/>
      <w:bookmarkEnd w:id="217"/>
      <w:r w:rsidR="00736DD8" w:rsidRPr="00E41681">
        <w:t xml:space="preserve">: </w:t>
      </w:r>
      <w:bookmarkStart w:id="265" w:name="_Toc436624144"/>
      <w:bookmarkStart w:id="266" w:name="_Toc436625445"/>
      <w:bookmarkStart w:id="267" w:name="_Toc436626790"/>
      <w:bookmarkStart w:id="268" w:name="_Toc446237033"/>
      <w:bookmarkStart w:id="269" w:name="_Toc449255765"/>
      <w:r w:rsidR="00736DD8" w:rsidRPr="00E41681">
        <w:t xml:space="preserve">Revisions to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65"/>
      <w:bookmarkEnd w:id="266"/>
      <w:bookmarkEnd w:id="267"/>
      <w:bookmarkEnd w:id="268"/>
      <w:bookmarkEnd w:id="269"/>
      <w:r w:rsidR="00736DD8" w:rsidRPr="00E41681">
        <w:t>outcomes and planned performance</w:t>
      </w:r>
      <w:bookmarkStart w:id="270" w:name="_Toc531095067"/>
      <w:bookmarkStart w:id="271" w:name="_Toc152600110"/>
      <w:bookmarkStart w:id="272" w:name="_Toc436624145"/>
      <w:bookmarkStart w:id="273" w:name="_Toc436625446"/>
      <w:bookmarkStart w:id="274" w:name="_Toc449255766"/>
      <w:bookmarkStart w:id="275" w:name="_Toc490972410"/>
      <w:bookmarkStart w:id="276" w:name="_Toc491014630"/>
      <w:bookmarkStart w:id="277" w:name="_Toc491014772"/>
      <w:bookmarkStart w:id="278" w:name="_Toc491014952"/>
      <w:bookmarkStart w:id="279" w:name="_Toc491015099"/>
      <w:bookmarkStart w:id="280" w:name="_Toc491029243"/>
      <w:bookmarkStart w:id="281" w:name="_Toc491030332"/>
      <w:bookmarkStart w:id="282" w:name="_Toc491030791"/>
      <w:bookmarkStart w:id="283" w:name="_Toc491031354"/>
      <w:bookmarkStart w:id="284" w:name="_Toc491031941"/>
      <w:bookmarkStart w:id="285" w:name="_Toc491032114"/>
      <w:bookmarkStart w:id="286" w:name="_Toc491032222"/>
      <w:bookmarkStart w:id="287" w:name="_Toc491032329"/>
      <w:bookmarkStart w:id="288" w:name="_Toc491771721"/>
      <w:bookmarkStart w:id="289" w:name="_Toc491773296"/>
      <w:bookmarkStart w:id="290" w:name="_Toc23559354"/>
      <w:bookmarkStart w:id="291" w:name="_Toc23559388"/>
      <w:bookmarkStart w:id="292" w:name="_Toc23559675"/>
      <w:bookmarkStart w:id="293" w:name="_Toc23560143"/>
      <w:bookmarkStart w:id="294" w:name="_Toc23563437"/>
      <w:bookmarkStart w:id="295" w:name="_Toc77998689"/>
      <w:bookmarkStart w:id="296" w:name="_Toc79406118"/>
      <w:bookmarkStart w:id="297" w:name="_Toc79467820"/>
      <w:bookmarkStart w:id="298" w:name="_Toc112211967"/>
      <w:bookmarkStart w:id="299" w:name="_Toc112212061"/>
      <w:bookmarkStart w:id="300" w:name="_Toc112137879"/>
      <w:bookmarkStart w:id="301" w:name="_Toc112137901"/>
      <w:bookmarkStart w:id="302" w:name="_Toc210646454"/>
      <w:bookmarkStart w:id="303" w:name="_Toc210698433"/>
      <w:bookmarkStart w:id="304" w:name="_Toc210703215"/>
      <w:bookmarkEnd w:id="245"/>
      <w:bookmarkEnd w:id="246"/>
      <w:bookmarkEnd w:id="261"/>
      <w:bookmarkEnd w:id="263"/>
      <w:bookmarkEnd w:id="264"/>
    </w:p>
    <w:p w14:paraId="2BEA3D62" w14:textId="22A66A84" w:rsidR="003547D3" w:rsidRPr="00A64C6D" w:rsidRDefault="003547D3" w:rsidP="00E2631B">
      <w:pPr>
        <w:pStyle w:val="Heading2-TOC"/>
        <w:spacing w:after="120"/>
        <w:rPr>
          <w:rFonts w:ascii="Book Antiqua" w:hAnsi="Book Antiqua"/>
          <w:b w:val="0"/>
          <w:sz w:val="20"/>
        </w:rPr>
      </w:pPr>
      <w:bookmarkStart w:id="305" w:name="_Toc157591996"/>
      <w:bookmarkStart w:id="306" w:name="_Toc157592179"/>
      <w:r w:rsidRPr="00A64C6D">
        <w:rPr>
          <w:rFonts w:ascii="Book Antiqua" w:hAnsi="Book Antiqua" w:cs="BookAntiqua"/>
          <w:b w:val="0"/>
          <w:sz w:val="20"/>
        </w:rPr>
        <w:t>The department’s activities, resourcing and performance reporting are organised under a structure of 4 Outcomes. These Outcomes represent the results or impacts on the community that the Government wishes to achieve.</w:t>
      </w:r>
      <w:bookmarkEnd w:id="305"/>
      <w:bookmarkEnd w:id="306"/>
    </w:p>
    <w:p w14:paraId="10059857" w14:textId="11209779" w:rsidR="00736DD8" w:rsidRPr="00E2631B" w:rsidRDefault="003547D3" w:rsidP="00E2631B">
      <w:pPr>
        <w:autoSpaceDE w:val="0"/>
        <w:autoSpaceDN w:val="0"/>
        <w:adjustRightInd w:val="0"/>
        <w:spacing w:before="0" w:after="0" w:line="240" w:lineRule="auto"/>
        <w:rPr>
          <w:rFonts w:cs="BookAntiqua"/>
          <w:sz w:val="20"/>
        </w:rPr>
      </w:pPr>
      <w:r w:rsidRPr="00A64C6D">
        <w:rPr>
          <w:rFonts w:cs="BookAntiqua"/>
          <w:sz w:val="20"/>
        </w:rPr>
        <w:t>There have been no changes to perform</w:t>
      </w:r>
      <w:r w:rsidR="00492AF1">
        <w:rPr>
          <w:rFonts w:cs="BookAntiqua"/>
          <w:sz w:val="20"/>
        </w:rPr>
        <w:t>ance information since the 2023</w:t>
      </w:r>
      <w:r w:rsidR="00492AF1" w:rsidRPr="008974FD">
        <w:rPr>
          <w:rFonts w:ascii="Arial" w:hAnsi="Arial" w:cs="Arial"/>
          <w:sz w:val="20"/>
        </w:rPr>
        <w:t>–</w:t>
      </w:r>
      <w:r w:rsidRPr="00A64C6D">
        <w:rPr>
          <w:rFonts w:cs="BookAntiqua"/>
          <w:sz w:val="20"/>
        </w:rPr>
        <w:t>24 Budget.</w:t>
      </w:r>
      <w:bookmarkStart w:id="307" w:name="_Toc531095068"/>
      <w:bookmarkStart w:id="308" w:name="_Toc152600111"/>
      <w:bookmarkEnd w:id="270"/>
      <w:bookmarkEnd w:id="271"/>
    </w:p>
    <w:p w14:paraId="0C13B156" w14:textId="77777777" w:rsidR="00B033A2" w:rsidRPr="008974FD" w:rsidRDefault="00670727" w:rsidP="00BE59E8">
      <w:pPr>
        <w:autoSpaceDE w:val="0"/>
        <w:autoSpaceDN w:val="0"/>
        <w:adjustRightInd w:val="0"/>
        <w:spacing w:line="240" w:lineRule="auto"/>
        <w:rPr>
          <w:rFonts w:ascii="Arial" w:hAnsi="Arial" w:cs="Arial"/>
          <w:b/>
          <w:sz w:val="24"/>
          <w:szCs w:val="22"/>
        </w:rPr>
      </w:pPr>
      <w:r w:rsidRPr="008974FD">
        <w:rPr>
          <w:rFonts w:ascii="Arial" w:hAnsi="Arial" w:cs="Arial"/>
          <w:b/>
          <w:sz w:val="24"/>
          <w:szCs w:val="22"/>
        </w:rPr>
        <w:fldChar w:fldCharType="begin"/>
      </w:r>
      <w:r w:rsidRPr="008974FD">
        <w:rPr>
          <w:rFonts w:ascii="Arial" w:hAnsi="Arial" w:cs="Arial"/>
          <w:b/>
          <w:sz w:val="24"/>
          <w:szCs w:val="22"/>
        </w:rPr>
        <w:instrText xml:space="preserve"> </w:instrText>
      </w:r>
      <w:proofErr w:type="gramStart"/>
      <w:r w:rsidRPr="008974FD">
        <w:rPr>
          <w:rFonts w:ascii="Arial" w:hAnsi="Arial" w:cs="Arial"/>
          <w:b/>
          <w:sz w:val="24"/>
          <w:szCs w:val="22"/>
        </w:rPr>
        <w:instrText>TC  "</w:instrText>
      </w:r>
      <w:bookmarkStart w:id="309" w:name="_Toc155882371"/>
      <w:proofErr w:type="gramEnd"/>
      <w:r w:rsidRPr="008974FD">
        <w:rPr>
          <w:rFonts w:ascii="Arial" w:hAnsi="Arial" w:cs="Arial"/>
          <w:b/>
          <w:sz w:val="24"/>
          <w:szCs w:val="22"/>
        </w:rPr>
        <w:instrText>2.1</w:instrText>
      </w:r>
      <w:r w:rsidRPr="008974FD">
        <w:rPr>
          <w:rFonts w:ascii="Arial" w:hAnsi="Arial" w:cs="Arial"/>
          <w:b/>
          <w:sz w:val="24"/>
          <w:szCs w:val="22"/>
        </w:rPr>
        <w:tab/>
        <w:instrText>Budgeted expenses and performance for Outcome 1</w:instrText>
      </w:r>
      <w:bookmarkEnd w:id="309"/>
      <w:r w:rsidRPr="008974FD">
        <w:rPr>
          <w:rFonts w:ascii="Arial" w:hAnsi="Arial" w:cs="Arial"/>
          <w:b/>
          <w:sz w:val="24"/>
          <w:szCs w:val="22"/>
        </w:rPr>
        <w:instrText xml:space="preserve">" \f </w:instrText>
      </w:r>
      <w:proofErr w:type="spellStart"/>
      <w:r w:rsidRPr="008974FD">
        <w:rPr>
          <w:rFonts w:ascii="Arial" w:hAnsi="Arial" w:cs="Arial"/>
          <w:b/>
          <w:sz w:val="24"/>
          <w:szCs w:val="22"/>
        </w:rPr>
        <w:instrText>dohac</w:instrText>
      </w:r>
      <w:proofErr w:type="spellEnd"/>
      <w:r w:rsidRPr="008974FD">
        <w:rPr>
          <w:rFonts w:ascii="Arial" w:hAnsi="Arial" w:cs="Arial"/>
          <w:b/>
          <w:sz w:val="24"/>
          <w:szCs w:val="22"/>
        </w:rPr>
        <w:instrText xml:space="preserve"> \l 2 </w:instrText>
      </w:r>
      <w:r w:rsidRPr="008974FD">
        <w:rPr>
          <w:rFonts w:ascii="Arial" w:hAnsi="Arial" w:cs="Arial"/>
          <w:b/>
          <w:sz w:val="24"/>
          <w:szCs w:val="22"/>
        </w:rPr>
        <w:fldChar w:fldCharType="end"/>
      </w:r>
      <w:r w:rsidR="00736DD8" w:rsidRPr="008974FD">
        <w:rPr>
          <w:rFonts w:ascii="Arial" w:hAnsi="Arial" w:cs="Arial"/>
          <w:b/>
          <w:sz w:val="24"/>
          <w:szCs w:val="22"/>
        </w:rPr>
        <w:t>2.</w:t>
      </w:r>
      <w:r w:rsidR="00825503" w:rsidRPr="008974FD">
        <w:rPr>
          <w:rFonts w:ascii="Arial" w:hAnsi="Arial" w:cs="Arial"/>
          <w:b/>
          <w:sz w:val="24"/>
          <w:szCs w:val="22"/>
        </w:rPr>
        <w:t>1</w:t>
      </w:r>
      <w:r w:rsidR="00736DD8" w:rsidRPr="008974FD">
        <w:rPr>
          <w:rFonts w:ascii="Arial" w:hAnsi="Arial" w:cs="Arial"/>
          <w:b/>
          <w:sz w:val="24"/>
          <w:szCs w:val="22"/>
        </w:rP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00736DD8" w:rsidRPr="008974FD">
        <w:rPr>
          <w:rFonts w:ascii="Arial" w:hAnsi="Arial" w:cs="Arial"/>
          <w:b/>
          <w:sz w:val="24"/>
          <w:szCs w:val="22"/>
        </w:rPr>
        <w:t xml:space="preserve">Budgeted expenses and performance for Outcome </w:t>
      </w:r>
      <w:r w:rsidR="002B5B49" w:rsidRPr="008974FD">
        <w:rPr>
          <w:rFonts w:ascii="Arial" w:hAnsi="Arial" w:cs="Arial"/>
          <w:b/>
          <w:sz w:val="24"/>
          <w:szCs w:val="22"/>
        </w:rPr>
        <w:t>1</w:t>
      </w:r>
      <w:bookmarkEnd w:id="307"/>
      <w:bookmarkEnd w:id="308"/>
    </w:p>
    <w:tbl>
      <w:tblPr>
        <w:tblW w:w="50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84"/>
      </w:tblGrid>
      <w:tr w:rsidR="00736DD8" w:rsidRPr="005E6F2B" w14:paraId="77F4F123" w14:textId="77777777" w:rsidTr="0097229C">
        <w:trPr>
          <w:trHeight w:val="1588"/>
        </w:trPr>
        <w:tc>
          <w:tcPr>
            <w:tcW w:w="7784" w:type="dxa"/>
            <w:shd w:val="clear" w:color="auto" w:fill="E6E6E6"/>
          </w:tcPr>
          <w:p w14:paraId="638A56FC" w14:textId="38CF71AC" w:rsidR="002B5B49" w:rsidRPr="007E5154" w:rsidRDefault="002B5B49" w:rsidP="0097229C">
            <w:pPr>
              <w:autoSpaceDE w:val="0"/>
              <w:autoSpaceDN w:val="0"/>
              <w:adjustRightInd w:val="0"/>
              <w:spacing w:before="24" w:after="0" w:line="240" w:lineRule="auto"/>
              <w:rPr>
                <w:rFonts w:ascii="Arial" w:hAnsi="Arial" w:cs="Arial"/>
                <w:b/>
                <w:bCs/>
                <w:sz w:val="20"/>
              </w:rPr>
            </w:pPr>
            <w:r w:rsidRPr="007E5154">
              <w:rPr>
                <w:rFonts w:ascii="Arial" w:hAnsi="Arial" w:cs="Arial"/>
                <w:b/>
                <w:bCs/>
                <w:sz w:val="20"/>
              </w:rPr>
              <w:t xml:space="preserve">Outcome 1: Health Policy, </w:t>
            </w:r>
            <w:proofErr w:type="gramStart"/>
            <w:r w:rsidRPr="007E5154">
              <w:rPr>
                <w:rFonts w:ascii="Arial" w:hAnsi="Arial" w:cs="Arial"/>
                <w:b/>
                <w:bCs/>
                <w:sz w:val="20"/>
              </w:rPr>
              <w:t>Access</w:t>
            </w:r>
            <w:proofErr w:type="gramEnd"/>
            <w:r w:rsidRPr="007E5154">
              <w:rPr>
                <w:rFonts w:ascii="Arial" w:hAnsi="Arial" w:cs="Arial"/>
                <w:b/>
                <w:bCs/>
                <w:sz w:val="20"/>
              </w:rPr>
              <w:t xml:space="preserve"> and Support</w:t>
            </w:r>
          </w:p>
          <w:p w14:paraId="5F526B8D" w14:textId="2DFA1B33" w:rsidR="00736DD8" w:rsidRPr="00AF44FE" w:rsidRDefault="002B5B49" w:rsidP="0076022B">
            <w:pPr>
              <w:autoSpaceDE w:val="0"/>
              <w:autoSpaceDN w:val="0"/>
              <w:adjustRightInd w:val="0"/>
              <w:spacing w:before="74" w:after="24" w:line="240" w:lineRule="auto"/>
              <w:rPr>
                <w:sz w:val="20"/>
              </w:rPr>
            </w:pPr>
            <w:r w:rsidRPr="00AF44FE">
              <w:rPr>
                <w:rFonts w:ascii="Arial" w:hAnsi="Arial" w:cs="Arial"/>
                <w:sz w:val="20"/>
              </w:rPr>
              <w:t>Better equip Australia to meet current and future health needs of all Australians through the</w:t>
            </w:r>
            <w:r>
              <w:rPr>
                <w:rFonts w:ascii="Arial" w:hAnsi="Arial" w:cs="Arial"/>
                <w:sz w:val="20"/>
              </w:rPr>
              <w:t xml:space="preserve"> </w:t>
            </w:r>
            <w:r w:rsidRPr="00AF44FE">
              <w:rPr>
                <w:rFonts w:ascii="Arial" w:hAnsi="Arial" w:cs="Arial"/>
                <w:sz w:val="20"/>
              </w:rPr>
              <w:t>delivery of evidence-based health policies; improved access to comprehensive and</w:t>
            </w:r>
            <w:r>
              <w:rPr>
                <w:rFonts w:ascii="Arial" w:hAnsi="Arial" w:cs="Arial"/>
                <w:sz w:val="20"/>
              </w:rPr>
              <w:t xml:space="preserve"> </w:t>
            </w:r>
            <w:r w:rsidRPr="00AF44FE">
              <w:rPr>
                <w:rFonts w:ascii="Arial" w:hAnsi="Arial" w:cs="Arial"/>
                <w:sz w:val="20"/>
              </w:rPr>
              <w:t xml:space="preserve">coordinated health care; ensuring sustainable funding for health services, </w:t>
            </w:r>
            <w:proofErr w:type="gramStart"/>
            <w:r w:rsidRPr="00AF44FE">
              <w:rPr>
                <w:rFonts w:ascii="Arial" w:hAnsi="Arial" w:cs="Arial"/>
                <w:sz w:val="20"/>
              </w:rPr>
              <w:t>research</w:t>
            </w:r>
            <w:proofErr w:type="gramEnd"/>
            <w:r w:rsidRPr="00AF44FE">
              <w:rPr>
                <w:rFonts w:ascii="Arial" w:hAnsi="Arial" w:cs="Arial"/>
                <w:sz w:val="20"/>
              </w:rPr>
              <w:t xml:space="preserve"> and</w:t>
            </w:r>
            <w:r>
              <w:rPr>
                <w:rFonts w:ascii="Arial" w:hAnsi="Arial" w:cs="Arial"/>
                <w:sz w:val="20"/>
              </w:rPr>
              <w:t xml:space="preserve"> </w:t>
            </w:r>
            <w:r w:rsidRPr="00AF44FE">
              <w:rPr>
                <w:rFonts w:ascii="Arial" w:hAnsi="Arial" w:cs="Arial"/>
                <w:sz w:val="20"/>
              </w:rPr>
              <w:t>technologies; and protecting the health and safety of the Australian community.</w:t>
            </w:r>
          </w:p>
        </w:tc>
      </w:tr>
    </w:tbl>
    <w:p w14:paraId="0AD3C1A8" w14:textId="77777777" w:rsidR="00736DD8" w:rsidRPr="005E6F2B" w:rsidRDefault="00736DD8" w:rsidP="00736DD8">
      <w:pPr>
        <w:pStyle w:val="NoSpacing"/>
      </w:pPr>
    </w:p>
    <w:p w14:paraId="78B8F9E8" w14:textId="4BA52C2C" w:rsidR="00736DD8" w:rsidRDefault="00736DD8" w:rsidP="00736DD8">
      <w:pPr>
        <w:pStyle w:val="Heading4"/>
        <w:rPr>
          <w:sz w:val="22"/>
          <w:szCs w:val="22"/>
        </w:rPr>
      </w:pPr>
      <w:r w:rsidRPr="00F862B3">
        <w:rPr>
          <w:sz w:val="22"/>
          <w:szCs w:val="22"/>
        </w:rPr>
        <w:t>Linked programs</w:t>
      </w:r>
    </w:p>
    <w:p w14:paraId="1A9C76AB" w14:textId="0D23538E" w:rsidR="00AF44FE" w:rsidRPr="005C6119" w:rsidRDefault="00AF44FE" w:rsidP="00AF44FE">
      <w:pPr>
        <w:rPr>
          <w:sz w:val="20"/>
        </w:rPr>
      </w:pPr>
      <w:r w:rsidRPr="005C6119">
        <w:rPr>
          <w:sz w:val="20"/>
        </w:rPr>
        <w:t>Changes to Outcome 1 Linked Programs are detailed below. Refer page 44 of the</w:t>
      </w:r>
      <w:r w:rsidRPr="005C6119">
        <w:rPr>
          <w:i/>
          <w:sz w:val="20"/>
        </w:rPr>
        <w:t xml:space="preserve"> Health and Aged Care P</w:t>
      </w:r>
      <w:r w:rsidR="00492AF1">
        <w:rPr>
          <w:i/>
          <w:sz w:val="20"/>
        </w:rPr>
        <w:t>ortfolio Budget Statements 2023</w:t>
      </w:r>
      <w:r w:rsidR="00492AF1" w:rsidRPr="008974FD">
        <w:rPr>
          <w:rFonts w:ascii="Arial" w:hAnsi="Arial" w:cs="Arial"/>
          <w:sz w:val="20"/>
        </w:rPr>
        <w:t>–</w:t>
      </w:r>
      <w:r w:rsidRPr="005C6119">
        <w:rPr>
          <w:i/>
          <w:sz w:val="20"/>
        </w:rPr>
        <w:t>24</w:t>
      </w:r>
      <w:r w:rsidRPr="005C6119">
        <w:rPr>
          <w:sz w:val="20"/>
        </w:rPr>
        <w:t xml:space="preserve"> for all remaining unchanged 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736DD8" w:rsidRPr="005E6F2B" w14:paraId="3306B758" w14:textId="77777777" w:rsidTr="003F1CF7">
        <w:trPr>
          <w:trHeight w:val="113"/>
          <w:tblHeader/>
        </w:trPr>
        <w:tc>
          <w:tcPr>
            <w:tcW w:w="7701" w:type="dxa"/>
            <w:tcBorders>
              <w:bottom w:val="dotted" w:sz="4" w:space="0" w:color="auto"/>
            </w:tcBorders>
          </w:tcPr>
          <w:p w14:paraId="6B583C1B" w14:textId="60F0FA62" w:rsidR="00736DD8" w:rsidRPr="005E6F2B" w:rsidRDefault="00877A12">
            <w:pPr>
              <w:pStyle w:val="ExampleText"/>
              <w:spacing w:before="37" w:after="37" w:line="240" w:lineRule="auto"/>
            </w:pPr>
            <w:r>
              <w:rPr>
                <w:rStyle w:val="ExampletextCharChar"/>
                <w:b/>
                <w:color w:val="auto"/>
              </w:rPr>
              <w:t>Other Commonwealth Entities that contribute to Outcome 1</w:t>
            </w:r>
            <w:r w:rsidR="00B033A2">
              <w:rPr>
                <w:rStyle w:val="FootnoteReference"/>
                <w:b/>
                <w:i w:val="0"/>
                <w:color w:val="auto"/>
                <w:sz w:val="20"/>
              </w:rPr>
              <w:footnoteReference w:id="5"/>
            </w:r>
            <w:r w:rsidR="00736DD8" w:rsidRPr="005E6F2B">
              <w:rPr>
                <w:rStyle w:val="ExampletextCharChar"/>
              </w:rPr>
              <w:t xml:space="preserve"> </w:t>
            </w:r>
          </w:p>
        </w:tc>
      </w:tr>
      <w:tr w:rsidR="003F1CF7" w:rsidRPr="005E6F2B" w14:paraId="5DA75639" w14:textId="77777777" w:rsidTr="007A6855">
        <w:trPr>
          <w:trHeight w:val="113"/>
        </w:trPr>
        <w:tc>
          <w:tcPr>
            <w:tcW w:w="7701" w:type="dxa"/>
          </w:tcPr>
          <w:p w14:paraId="30AB29EF" w14:textId="537A4245" w:rsidR="003F1CF7" w:rsidRPr="008974FD" w:rsidRDefault="00766A57" w:rsidP="008974FD">
            <w:pPr>
              <w:spacing w:before="49" w:after="49" w:line="240" w:lineRule="auto"/>
              <w:rPr>
                <w:rStyle w:val="ExampletextCharChar"/>
                <w:rFonts w:ascii="Arial" w:hAnsi="Arial" w:cs="Arial"/>
                <w:b/>
                <w:i w:val="0"/>
                <w:color w:val="auto"/>
                <w:sz w:val="18"/>
                <w:u w:val="single"/>
              </w:rPr>
            </w:pPr>
            <w:r w:rsidRPr="008974FD">
              <w:rPr>
                <w:rStyle w:val="ExampletextCharChar"/>
                <w:rFonts w:ascii="Arial" w:hAnsi="Arial" w:cs="Arial"/>
                <w:b/>
                <w:i w:val="0"/>
                <w:color w:val="auto"/>
                <w:sz w:val="18"/>
                <w:u w:val="single"/>
              </w:rPr>
              <w:t>Department of Social Services (DSS)</w:t>
            </w:r>
          </w:p>
          <w:p w14:paraId="2E5344A6" w14:textId="77777777" w:rsidR="00766A57" w:rsidRPr="00766A57" w:rsidRDefault="00766A57" w:rsidP="00766A57">
            <w:pPr>
              <w:pStyle w:val="Table-bullet10pt"/>
              <w:spacing w:before="37" w:after="37"/>
              <w:ind w:left="0" w:firstLine="0"/>
              <w:rPr>
                <w:rFonts w:ascii="Arial" w:eastAsia="Book Antiqua" w:hAnsi="Arial" w:cs="Arial"/>
                <w:b/>
                <w:sz w:val="18"/>
                <w:szCs w:val="18"/>
              </w:rPr>
            </w:pPr>
            <w:r w:rsidRPr="00766A57">
              <w:rPr>
                <w:rFonts w:ascii="Arial" w:hAnsi="Arial" w:cs="Arial"/>
                <w:b/>
                <w:sz w:val="18"/>
                <w:szCs w:val="18"/>
              </w:rPr>
              <w:t xml:space="preserve">Program 1.1: Support for Families </w:t>
            </w:r>
          </w:p>
          <w:p w14:paraId="4B7D5771" w14:textId="77777777" w:rsidR="00766A57" w:rsidRPr="00766A57" w:rsidRDefault="00766A57" w:rsidP="00766A57">
            <w:pPr>
              <w:pStyle w:val="Table-bullet10pt"/>
              <w:spacing w:before="37" w:after="37"/>
              <w:ind w:left="0" w:firstLine="0"/>
              <w:rPr>
                <w:rFonts w:ascii="Arial" w:eastAsia="Book Antiqua" w:hAnsi="Arial" w:cs="Arial"/>
                <w:b/>
                <w:sz w:val="18"/>
                <w:szCs w:val="18"/>
              </w:rPr>
            </w:pPr>
            <w:r w:rsidRPr="00766A57">
              <w:rPr>
                <w:rFonts w:ascii="Arial" w:hAnsi="Arial" w:cs="Arial"/>
                <w:b/>
                <w:sz w:val="18"/>
                <w:szCs w:val="18"/>
              </w:rPr>
              <w:t xml:space="preserve">Program 2.1: Families and Communities </w:t>
            </w:r>
          </w:p>
          <w:p w14:paraId="22905A4D" w14:textId="77777777" w:rsidR="00766A57" w:rsidRPr="001948E8" w:rsidRDefault="00766A57" w:rsidP="00766A57">
            <w:pPr>
              <w:pStyle w:val="Table-bullet10pt"/>
              <w:spacing w:before="37" w:after="37"/>
              <w:ind w:left="0" w:firstLine="0"/>
              <w:rPr>
                <w:rFonts w:ascii="Arial" w:eastAsia="Book Antiqua" w:hAnsi="Arial" w:cs="Arial"/>
                <w:b/>
                <w:sz w:val="18"/>
                <w:szCs w:val="18"/>
              </w:rPr>
            </w:pPr>
            <w:r w:rsidRPr="001948E8">
              <w:rPr>
                <w:rFonts w:ascii="Arial" w:hAnsi="Arial" w:cs="Arial"/>
                <w:b/>
                <w:sz w:val="18"/>
                <w:szCs w:val="18"/>
              </w:rPr>
              <w:t xml:space="preserve">Program 3.1: Disability and Carers </w:t>
            </w:r>
          </w:p>
          <w:p w14:paraId="6CCB94AF" w14:textId="59804C23" w:rsidR="00766A57" w:rsidRPr="001948E8" w:rsidRDefault="00766A57" w:rsidP="00766A57">
            <w:pPr>
              <w:spacing w:before="37" w:after="37" w:line="240" w:lineRule="auto"/>
              <w:rPr>
                <w:rFonts w:ascii="Arial" w:hAnsi="Arial" w:cs="Arial"/>
                <w:b/>
                <w:sz w:val="18"/>
                <w:szCs w:val="18"/>
              </w:rPr>
            </w:pPr>
            <w:r w:rsidRPr="001948E8">
              <w:rPr>
                <w:rFonts w:ascii="Arial" w:hAnsi="Arial" w:cs="Arial"/>
                <w:b/>
                <w:sz w:val="18"/>
                <w:szCs w:val="18"/>
              </w:rPr>
              <w:t>Program 3.2: National Disability Insurance Scheme</w:t>
            </w:r>
          </w:p>
          <w:p w14:paraId="29F5B109" w14:textId="6CF9859F" w:rsidR="00766A57" w:rsidRPr="00766A57" w:rsidRDefault="00766A57" w:rsidP="00766A57">
            <w:pPr>
              <w:spacing w:before="37" w:after="37" w:line="240" w:lineRule="auto"/>
              <w:rPr>
                <w:rStyle w:val="ExampletextCharChar"/>
                <w:rFonts w:ascii="Arial" w:hAnsi="Arial" w:cs="Arial"/>
                <w:b/>
                <w:i w:val="0"/>
                <w:color w:val="auto"/>
                <w:sz w:val="18"/>
                <w:szCs w:val="18"/>
              </w:rPr>
            </w:pPr>
            <w:r w:rsidRPr="00766A57">
              <w:rPr>
                <w:rFonts w:ascii="Arial" w:hAnsi="Arial" w:cs="Arial"/>
                <w:sz w:val="18"/>
                <w:szCs w:val="18"/>
              </w:rPr>
              <w:t xml:space="preserve">DSS contributes to: </w:t>
            </w:r>
          </w:p>
          <w:p w14:paraId="7FDD9872" w14:textId="558AE73B" w:rsidR="00766A57" w:rsidRPr="00563BF7" w:rsidRDefault="00766A57" w:rsidP="00766A57">
            <w:pPr>
              <w:pStyle w:val="ListParagraph"/>
              <w:numPr>
                <w:ilvl w:val="0"/>
                <w:numId w:val="47"/>
              </w:numPr>
              <w:spacing w:before="37" w:after="37"/>
              <w:ind w:left="223" w:hanging="223"/>
              <w:rPr>
                <w:rFonts w:ascii="Arial" w:hAnsi="Arial" w:cs="Arial"/>
                <w:i/>
                <w:sz w:val="18"/>
                <w:szCs w:val="18"/>
              </w:rPr>
            </w:pPr>
            <w:r w:rsidRPr="00563BF7">
              <w:rPr>
                <w:rFonts w:ascii="Arial" w:hAnsi="Arial" w:cs="Arial"/>
                <w:i/>
                <w:color w:val="000000" w:themeColor="text1"/>
                <w:sz w:val="18"/>
                <w:szCs w:val="18"/>
              </w:rPr>
              <w:t>collaborating across government and with the disability community to lead the design and establishment of the National Disability Data Asset (1.1).</w:t>
            </w:r>
            <w:r w:rsidRPr="00563BF7">
              <w:rPr>
                <w:rFonts w:ascii="Arial" w:hAnsi="Arial" w:cs="Arial"/>
                <w:i/>
                <w:sz w:val="18"/>
                <w:szCs w:val="18"/>
              </w:rPr>
              <w:t xml:space="preserve"> </w:t>
            </w:r>
          </w:p>
          <w:p w14:paraId="732E46DF" w14:textId="155C02CD" w:rsidR="00766A57" w:rsidRP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color w:val="000000" w:themeColor="text1"/>
                <w:sz w:val="18"/>
                <w:szCs w:val="18"/>
              </w:rPr>
              <w:t>improving access to services and support for people with psychosocial disability through implementation of the National Disabili</w:t>
            </w:r>
            <w:r w:rsidR="00563BF7">
              <w:rPr>
                <w:rFonts w:ascii="Arial" w:hAnsi="Arial" w:cs="Arial"/>
                <w:color w:val="000000" w:themeColor="text1"/>
                <w:sz w:val="18"/>
                <w:szCs w:val="18"/>
              </w:rPr>
              <w:t>ty Insurance Scheme (NDIS</w:t>
            </w:r>
            <w:proofErr w:type="gramStart"/>
            <w:r w:rsidR="00563BF7">
              <w:rPr>
                <w:rFonts w:ascii="Arial" w:hAnsi="Arial" w:cs="Arial"/>
                <w:color w:val="000000" w:themeColor="text1"/>
                <w:sz w:val="18"/>
                <w:szCs w:val="18"/>
              </w:rPr>
              <w:t>)(</w:t>
            </w:r>
            <w:proofErr w:type="gramEnd"/>
            <w:r w:rsidR="00563BF7">
              <w:rPr>
                <w:rFonts w:ascii="Arial" w:hAnsi="Arial" w:cs="Arial"/>
                <w:color w:val="000000" w:themeColor="text1"/>
                <w:sz w:val="18"/>
                <w:szCs w:val="18"/>
              </w:rPr>
              <w:t>1.2).</w:t>
            </w:r>
          </w:p>
          <w:p w14:paraId="5161C3C9" w14:textId="29379EDB" w:rsidR="00766A57" w:rsidRP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color w:val="000000" w:themeColor="text1"/>
                <w:sz w:val="18"/>
                <w:szCs w:val="18"/>
              </w:rPr>
              <w:t xml:space="preserve">improving access to services and support for people with mental illness to achieve and maintain sustainable participation in employment and/or vocational education (1.2). </w:t>
            </w:r>
          </w:p>
          <w:p w14:paraId="2EA0C9B7" w14:textId="43F2B4C0" w:rsidR="00766A57" w:rsidRPr="00563BF7" w:rsidRDefault="00766A57" w:rsidP="00766A57">
            <w:pPr>
              <w:pStyle w:val="ListParagraph"/>
              <w:numPr>
                <w:ilvl w:val="0"/>
                <w:numId w:val="47"/>
              </w:numPr>
              <w:spacing w:before="37" w:after="37"/>
              <w:ind w:left="223" w:hanging="223"/>
              <w:rPr>
                <w:rFonts w:ascii="Arial" w:hAnsi="Arial" w:cs="Arial"/>
                <w:i/>
                <w:color w:val="000000" w:themeColor="text1"/>
                <w:sz w:val="18"/>
                <w:szCs w:val="18"/>
              </w:rPr>
            </w:pPr>
            <w:r w:rsidRPr="00563BF7">
              <w:rPr>
                <w:rFonts w:ascii="Arial" w:hAnsi="Arial" w:cs="Arial"/>
                <w:i/>
                <w:color w:val="000000" w:themeColor="text1"/>
                <w:sz w:val="18"/>
                <w:szCs w:val="18"/>
              </w:rPr>
              <w:t xml:space="preserve">improving the capacity of mainstream services within the health care sector to respond to, and </w:t>
            </w:r>
            <w:proofErr w:type="gramStart"/>
            <w:r w:rsidRPr="00563BF7">
              <w:rPr>
                <w:rFonts w:ascii="Arial" w:hAnsi="Arial" w:cs="Arial"/>
                <w:i/>
                <w:color w:val="000000" w:themeColor="text1"/>
                <w:sz w:val="18"/>
                <w:szCs w:val="18"/>
              </w:rPr>
              <w:t>include,</w:t>
            </w:r>
            <w:proofErr w:type="gramEnd"/>
            <w:r w:rsidRPr="00563BF7">
              <w:rPr>
                <w:rFonts w:ascii="Arial" w:hAnsi="Arial" w:cs="Arial"/>
                <w:i/>
                <w:color w:val="000000" w:themeColor="text1"/>
                <w:sz w:val="18"/>
                <w:szCs w:val="18"/>
              </w:rPr>
              <w:t xml:space="preserve"> people with disability and intersectional groups, increasing accessibility and </w:t>
            </w:r>
            <w:r w:rsidRPr="00563BF7">
              <w:rPr>
                <w:rFonts w:ascii="Arial" w:hAnsi="Arial" w:cs="Arial"/>
                <w:i/>
                <w:color w:val="000000" w:themeColor="text1"/>
                <w:sz w:val="18"/>
                <w:szCs w:val="18"/>
              </w:rPr>
              <w:lastRenderedPageBreak/>
              <w:t xml:space="preserve">use of mainstream services through the Information Linkages and Capacity </w:t>
            </w:r>
            <w:r w:rsidR="00E2631B">
              <w:rPr>
                <w:rFonts w:ascii="Arial" w:hAnsi="Arial" w:cs="Arial"/>
                <w:i/>
                <w:color w:val="000000" w:themeColor="text1"/>
                <w:sz w:val="18"/>
                <w:szCs w:val="18"/>
              </w:rPr>
              <w:br/>
            </w:r>
            <w:r w:rsidRPr="00563BF7">
              <w:rPr>
                <w:rFonts w:ascii="Arial" w:hAnsi="Arial" w:cs="Arial"/>
                <w:i/>
                <w:color w:val="000000" w:themeColor="text1"/>
                <w:sz w:val="18"/>
                <w:szCs w:val="18"/>
              </w:rPr>
              <w:t>Building – Mainstream Capacity Building program (1.4).</w:t>
            </w:r>
          </w:p>
          <w:p w14:paraId="69674732" w14:textId="27C16EBD" w:rsidR="00766A57" w:rsidRPr="00563BF7" w:rsidRDefault="00766A57" w:rsidP="00766A57">
            <w:pPr>
              <w:pStyle w:val="ListParagraph"/>
              <w:numPr>
                <w:ilvl w:val="0"/>
                <w:numId w:val="47"/>
              </w:numPr>
              <w:spacing w:before="37" w:after="37"/>
              <w:ind w:left="223" w:hanging="223"/>
              <w:rPr>
                <w:rFonts w:ascii="Arial" w:hAnsi="Arial" w:cs="Arial"/>
                <w:i/>
                <w:color w:val="000000" w:themeColor="text1"/>
                <w:sz w:val="18"/>
                <w:szCs w:val="18"/>
              </w:rPr>
            </w:pPr>
            <w:r w:rsidRPr="00563BF7">
              <w:rPr>
                <w:rFonts w:ascii="Arial" w:hAnsi="Arial" w:cs="Arial"/>
                <w:i/>
                <w:color w:val="000000" w:themeColor="text1"/>
                <w:sz w:val="18"/>
                <w:szCs w:val="18"/>
              </w:rPr>
              <w:t>coordinating and reporting on action at all levels of government to improve the lives of people with disability through Austr</w:t>
            </w:r>
            <w:r w:rsidR="00492AF1">
              <w:rPr>
                <w:rFonts w:ascii="Arial" w:hAnsi="Arial" w:cs="Arial"/>
                <w:i/>
                <w:color w:val="000000" w:themeColor="text1"/>
                <w:sz w:val="18"/>
                <w:szCs w:val="18"/>
              </w:rPr>
              <w:t>alia’s Disability Strategy 2021</w:t>
            </w:r>
            <w:r w:rsidR="00492AF1" w:rsidRPr="00C82B16">
              <w:rPr>
                <w:rFonts w:ascii="Arial" w:hAnsi="Arial" w:cs="Arial"/>
                <w:b/>
                <w:sz w:val="20"/>
              </w:rPr>
              <w:t>–</w:t>
            </w:r>
            <w:r w:rsidRPr="00563BF7">
              <w:rPr>
                <w:rFonts w:ascii="Arial" w:hAnsi="Arial" w:cs="Arial"/>
                <w:i/>
                <w:color w:val="000000" w:themeColor="text1"/>
                <w:sz w:val="18"/>
                <w:szCs w:val="18"/>
              </w:rPr>
              <w:t xml:space="preserve">31 (ADS), in line with the Health and Wellbeing Outcome Area of ADS and other relevant Outcome Areas </w:t>
            </w:r>
            <w:r w:rsidR="00E2631B">
              <w:rPr>
                <w:rFonts w:ascii="Arial" w:hAnsi="Arial" w:cs="Arial"/>
                <w:i/>
                <w:color w:val="000000" w:themeColor="text1"/>
                <w:sz w:val="18"/>
                <w:szCs w:val="18"/>
              </w:rPr>
              <w:br/>
            </w:r>
            <w:r w:rsidRPr="00563BF7">
              <w:rPr>
                <w:rFonts w:ascii="Arial" w:hAnsi="Arial" w:cs="Arial"/>
                <w:i/>
                <w:color w:val="000000" w:themeColor="text1"/>
                <w:sz w:val="18"/>
                <w:szCs w:val="18"/>
              </w:rPr>
              <w:t xml:space="preserve">(1.1 – 1.9). </w:t>
            </w:r>
            <w:r w:rsidR="00492AF1">
              <w:rPr>
                <w:rFonts w:ascii="Arial" w:hAnsi="Arial" w:cs="Arial"/>
                <w:i/>
                <w:color w:val="000000" w:themeColor="text1"/>
                <w:sz w:val="18"/>
                <w:szCs w:val="18"/>
              </w:rPr>
              <w:t xml:space="preserve"> </w:t>
            </w:r>
          </w:p>
          <w:p w14:paraId="23A5E5FF" w14:textId="77777777" w:rsidR="00766A57" w:rsidRPr="00563BF7" w:rsidRDefault="00766A57" w:rsidP="00766A57">
            <w:pPr>
              <w:pStyle w:val="ListParagraph"/>
              <w:numPr>
                <w:ilvl w:val="0"/>
                <w:numId w:val="47"/>
              </w:numPr>
              <w:spacing w:before="37" w:after="37"/>
              <w:ind w:left="223" w:hanging="223"/>
              <w:rPr>
                <w:rFonts w:ascii="Arial" w:hAnsi="Arial" w:cs="Arial"/>
                <w:i/>
                <w:color w:val="000000" w:themeColor="text1"/>
                <w:sz w:val="18"/>
                <w:szCs w:val="18"/>
              </w:rPr>
            </w:pPr>
            <w:r w:rsidRPr="00563BF7">
              <w:rPr>
                <w:rFonts w:ascii="Arial" w:hAnsi="Arial" w:cs="Arial"/>
                <w:i/>
                <w:color w:val="000000" w:themeColor="text1"/>
                <w:sz w:val="18"/>
                <w:szCs w:val="18"/>
              </w:rPr>
              <w:t xml:space="preserve">supporting all Australian Government agencies to undertake further action under the cross-cutting disability outcome of the National Agreement on Closing the Gap, to focus on improved outcomes for First Nations people with disability (1.3).  </w:t>
            </w:r>
          </w:p>
          <w:p w14:paraId="462B3CE9" w14:textId="321EEE42" w:rsidR="00766A57" w:rsidRP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sz w:val="18"/>
                <w:szCs w:val="18"/>
              </w:rPr>
              <w:t xml:space="preserve">improving the quality of Australia’s health workforce through targeted training on </w:t>
            </w:r>
            <w:proofErr w:type="spellStart"/>
            <w:r w:rsidRPr="00766A57">
              <w:rPr>
                <w:rFonts w:ascii="Arial" w:hAnsi="Arial" w:cs="Arial"/>
                <w:sz w:val="18"/>
                <w:szCs w:val="18"/>
              </w:rPr>
              <w:t>recognising</w:t>
            </w:r>
            <w:proofErr w:type="spellEnd"/>
            <w:r w:rsidRPr="00766A57">
              <w:rPr>
                <w:rFonts w:ascii="Arial" w:hAnsi="Arial" w:cs="Arial"/>
                <w:sz w:val="18"/>
                <w:szCs w:val="18"/>
              </w:rPr>
              <w:t xml:space="preserve"> and responding to clients impacted by family, domestic, and sexual violence. DSS fund domestic violence alert training and accredited training for sexual violence responses, targeted to health professionals, an</w:t>
            </w:r>
            <w:r w:rsidR="00563BF7">
              <w:rPr>
                <w:rFonts w:ascii="Arial" w:hAnsi="Arial" w:cs="Arial"/>
                <w:sz w:val="18"/>
                <w:szCs w:val="18"/>
              </w:rPr>
              <w:t>d other frontline workers (1.4).</w:t>
            </w:r>
          </w:p>
          <w:p w14:paraId="626C48E8" w14:textId="77777777" w:rsidR="00766A57" w:rsidRPr="00563BF7" w:rsidRDefault="00766A57" w:rsidP="00766A57">
            <w:pPr>
              <w:pStyle w:val="ListParagraph"/>
              <w:numPr>
                <w:ilvl w:val="0"/>
                <w:numId w:val="47"/>
              </w:numPr>
              <w:spacing w:before="37" w:after="37"/>
              <w:ind w:left="223" w:hanging="223"/>
              <w:rPr>
                <w:rFonts w:ascii="Arial" w:hAnsi="Arial" w:cs="Arial"/>
                <w:i/>
                <w:color w:val="000000" w:themeColor="text1"/>
                <w:sz w:val="18"/>
                <w:szCs w:val="18"/>
              </w:rPr>
            </w:pPr>
            <w:r w:rsidRPr="00563BF7">
              <w:rPr>
                <w:rFonts w:ascii="Arial" w:hAnsi="Arial" w:cs="Arial"/>
                <w:i/>
                <w:sz w:val="18"/>
                <w:szCs w:val="18"/>
              </w:rPr>
              <w:t>improving access to services and support, including allied health services and Medicare Benefits Schedule items, for children, young people, and their families experiencing disadvantage or who are vulnerable to abuse and neglect.</w:t>
            </w:r>
          </w:p>
          <w:p w14:paraId="796B6395" w14:textId="6FC13562" w:rsidR="00766A57" w:rsidRPr="00563BF7" w:rsidRDefault="00766A57" w:rsidP="00766A57">
            <w:pPr>
              <w:pStyle w:val="ListParagraph"/>
              <w:numPr>
                <w:ilvl w:val="0"/>
                <w:numId w:val="47"/>
              </w:numPr>
              <w:spacing w:before="37" w:after="37"/>
              <w:ind w:left="223" w:hanging="223"/>
              <w:rPr>
                <w:rFonts w:ascii="Arial" w:hAnsi="Arial" w:cs="Arial"/>
                <w:i/>
                <w:color w:val="000000" w:themeColor="text1"/>
                <w:sz w:val="18"/>
                <w:szCs w:val="18"/>
              </w:rPr>
            </w:pPr>
            <w:r w:rsidRPr="00563BF7">
              <w:rPr>
                <w:rFonts w:ascii="Arial" w:hAnsi="Arial" w:cs="Arial"/>
                <w:i/>
                <w:sz w:val="18"/>
                <w:szCs w:val="18"/>
              </w:rPr>
              <w:t>Safe and Supported: The National Framework for Prote</w:t>
            </w:r>
            <w:r w:rsidR="00492AF1">
              <w:rPr>
                <w:rFonts w:ascii="Arial" w:hAnsi="Arial" w:cs="Arial"/>
                <w:i/>
                <w:sz w:val="18"/>
                <w:szCs w:val="18"/>
              </w:rPr>
              <w:t xml:space="preserve">cting Australia’s Children </w:t>
            </w:r>
            <w:r w:rsidR="00A52488">
              <w:rPr>
                <w:rFonts w:ascii="Arial" w:hAnsi="Arial" w:cs="Arial"/>
                <w:i/>
                <w:sz w:val="18"/>
                <w:szCs w:val="18"/>
              </w:rPr>
              <w:br/>
            </w:r>
            <w:r w:rsidR="00492AF1">
              <w:rPr>
                <w:rFonts w:ascii="Arial" w:hAnsi="Arial" w:cs="Arial"/>
                <w:i/>
                <w:sz w:val="18"/>
                <w:szCs w:val="18"/>
              </w:rPr>
              <w:t>2021</w:t>
            </w:r>
            <w:r w:rsidR="00492AF1" w:rsidRPr="00C82B16">
              <w:rPr>
                <w:rFonts w:ascii="Arial" w:hAnsi="Arial" w:cs="Arial"/>
                <w:b/>
                <w:sz w:val="20"/>
              </w:rPr>
              <w:t>–</w:t>
            </w:r>
            <w:r w:rsidRPr="00563BF7">
              <w:rPr>
                <w:rFonts w:ascii="Arial" w:hAnsi="Arial" w:cs="Arial"/>
                <w:i/>
                <w:sz w:val="18"/>
                <w:szCs w:val="18"/>
              </w:rPr>
              <w:t xml:space="preserve">2031 (Safe and Supported) includes actions to improve early intervention and targeted support, drive service access improvements for children and young people in out-of-home care </w:t>
            </w:r>
            <w:proofErr w:type="gramStart"/>
            <w:r w:rsidRPr="00563BF7">
              <w:rPr>
                <w:rFonts w:ascii="Arial" w:hAnsi="Arial" w:cs="Arial"/>
                <w:i/>
                <w:sz w:val="18"/>
                <w:szCs w:val="18"/>
              </w:rPr>
              <w:t>in order to</w:t>
            </w:r>
            <w:proofErr w:type="gramEnd"/>
            <w:r w:rsidRPr="00563BF7">
              <w:rPr>
                <w:rFonts w:ascii="Arial" w:hAnsi="Arial" w:cs="Arial"/>
                <w:i/>
                <w:sz w:val="18"/>
                <w:szCs w:val="18"/>
              </w:rPr>
              <w:t xml:space="preserve"> ensure their lifetime wellbeing outcomes are on par with their peers, and strategies to support the future sustainability of the child and family sector workforce. </w:t>
            </w:r>
            <w:r w:rsidRPr="00563BF7">
              <w:rPr>
                <w:rFonts w:ascii="Arial" w:hAnsi="Arial" w:cs="Arial"/>
                <w:sz w:val="18"/>
                <w:szCs w:val="18"/>
              </w:rPr>
              <w:t xml:space="preserve">Safe and </w:t>
            </w:r>
            <w:proofErr w:type="gramStart"/>
            <w:r w:rsidRPr="00563BF7">
              <w:rPr>
                <w:rFonts w:ascii="Arial" w:hAnsi="Arial" w:cs="Arial"/>
                <w:sz w:val="18"/>
                <w:szCs w:val="18"/>
              </w:rPr>
              <w:t>Supported</w:t>
            </w:r>
            <w:proofErr w:type="gramEnd"/>
            <w:r w:rsidRPr="00563BF7">
              <w:rPr>
                <w:rFonts w:ascii="Arial" w:hAnsi="Arial" w:cs="Arial"/>
                <w:sz w:val="18"/>
                <w:szCs w:val="18"/>
              </w:rPr>
              <w:t xml:space="preserve"> sets out Australia’s 10-year strategy to make significant and sustained progress in reducing the rates of child abuse and neglect and its intergenerational impacts</w:t>
            </w:r>
            <w:r w:rsidRPr="00563BF7">
              <w:rPr>
                <w:rFonts w:ascii="Arial" w:hAnsi="Arial" w:cs="Arial"/>
                <w:i/>
                <w:sz w:val="18"/>
                <w:szCs w:val="18"/>
              </w:rPr>
              <w:t xml:space="preserve"> </w:t>
            </w:r>
            <w:r w:rsidR="00492AF1">
              <w:rPr>
                <w:rFonts w:ascii="Arial" w:hAnsi="Arial" w:cs="Arial"/>
                <w:i/>
                <w:sz w:val="18"/>
                <w:szCs w:val="18"/>
              </w:rPr>
              <w:t xml:space="preserve"> </w:t>
            </w:r>
          </w:p>
          <w:p w14:paraId="431367EF" w14:textId="0EEB902C" w:rsidR="00766A57" w:rsidRP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sz w:val="18"/>
                <w:szCs w:val="18"/>
              </w:rPr>
              <w:t xml:space="preserve">Safe and </w:t>
            </w:r>
            <w:proofErr w:type="gramStart"/>
            <w:r w:rsidRPr="00766A57">
              <w:rPr>
                <w:rFonts w:ascii="Arial" w:hAnsi="Arial" w:cs="Arial"/>
                <w:sz w:val="18"/>
                <w:szCs w:val="18"/>
              </w:rPr>
              <w:t>Supported</w:t>
            </w:r>
            <w:proofErr w:type="gramEnd"/>
            <w:r w:rsidRPr="00766A57">
              <w:rPr>
                <w:rFonts w:ascii="Arial" w:hAnsi="Arial" w:cs="Arial"/>
                <w:sz w:val="18"/>
                <w:szCs w:val="18"/>
              </w:rPr>
              <w:t xml:space="preserve"> and its Action Plans focus on priority groups that are experiencing disadvantage and/or vulnerability. Achieving safety and wellbeing outcomes for these children, young people and families will help Safe and Support</w:t>
            </w:r>
            <w:r w:rsidR="00563BF7">
              <w:rPr>
                <w:rFonts w:ascii="Arial" w:hAnsi="Arial" w:cs="Arial"/>
                <w:sz w:val="18"/>
                <w:szCs w:val="18"/>
              </w:rPr>
              <w:t xml:space="preserve">ed achieve its goal </w:t>
            </w:r>
            <w:r w:rsidR="00E2631B">
              <w:rPr>
                <w:rFonts w:ascii="Arial" w:hAnsi="Arial" w:cs="Arial"/>
                <w:sz w:val="18"/>
                <w:szCs w:val="18"/>
              </w:rPr>
              <w:br/>
            </w:r>
            <w:r w:rsidR="00563BF7">
              <w:rPr>
                <w:rFonts w:ascii="Arial" w:hAnsi="Arial" w:cs="Arial"/>
                <w:sz w:val="18"/>
                <w:szCs w:val="18"/>
              </w:rPr>
              <w:t>(1.2 – 1.6).</w:t>
            </w:r>
          </w:p>
          <w:p w14:paraId="12899D8C" w14:textId="6866D6AD" w:rsidR="00766A57" w:rsidRP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color w:val="000000" w:themeColor="text1"/>
                <w:sz w:val="18"/>
                <w:szCs w:val="18"/>
              </w:rPr>
              <w:t xml:space="preserve">increasing </w:t>
            </w:r>
            <w:proofErr w:type="spellStart"/>
            <w:r w:rsidRPr="00766A57">
              <w:rPr>
                <w:rFonts w:ascii="Arial" w:hAnsi="Arial" w:cs="Arial"/>
                <w:color w:val="000000" w:themeColor="text1"/>
                <w:sz w:val="18"/>
                <w:szCs w:val="18"/>
              </w:rPr>
              <w:t>immunisation</w:t>
            </w:r>
            <w:proofErr w:type="spellEnd"/>
            <w:r w:rsidRPr="00766A57">
              <w:rPr>
                <w:rFonts w:ascii="Arial" w:hAnsi="Arial" w:cs="Arial"/>
                <w:color w:val="000000" w:themeColor="text1"/>
                <w:sz w:val="18"/>
                <w:szCs w:val="18"/>
              </w:rPr>
              <w:t xml:space="preserve"> coverage rates, which protect the health and safety of the Australian community by administering the Family Tax Benefit (FTB) Part A to eligible parents. Eligibility for the maximum rate of FTB Part A is linked to satisfying the requirements of age-r</w:t>
            </w:r>
            <w:r w:rsidR="00563BF7">
              <w:rPr>
                <w:rFonts w:ascii="Arial" w:hAnsi="Arial" w:cs="Arial"/>
                <w:color w:val="000000" w:themeColor="text1"/>
                <w:sz w:val="18"/>
                <w:szCs w:val="18"/>
              </w:rPr>
              <w:t xml:space="preserve">elated </w:t>
            </w:r>
            <w:proofErr w:type="spellStart"/>
            <w:r w:rsidR="00563BF7">
              <w:rPr>
                <w:rFonts w:ascii="Arial" w:hAnsi="Arial" w:cs="Arial"/>
                <w:color w:val="000000" w:themeColor="text1"/>
                <w:sz w:val="18"/>
                <w:szCs w:val="18"/>
              </w:rPr>
              <w:t>immunisation</w:t>
            </w:r>
            <w:proofErr w:type="spellEnd"/>
            <w:r w:rsidR="00563BF7">
              <w:rPr>
                <w:rFonts w:ascii="Arial" w:hAnsi="Arial" w:cs="Arial"/>
                <w:color w:val="000000" w:themeColor="text1"/>
                <w:sz w:val="18"/>
                <w:szCs w:val="18"/>
              </w:rPr>
              <w:t xml:space="preserve"> (1.9).</w:t>
            </w:r>
          </w:p>
          <w:p w14:paraId="7E67BB10" w14:textId="56537F0C" w:rsidR="00766A57" w:rsidRDefault="00766A57" w:rsidP="00766A57">
            <w:pPr>
              <w:pStyle w:val="ListParagraph"/>
              <w:numPr>
                <w:ilvl w:val="0"/>
                <w:numId w:val="47"/>
              </w:numPr>
              <w:spacing w:before="37" w:after="37"/>
              <w:ind w:left="223" w:hanging="223"/>
              <w:rPr>
                <w:rFonts w:ascii="Arial" w:hAnsi="Arial" w:cs="Arial"/>
                <w:color w:val="000000" w:themeColor="text1"/>
                <w:sz w:val="18"/>
                <w:szCs w:val="18"/>
              </w:rPr>
            </w:pPr>
            <w:r w:rsidRPr="00766A57">
              <w:rPr>
                <w:rFonts w:ascii="Arial" w:hAnsi="Arial" w:cs="Arial"/>
                <w:color w:val="000000" w:themeColor="text1"/>
                <w:sz w:val="18"/>
                <w:szCs w:val="18"/>
              </w:rPr>
              <w:t>encouraging better collaboration between programs and services to support the development and wellbeing of children to help them thrive across and between life stages, by leading the Early Childhood Targeted Action Plan to support Austr</w:t>
            </w:r>
            <w:r w:rsidR="00492AF1">
              <w:rPr>
                <w:rFonts w:ascii="Arial" w:hAnsi="Arial" w:cs="Arial"/>
                <w:color w:val="000000" w:themeColor="text1"/>
                <w:sz w:val="18"/>
                <w:szCs w:val="18"/>
              </w:rPr>
              <w:t>alia’s Disability Strategy 2021</w:t>
            </w:r>
            <w:r w:rsidR="00492AF1" w:rsidRPr="00C82B16">
              <w:rPr>
                <w:rFonts w:ascii="Arial" w:hAnsi="Arial" w:cs="Arial"/>
                <w:b/>
                <w:sz w:val="20"/>
              </w:rPr>
              <w:t>–</w:t>
            </w:r>
            <w:r w:rsidRPr="00766A57">
              <w:rPr>
                <w:rFonts w:ascii="Arial" w:hAnsi="Arial" w:cs="Arial"/>
                <w:color w:val="000000" w:themeColor="text1"/>
                <w:sz w:val="18"/>
                <w:szCs w:val="18"/>
              </w:rPr>
              <w:t xml:space="preserve">31. The Targeted Action Plan includes an action to strengthen training and resources to primary health care providers to better enable early detection of disability or developmental concerns in young children and appropriate referral pathways, </w:t>
            </w:r>
            <w:proofErr w:type="spellStart"/>
            <w:r w:rsidRPr="00766A57">
              <w:rPr>
                <w:rFonts w:ascii="Arial" w:hAnsi="Arial" w:cs="Arial"/>
                <w:color w:val="000000" w:themeColor="text1"/>
                <w:sz w:val="18"/>
                <w:szCs w:val="18"/>
              </w:rPr>
              <w:t>recognising</w:t>
            </w:r>
            <w:proofErr w:type="spellEnd"/>
            <w:r w:rsidRPr="00766A57">
              <w:rPr>
                <w:rFonts w:ascii="Arial" w:hAnsi="Arial" w:cs="Arial"/>
                <w:color w:val="000000" w:themeColor="text1"/>
                <w:sz w:val="18"/>
                <w:szCs w:val="18"/>
              </w:rPr>
              <w:t xml:space="preserve"> the needs for priority population groups such as First Nations children, their parents, and carers (1.3, 1.4 and 1.6)</w:t>
            </w:r>
            <w:r w:rsidR="00563BF7">
              <w:rPr>
                <w:rFonts w:ascii="Arial" w:hAnsi="Arial" w:cs="Arial"/>
                <w:color w:val="000000" w:themeColor="text1"/>
                <w:sz w:val="18"/>
                <w:szCs w:val="18"/>
              </w:rPr>
              <w:t>.</w:t>
            </w:r>
            <w:r w:rsidR="00492AF1">
              <w:rPr>
                <w:rFonts w:ascii="Arial" w:hAnsi="Arial" w:cs="Arial"/>
                <w:color w:val="000000" w:themeColor="text1"/>
                <w:sz w:val="18"/>
                <w:szCs w:val="18"/>
              </w:rPr>
              <w:t xml:space="preserve"> </w:t>
            </w:r>
          </w:p>
          <w:p w14:paraId="66641DF5" w14:textId="5D15BD4F" w:rsidR="00F26831" w:rsidRPr="00F26831" w:rsidRDefault="00F26831" w:rsidP="00F26831">
            <w:pPr>
              <w:pStyle w:val="ListParagraph"/>
              <w:numPr>
                <w:ilvl w:val="0"/>
                <w:numId w:val="47"/>
              </w:numPr>
              <w:spacing w:before="37" w:after="37"/>
              <w:ind w:left="223" w:hanging="223"/>
              <w:rPr>
                <w:rFonts w:ascii="Arial" w:hAnsi="Arial" w:cs="Arial"/>
                <w:color w:val="000000" w:themeColor="text1"/>
                <w:sz w:val="18"/>
                <w:szCs w:val="18"/>
              </w:rPr>
            </w:pPr>
            <w:r w:rsidRPr="00F26831">
              <w:rPr>
                <w:rFonts w:ascii="Arial" w:hAnsi="Arial" w:cs="Arial"/>
                <w:color w:val="000000" w:themeColor="text1"/>
                <w:sz w:val="18"/>
                <w:szCs w:val="18"/>
              </w:rPr>
              <w:t xml:space="preserve">improving coordination and delivery of early childhood development policies, programs and supports across government by leading development of an Early Years Strategy to </w:t>
            </w:r>
            <w:proofErr w:type="spellStart"/>
            <w:r w:rsidRPr="00F26831">
              <w:rPr>
                <w:rFonts w:ascii="Arial" w:hAnsi="Arial" w:cs="Arial"/>
                <w:color w:val="000000" w:themeColor="text1"/>
                <w:sz w:val="18"/>
                <w:szCs w:val="18"/>
              </w:rPr>
              <w:t>prioritise</w:t>
            </w:r>
            <w:proofErr w:type="spellEnd"/>
            <w:r w:rsidRPr="00F26831">
              <w:rPr>
                <w:rFonts w:ascii="Arial" w:hAnsi="Arial" w:cs="Arial"/>
                <w:color w:val="000000" w:themeColor="text1"/>
                <w:sz w:val="18"/>
                <w:szCs w:val="18"/>
              </w:rPr>
              <w:t xml:space="preserve"> collective effort </w:t>
            </w:r>
            <w:r w:rsidR="00563BF7">
              <w:rPr>
                <w:rFonts w:ascii="Arial" w:hAnsi="Arial" w:cs="Arial"/>
                <w:color w:val="000000" w:themeColor="text1"/>
                <w:sz w:val="18"/>
                <w:szCs w:val="18"/>
              </w:rPr>
              <w:t>across government (1.3 and 1.5).</w:t>
            </w:r>
          </w:p>
          <w:p w14:paraId="7E38E8EB" w14:textId="77777777" w:rsidR="000F4972" w:rsidRDefault="00F26831" w:rsidP="000F4972">
            <w:pPr>
              <w:pStyle w:val="ListParagraph"/>
              <w:numPr>
                <w:ilvl w:val="0"/>
                <w:numId w:val="47"/>
              </w:numPr>
              <w:spacing w:before="37" w:after="37"/>
              <w:ind w:left="223" w:hanging="223"/>
              <w:rPr>
                <w:rFonts w:ascii="Arial" w:hAnsi="Arial" w:cs="Arial"/>
                <w:color w:val="000000" w:themeColor="text1"/>
                <w:sz w:val="18"/>
                <w:szCs w:val="18"/>
              </w:rPr>
            </w:pPr>
            <w:r w:rsidRPr="00F26831">
              <w:rPr>
                <w:rFonts w:ascii="Arial" w:hAnsi="Arial" w:cs="Arial"/>
                <w:color w:val="000000" w:themeColor="text1"/>
                <w:sz w:val="18"/>
                <w:szCs w:val="18"/>
              </w:rPr>
              <w:t xml:space="preserve">establishing a National Early Childhood Program for children with disability or developmental concerns. This program delivers a range of disability-specific information, workshops and supported playgroups for young children aged zero to 8 years with </w:t>
            </w:r>
            <w:r w:rsidRPr="00F26831">
              <w:rPr>
                <w:rFonts w:ascii="Arial" w:hAnsi="Arial" w:cs="Arial"/>
                <w:color w:val="000000" w:themeColor="text1"/>
                <w:sz w:val="18"/>
                <w:szCs w:val="18"/>
              </w:rPr>
              <w:lastRenderedPageBreak/>
              <w:t>disability or developmental concerns. This program assists in meeting the Closing the Gap Target 4, Aboriginal and Torres Strait Islander children thrive in their early years (1.3)</w:t>
            </w:r>
            <w:r>
              <w:rPr>
                <w:rFonts w:ascii="Arial" w:hAnsi="Arial" w:cs="Arial"/>
                <w:color w:val="000000" w:themeColor="text1"/>
                <w:sz w:val="18"/>
                <w:szCs w:val="18"/>
              </w:rPr>
              <w:t>.</w:t>
            </w:r>
          </w:p>
          <w:p w14:paraId="317481E1" w14:textId="48F9ACA1" w:rsidR="00945298" w:rsidRPr="00CA74A3" w:rsidRDefault="00CA74A3" w:rsidP="000F4972">
            <w:pPr>
              <w:pStyle w:val="ListParagraph"/>
              <w:numPr>
                <w:ilvl w:val="0"/>
                <w:numId w:val="47"/>
              </w:numPr>
              <w:spacing w:before="37" w:after="37"/>
              <w:ind w:left="223" w:hanging="223"/>
              <w:rPr>
                <w:rStyle w:val="ExampletextCharChar"/>
                <w:rFonts w:ascii="Arial" w:hAnsi="Arial" w:cs="Arial"/>
                <w:color w:val="000000" w:themeColor="text1"/>
                <w:sz w:val="18"/>
                <w:szCs w:val="18"/>
                <w:lang w:eastAsia="en-US"/>
              </w:rPr>
            </w:pPr>
            <w:r>
              <w:rPr>
                <w:rStyle w:val="ExampletextCharChar"/>
                <w:rFonts w:ascii="Arial" w:hAnsi="Arial" w:cs="Arial"/>
                <w:color w:val="000000" w:themeColor="text1"/>
                <w:sz w:val="18"/>
                <w:szCs w:val="18"/>
                <w:lang w:eastAsia="en-US"/>
              </w:rPr>
              <w:t>i</w:t>
            </w:r>
            <w:r w:rsidR="000F4972" w:rsidRPr="00CA74A3">
              <w:rPr>
                <w:rStyle w:val="ExampletextCharChar"/>
                <w:rFonts w:ascii="Arial" w:hAnsi="Arial" w:cs="Arial"/>
                <w:color w:val="000000" w:themeColor="text1"/>
                <w:sz w:val="18"/>
                <w:szCs w:val="18"/>
                <w:lang w:eastAsia="en-US"/>
              </w:rPr>
              <w:t>mproving life outcomes for Autistic people through the development of the National Autism Strategy (DSS led) and the National Roadmap to Improve the Health and Mental Health of Aut</w:t>
            </w:r>
            <w:r>
              <w:rPr>
                <w:rStyle w:val="ExampletextCharChar"/>
                <w:rFonts w:ascii="Arial" w:hAnsi="Arial" w:cs="Arial"/>
                <w:color w:val="000000" w:themeColor="text1"/>
                <w:sz w:val="18"/>
                <w:szCs w:val="18"/>
                <w:lang w:eastAsia="en-US"/>
              </w:rPr>
              <w:t>istic people in Australia (Department of Health and Aged Care</w:t>
            </w:r>
            <w:r w:rsidR="00BC6148">
              <w:rPr>
                <w:rStyle w:val="ExampletextCharChar"/>
                <w:rFonts w:ascii="Arial" w:hAnsi="Arial" w:cs="Arial"/>
                <w:color w:val="000000" w:themeColor="text1"/>
                <w:sz w:val="18"/>
                <w:szCs w:val="18"/>
                <w:lang w:eastAsia="en-US"/>
              </w:rPr>
              <w:t xml:space="preserve"> led)</w:t>
            </w:r>
            <w:r w:rsidR="003D57CC">
              <w:rPr>
                <w:rStyle w:val="ExampletextCharChar"/>
                <w:rFonts w:ascii="Arial" w:hAnsi="Arial" w:cs="Arial"/>
                <w:color w:val="000000" w:themeColor="text1"/>
                <w:sz w:val="18"/>
                <w:szCs w:val="18"/>
                <w:lang w:eastAsia="en-US"/>
              </w:rPr>
              <w:t xml:space="preserve"> </w:t>
            </w:r>
            <w:r w:rsidR="000E4453">
              <w:rPr>
                <w:rStyle w:val="ExampletextCharChar"/>
                <w:rFonts w:ascii="Arial" w:hAnsi="Arial" w:cs="Arial"/>
                <w:color w:val="000000" w:themeColor="text1"/>
                <w:sz w:val="18"/>
                <w:szCs w:val="18"/>
                <w:lang w:eastAsia="en-US"/>
              </w:rPr>
              <w:t>(</w:t>
            </w:r>
            <w:r w:rsidR="00F46BF5">
              <w:rPr>
                <w:rStyle w:val="ExampletextCharChar"/>
                <w:rFonts w:ascii="Arial" w:hAnsi="Arial" w:cs="Arial"/>
                <w:color w:val="000000" w:themeColor="text1"/>
                <w:sz w:val="18"/>
                <w:szCs w:val="18"/>
                <w:lang w:eastAsia="en-US"/>
              </w:rPr>
              <w:t xml:space="preserve">1.2, 1.4 and </w:t>
            </w:r>
            <w:r w:rsidR="000E4453">
              <w:rPr>
                <w:rStyle w:val="ExampletextCharChar"/>
                <w:rFonts w:ascii="Arial" w:hAnsi="Arial" w:cs="Arial"/>
                <w:color w:val="000000" w:themeColor="text1"/>
                <w:sz w:val="18"/>
                <w:szCs w:val="18"/>
                <w:lang w:eastAsia="en-US"/>
              </w:rPr>
              <w:t>1.6)</w:t>
            </w:r>
            <w:r w:rsidR="00BC6148">
              <w:rPr>
                <w:rStyle w:val="ExampletextCharChar"/>
                <w:rFonts w:ascii="Arial" w:hAnsi="Arial" w:cs="Arial"/>
                <w:color w:val="000000" w:themeColor="text1"/>
                <w:sz w:val="18"/>
                <w:szCs w:val="18"/>
                <w:lang w:eastAsia="en-US"/>
              </w:rPr>
              <w:t>.</w:t>
            </w:r>
            <w:r w:rsidR="000F4972" w:rsidRPr="00CA74A3">
              <w:rPr>
                <w:rStyle w:val="ExampletextCharChar"/>
                <w:rFonts w:ascii="Arial" w:hAnsi="Arial" w:cs="Arial"/>
                <w:color w:val="000000" w:themeColor="text1"/>
                <w:sz w:val="18"/>
                <w:szCs w:val="18"/>
                <w:lang w:eastAsia="en-US"/>
              </w:rPr>
              <w:t xml:space="preserve"> </w:t>
            </w:r>
          </w:p>
        </w:tc>
      </w:tr>
      <w:tr w:rsidR="007A6855" w:rsidRPr="005E6F2B" w14:paraId="7886AE4E" w14:textId="77777777" w:rsidTr="003F1CF7">
        <w:trPr>
          <w:trHeight w:val="113"/>
        </w:trPr>
        <w:tc>
          <w:tcPr>
            <w:tcW w:w="7701" w:type="dxa"/>
            <w:tcBorders>
              <w:bottom w:val="single" w:sz="4" w:space="0" w:color="auto"/>
            </w:tcBorders>
          </w:tcPr>
          <w:p w14:paraId="03F422DB" w14:textId="77777777" w:rsidR="007A6855" w:rsidRPr="008974FD" w:rsidRDefault="007A6855" w:rsidP="008974FD">
            <w:pPr>
              <w:pStyle w:val="Tableheadingrow9pt"/>
              <w:widowControl w:val="0"/>
              <w:spacing w:before="49" w:after="49"/>
              <w:rPr>
                <w:color w:val="000000" w:themeColor="text1"/>
                <w:u w:val="single"/>
              </w:rPr>
            </w:pPr>
            <w:r w:rsidRPr="008974FD">
              <w:rPr>
                <w:color w:val="000000" w:themeColor="text1"/>
                <w:u w:val="single"/>
              </w:rPr>
              <w:lastRenderedPageBreak/>
              <w:t>Department of the Treasury (Treasury)</w:t>
            </w:r>
          </w:p>
          <w:p w14:paraId="47E9D080" w14:textId="77777777" w:rsidR="007A6855" w:rsidRPr="003F1CF7" w:rsidRDefault="007A6855" w:rsidP="007A6855">
            <w:pPr>
              <w:pStyle w:val="Tableheadingrow9pt"/>
              <w:widowControl w:val="0"/>
              <w:spacing w:before="24" w:after="24"/>
              <w:rPr>
                <w:color w:val="000000" w:themeColor="text1"/>
              </w:rPr>
            </w:pPr>
            <w:r w:rsidRPr="003F1CF7">
              <w:rPr>
                <w:color w:val="000000" w:themeColor="text1"/>
              </w:rPr>
              <w:t>Program 1.4: Commonwealth-State Financial Relations</w:t>
            </w:r>
          </w:p>
          <w:p w14:paraId="6FF08707" w14:textId="77777777" w:rsidR="007A6855" w:rsidRPr="003F1CF7" w:rsidRDefault="007A6855" w:rsidP="007A6855">
            <w:pPr>
              <w:pStyle w:val="Tabletextnormal9pt"/>
              <w:widowControl w:val="0"/>
              <w:spacing w:before="24" w:after="24"/>
              <w:rPr>
                <w:color w:val="000000" w:themeColor="text1"/>
              </w:rPr>
            </w:pPr>
            <w:r w:rsidRPr="003F1CF7">
              <w:rPr>
                <w:color w:val="000000" w:themeColor="text1"/>
              </w:rPr>
              <w:t>Treasury provides financial assistance to state and territory governments as part of the Federal Financial Relations Framework.</w:t>
            </w:r>
            <w:r w:rsidRPr="003F1CF7">
              <w:rPr>
                <w:rStyle w:val="FootnoteReference"/>
                <w:color w:val="000000" w:themeColor="text1"/>
              </w:rPr>
              <w:footnoteReference w:id="6"/>
            </w:r>
            <w:r w:rsidRPr="003F1CF7">
              <w:rPr>
                <w:color w:val="000000" w:themeColor="text1"/>
              </w:rPr>
              <w:t xml:space="preserve"> </w:t>
            </w:r>
          </w:p>
          <w:p w14:paraId="79791126" w14:textId="77777777" w:rsidR="007A6855" w:rsidRPr="003F1CF7" w:rsidRDefault="007A6855" w:rsidP="007A6855">
            <w:pPr>
              <w:pStyle w:val="Tabletextnormal9pt"/>
              <w:widowControl w:val="0"/>
              <w:spacing w:before="24" w:after="24"/>
              <w:rPr>
                <w:color w:val="000000" w:themeColor="text1"/>
              </w:rPr>
            </w:pPr>
            <w:r w:rsidRPr="003F1CF7">
              <w:rPr>
                <w:color w:val="000000" w:themeColor="text1"/>
              </w:rPr>
              <w:t>Activities funded through funding agreements include:</w:t>
            </w:r>
          </w:p>
          <w:p w14:paraId="3493D784" w14:textId="77777777" w:rsidR="007A6855" w:rsidRPr="00CB75F0" w:rsidRDefault="007A6855" w:rsidP="007A6855">
            <w:pPr>
              <w:pStyle w:val="Tabletextnormal9pt"/>
              <w:widowControl w:val="0"/>
              <w:numPr>
                <w:ilvl w:val="0"/>
                <w:numId w:val="38"/>
              </w:numPr>
              <w:spacing w:before="24" w:after="0"/>
              <w:ind w:left="223" w:hanging="223"/>
              <w:rPr>
                <w:color w:val="000000" w:themeColor="text1"/>
              </w:rPr>
            </w:pPr>
            <w:r w:rsidRPr="00CB75F0">
              <w:rPr>
                <w:color w:val="000000" w:themeColor="text1"/>
              </w:rPr>
              <w:t>Hepatitis C Settlement Fund (1.1)</w:t>
            </w:r>
          </w:p>
          <w:p w14:paraId="26BFAE68"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encouraging more clinical trials in Australia (1.1)</w:t>
            </w:r>
          </w:p>
          <w:p w14:paraId="2292A240"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National Health Reform Agreement (1.1)</w:t>
            </w:r>
          </w:p>
          <w:p w14:paraId="6E673C40"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Additional assistance for public hospitals (1.1)</w:t>
            </w:r>
          </w:p>
          <w:p w14:paraId="097F5CA3"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COVID-19 Response (1.1)</w:t>
            </w:r>
          </w:p>
          <w:p w14:paraId="76119694" w14:textId="77777777" w:rsidR="007A6855"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Community Health and Hospitals Program (1.1)</w:t>
            </w:r>
          </w:p>
          <w:p w14:paraId="1BCAA2E7" w14:textId="77777777" w:rsidR="007A6855" w:rsidRPr="00766A57" w:rsidRDefault="007A6855" w:rsidP="007A6855">
            <w:pPr>
              <w:pStyle w:val="Tabletextnormal9pt"/>
              <w:widowControl w:val="0"/>
              <w:numPr>
                <w:ilvl w:val="0"/>
                <w:numId w:val="38"/>
              </w:numPr>
              <w:spacing w:before="0" w:after="0"/>
              <w:ind w:left="223" w:hanging="223"/>
              <w:rPr>
                <w:color w:val="000000" w:themeColor="text1"/>
              </w:rPr>
            </w:pPr>
            <w:r w:rsidRPr="00766A57">
              <w:rPr>
                <w:color w:val="000000" w:themeColor="text1"/>
              </w:rPr>
              <w:t>achieving better health outcomes (1.1)</w:t>
            </w:r>
          </w:p>
          <w:p w14:paraId="47D84A90"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Proton beam therapy facility (1.1)</w:t>
            </w:r>
          </w:p>
          <w:p w14:paraId="4FB15D90"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Health Infrastructure projects (1.1)</w:t>
            </w:r>
          </w:p>
          <w:p w14:paraId="625F42B0"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multidisciplinary outreach care (1.1)</w:t>
            </w:r>
          </w:p>
          <w:p w14:paraId="7B8E50EC"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Health and Medical Research Centre for Launceston (1.1)</w:t>
            </w:r>
          </w:p>
          <w:p w14:paraId="1DC358A9"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Expansion of the Flinders Medical Centre (1.1)</w:t>
            </w:r>
          </w:p>
          <w:p w14:paraId="6A2D06A9"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 xml:space="preserve">Bentley Hospital </w:t>
            </w:r>
            <w:proofErr w:type="spellStart"/>
            <w:r w:rsidRPr="00CB75F0">
              <w:rPr>
                <w:color w:val="000000" w:themeColor="text1"/>
              </w:rPr>
              <w:t>Surgicentre</w:t>
            </w:r>
            <w:proofErr w:type="spellEnd"/>
            <w:r w:rsidRPr="00CB75F0">
              <w:rPr>
                <w:color w:val="000000" w:themeColor="text1"/>
              </w:rPr>
              <w:t xml:space="preserve"> (1.1)</w:t>
            </w:r>
          </w:p>
          <w:p w14:paraId="5C65753B" w14:textId="77777777" w:rsidR="007A6855" w:rsidRPr="000E4453" w:rsidRDefault="007A6855" w:rsidP="007A6855">
            <w:pPr>
              <w:pStyle w:val="Tabletextnormal9pt"/>
              <w:widowControl w:val="0"/>
              <w:numPr>
                <w:ilvl w:val="0"/>
                <w:numId w:val="38"/>
              </w:numPr>
              <w:spacing w:before="0" w:after="0"/>
              <w:ind w:left="223" w:hanging="223"/>
              <w:rPr>
                <w:i/>
                <w:color w:val="000000" w:themeColor="text1"/>
              </w:rPr>
            </w:pPr>
            <w:r w:rsidRPr="000E4453">
              <w:rPr>
                <w:i/>
                <w:color w:val="000000" w:themeColor="text1"/>
              </w:rPr>
              <w:t>Adult mental health centres (1.2)</w:t>
            </w:r>
          </w:p>
          <w:p w14:paraId="3B4F5198"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National Mental Health and Suicide Prevention Agreement – Bilateral schedules (1.2)</w:t>
            </w:r>
          </w:p>
          <w:p w14:paraId="6CFA030A"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improving trachoma control services for Indigenous Australians (1.3)</w:t>
            </w:r>
          </w:p>
          <w:p w14:paraId="4E539A22"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addressing blood borne viruses and sexually transmissible infections in the Torres Strait (1.3)</w:t>
            </w:r>
          </w:p>
          <w:p w14:paraId="784CDBCC"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Rheumatic Fever Strategy (1.3)</w:t>
            </w:r>
          </w:p>
          <w:p w14:paraId="37990BF5"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Northern Territory remote Aboriginal investment – health component (1.3)</w:t>
            </w:r>
          </w:p>
          <w:p w14:paraId="056C90BF"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Expansion of the John Flynn Prevocational Doctor Program (1.4)</w:t>
            </w:r>
          </w:p>
          <w:p w14:paraId="30F9A197" w14:textId="77777777" w:rsidR="007A6855" w:rsidRPr="000E4453" w:rsidRDefault="007A6855" w:rsidP="007A6855">
            <w:pPr>
              <w:pStyle w:val="Tabletextnormal9pt"/>
              <w:widowControl w:val="0"/>
              <w:numPr>
                <w:ilvl w:val="0"/>
                <w:numId w:val="38"/>
              </w:numPr>
              <w:spacing w:before="0" w:after="0"/>
              <w:ind w:left="223" w:hanging="223"/>
              <w:rPr>
                <w:i/>
                <w:color w:val="000000" w:themeColor="text1"/>
              </w:rPr>
            </w:pPr>
            <w:r w:rsidRPr="000E4453">
              <w:rPr>
                <w:i/>
                <w:color w:val="000000" w:themeColor="text1"/>
              </w:rPr>
              <w:t>Eliminating Cervical Cancer in Australia (1.5)</w:t>
            </w:r>
          </w:p>
          <w:p w14:paraId="73B8EC27"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National Bowel Cancer Screening Program – participant follow-up function (1.5)</w:t>
            </w:r>
          </w:p>
          <w:p w14:paraId="18488D41"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Lymphoedema garments and allied health therapy programs (1.5)</w:t>
            </w:r>
          </w:p>
          <w:p w14:paraId="325FBE78" w14:textId="77777777" w:rsidR="007A6855" w:rsidRPr="003F1CF7"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National Coronial Information System (1.5)</w:t>
            </w:r>
          </w:p>
          <w:p w14:paraId="1E1AE2DA" w14:textId="77777777" w:rsidR="007A6855"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Comprehensive Cancer Centres (1.5)</w:t>
            </w:r>
          </w:p>
          <w:p w14:paraId="087D9632" w14:textId="77777777" w:rsidR="007A6855" w:rsidRPr="00766A57" w:rsidRDefault="007A6855" w:rsidP="007A6855">
            <w:pPr>
              <w:pStyle w:val="Tabletextnormal9pt"/>
              <w:widowControl w:val="0"/>
              <w:numPr>
                <w:ilvl w:val="0"/>
                <w:numId w:val="38"/>
              </w:numPr>
              <w:spacing w:before="0" w:after="0"/>
              <w:ind w:left="223" w:hanging="223"/>
              <w:rPr>
                <w:color w:val="000000" w:themeColor="text1"/>
              </w:rPr>
            </w:pPr>
            <w:r w:rsidRPr="00766A57">
              <w:rPr>
                <w:color w:val="000000" w:themeColor="text1"/>
              </w:rPr>
              <w:t xml:space="preserve">Surge Capacity for </w:t>
            </w:r>
            <w:proofErr w:type="spellStart"/>
            <w:r w:rsidRPr="00766A57">
              <w:rPr>
                <w:color w:val="000000" w:themeColor="text1"/>
              </w:rPr>
              <w:t>BreastScreen</w:t>
            </w:r>
            <w:proofErr w:type="spellEnd"/>
            <w:r w:rsidRPr="00766A57">
              <w:rPr>
                <w:color w:val="000000" w:themeColor="text1"/>
              </w:rPr>
              <w:t xml:space="preserve"> Australia (1.5)</w:t>
            </w:r>
          </w:p>
          <w:p w14:paraId="54F7BD33"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World-class Newborn Bloodspot Screening Program (1.5)</w:t>
            </w:r>
          </w:p>
          <w:p w14:paraId="3F2240D8" w14:textId="77777777" w:rsidR="007A6855" w:rsidRPr="00E2631B" w:rsidRDefault="007A6855" w:rsidP="007A6855">
            <w:pPr>
              <w:pStyle w:val="Tabletextnormal9pt"/>
              <w:widowControl w:val="0"/>
              <w:numPr>
                <w:ilvl w:val="0"/>
                <w:numId w:val="38"/>
              </w:numPr>
              <w:spacing w:before="0" w:after="0"/>
              <w:ind w:left="223" w:hanging="223"/>
              <w:rPr>
                <w:color w:val="000000" w:themeColor="text1"/>
              </w:rPr>
            </w:pPr>
            <w:r w:rsidRPr="00E2631B">
              <w:rPr>
                <w:color w:val="000000" w:themeColor="text1"/>
              </w:rPr>
              <w:t>Expansion of colonoscopy triage services (1.5)</w:t>
            </w:r>
          </w:p>
          <w:p w14:paraId="201E66DA"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South Australia Genomics Lab (1.5)</w:t>
            </w:r>
          </w:p>
          <w:p w14:paraId="495C7E81" w14:textId="77777777" w:rsidR="007A6855" w:rsidRPr="002C1988" w:rsidRDefault="007A6855" w:rsidP="007A6855">
            <w:pPr>
              <w:pStyle w:val="Tabletextnormal9pt"/>
              <w:widowControl w:val="0"/>
              <w:numPr>
                <w:ilvl w:val="0"/>
                <w:numId w:val="38"/>
              </w:numPr>
              <w:spacing w:before="0" w:after="0"/>
              <w:ind w:left="223" w:hanging="223"/>
              <w:rPr>
                <w:i/>
                <w:color w:val="000000" w:themeColor="text1"/>
              </w:rPr>
            </w:pPr>
            <w:r w:rsidRPr="002C1988">
              <w:rPr>
                <w:i/>
                <w:color w:val="000000" w:themeColor="text1"/>
              </w:rPr>
              <w:t>Smoking and vaping cessation activities (1.5)</w:t>
            </w:r>
          </w:p>
          <w:p w14:paraId="7C6DF560"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Comprehensive palliative care in aged care (1.6)</w:t>
            </w:r>
          </w:p>
          <w:p w14:paraId="216B4DE7"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Hummingbird House (1.6)</w:t>
            </w:r>
          </w:p>
          <w:p w14:paraId="2C984B4B" w14:textId="77777777" w:rsidR="007A6855" w:rsidRPr="002C1988" w:rsidRDefault="007A6855" w:rsidP="007A6855">
            <w:pPr>
              <w:pStyle w:val="Tabletextnormal9pt"/>
              <w:widowControl w:val="0"/>
              <w:numPr>
                <w:ilvl w:val="0"/>
                <w:numId w:val="38"/>
              </w:numPr>
              <w:spacing w:before="0" w:after="0"/>
              <w:ind w:left="223" w:hanging="223"/>
              <w:rPr>
                <w:i/>
                <w:color w:val="000000" w:themeColor="text1"/>
              </w:rPr>
            </w:pPr>
            <w:r w:rsidRPr="002C1988">
              <w:rPr>
                <w:i/>
                <w:color w:val="000000" w:themeColor="text1"/>
              </w:rPr>
              <w:t>Reducing stillbirths (1.6)</w:t>
            </w:r>
          </w:p>
          <w:p w14:paraId="698D54CF"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Supporting Palliative Care in Launceston (1.6)</w:t>
            </w:r>
          </w:p>
          <w:p w14:paraId="6DFB7DDC"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Medicare Urgent Care Clinic (1.6)</w:t>
            </w:r>
          </w:p>
          <w:p w14:paraId="64185A01"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Palliative Care Services Navigation Pilot (1.6)</w:t>
            </w:r>
          </w:p>
          <w:p w14:paraId="1541C696" w14:textId="77777777" w:rsidR="007A6855" w:rsidRPr="003F1CF7"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Primary Care Pilots (1.6)</w:t>
            </w:r>
          </w:p>
          <w:p w14:paraId="176C2363" w14:textId="77777777" w:rsidR="007A6855" w:rsidRPr="00CB75F0" w:rsidRDefault="007A6855" w:rsidP="007A6855">
            <w:pPr>
              <w:pStyle w:val="Tabletextnormal9pt"/>
              <w:widowControl w:val="0"/>
              <w:numPr>
                <w:ilvl w:val="0"/>
                <w:numId w:val="38"/>
              </w:numPr>
              <w:spacing w:before="0" w:after="0"/>
              <w:ind w:left="223" w:hanging="223"/>
              <w:rPr>
                <w:color w:val="000000" w:themeColor="text1"/>
              </w:rPr>
            </w:pPr>
            <w:r w:rsidRPr="00CB75F0">
              <w:rPr>
                <w:color w:val="000000" w:themeColor="text1"/>
              </w:rPr>
              <w:t>Royal Darwin Hospital – equipped, prepared and ready (1.8)</w:t>
            </w:r>
          </w:p>
          <w:p w14:paraId="2A965DF7"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proofErr w:type="spellStart"/>
            <w:r w:rsidRPr="00CB75F0">
              <w:rPr>
                <w:color w:val="000000" w:themeColor="text1"/>
              </w:rPr>
              <w:lastRenderedPageBreak/>
              <w:t>OzFoodNet</w:t>
            </w:r>
            <w:proofErr w:type="spellEnd"/>
            <w:r w:rsidRPr="00CB75F0">
              <w:rPr>
                <w:color w:val="000000" w:themeColor="text1"/>
              </w:rPr>
              <w:t xml:space="preserve"> (1.8)</w:t>
            </w:r>
          </w:p>
          <w:p w14:paraId="659F8DC4"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Mosquito Control in the Torres Strait Protected Zone (1.8)</w:t>
            </w:r>
          </w:p>
          <w:p w14:paraId="350E8B85"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vaccine-preventable diseases surveillance (1.8)</w:t>
            </w:r>
          </w:p>
          <w:p w14:paraId="0A0B35B3"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management of Torres Strait/Papua New Guinea cross border health issues (1.8)</w:t>
            </w:r>
          </w:p>
          <w:p w14:paraId="6B17D955" w14:textId="77777777" w:rsidR="007A6855" w:rsidRPr="00CB75F0"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mosquito control in Tennant Creek (1.8)</w:t>
            </w:r>
          </w:p>
          <w:p w14:paraId="0CF992C2" w14:textId="77777777" w:rsidR="007A6855" w:rsidRDefault="007A6855" w:rsidP="007A6855">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access to HIV treatment (1.8)</w:t>
            </w:r>
          </w:p>
          <w:p w14:paraId="5A04611B" w14:textId="77777777" w:rsidR="00DA2889" w:rsidRDefault="007A6855" w:rsidP="00DA2889">
            <w:pPr>
              <w:pStyle w:val="TableBullet"/>
              <w:widowControl w:val="0"/>
              <w:numPr>
                <w:ilvl w:val="0"/>
                <w:numId w:val="38"/>
              </w:numPr>
              <w:tabs>
                <w:tab w:val="clear" w:pos="357"/>
                <w:tab w:val="left" w:pos="221"/>
              </w:tabs>
              <w:spacing w:before="0" w:after="0"/>
              <w:ind w:left="223" w:hanging="223"/>
              <w:contextualSpacing w:val="0"/>
              <w:rPr>
                <w:color w:val="000000" w:themeColor="text1"/>
              </w:rPr>
            </w:pPr>
            <w:r w:rsidRPr="00CB75F0">
              <w:rPr>
                <w:color w:val="000000" w:themeColor="text1"/>
              </w:rPr>
              <w:t>Japanese Encephalitis Virus IDI Vaccine Trial (1.8)</w:t>
            </w:r>
          </w:p>
          <w:p w14:paraId="4FE3FDA6" w14:textId="626BBB7C" w:rsidR="007A6855" w:rsidRPr="00DA2889" w:rsidRDefault="007A6855" w:rsidP="00DA2889">
            <w:pPr>
              <w:pStyle w:val="TableBullet"/>
              <w:widowControl w:val="0"/>
              <w:numPr>
                <w:ilvl w:val="0"/>
                <w:numId w:val="38"/>
              </w:numPr>
              <w:tabs>
                <w:tab w:val="clear" w:pos="357"/>
                <w:tab w:val="left" w:pos="221"/>
              </w:tabs>
              <w:spacing w:before="0" w:after="0"/>
              <w:ind w:left="223" w:hanging="223"/>
              <w:contextualSpacing w:val="0"/>
              <w:rPr>
                <w:rStyle w:val="ExampletextCharChar"/>
                <w:rFonts w:ascii="Arial" w:hAnsi="Arial" w:cs="Arial"/>
                <w:i w:val="0"/>
                <w:color w:val="000000" w:themeColor="text1"/>
                <w:sz w:val="18"/>
                <w:szCs w:val="18"/>
              </w:rPr>
            </w:pPr>
            <w:r w:rsidRPr="00DA2889">
              <w:rPr>
                <w:color w:val="000000" w:themeColor="text1"/>
              </w:rPr>
              <w:t>essential vaccines (1.9).</w:t>
            </w:r>
          </w:p>
        </w:tc>
      </w:tr>
    </w:tbl>
    <w:p w14:paraId="4B59212C" w14:textId="77777777" w:rsidR="00C96DB5" w:rsidRDefault="00C96DB5">
      <w:pPr>
        <w:spacing w:before="0" w:after="0" w:line="240" w:lineRule="auto"/>
        <w:rPr>
          <w:rFonts w:ascii="Arial" w:hAnsi="Arial"/>
          <w:bCs/>
          <w:i/>
          <w:iCs/>
          <w:sz w:val="20"/>
          <w:szCs w:val="26"/>
        </w:rPr>
      </w:pPr>
      <w:r>
        <w:lastRenderedPageBreak/>
        <w:br w:type="page"/>
      </w:r>
    </w:p>
    <w:p w14:paraId="7C91227F" w14:textId="572BEE13" w:rsidR="00736DD8" w:rsidRPr="001A687E" w:rsidRDefault="00736DD8" w:rsidP="00736DD8">
      <w:pPr>
        <w:pStyle w:val="Heading5"/>
        <w:rPr>
          <w:b/>
          <w:i w:val="0"/>
        </w:rPr>
      </w:pPr>
      <w:r w:rsidRPr="001A687E">
        <w:rPr>
          <w:b/>
          <w:i w:val="0"/>
        </w:rPr>
        <w:lastRenderedPageBreak/>
        <w:t xml:space="preserve">Budgeted expenses for Outcome </w:t>
      </w:r>
      <w:r w:rsidR="00213BEB" w:rsidRPr="001A687E">
        <w:rPr>
          <w:b/>
          <w:i w:val="0"/>
        </w:rPr>
        <w:t>1</w:t>
      </w:r>
    </w:p>
    <w:p w14:paraId="66E56389" w14:textId="77777777" w:rsidR="00736DD8" w:rsidRPr="001A687E" w:rsidRDefault="00736DD8" w:rsidP="00736DD8">
      <w:pPr>
        <w:rPr>
          <w:sz w:val="20"/>
        </w:rPr>
      </w:pPr>
      <w:r w:rsidRPr="001A687E">
        <w:rPr>
          <w:sz w:val="20"/>
        </w:rPr>
        <w:t>This table shows how much the entity intends to spend (on an accrual basis) on achieving the outcome, broken down by program, as well as by Administered and Departmental funding sources.</w:t>
      </w:r>
    </w:p>
    <w:p w14:paraId="09287349" w14:textId="0ACB9CD2" w:rsidR="00736DD8" w:rsidRDefault="00736DD8" w:rsidP="00736DD8">
      <w:pPr>
        <w:pStyle w:val="TableHeading"/>
      </w:pPr>
      <w:r w:rsidRPr="00D93D96">
        <w:t>Table 2.</w:t>
      </w:r>
      <w:r w:rsidR="00213BEB">
        <w:t>1</w:t>
      </w:r>
      <w:r>
        <w:t>.</w:t>
      </w:r>
      <w:r w:rsidRPr="00D93D96">
        <w:t>1</w:t>
      </w:r>
      <w:r w:rsidR="009203D5">
        <w:t>:</w:t>
      </w:r>
      <w:r w:rsidRPr="00D93D96">
        <w:t xml:space="preserve"> </w:t>
      </w:r>
      <w:r w:rsidR="009203D5">
        <w:t>Variations Table – Outcome 1</w:t>
      </w:r>
    </w:p>
    <w:tbl>
      <w:tblPr>
        <w:tblW w:w="7660" w:type="dxa"/>
        <w:jc w:val="center"/>
        <w:tblLayout w:type="fixed"/>
        <w:tblLook w:val="04A0" w:firstRow="1" w:lastRow="0" w:firstColumn="1" w:lastColumn="0" w:noHBand="0" w:noVBand="1"/>
      </w:tblPr>
      <w:tblGrid>
        <w:gridCol w:w="4060"/>
        <w:gridCol w:w="900"/>
        <w:gridCol w:w="900"/>
        <w:gridCol w:w="900"/>
        <w:gridCol w:w="900"/>
      </w:tblGrid>
      <w:tr w:rsidR="00626BC4" w:rsidRPr="00626BC4" w14:paraId="2112BB60" w14:textId="77777777" w:rsidTr="00BD1FDB">
        <w:trPr>
          <w:trHeight w:val="397"/>
          <w:jc w:val="center"/>
        </w:trPr>
        <w:tc>
          <w:tcPr>
            <w:tcW w:w="4060" w:type="dxa"/>
            <w:tcBorders>
              <w:top w:val="single" w:sz="4" w:space="0" w:color="auto"/>
              <w:left w:val="nil"/>
              <w:bottom w:val="nil"/>
              <w:right w:val="nil"/>
            </w:tcBorders>
            <w:shd w:val="clear" w:color="auto" w:fill="auto"/>
            <w:hideMark/>
          </w:tcPr>
          <w:p w14:paraId="5D142AE3" w14:textId="77777777" w:rsidR="00626BC4" w:rsidRPr="00626BC4" w:rsidRDefault="00626BC4" w:rsidP="00ED71E1">
            <w:pPr>
              <w:spacing w:before="24" w:after="0" w:line="240" w:lineRule="auto"/>
              <w:jc w:val="right"/>
              <w:rPr>
                <w:rFonts w:ascii="Arial" w:hAnsi="Arial" w:cs="Arial"/>
                <w:sz w:val="16"/>
                <w:szCs w:val="16"/>
              </w:rPr>
            </w:pPr>
            <w:r w:rsidRPr="00626BC4">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69BE2698" w14:textId="4F69EB77" w:rsidR="00626BC4" w:rsidRPr="00626BC4" w:rsidRDefault="00626BC4" w:rsidP="00ED71E1">
            <w:pPr>
              <w:spacing w:before="24" w:after="0" w:line="240" w:lineRule="auto"/>
              <w:jc w:val="right"/>
              <w:rPr>
                <w:rFonts w:ascii="Arial" w:hAnsi="Arial" w:cs="Arial"/>
                <w:b/>
                <w:bCs/>
                <w:sz w:val="16"/>
                <w:szCs w:val="16"/>
              </w:rPr>
            </w:pPr>
            <w:r>
              <w:rPr>
                <w:rFonts w:ascii="Arial" w:hAnsi="Arial" w:cs="Arial"/>
                <w:b/>
                <w:bCs/>
                <w:sz w:val="16"/>
                <w:szCs w:val="16"/>
              </w:rPr>
              <w:t>2023–</w:t>
            </w:r>
            <w:r w:rsidRPr="00626BC4">
              <w:rPr>
                <w:rFonts w:ascii="Arial" w:hAnsi="Arial" w:cs="Arial"/>
                <w:b/>
                <w:bCs/>
                <w:sz w:val="16"/>
                <w:szCs w:val="16"/>
              </w:rPr>
              <w:t>24</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3EDB9725" w14:textId="0D4E2FF1" w:rsidR="00626BC4" w:rsidRPr="00626BC4" w:rsidRDefault="00626BC4" w:rsidP="00ED71E1">
            <w:pPr>
              <w:spacing w:before="24" w:after="0" w:line="240" w:lineRule="auto"/>
              <w:jc w:val="right"/>
              <w:rPr>
                <w:rFonts w:ascii="Arial" w:hAnsi="Arial" w:cs="Arial"/>
                <w:b/>
                <w:bCs/>
                <w:sz w:val="16"/>
                <w:szCs w:val="16"/>
              </w:rPr>
            </w:pPr>
            <w:r>
              <w:rPr>
                <w:rFonts w:ascii="Arial" w:hAnsi="Arial" w:cs="Arial"/>
                <w:b/>
                <w:bCs/>
                <w:sz w:val="16"/>
                <w:szCs w:val="16"/>
              </w:rPr>
              <w:t>2024–</w:t>
            </w:r>
            <w:r w:rsidRPr="00626BC4">
              <w:rPr>
                <w:rFonts w:ascii="Arial" w:hAnsi="Arial" w:cs="Arial"/>
                <w:b/>
                <w:bCs/>
                <w:sz w:val="16"/>
                <w:szCs w:val="16"/>
              </w:rPr>
              <w:t>25</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9423EEF" w14:textId="1B41F310" w:rsidR="00626BC4" w:rsidRPr="00626BC4" w:rsidRDefault="00626BC4" w:rsidP="00ED71E1">
            <w:pPr>
              <w:spacing w:before="24" w:after="0" w:line="240" w:lineRule="auto"/>
              <w:jc w:val="right"/>
              <w:rPr>
                <w:rFonts w:ascii="Arial" w:hAnsi="Arial" w:cs="Arial"/>
                <w:b/>
                <w:bCs/>
                <w:sz w:val="16"/>
                <w:szCs w:val="16"/>
              </w:rPr>
            </w:pPr>
            <w:r>
              <w:rPr>
                <w:rFonts w:ascii="Arial" w:hAnsi="Arial" w:cs="Arial"/>
                <w:b/>
                <w:bCs/>
                <w:sz w:val="16"/>
                <w:szCs w:val="16"/>
              </w:rPr>
              <w:t>2025–</w:t>
            </w:r>
            <w:r w:rsidRPr="00626BC4">
              <w:rPr>
                <w:rFonts w:ascii="Arial" w:hAnsi="Arial" w:cs="Arial"/>
                <w:b/>
                <w:bCs/>
                <w:sz w:val="16"/>
                <w:szCs w:val="16"/>
              </w:rPr>
              <w:t>26</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4D751E28" w14:textId="2154E9B6" w:rsidR="00626BC4" w:rsidRPr="00626BC4" w:rsidRDefault="00626BC4" w:rsidP="00ED71E1">
            <w:pPr>
              <w:spacing w:before="24" w:after="0" w:line="240" w:lineRule="auto"/>
              <w:jc w:val="right"/>
              <w:rPr>
                <w:rFonts w:ascii="Arial" w:hAnsi="Arial" w:cs="Arial"/>
                <w:b/>
                <w:bCs/>
                <w:sz w:val="16"/>
                <w:szCs w:val="16"/>
              </w:rPr>
            </w:pPr>
            <w:r>
              <w:rPr>
                <w:rFonts w:ascii="Arial" w:hAnsi="Arial" w:cs="Arial"/>
                <w:b/>
                <w:bCs/>
                <w:sz w:val="16"/>
                <w:szCs w:val="16"/>
              </w:rPr>
              <w:t>2026–</w:t>
            </w:r>
            <w:r w:rsidRPr="00626BC4">
              <w:rPr>
                <w:rFonts w:ascii="Arial" w:hAnsi="Arial" w:cs="Arial"/>
                <w:b/>
                <w:bCs/>
                <w:sz w:val="16"/>
                <w:szCs w:val="16"/>
              </w:rPr>
              <w:t>27</w:t>
            </w:r>
            <w:r w:rsidRPr="00626BC4">
              <w:rPr>
                <w:rFonts w:ascii="Arial" w:hAnsi="Arial" w:cs="Arial"/>
                <w:b/>
                <w:bCs/>
                <w:sz w:val="16"/>
                <w:szCs w:val="16"/>
              </w:rPr>
              <w:br/>
            </w:r>
            <w:r w:rsidRPr="00626BC4">
              <w:rPr>
                <w:rFonts w:ascii="Arial" w:hAnsi="Arial" w:cs="Arial"/>
                <w:sz w:val="16"/>
                <w:szCs w:val="16"/>
              </w:rPr>
              <w:t>$'000</w:t>
            </w:r>
          </w:p>
        </w:tc>
      </w:tr>
      <w:tr w:rsidR="00626BC4" w:rsidRPr="00626BC4" w14:paraId="731B82C5" w14:textId="77777777" w:rsidTr="00F11F72">
        <w:trPr>
          <w:trHeight w:val="283"/>
          <w:jc w:val="center"/>
        </w:trPr>
        <w:tc>
          <w:tcPr>
            <w:tcW w:w="4960" w:type="dxa"/>
            <w:gridSpan w:val="2"/>
            <w:tcBorders>
              <w:top w:val="nil"/>
              <w:left w:val="nil"/>
              <w:bottom w:val="nil"/>
              <w:right w:val="nil"/>
            </w:tcBorders>
            <w:shd w:val="clear" w:color="auto" w:fill="auto"/>
            <w:noWrap/>
            <w:vAlign w:val="bottom"/>
            <w:hideMark/>
          </w:tcPr>
          <w:p w14:paraId="66AB195B"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Program 1.1: Health Research, Coordination and Access</w:t>
            </w:r>
          </w:p>
        </w:tc>
        <w:tc>
          <w:tcPr>
            <w:tcW w:w="900" w:type="dxa"/>
            <w:tcBorders>
              <w:top w:val="nil"/>
              <w:left w:val="nil"/>
              <w:bottom w:val="nil"/>
              <w:right w:val="nil"/>
            </w:tcBorders>
            <w:shd w:val="clear" w:color="auto" w:fill="auto"/>
            <w:noWrap/>
            <w:vAlign w:val="bottom"/>
            <w:hideMark/>
          </w:tcPr>
          <w:p w14:paraId="4CF89CD6"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8A5A358"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5784C80"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138FC152"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0174A938"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738C8150"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049CE33"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A7874BC"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A233406"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79689933" w14:textId="77777777" w:rsidTr="00ED71E1">
        <w:trPr>
          <w:trHeight w:val="283"/>
          <w:jc w:val="center"/>
        </w:trPr>
        <w:tc>
          <w:tcPr>
            <w:tcW w:w="4060" w:type="dxa"/>
            <w:tcBorders>
              <w:top w:val="nil"/>
              <w:left w:val="nil"/>
              <w:bottom w:val="nil"/>
              <w:right w:val="nil"/>
            </w:tcBorders>
            <w:shd w:val="clear" w:color="auto" w:fill="auto"/>
            <w:noWrap/>
            <w:vAlign w:val="bottom"/>
            <w:hideMark/>
          </w:tcPr>
          <w:p w14:paraId="0CF812ED"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3FAC10D" w14:textId="77777777" w:rsidR="00626BC4" w:rsidRPr="00626BC4" w:rsidRDefault="00626BC4" w:rsidP="00626BC4">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5CCD6FA"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E602B0E"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A60AA0D"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11336A1D" w14:textId="77777777" w:rsidTr="00313E9C">
        <w:trPr>
          <w:trHeight w:val="283"/>
          <w:jc w:val="center"/>
        </w:trPr>
        <w:tc>
          <w:tcPr>
            <w:tcW w:w="4060" w:type="dxa"/>
            <w:tcBorders>
              <w:top w:val="nil"/>
              <w:left w:val="nil"/>
              <w:bottom w:val="nil"/>
              <w:right w:val="nil"/>
            </w:tcBorders>
            <w:shd w:val="clear" w:color="000000" w:fill="FFFFFF"/>
            <w:vAlign w:val="bottom"/>
            <w:hideMark/>
          </w:tcPr>
          <w:p w14:paraId="3CCA299F"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b/>
                <w:bCs/>
                <w:sz w:val="16"/>
                <w:szCs w:val="16"/>
              </w:rPr>
              <w:t>Measure</w:t>
            </w:r>
            <w:r w:rsidRPr="00626BC4">
              <w:rPr>
                <w:rFonts w:ascii="Arial" w:hAnsi="Arial" w:cs="Arial"/>
                <w:sz w:val="16"/>
                <w:szCs w:val="16"/>
              </w:rPr>
              <w:t xml:space="preserve"> - Genomics Australia</w:t>
            </w:r>
          </w:p>
        </w:tc>
        <w:tc>
          <w:tcPr>
            <w:tcW w:w="900" w:type="dxa"/>
            <w:tcBorders>
              <w:top w:val="nil"/>
              <w:left w:val="nil"/>
              <w:bottom w:val="nil"/>
              <w:right w:val="nil"/>
            </w:tcBorders>
            <w:shd w:val="clear" w:color="auto" w:fill="auto"/>
            <w:noWrap/>
            <w:vAlign w:val="bottom"/>
            <w:hideMark/>
          </w:tcPr>
          <w:p w14:paraId="32AB886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2,000 </w:t>
            </w:r>
          </w:p>
        </w:tc>
        <w:tc>
          <w:tcPr>
            <w:tcW w:w="900" w:type="dxa"/>
            <w:tcBorders>
              <w:top w:val="nil"/>
              <w:left w:val="nil"/>
              <w:bottom w:val="nil"/>
              <w:right w:val="nil"/>
            </w:tcBorders>
            <w:shd w:val="clear" w:color="auto" w:fill="auto"/>
            <w:noWrap/>
            <w:vAlign w:val="bottom"/>
            <w:hideMark/>
          </w:tcPr>
          <w:p w14:paraId="799D013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3,900 </w:t>
            </w:r>
          </w:p>
        </w:tc>
        <w:tc>
          <w:tcPr>
            <w:tcW w:w="900" w:type="dxa"/>
            <w:tcBorders>
              <w:top w:val="nil"/>
              <w:left w:val="nil"/>
              <w:bottom w:val="nil"/>
              <w:right w:val="nil"/>
            </w:tcBorders>
            <w:shd w:val="clear" w:color="auto" w:fill="auto"/>
            <w:noWrap/>
            <w:vAlign w:val="bottom"/>
            <w:hideMark/>
          </w:tcPr>
          <w:p w14:paraId="174418A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A72CD1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20FB9E7F" w14:textId="77777777" w:rsidTr="00313E9C">
        <w:trPr>
          <w:trHeight w:val="454"/>
          <w:jc w:val="center"/>
        </w:trPr>
        <w:tc>
          <w:tcPr>
            <w:tcW w:w="4060" w:type="dxa"/>
            <w:tcBorders>
              <w:top w:val="nil"/>
              <w:left w:val="nil"/>
              <w:bottom w:val="nil"/>
              <w:right w:val="nil"/>
            </w:tcBorders>
            <w:shd w:val="clear" w:color="000000" w:fill="FFFFFF"/>
            <w:vAlign w:val="bottom"/>
            <w:hideMark/>
          </w:tcPr>
          <w:p w14:paraId="7C7AA430"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Aged care multidisciplinary outreach service trials - reprofile of funding</w:t>
            </w:r>
          </w:p>
        </w:tc>
        <w:tc>
          <w:tcPr>
            <w:tcW w:w="900" w:type="dxa"/>
            <w:tcBorders>
              <w:top w:val="nil"/>
              <w:left w:val="nil"/>
              <w:bottom w:val="nil"/>
              <w:right w:val="nil"/>
            </w:tcBorders>
            <w:shd w:val="clear" w:color="auto" w:fill="auto"/>
            <w:noWrap/>
            <w:vAlign w:val="bottom"/>
            <w:hideMark/>
          </w:tcPr>
          <w:p w14:paraId="07F9B47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(200)</w:t>
            </w:r>
          </w:p>
        </w:tc>
        <w:tc>
          <w:tcPr>
            <w:tcW w:w="900" w:type="dxa"/>
            <w:tcBorders>
              <w:top w:val="nil"/>
              <w:left w:val="nil"/>
              <w:bottom w:val="nil"/>
              <w:right w:val="nil"/>
            </w:tcBorders>
            <w:shd w:val="clear" w:color="auto" w:fill="auto"/>
            <w:noWrap/>
            <w:vAlign w:val="bottom"/>
            <w:hideMark/>
          </w:tcPr>
          <w:p w14:paraId="118DB40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43FD56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200 </w:t>
            </w:r>
          </w:p>
        </w:tc>
        <w:tc>
          <w:tcPr>
            <w:tcW w:w="900" w:type="dxa"/>
            <w:tcBorders>
              <w:top w:val="nil"/>
              <w:left w:val="nil"/>
              <w:bottom w:val="nil"/>
              <w:right w:val="nil"/>
            </w:tcBorders>
            <w:shd w:val="clear" w:color="auto" w:fill="auto"/>
            <w:noWrap/>
            <w:vAlign w:val="bottom"/>
            <w:hideMark/>
          </w:tcPr>
          <w:p w14:paraId="1FEB4D2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200 </w:t>
            </w:r>
          </w:p>
        </w:tc>
      </w:tr>
      <w:tr w:rsidR="00626BC4" w:rsidRPr="00626BC4" w14:paraId="0B7761CC" w14:textId="77777777" w:rsidTr="00313E9C">
        <w:trPr>
          <w:trHeight w:val="454"/>
          <w:jc w:val="center"/>
        </w:trPr>
        <w:tc>
          <w:tcPr>
            <w:tcW w:w="4060" w:type="dxa"/>
            <w:tcBorders>
              <w:top w:val="nil"/>
              <w:left w:val="nil"/>
              <w:bottom w:val="nil"/>
              <w:right w:val="nil"/>
            </w:tcBorders>
            <w:shd w:val="clear" w:color="000000" w:fill="FFFFFF"/>
            <w:vAlign w:val="bottom"/>
            <w:hideMark/>
          </w:tcPr>
          <w:p w14:paraId="6FFC32FE"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COVID-19 data and digital - reclassification from departmental capital</w:t>
            </w:r>
          </w:p>
        </w:tc>
        <w:tc>
          <w:tcPr>
            <w:tcW w:w="900" w:type="dxa"/>
            <w:tcBorders>
              <w:top w:val="nil"/>
              <w:left w:val="nil"/>
              <w:bottom w:val="nil"/>
              <w:right w:val="nil"/>
            </w:tcBorders>
            <w:shd w:val="clear" w:color="auto" w:fill="auto"/>
            <w:noWrap/>
            <w:vAlign w:val="bottom"/>
            <w:hideMark/>
          </w:tcPr>
          <w:p w14:paraId="393D37B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9,096 </w:t>
            </w:r>
          </w:p>
        </w:tc>
        <w:tc>
          <w:tcPr>
            <w:tcW w:w="900" w:type="dxa"/>
            <w:tcBorders>
              <w:top w:val="nil"/>
              <w:left w:val="nil"/>
              <w:bottom w:val="nil"/>
              <w:right w:val="nil"/>
            </w:tcBorders>
            <w:shd w:val="clear" w:color="auto" w:fill="auto"/>
            <w:noWrap/>
            <w:vAlign w:val="bottom"/>
            <w:hideMark/>
          </w:tcPr>
          <w:p w14:paraId="7C8ED0E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DF1FA7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721EC6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171D2A73" w14:textId="77777777" w:rsidTr="00313E9C">
        <w:trPr>
          <w:trHeight w:val="283"/>
          <w:jc w:val="center"/>
        </w:trPr>
        <w:tc>
          <w:tcPr>
            <w:tcW w:w="4060" w:type="dxa"/>
            <w:tcBorders>
              <w:top w:val="nil"/>
              <w:left w:val="nil"/>
              <w:bottom w:val="nil"/>
              <w:right w:val="nil"/>
            </w:tcBorders>
            <w:shd w:val="clear" w:color="000000" w:fill="FFFFFF"/>
            <w:vAlign w:val="bottom"/>
            <w:hideMark/>
          </w:tcPr>
          <w:p w14:paraId="7DEF86ED"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COVID-19 data and digital - reprofile of funding</w:t>
            </w:r>
          </w:p>
        </w:tc>
        <w:tc>
          <w:tcPr>
            <w:tcW w:w="900" w:type="dxa"/>
            <w:tcBorders>
              <w:top w:val="nil"/>
              <w:left w:val="nil"/>
              <w:bottom w:val="nil"/>
              <w:right w:val="nil"/>
            </w:tcBorders>
            <w:shd w:val="clear" w:color="auto" w:fill="auto"/>
            <w:noWrap/>
            <w:vAlign w:val="bottom"/>
            <w:hideMark/>
          </w:tcPr>
          <w:p w14:paraId="69183EA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2,753 </w:t>
            </w:r>
          </w:p>
        </w:tc>
        <w:tc>
          <w:tcPr>
            <w:tcW w:w="900" w:type="dxa"/>
            <w:tcBorders>
              <w:top w:val="nil"/>
              <w:left w:val="nil"/>
              <w:bottom w:val="nil"/>
              <w:right w:val="nil"/>
            </w:tcBorders>
            <w:shd w:val="clear" w:color="auto" w:fill="auto"/>
            <w:noWrap/>
            <w:vAlign w:val="bottom"/>
            <w:hideMark/>
          </w:tcPr>
          <w:p w14:paraId="6228D04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2CC244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C99108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1C1F6182" w14:textId="77777777" w:rsidTr="00313E9C">
        <w:trPr>
          <w:trHeight w:val="283"/>
          <w:jc w:val="center"/>
        </w:trPr>
        <w:tc>
          <w:tcPr>
            <w:tcW w:w="4060" w:type="dxa"/>
            <w:tcBorders>
              <w:top w:val="nil"/>
              <w:left w:val="nil"/>
              <w:bottom w:val="nil"/>
              <w:right w:val="nil"/>
            </w:tcBorders>
            <w:shd w:val="clear" w:color="000000" w:fill="FFFFFF"/>
            <w:vAlign w:val="bottom"/>
            <w:hideMark/>
          </w:tcPr>
          <w:p w14:paraId="54F231DA"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Currency variations</w:t>
            </w:r>
          </w:p>
        </w:tc>
        <w:tc>
          <w:tcPr>
            <w:tcW w:w="900" w:type="dxa"/>
            <w:tcBorders>
              <w:top w:val="nil"/>
              <w:left w:val="nil"/>
              <w:bottom w:val="nil"/>
              <w:right w:val="nil"/>
            </w:tcBorders>
            <w:shd w:val="clear" w:color="auto" w:fill="auto"/>
            <w:noWrap/>
            <w:vAlign w:val="bottom"/>
            <w:hideMark/>
          </w:tcPr>
          <w:p w14:paraId="6A6F5B40"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1,723 </w:t>
            </w:r>
          </w:p>
        </w:tc>
        <w:tc>
          <w:tcPr>
            <w:tcW w:w="900" w:type="dxa"/>
            <w:tcBorders>
              <w:top w:val="nil"/>
              <w:left w:val="nil"/>
              <w:bottom w:val="nil"/>
              <w:right w:val="nil"/>
            </w:tcBorders>
            <w:shd w:val="clear" w:color="auto" w:fill="auto"/>
            <w:noWrap/>
            <w:vAlign w:val="bottom"/>
            <w:hideMark/>
          </w:tcPr>
          <w:p w14:paraId="4D0C850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1,790 </w:t>
            </w:r>
          </w:p>
        </w:tc>
        <w:tc>
          <w:tcPr>
            <w:tcW w:w="900" w:type="dxa"/>
            <w:tcBorders>
              <w:top w:val="nil"/>
              <w:left w:val="nil"/>
              <w:bottom w:val="nil"/>
              <w:right w:val="nil"/>
            </w:tcBorders>
            <w:shd w:val="clear" w:color="auto" w:fill="auto"/>
            <w:noWrap/>
            <w:vAlign w:val="bottom"/>
            <w:hideMark/>
          </w:tcPr>
          <w:p w14:paraId="74587B7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1,782 </w:t>
            </w:r>
          </w:p>
        </w:tc>
        <w:tc>
          <w:tcPr>
            <w:tcW w:w="900" w:type="dxa"/>
            <w:tcBorders>
              <w:top w:val="nil"/>
              <w:left w:val="nil"/>
              <w:bottom w:val="nil"/>
              <w:right w:val="nil"/>
            </w:tcBorders>
            <w:shd w:val="clear" w:color="auto" w:fill="auto"/>
            <w:noWrap/>
            <w:vAlign w:val="bottom"/>
            <w:hideMark/>
          </w:tcPr>
          <w:p w14:paraId="018666B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1,782 </w:t>
            </w:r>
          </w:p>
        </w:tc>
      </w:tr>
      <w:tr w:rsidR="00626BC4" w:rsidRPr="00626BC4" w14:paraId="62A69AE2" w14:textId="77777777" w:rsidTr="00313E9C">
        <w:trPr>
          <w:trHeight w:val="454"/>
          <w:jc w:val="center"/>
        </w:trPr>
        <w:tc>
          <w:tcPr>
            <w:tcW w:w="4060" w:type="dxa"/>
            <w:tcBorders>
              <w:top w:val="nil"/>
              <w:left w:val="nil"/>
              <w:bottom w:val="nil"/>
              <w:right w:val="nil"/>
            </w:tcBorders>
            <w:shd w:val="clear" w:color="000000" w:fill="FFFFFF"/>
            <w:vAlign w:val="bottom"/>
            <w:hideMark/>
          </w:tcPr>
          <w:p w14:paraId="7AEC88B3"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Intergenerational health and mental health study - reprofile of funding</w:t>
            </w:r>
          </w:p>
        </w:tc>
        <w:tc>
          <w:tcPr>
            <w:tcW w:w="900" w:type="dxa"/>
            <w:tcBorders>
              <w:top w:val="nil"/>
              <w:left w:val="nil"/>
              <w:bottom w:val="nil"/>
              <w:right w:val="nil"/>
            </w:tcBorders>
            <w:shd w:val="clear" w:color="auto" w:fill="auto"/>
            <w:noWrap/>
            <w:vAlign w:val="bottom"/>
            <w:hideMark/>
          </w:tcPr>
          <w:p w14:paraId="5F452383"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17,475 </w:t>
            </w:r>
          </w:p>
        </w:tc>
        <w:tc>
          <w:tcPr>
            <w:tcW w:w="900" w:type="dxa"/>
            <w:tcBorders>
              <w:top w:val="nil"/>
              <w:left w:val="nil"/>
              <w:bottom w:val="nil"/>
              <w:right w:val="nil"/>
            </w:tcBorders>
            <w:shd w:val="clear" w:color="auto" w:fill="auto"/>
            <w:noWrap/>
            <w:vAlign w:val="bottom"/>
            <w:hideMark/>
          </w:tcPr>
          <w:p w14:paraId="7A70512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1E6029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FFEF26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7E17BF4D" w14:textId="77777777" w:rsidTr="00313E9C">
        <w:trPr>
          <w:trHeight w:val="283"/>
          <w:jc w:val="center"/>
        </w:trPr>
        <w:tc>
          <w:tcPr>
            <w:tcW w:w="4060" w:type="dxa"/>
            <w:tcBorders>
              <w:top w:val="nil"/>
              <w:left w:val="nil"/>
              <w:bottom w:val="nil"/>
              <w:right w:val="nil"/>
            </w:tcBorders>
            <w:shd w:val="clear" w:color="000000" w:fill="FFFFFF"/>
            <w:vAlign w:val="bottom"/>
            <w:hideMark/>
          </w:tcPr>
          <w:p w14:paraId="2C90A9CB"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Monash Peninsula health - reprofile of funding</w:t>
            </w:r>
          </w:p>
        </w:tc>
        <w:tc>
          <w:tcPr>
            <w:tcW w:w="900" w:type="dxa"/>
            <w:tcBorders>
              <w:top w:val="nil"/>
              <w:left w:val="nil"/>
              <w:bottom w:val="nil"/>
              <w:right w:val="nil"/>
            </w:tcBorders>
            <w:shd w:val="clear" w:color="auto" w:fill="auto"/>
            <w:noWrap/>
            <w:vAlign w:val="bottom"/>
            <w:hideMark/>
          </w:tcPr>
          <w:p w14:paraId="44CE947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12,388 </w:t>
            </w:r>
          </w:p>
        </w:tc>
        <w:tc>
          <w:tcPr>
            <w:tcW w:w="900" w:type="dxa"/>
            <w:tcBorders>
              <w:top w:val="nil"/>
              <w:left w:val="nil"/>
              <w:bottom w:val="nil"/>
              <w:right w:val="nil"/>
            </w:tcBorders>
            <w:shd w:val="clear" w:color="auto" w:fill="auto"/>
            <w:noWrap/>
            <w:vAlign w:val="bottom"/>
            <w:hideMark/>
          </w:tcPr>
          <w:p w14:paraId="4423145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5,000 </w:t>
            </w:r>
          </w:p>
        </w:tc>
        <w:tc>
          <w:tcPr>
            <w:tcW w:w="900" w:type="dxa"/>
            <w:tcBorders>
              <w:top w:val="nil"/>
              <w:left w:val="nil"/>
              <w:bottom w:val="nil"/>
              <w:right w:val="nil"/>
            </w:tcBorders>
            <w:shd w:val="clear" w:color="auto" w:fill="auto"/>
            <w:noWrap/>
            <w:vAlign w:val="bottom"/>
            <w:hideMark/>
          </w:tcPr>
          <w:p w14:paraId="10CF34E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82D54B6"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22253B1F" w14:textId="77777777" w:rsidTr="00313E9C">
        <w:trPr>
          <w:trHeight w:val="283"/>
          <w:jc w:val="center"/>
        </w:trPr>
        <w:tc>
          <w:tcPr>
            <w:tcW w:w="4060" w:type="dxa"/>
            <w:tcBorders>
              <w:top w:val="nil"/>
              <w:left w:val="nil"/>
              <w:bottom w:val="nil"/>
              <w:right w:val="nil"/>
            </w:tcBorders>
            <w:shd w:val="clear" w:color="000000" w:fill="FFFFFF"/>
            <w:vAlign w:val="bottom"/>
            <w:hideMark/>
          </w:tcPr>
          <w:p w14:paraId="7012F078"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National COVID-19 Vaccine Program</w:t>
            </w:r>
          </w:p>
        </w:tc>
        <w:tc>
          <w:tcPr>
            <w:tcW w:w="900" w:type="dxa"/>
            <w:tcBorders>
              <w:top w:val="nil"/>
              <w:left w:val="nil"/>
              <w:bottom w:val="nil"/>
              <w:right w:val="nil"/>
            </w:tcBorders>
            <w:shd w:val="clear" w:color="auto" w:fill="auto"/>
            <w:noWrap/>
            <w:vAlign w:val="bottom"/>
            <w:hideMark/>
          </w:tcPr>
          <w:p w14:paraId="21A0236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4,126 </w:t>
            </w:r>
          </w:p>
        </w:tc>
        <w:tc>
          <w:tcPr>
            <w:tcW w:w="900" w:type="dxa"/>
            <w:tcBorders>
              <w:top w:val="nil"/>
              <w:left w:val="nil"/>
              <w:bottom w:val="nil"/>
              <w:right w:val="nil"/>
            </w:tcBorders>
            <w:shd w:val="clear" w:color="auto" w:fill="auto"/>
            <w:noWrap/>
            <w:vAlign w:val="bottom"/>
            <w:hideMark/>
          </w:tcPr>
          <w:p w14:paraId="177B115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2,103 </w:t>
            </w:r>
          </w:p>
        </w:tc>
        <w:tc>
          <w:tcPr>
            <w:tcW w:w="900" w:type="dxa"/>
            <w:tcBorders>
              <w:top w:val="nil"/>
              <w:left w:val="nil"/>
              <w:bottom w:val="nil"/>
              <w:right w:val="nil"/>
            </w:tcBorders>
            <w:shd w:val="clear" w:color="auto" w:fill="auto"/>
            <w:noWrap/>
            <w:vAlign w:val="bottom"/>
            <w:hideMark/>
          </w:tcPr>
          <w:p w14:paraId="6755182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68CC9C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36CC14D" w14:textId="77777777" w:rsidTr="00313E9C">
        <w:trPr>
          <w:trHeight w:val="283"/>
          <w:jc w:val="center"/>
        </w:trPr>
        <w:tc>
          <w:tcPr>
            <w:tcW w:w="4060" w:type="dxa"/>
            <w:tcBorders>
              <w:top w:val="nil"/>
              <w:left w:val="nil"/>
              <w:bottom w:val="nil"/>
              <w:right w:val="nil"/>
            </w:tcBorders>
            <w:shd w:val="clear" w:color="000000" w:fill="FFFFFF"/>
            <w:vAlign w:val="bottom"/>
            <w:hideMark/>
          </w:tcPr>
          <w:p w14:paraId="0959E2B7" w14:textId="77777777" w:rsidR="00626BC4" w:rsidRPr="00626BC4" w:rsidRDefault="00626BC4" w:rsidP="00626BC4">
            <w:pPr>
              <w:spacing w:before="0" w:after="0" w:line="240" w:lineRule="auto"/>
              <w:rPr>
                <w:rFonts w:ascii="Arial" w:hAnsi="Arial" w:cs="Arial"/>
                <w:sz w:val="16"/>
                <w:szCs w:val="16"/>
              </w:rPr>
            </w:pPr>
            <w:proofErr w:type="gramStart"/>
            <w:r w:rsidRPr="00626BC4">
              <w:rPr>
                <w:rFonts w:ascii="Arial" w:hAnsi="Arial" w:cs="Arial"/>
                <w:sz w:val="16"/>
                <w:szCs w:val="16"/>
              </w:rPr>
              <w:t>Power House</w:t>
            </w:r>
            <w:proofErr w:type="gramEnd"/>
            <w:r w:rsidRPr="00626BC4">
              <w:rPr>
                <w:rFonts w:ascii="Arial" w:hAnsi="Arial" w:cs="Arial"/>
                <w:sz w:val="16"/>
                <w:szCs w:val="16"/>
              </w:rPr>
              <w:t xml:space="preserve"> Community Hub - reprofile of funding</w:t>
            </w:r>
          </w:p>
        </w:tc>
        <w:tc>
          <w:tcPr>
            <w:tcW w:w="900" w:type="dxa"/>
            <w:tcBorders>
              <w:top w:val="nil"/>
              <w:left w:val="nil"/>
              <w:bottom w:val="nil"/>
              <w:right w:val="nil"/>
            </w:tcBorders>
            <w:shd w:val="clear" w:color="auto" w:fill="auto"/>
            <w:noWrap/>
            <w:vAlign w:val="bottom"/>
            <w:hideMark/>
          </w:tcPr>
          <w:p w14:paraId="585B40C6"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1,500 </w:t>
            </w:r>
          </w:p>
        </w:tc>
        <w:tc>
          <w:tcPr>
            <w:tcW w:w="900" w:type="dxa"/>
            <w:tcBorders>
              <w:top w:val="nil"/>
              <w:left w:val="nil"/>
              <w:bottom w:val="nil"/>
              <w:right w:val="nil"/>
            </w:tcBorders>
            <w:shd w:val="clear" w:color="auto" w:fill="auto"/>
            <w:noWrap/>
            <w:vAlign w:val="bottom"/>
            <w:hideMark/>
          </w:tcPr>
          <w:p w14:paraId="3FD0D1E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1,500 </w:t>
            </w:r>
          </w:p>
        </w:tc>
        <w:tc>
          <w:tcPr>
            <w:tcW w:w="900" w:type="dxa"/>
            <w:tcBorders>
              <w:top w:val="nil"/>
              <w:left w:val="nil"/>
              <w:bottom w:val="nil"/>
              <w:right w:val="nil"/>
            </w:tcBorders>
            <w:shd w:val="clear" w:color="auto" w:fill="auto"/>
            <w:noWrap/>
            <w:vAlign w:val="bottom"/>
            <w:hideMark/>
          </w:tcPr>
          <w:p w14:paraId="4911934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24C47D6"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2DCA42F6" w14:textId="77777777" w:rsidTr="00313E9C">
        <w:trPr>
          <w:trHeight w:val="454"/>
          <w:jc w:val="center"/>
        </w:trPr>
        <w:tc>
          <w:tcPr>
            <w:tcW w:w="4060" w:type="dxa"/>
            <w:tcBorders>
              <w:top w:val="nil"/>
              <w:left w:val="nil"/>
              <w:bottom w:val="nil"/>
              <w:right w:val="nil"/>
            </w:tcBorders>
            <w:shd w:val="clear" w:color="000000" w:fill="FFFFFF"/>
            <w:vAlign w:val="bottom"/>
            <w:hideMark/>
          </w:tcPr>
          <w:p w14:paraId="7E40514E"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Regional Cancer Centres for Radiation Therapy programs - reprofile of funding</w:t>
            </w:r>
          </w:p>
        </w:tc>
        <w:tc>
          <w:tcPr>
            <w:tcW w:w="900" w:type="dxa"/>
            <w:tcBorders>
              <w:top w:val="nil"/>
              <w:left w:val="nil"/>
              <w:bottom w:val="nil"/>
              <w:right w:val="nil"/>
            </w:tcBorders>
            <w:shd w:val="clear" w:color="auto" w:fill="auto"/>
            <w:noWrap/>
            <w:vAlign w:val="bottom"/>
            <w:hideMark/>
          </w:tcPr>
          <w:p w14:paraId="047C0F3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3,000 </w:t>
            </w:r>
          </w:p>
        </w:tc>
        <w:tc>
          <w:tcPr>
            <w:tcW w:w="900" w:type="dxa"/>
            <w:tcBorders>
              <w:top w:val="nil"/>
              <w:left w:val="nil"/>
              <w:bottom w:val="nil"/>
              <w:right w:val="nil"/>
            </w:tcBorders>
            <w:shd w:val="clear" w:color="auto" w:fill="auto"/>
            <w:noWrap/>
            <w:vAlign w:val="bottom"/>
            <w:hideMark/>
          </w:tcPr>
          <w:p w14:paraId="2661018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2839F1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E7BC89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6F4ABE6B" w14:textId="77777777" w:rsidTr="00313E9C">
        <w:trPr>
          <w:trHeight w:val="283"/>
          <w:jc w:val="center"/>
        </w:trPr>
        <w:tc>
          <w:tcPr>
            <w:tcW w:w="4060" w:type="dxa"/>
            <w:tcBorders>
              <w:top w:val="nil"/>
              <w:left w:val="nil"/>
              <w:bottom w:val="nil"/>
              <w:right w:val="nil"/>
            </w:tcBorders>
            <w:shd w:val="clear" w:color="000000" w:fill="FFFFFF"/>
            <w:noWrap/>
            <w:vAlign w:val="bottom"/>
            <w:hideMark/>
          </w:tcPr>
          <w:p w14:paraId="43779A81"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Price parameter adjustments</w:t>
            </w:r>
            <w:r w:rsidRPr="00626BC4">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E6F171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6D67B9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 </w:t>
            </w:r>
          </w:p>
        </w:tc>
        <w:tc>
          <w:tcPr>
            <w:tcW w:w="900" w:type="dxa"/>
            <w:tcBorders>
              <w:top w:val="nil"/>
              <w:left w:val="nil"/>
              <w:bottom w:val="nil"/>
              <w:right w:val="nil"/>
            </w:tcBorders>
            <w:shd w:val="clear" w:color="auto" w:fill="auto"/>
            <w:noWrap/>
            <w:vAlign w:val="bottom"/>
            <w:hideMark/>
          </w:tcPr>
          <w:p w14:paraId="4D512C3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188 </w:t>
            </w:r>
          </w:p>
        </w:tc>
        <w:tc>
          <w:tcPr>
            <w:tcW w:w="900" w:type="dxa"/>
            <w:tcBorders>
              <w:top w:val="nil"/>
              <w:left w:val="nil"/>
              <w:bottom w:val="nil"/>
              <w:right w:val="nil"/>
            </w:tcBorders>
            <w:shd w:val="clear" w:color="auto" w:fill="auto"/>
            <w:noWrap/>
            <w:vAlign w:val="bottom"/>
            <w:hideMark/>
          </w:tcPr>
          <w:p w14:paraId="3E19652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186 </w:t>
            </w:r>
          </w:p>
        </w:tc>
      </w:tr>
      <w:tr w:rsidR="00626BC4" w:rsidRPr="00626BC4" w14:paraId="1EB7BE9E" w14:textId="77777777" w:rsidTr="00313E9C">
        <w:trPr>
          <w:trHeight w:val="283"/>
          <w:jc w:val="center"/>
        </w:trPr>
        <w:tc>
          <w:tcPr>
            <w:tcW w:w="4060" w:type="dxa"/>
            <w:tcBorders>
              <w:top w:val="nil"/>
              <w:left w:val="nil"/>
              <w:bottom w:val="nil"/>
              <w:right w:val="nil"/>
            </w:tcBorders>
            <w:shd w:val="clear" w:color="auto" w:fill="auto"/>
            <w:noWrap/>
            <w:vAlign w:val="bottom"/>
            <w:hideMark/>
          </w:tcPr>
          <w:p w14:paraId="2177F7A0" w14:textId="77777777" w:rsidR="00626BC4" w:rsidRPr="00626BC4" w:rsidRDefault="00626BC4" w:rsidP="00626BC4">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12636635"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53,861 </w:t>
            </w:r>
          </w:p>
        </w:tc>
        <w:tc>
          <w:tcPr>
            <w:tcW w:w="900" w:type="dxa"/>
            <w:tcBorders>
              <w:top w:val="single" w:sz="4" w:space="0" w:color="auto"/>
              <w:left w:val="nil"/>
              <w:bottom w:val="single" w:sz="4" w:space="0" w:color="auto"/>
              <w:right w:val="nil"/>
            </w:tcBorders>
            <w:shd w:val="clear" w:color="auto" w:fill="auto"/>
            <w:noWrap/>
            <w:vAlign w:val="bottom"/>
            <w:hideMark/>
          </w:tcPr>
          <w:p w14:paraId="0A54B1C2"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14,296 </w:t>
            </w:r>
          </w:p>
        </w:tc>
        <w:tc>
          <w:tcPr>
            <w:tcW w:w="900" w:type="dxa"/>
            <w:tcBorders>
              <w:top w:val="single" w:sz="4" w:space="0" w:color="auto"/>
              <w:left w:val="nil"/>
              <w:bottom w:val="single" w:sz="4" w:space="0" w:color="auto"/>
              <w:right w:val="nil"/>
            </w:tcBorders>
            <w:shd w:val="clear" w:color="auto" w:fill="auto"/>
            <w:noWrap/>
            <w:vAlign w:val="bottom"/>
            <w:hideMark/>
          </w:tcPr>
          <w:p w14:paraId="6E342349"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2,170 </w:t>
            </w:r>
          </w:p>
        </w:tc>
        <w:tc>
          <w:tcPr>
            <w:tcW w:w="900" w:type="dxa"/>
            <w:tcBorders>
              <w:top w:val="single" w:sz="4" w:space="0" w:color="auto"/>
              <w:left w:val="nil"/>
              <w:bottom w:val="single" w:sz="4" w:space="0" w:color="auto"/>
              <w:right w:val="nil"/>
            </w:tcBorders>
            <w:shd w:val="clear" w:color="auto" w:fill="auto"/>
            <w:noWrap/>
            <w:vAlign w:val="bottom"/>
            <w:hideMark/>
          </w:tcPr>
          <w:p w14:paraId="613A901E"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2,168 </w:t>
            </w:r>
          </w:p>
        </w:tc>
      </w:tr>
    </w:tbl>
    <w:p w14:paraId="38B715BB" w14:textId="77777777" w:rsidR="001A687E" w:rsidRPr="001A687E" w:rsidRDefault="001A687E" w:rsidP="001A687E">
      <w:pPr>
        <w:pStyle w:val="TableGraphic"/>
      </w:pPr>
    </w:p>
    <w:p w14:paraId="523C8C6F" w14:textId="74E4F273" w:rsidR="00736DD8" w:rsidRDefault="00736DD8" w:rsidP="00736DD8">
      <w:pPr>
        <w:pStyle w:val="TableGraphic"/>
        <w:rPr>
          <w:iCs/>
        </w:rPr>
      </w:pPr>
    </w:p>
    <w:p w14:paraId="669089D7" w14:textId="77777777" w:rsidR="00626BC4" w:rsidRDefault="00626BC4">
      <w:pPr>
        <w:spacing w:before="0" w:after="0" w:line="240" w:lineRule="auto"/>
        <w:rPr>
          <w:rFonts w:ascii="Arial" w:hAnsi="Arial" w:cs="Arial"/>
          <w:b/>
          <w:sz w:val="20"/>
          <w:u w:val="single"/>
        </w:rPr>
      </w:pPr>
      <w:r>
        <w:rPr>
          <w:rFonts w:ascii="Arial" w:hAnsi="Arial" w:cs="Arial"/>
          <w:b/>
          <w:sz w:val="20"/>
          <w:u w:val="single"/>
        </w:rPr>
        <w:br w:type="page"/>
      </w:r>
    </w:p>
    <w:p w14:paraId="573FE26D" w14:textId="6103D101" w:rsidR="00626BC4" w:rsidRDefault="00626BC4" w:rsidP="00761AF1">
      <w:pPr>
        <w:spacing w:after="20"/>
        <w:rPr>
          <w:rFonts w:ascii="Arial" w:hAnsi="Arial" w:cs="Arial"/>
          <w:b/>
          <w:sz w:val="20"/>
        </w:rPr>
      </w:pPr>
      <w:r w:rsidRPr="00626BC4">
        <w:rPr>
          <w:rFonts w:ascii="Arial" w:hAnsi="Arial" w:cs="Arial"/>
          <w:b/>
          <w:sz w:val="20"/>
        </w:rPr>
        <w:lastRenderedPageBreak/>
        <w:t>Table 2.1.1</w:t>
      </w:r>
      <w:r w:rsidR="009203D5">
        <w:rPr>
          <w:rFonts w:ascii="Arial" w:hAnsi="Arial" w:cs="Arial"/>
          <w:b/>
          <w:sz w:val="20"/>
        </w:rPr>
        <w:t>:</w:t>
      </w:r>
      <w:r w:rsidRPr="00626BC4">
        <w:rPr>
          <w:rFonts w:ascii="Arial" w:hAnsi="Arial" w:cs="Arial"/>
          <w:b/>
          <w:sz w:val="20"/>
        </w:rPr>
        <w:t xml:space="preserve"> </w:t>
      </w:r>
      <w:r w:rsidR="00A52488">
        <w:rPr>
          <w:rFonts w:ascii="Arial" w:hAnsi="Arial" w:cs="Arial"/>
          <w:b/>
          <w:sz w:val="20"/>
        </w:rPr>
        <w:t>Variations Table –</w:t>
      </w:r>
      <w:r w:rsidR="009203D5">
        <w:rPr>
          <w:rFonts w:ascii="Arial" w:hAnsi="Arial" w:cs="Arial"/>
          <w:b/>
          <w:sz w:val="20"/>
        </w:rPr>
        <w:t xml:space="preserve"> </w:t>
      </w:r>
      <w:r w:rsidRPr="00626BC4">
        <w:rPr>
          <w:rFonts w:ascii="Arial" w:hAnsi="Arial" w:cs="Arial"/>
          <w:b/>
          <w:sz w:val="20"/>
        </w:rPr>
        <w:t>Outcome 1 (continued)</w:t>
      </w:r>
    </w:p>
    <w:tbl>
      <w:tblPr>
        <w:tblW w:w="7660" w:type="dxa"/>
        <w:jc w:val="center"/>
        <w:tblLayout w:type="fixed"/>
        <w:tblLook w:val="04A0" w:firstRow="1" w:lastRow="0" w:firstColumn="1" w:lastColumn="0" w:noHBand="0" w:noVBand="1"/>
      </w:tblPr>
      <w:tblGrid>
        <w:gridCol w:w="4060"/>
        <w:gridCol w:w="900"/>
        <w:gridCol w:w="900"/>
        <w:gridCol w:w="900"/>
        <w:gridCol w:w="900"/>
      </w:tblGrid>
      <w:tr w:rsidR="00626BC4" w:rsidRPr="00626BC4" w14:paraId="784C6301" w14:textId="77777777" w:rsidTr="003C2D5A">
        <w:trPr>
          <w:trHeight w:val="397"/>
          <w:jc w:val="center"/>
        </w:trPr>
        <w:tc>
          <w:tcPr>
            <w:tcW w:w="4060" w:type="dxa"/>
            <w:tcBorders>
              <w:top w:val="single" w:sz="4" w:space="0" w:color="auto"/>
              <w:left w:val="nil"/>
              <w:bottom w:val="nil"/>
              <w:right w:val="nil"/>
            </w:tcBorders>
            <w:shd w:val="clear" w:color="auto" w:fill="auto"/>
            <w:hideMark/>
          </w:tcPr>
          <w:p w14:paraId="2E1A3B67" w14:textId="77777777" w:rsidR="00626BC4" w:rsidRPr="00626BC4" w:rsidRDefault="00626BC4" w:rsidP="00B50F66">
            <w:pPr>
              <w:spacing w:before="24" w:after="0" w:line="240" w:lineRule="auto"/>
              <w:jc w:val="right"/>
              <w:rPr>
                <w:rFonts w:ascii="Arial" w:hAnsi="Arial" w:cs="Arial"/>
                <w:sz w:val="16"/>
                <w:szCs w:val="16"/>
              </w:rPr>
            </w:pPr>
            <w:r w:rsidRPr="00626BC4">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3F65B928" w14:textId="7A172019" w:rsidR="00626BC4" w:rsidRPr="00626BC4" w:rsidRDefault="00626BC4" w:rsidP="00B50F66">
            <w:pPr>
              <w:spacing w:before="24" w:after="0" w:line="240" w:lineRule="auto"/>
              <w:jc w:val="right"/>
              <w:rPr>
                <w:rFonts w:ascii="Arial" w:hAnsi="Arial" w:cs="Arial"/>
                <w:b/>
                <w:bCs/>
                <w:sz w:val="16"/>
                <w:szCs w:val="16"/>
              </w:rPr>
            </w:pPr>
            <w:r>
              <w:rPr>
                <w:rFonts w:ascii="Arial" w:hAnsi="Arial" w:cs="Arial"/>
                <w:b/>
                <w:bCs/>
                <w:sz w:val="16"/>
                <w:szCs w:val="16"/>
              </w:rPr>
              <w:t>2023–</w:t>
            </w:r>
            <w:r w:rsidRPr="00626BC4">
              <w:rPr>
                <w:rFonts w:ascii="Arial" w:hAnsi="Arial" w:cs="Arial"/>
                <w:b/>
                <w:bCs/>
                <w:sz w:val="16"/>
                <w:szCs w:val="16"/>
              </w:rPr>
              <w:t>24</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3C7D0C19" w14:textId="59530C6A" w:rsidR="00626BC4" w:rsidRPr="00626BC4" w:rsidRDefault="00626BC4" w:rsidP="00B50F66">
            <w:pPr>
              <w:spacing w:before="24" w:after="0" w:line="240" w:lineRule="auto"/>
              <w:jc w:val="right"/>
              <w:rPr>
                <w:rFonts w:ascii="Arial" w:hAnsi="Arial" w:cs="Arial"/>
                <w:b/>
                <w:bCs/>
                <w:sz w:val="16"/>
                <w:szCs w:val="16"/>
              </w:rPr>
            </w:pPr>
            <w:r>
              <w:rPr>
                <w:rFonts w:ascii="Arial" w:hAnsi="Arial" w:cs="Arial"/>
                <w:b/>
                <w:bCs/>
                <w:sz w:val="16"/>
                <w:szCs w:val="16"/>
              </w:rPr>
              <w:t>2024–</w:t>
            </w:r>
            <w:r w:rsidRPr="00626BC4">
              <w:rPr>
                <w:rFonts w:ascii="Arial" w:hAnsi="Arial" w:cs="Arial"/>
                <w:b/>
                <w:bCs/>
                <w:sz w:val="16"/>
                <w:szCs w:val="16"/>
              </w:rPr>
              <w:t>25</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445E962" w14:textId="1ED0F506" w:rsidR="00626BC4" w:rsidRPr="00626BC4" w:rsidRDefault="00626BC4" w:rsidP="00B50F66">
            <w:pPr>
              <w:spacing w:before="24" w:after="0" w:line="240" w:lineRule="auto"/>
              <w:jc w:val="right"/>
              <w:rPr>
                <w:rFonts w:ascii="Arial" w:hAnsi="Arial" w:cs="Arial"/>
                <w:b/>
                <w:bCs/>
                <w:sz w:val="16"/>
                <w:szCs w:val="16"/>
              </w:rPr>
            </w:pPr>
            <w:r w:rsidRPr="00626BC4">
              <w:rPr>
                <w:rFonts w:ascii="Arial" w:hAnsi="Arial" w:cs="Arial"/>
                <w:b/>
                <w:bCs/>
                <w:sz w:val="16"/>
                <w:szCs w:val="16"/>
              </w:rPr>
              <w:t>2025</w:t>
            </w:r>
            <w:r>
              <w:rPr>
                <w:rFonts w:ascii="Arial" w:hAnsi="Arial" w:cs="Arial"/>
                <w:b/>
                <w:bCs/>
                <w:sz w:val="16"/>
                <w:szCs w:val="16"/>
              </w:rPr>
              <w:t>–</w:t>
            </w:r>
            <w:r w:rsidRPr="00626BC4">
              <w:rPr>
                <w:rFonts w:ascii="Arial" w:hAnsi="Arial" w:cs="Arial"/>
                <w:b/>
                <w:bCs/>
                <w:sz w:val="16"/>
                <w:szCs w:val="16"/>
              </w:rPr>
              <w:t>26</w:t>
            </w:r>
            <w:r w:rsidRPr="00626BC4">
              <w:rPr>
                <w:rFonts w:ascii="Arial" w:hAnsi="Arial" w:cs="Arial"/>
                <w:b/>
                <w:bCs/>
                <w:sz w:val="16"/>
                <w:szCs w:val="16"/>
              </w:rPr>
              <w:br/>
            </w:r>
            <w:r w:rsidRPr="00626BC4">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9172753" w14:textId="65C5CF35" w:rsidR="00626BC4" w:rsidRPr="00626BC4" w:rsidRDefault="00626BC4" w:rsidP="00B50F66">
            <w:pPr>
              <w:spacing w:before="24" w:after="0" w:line="240" w:lineRule="auto"/>
              <w:jc w:val="right"/>
              <w:rPr>
                <w:rFonts w:ascii="Arial" w:hAnsi="Arial" w:cs="Arial"/>
                <w:b/>
                <w:bCs/>
                <w:sz w:val="16"/>
                <w:szCs w:val="16"/>
              </w:rPr>
            </w:pPr>
            <w:r>
              <w:rPr>
                <w:rFonts w:ascii="Arial" w:hAnsi="Arial" w:cs="Arial"/>
                <w:b/>
                <w:bCs/>
                <w:sz w:val="16"/>
                <w:szCs w:val="16"/>
              </w:rPr>
              <w:t>2026–</w:t>
            </w:r>
            <w:r w:rsidRPr="00626BC4">
              <w:rPr>
                <w:rFonts w:ascii="Arial" w:hAnsi="Arial" w:cs="Arial"/>
                <w:b/>
                <w:bCs/>
                <w:sz w:val="16"/>
                <w:szCs w:val="16"/>
              </w:rPr>
              <w:t>27</w:t>
            </w:r>
            <w:r w:rsidRPr="00626BC4">
              <w:rPr>
                <w:rFonts w:ascii="Arial" w:hAnsi="Arial" w:cs="Arial"/>
                <w:b/>
                <w:bCs/>
                <w:sz w:val="16"/>
                <w:szCs w:val="16"/>
              </w:rPr>
              <w:br/>
            </w:r>
            <w:r w:rsidRPr="00626BC4">
              <w:rPr>
                <w:rFonts w:ascii="Arial" w:hAnsi="Arial" w:cs="Arial"/>
                <w:sz w:val="16"/>
                <w:szCs w:val="16"/>
              </w:rPr>
              <w:t>$'000</w:t>
            </w:r>
          </w:p>
        </w:tc>
      </w:tr>
      <w:tr w:rsidR="00626BC4" w:rsidRPr="00626BC4" w14:paraId="641C5EB7"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257F24FC"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Program 1.2: Mental Health</w:t>
            </w:r>
          </w:p>
        </w:tc>
        <w:tc>
          <w:tcPr>
            <w:tcW w:w="900" w:type="dxa"/>
            <w:tcBorders>
              <w:top w:val="nil"/>
              <w:left w:val="nil"/>
              <w:bottom w:val="nil"/>
              <w:right w:val="nil"/>
            </w:tcBorders>
            <w:shd w:val="clear" w:color="auto" w:fill="auto"/>
            <w:noWrap/>
            <w:vAlign w:val="bottom"/>
            <w:hideMark/>
          </w:tcPr>
          <w:p w14:paraId="19BAA8B2"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8E683A4"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E54EF4A"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B6CB304"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751AB0BA"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2F6A9083"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2636B900"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C63EC73" w14:textId="77777777" w:rsidR="00626BC4" w:rsidRPr="00626BC4" w:rsidRDefault="00626BC4" w:rsidP="00626BC4">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072BB23"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C8212DF"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28BB713A" w14:textId="77777777" w:rsidTr="00626BC4">
        <w:trPr>
          <w:trHeight w:val="283"/>
          <w:jc w:val="center"/>
        </w:trPr>
        <w:tc>
          <w:tcPr>
            <w:tcW w:w="4060" w:type="dxa"/>
            <w:tcBorders>
              <w:top w:val="nil"/>
              <w:left w:val="nil"/>
              <w:bottom w:val="nil"/>
              <w:right w:val="nil"/>
            </w:tcBorders>
            <w:shd w:val="clear" w:color="auto" w:fill="auto"/>
            <w:noWrap/>
            <w:vAlign w:val="bottom"/>
            <w:hideMark/>
          </w:tcPr>
          <w:p w14:paraId="1BFAC6DC"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7EAB9FFD" w14:textId="77777777" w:rsidR="00626BC4" w:rsidRPr="00626BC4" w:rsidRDefault="00626BC4" w:rsidP="00626BC4">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925A459"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41EB27D"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8B23C2E"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5C916BCF" w14:textId="77777777" w:rsidTr="00626BC4">
        <w:trPr>
          <w:trHeight w:val="283"/>
          <w:jc w:val="center"/>
        </w:trPr>
        <w:tc>
          <w:tcPr>
            <w:tcW w:w="4060" w:type="dxa"/>
            <w:tcBorders>
              <w:top w:val="nil"/>
              <w:left w:val="nil"/>
              <w:bottom w:val="nil"/>
              <w:right w:val="nil"/>
            </w:tcBorders>
            <w:shd w:val="clear" w:color="auto" w:fill="auto"/>
            <w:vAlign w:val="bottom"/>
            <w:hideMark/>
          </w:tcPr>
          <w:p w14:paraId="39F3809B"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b/>
                <w:bCs/>
                <w:sz w:val="16"/>
                <w:szCs w:val="16"/>
              </w:rPr>
              <w:t>Measure</w:t>
            </w:r>
            <w:r w:rsidRPr="00626BC4">
              <w:rPr>
                <w:rFonts w:ascii="Arial" w:hAnsi="Arial" w:cs="Arial"/>
                <w:sz w:val="16"/>
                <w:szCs w:val="16"/>
              </w:rPr>
              <w:t xml:space="preserve"> - Mental Health</w:t>
            </w:r>
          </w:p>
        </w:tc>
        <w:tc>
          <w:tcPr>
            <w:tcW w:w="900" w:type="dxa"/>
            <w:tcBorders>
              <w:top w:val="nil"/>
              <w:left w:val="nil"/>
              <w:bottom w:val="nil"/>
              <w:right w:val="nil"/>
            </w:tcBorders>
            <w:shd w:val="clear" w:color="auto" w:fill="auto"/>
            <w:noWrap/>
            <w:vAlign w:val="bottom"/>
            <w:hideMark/>
          </w:tcPr>
          <w:p w14:paraId="4D999F8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600 </w:t>
            </w:r>
          </w:p>
        </w:tc>
        <w:tc>
          <w:tcPr>
            <w:tcW w:w="900" w:type="dxa"/>
            <w:tcBorders>
              <w:top w:val="nil"/>
              <w:left w:val="nil"/>
              <w:bottom w:val="nil"/>
              <w:right w:val="nil"/>
            </w:tcBorders>
            <w:shd w:val="clear" w:color="auto" w:fill="auto"/>
            <w:noWrap/>
            <w:vAlign w:val="bottom"/>
            <w:hideMark/>
          </w:tcPr>
          <w:p w14:paraId="198A33D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31,729 </w:t>
            </w:r>
          </w:p>
        </w:tc>
        <w:tc>
          <w:tcPr>
            <w:tcW w:w="900" w:type="dxa"/>
            <w:tcBorders>
              <w:top w:val="nil"/>
              <w:left w:val="nil"/>
              <w:bottom w:val="nil"/>
              <w:right w:val="nil"/>
            </w:tcBorders>
            <w:shd w:val="clear" w:color="auto" w:fill="auto"/>
            <w:noWrap/>
            <w:vAlign w:val="bottom"/>
            <w:hideMark/>
          </w:tcPr>
          <w:p w14:paraId="65F2CC1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33,984 </w:t>
            </w:r>
          </w:p>
        </w:tc>
        <w:tc>
          <w:tcPr>
            <w:tcW w:w="900" w:type="dxa"/>
            <w:tcBorders>
              <w:top w:val="nil"/>
              <w:left w:val="nil"/>
              <w:bottom w:val="nil"/>
              <w:right w:val="nil"/>
            </w:tcBorders>
            <w:shd w:val="clear" w:color="auto" w:fill="auto"/>
            <w:noWrap/>
            <w:vAlign w:val="bottom"/>
            <w:hideMark/>
          </w:tcPr>
          <w:p w14:paraId="2E8C6F2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48,655 </w:t>
            </w:r>
          </w:p>
        </w:tc>
      </w:tr>
      <w:tr w:rsidR="00626BC4" w:rsidRPr="00626BC4" w14:paraId="5F4DF95B" w14:textId="77777777" w:rsidTr="00540ADC">
        <w:trPr>
          <w:trHeight w:val="425"/>
          <w:jc w:val="center"/>
        </w:trPr>
        <w:tc>
          <w:tcPr>
            <w:tcW w:w="4060" w:type="dxa"/>
            <w:tcBorders>
              <w:top w:val="nil"/>
              <w:left w:val="nil"/>
              <w:bottom w:val="nil"/>
              <w:right w:val="nil"/>
            </w:tcBorders>
            <w:shd w:val="clear" w:color="auto" w:fill="auto"/>
            <w:vAlign w:val="bottom"/>
            <w:hideMark/>
          </w:tcPr>
          <w:p w14:paraId="51E1BDF6"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b/>
                <w:bCs/>
                <w:sz w:val="16"/>
                <w:szCs w:val="16"/>
              </w:rPr>
              <w:t>Measure</w:t>
            </w:r>
            <w:r w:rsidRPr="00626BC4">
              <w:rPr>
                <w:rFonts w:ascii="Arial" w:hAnsi="Arial" w:cs="Arial"/>
                <w:sz w:val="16"/>
                <w:szCs w:val="16"/>
              </w:rPr>
              <w:t xml:space="preserve"> - Supporting Australian Communities Affected by the Hamas-Israel Conflict</w:t>
            </w:r>
          </w:p>
        </w:tc>
        <w:tc>
          <w:tcPr>
            <w:tcW w:w="900" w:type="dxa"/>
            <w:tcBorders>
              <w:top w:val="nil"/>
              <w:left w:val="nil"/>
              <w:bottom w:val="nil"/>
              <w:right w:val="nil"/>
            </w:tcBorders>
            <w:shd w:val="clear" w:color="auto" w:fill="auto"/>
            <w:noWrap/>
            <w:vAlign w:val="bottom"/>
            <w:hideMark/>
          </w:tcPr>
          <w:p w14:paraId="5C41776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1,500 </w:t>
            </w:r>
          </w:p>
        </w:tc>
        <w:tc>
          <w:tcPr>
            <w:tcW w:w="900" w:type="dxa"/>
            <w:tcBorders>
              <w:top w:val="nil"/>
              <w:left w:val="nil"/>
              <w:bottom w:val="nil"/>
              <w:right w:val="nil"/>
            </w:tcBorders>
            <w:shd w:val="clear" w:color="auto" w:fill="auto"/>
            <w:noWrap/>
            <w:vAlign w:val="bottom"/>
            <w:hideMark/>
          </w:tcPr>
          <w:p w14:paraId="568FBAD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1,500 </w:t>
            </w:r>
          </w:p>
        </w:tc>
        <w:tc>
          <w:tcPr>
            <w:tcW w:w="900" w:type="dxa"/>
            <w:tcBorders>
              <w:top w:val="nil"/>
              <w:left w:val="nil"/>
              <w:bottom w:val="nil"/>
              <w:right w:val="nil"/>
            </w:tcBorders>
            <w:shd w:val="clear" w:color="auto" w:fill="auto"/>
            <w:noWrap/>
            <w:vAlign w:val="bottom"/>
            <w:hideMark/>
          </w:tcPr>
          <w:p w14:paraId="62FF719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CB5A37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4D23164" w14:textId="77777777" w:rsidTr="00626BC4">
        <w:trPr>
          <w:trHeight w:val="283"/>
          <w:jc w:val="center"/>
        </w:trPr>
        <w:tc>
          <w:tcPr>
            <w:tcW w:w="4060" w:type="dxa"/>
            <w:tcBorders>
              <w:top w:val="nil"/>
              <w:left w:val="nil"/>
              <w:bottom w:val="nil"/>
              <w:right w:val="nil"/>
            </w:tcBorders>
            <w:shd w:val="clear" w:color="000000" w:fill="FFFFFF"/>
            <w:vAlign w:val="bottom"/>
            <w:hideMark/>
          </w:tcPr>
          <w:p w14:paraId="4D63F724"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Aftercare services - reprofile of funding</w:t>
            </w:r>
          </w:p>
        </w:tc>
        <w:tc>
          <w:tcPr>
            <w:tcW w:w="900" w:type="dxa"/>
            <w:tcBorders>
              <w:top w:val="nil"/>
              <w:left w:val="nil"/>
              <w:bottom w:val="nil"/>
              <w:right w:val="nil"/>
            </w:tcBorders>
            <w:shd w:val="clear" w:color="auto" w:fill="auto"/>
            <w:noWrap/>
            <w:vAlign w:val="bottom"/>
            <w:hideMark/>
          </w:tcPr>
          <w:p w14:paraId="0F0D0D2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31,087 </w:t>
            </w:r>
          </w:p>
        </w:tc>
        <w:tc>
          <w:tcPr>
            <w:tcW w:w="900" w:type="dxa"/>
            <w:tcBorders>
              <w:top w:val="nil"/>
              <w:left w:val="nil"/>
              <w:bottom w:val="nil"/>
              <w:right w:val="nil"/>
            </w:tcBorders>
            <w:shd w:val="clear" w:color="auto" w:fill="auto"/>
            <w:noWrap/>
            <w:vAlign w:val="bottom"/>
            <w:hideMark/>
          </w:tcPr>
          <w:p w14:paraId="02BF3CC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D8C934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4FB394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2F298718" w14:textId="77777777" w:rsidTr="00540ADC">
        <w:trPr>
          <w:trHeight w:val="425"/>
          <w:jc w:val="center"/>
        </w:trPr>
        <w:tc>
          <w:tcPr>
            <w:tcW w:w="4060" w:type="dxa"/>
            <w:tcBorders>
              <w:top w:val="nil"/>
              <w:left w:val="nil"/>
              <w:bottom w:val="nil"/>
              <w:right w:val="nil"/>
            </w:tcBorders>
            <w:shd w:val="clear" w:color="000000" w:fill="FFFFFF"/>
            <w:vAlign w:val="bottom"/>
            <w:hideMark/>
          </w:tcPr>
          <w:p w14:paraId="0EBD8AD2"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Distress Trial Intervention Program - reprofile of funding</w:t>
            </w:r>
          </w:p>
        </w:tc>
        <w:tc>
          <w:tcPr>
            <w:tcW w:w="900" w:type="dxa"/>
            <w:tcBorders>
              <w:top w:val="nil"/>
              <w:left w:val="nil"/>
              <w:bottom w:val="nil"/>
              <w:right w:val="nil"/>
            </w:tcBorders>
            <w:shd w:val="clear" w:color="auto" w:fill="auto"/>
            <w:noWrap/>
            <w:vAlign w:val="bottom"/>
            <w:hideMark/>
          </w:tcPr>
          <w:p w14:paraId="1883445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2,875 </w:t>
            </w:r>
          </w:p>
        </w:tc>
        <w:tc>
          <w:tcPr>
            <w:tcW w:w="900" w:type="dxa"/>
            <w:tcBorders>
              <w:top w:val="nil"/>
              <w:left w:val="nil"/>
              <w:bottom w:val="nil"/>
              <w:right w:val="nil"/>
            </w:tcBorders>
            <w:shd w:val="clear" w:color="auto" w:fill="auto"/>
            <w:noWrap/>
            <w:vAlign w:val="bottom"/>
            <w:hideMark/>
          </w:tcPr>
          <w:p w14:paraId="7EE0FA2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1,012 </w:t>
            </w:r>
          </w:p>
        </w:tc>
        <w:tc>
          <w:tcPr>
            <w:tcW w:w="900" w:type="dxa"/>
            <w:tcBorders>
              <w:top w:val="nil"/>
              <w:left w:val="nil"/>
              <w:bottom w:val="nil"/>
              <w:right w:val="nil"/>
            </w:tcBorders>
            <w:shd w:val="clear" w:color="auto" w:fill="auto"/>
            <w:noWrap/>
            <w:vAlign w:val="bottom"/>
            <w:hideMark/>
          </w:tcPr>
          <w:p w14:paraId="17EA318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E7B66F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55791A60" w14:textId="77777777" w:rsidTr="00540ADC">
        <w:trPr>
          <w:trHeight w:val="425"/>
          <w:jc w:val="center"/>
        </w:trPr>
        <w:tc>
          <w:tcPr>
            <w:tcW w:w="4060" w:type="dxa"/>
            <w:tcBorders>
              <w:top w:val="nil"/>
              <w:left w:val="nil"/>
              <w:bottom w:val="nil"/>
              <w:right w:val="nil"/>
            </w:tcBorders>
            <w:shd w:val="clear" w:color="000000" w:fill="FFFFFF"/>
            <w:vAlign w:val="bottom"/>
            <w:hideMark/>
          </w:tcPr>
          <w:p w14:paraId="67305F23"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Effective Targeting and Improvement of Mental Health - reprofile of funding</w:t>
            </w:r>
          </w:p>
        </w:tc>
        <w:tc>
          <w:tcPr>
            <w:tcW w:w="900" w:type="dxa"/>
            <w:tcBorders>
              <w:top w:val="nil"/>
              <w:left w:val="nil"/>
              <w:bottom w:val="nil"/>
              <w:right w:val="nil"/>
            </w:tcBorders>
            <w:shd w:val="clear" w:color="auto" w:fill="auto"/>
            <w:noWrap/>
            <w:vAlign w:val="bottom"/>
            <w:hideMark/>
          </w:tcPr>
          <w:p w14:paraId="45BE9D2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4,657 </w:t>
            </w:r>
          </w:p>
        </w:tc>
        <w:tc>
          <w:tcPr>
            <w:tcW w:w="900" w:type="dxa"/>
            <w:tcBorders>
              <w:top w:val="nil"/>
              <w:left w:val="nil"/>
              <w:bottom w:val="nil"/>
              <w:right w:val="nil"/>
            </w:tcBorders>
            <w:shd w:val="clear" w:color="auto" w:fill="auto"/>
            <w:noWrap/>
            <w:vAlign w:val="bottom"/>
            <w:hideMark/>
          </w:tcPr>
          <w:p w14:paraId="3C9EC58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4,515 </w:t>
            </w:r>
          </w:p>
        </w:tc>
        <w:tc>
          <w:tcPr>
            <w:tcW w:w="900" w:type="dxa"/>
            <w:tcBorders>
              <w:top w:val="nil"/>
              <w:left w:val="nil"/>
              <w:bottom w:val="nil"/>
              <w:right w:val="nil"/>
            </w:tcBorders>
            <w:shd w:val="clear" w:color="auto" w:fill="auto"/>
            <w:noWrap/>
            <w:vAlign w:val="bottom"/>
            <w:hideMark/>
          </w:tcPr>
          <w:p w14:paraId="320D351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2,695 </w:t>
            </w:r>
          </w:p>
        </w:tc>
        <w:tc>
          <w:tcPr>
            <w:tcW w:w="900" w:type="dxa"/>
            <w:tcBorders>
              <w:top w:val="nil"/>
              <w:left w:val="nil"/>
              <w:bottom w:val="nil"/>
              <w:right w:val="nil"/>
            </w:tcBorders>
            <w:shd w:val="clear" w:color="auto" w:fill="auto"/>
            <w:noWrap/>
            <w:vAlign w:val="bottom"/>
            <w:hideMark/>
          </w:tcPr>
          <w:p w14:paraId="3FB9C9A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1,000 </w:t>
            </w:r>
          </w:p>
        </w:tc>
      </w:tr>
      <w:tr w:rsidR="00626BC4" w:rsidRPr="00626BC4" w14:paraId="69459919" w14:textId="77777777" w:rsidTr="00540ADC">
        <w:trPr>
          <w:trHeight w:val="425"/>
          <w:jc w:val="center"/>
        </w:trPr>
        <w:tc>
          <w:tcPr>
            <w:tcW w:w="4060" w:type="dxa"/>
            <w:tcBorders>
              <w:top w:val="nil"/>
              <w:left w:val="nil"/>
              <w:bottom w:val="nil"/>
              <w:right w:val="nil"/>
            </w:tcBorders>
            <w:shd w:val="clear" w:color="000000" w:fill="FFFFFF"/>
            <w:vAlign w:val="bottom"/>
            <w:hideMark/>
          </w:tcPr>
          <w:p w14:paraId="21F5BC81"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Improving outcomes for people with a complex mental health need - reprofile of funding</w:t>
            </w:r>
          </w:p>
        </w:tc>
        <w:tc>
          <w:tcPr>
            <w:tcW w:w="900" w:type="dxa"/>
            <w:tcBorders>
              <w:top w:val="nil"/>
              <w:left w:val="nil"/>
              <w:bottom w:val="nil"/>
              <w:right w:val="nil"/>
            </w:tcBorders>
            <w:shd w:val="clear" w:color="auto" w:fill="auto"/>
            <w:noWrap/>
            <w:vAlign w:val="bottom"/>
            <w:hideMark/>
          </w:tcPr>
          <w:p w14:paraId="6B4D5C5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500 </w:t>
            </w:r>
          </w:p>
        </w:tc>
        <w:tc>
          <w:tcPr>
            <w:tcW w:w="900" w:type="dxa"/>
            <w:tcBorders>
              <w:top w:val="nil"/>
              <w:left w:val="nil"/>
              <w:bottom w:val="nil"/>
              <w:right w:val="nil"/>
            </w:tcBorders>
            <w:shd w:val="clear" w:color="auto" w:fill="auto"/>
            <w:noWrap/>
            <w:vAlign w:val="bottom"/>
            <w:hideMark/>
          </w:tcPr>
          <w:p w14:paraId="11DCF17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427428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1313ED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5E490FB" w14:textId="77777777" w:rsidTr="00540ADC">
        <w:trPr>
          <w:trHeight w:val="425"/>
          <w:jc w:val="center"/>
        </w:trPr>
        <w:tc>
          <w:tcPr>
            <w:tcW w:w="4060" w:type="dxa"/>
            <w:tcBorders>
              <w:top w:val="nil"/>
              <w:left w:val="nil"/>
              <w:bottom w:val="nil"/>
              <w:right w:val="nil"/>
            </w:tcBorders>
            <w:shd w:val="clear" w:color="000000" w:fill="FFFFFF"/>
            <w:vAlign w:val="bottom"/>
            <w:hideMark/>
          </w:tcPr>
          <w:p w14:paraId="2E0F34BE"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Mental health workforce strategic coordination and distribution mechanism - reprofile of funding</w:t>
            </w:r>
          </w:p>
        </w:tc>
        <w:tc>
          <w:tcPr>
            <w:tcW w:w="900" w:type="dxa"/>
            <w:tcBorders>
              <w:top w:val="nil"/>
              <w:left w:val="nil"/>
              <w:bottom w:val="nil"/>
              <w:right w:val="nil"/>
            </w:tcBorders>
            <w:shd w:val="clear" w:color="auto" w:fill="auto"/>
            <w:noWrap/>
            <w:vAlign w:val="bottom"/>
            <w:hideMark/>
          </w:tcPr>
          <w:p w14:paraId="18671CA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297 </w:t>
            </w:r>
          </w:p>
        </w:tc>
        <w:tc>
          <w:tcPr>
            <w:tcW w:w="900" w:type="dxa"/>
            <w:tcBorders>
              <w:top w:val="nil"/>
              <w:left w:val="nil"/>
              <w:bottom w:val="nil"/>
              <w:right w:val="nil"/>
            </w:tcBorders>
            <w:shd w:val="clear" w:color="auto" w:fill="auto"/>
            <w:noWrap/>
            <w:vAlign w:val="bottom"/>
            <w:hideMark/>
          </w:tcPr>
          <w:p w14:paraId="46C27B3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DFE03A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4DF4EF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4E10E255" w14:textId="77777777" w:rsidTr="00626BC4">
        <w:trPr>
          <w:trHeight w:val="283"/>
          <w:jc w:val="center"/>
        </w:trPr>
        <w:tc>
          <w:tcPr>
            <w:tcW w:w="4060" w:type="dxa"/>
            <w:tcBorders>
              <w:top w:val="nil"/>
              <w:left w:val="nil"/>
              <w:bottom w:val="nil"/>
              <w:right w:val="nil"/>
            </w:tcBorders>
            <w:shd w:val="clear" w:color="000000" w:fill="FFFFFF"/>
            <w:vAlign w:val="bottom"/>
            <w:hideMark/>
          </w:tcPr>
          <w:p w14:paraId="2C9A9259"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National Head to Health website - reprofile of funding</w:t>
            </w:r>
          </w:p>
        </w:tc>
        <w:tc>
          <w:tcPr>
            <w:tcW w:w="900" w:type="dxa"/>
            <w:tcBorders>
              <w:top w:val="nil"/>
              <w:left w:val="nil"/>
              <w:bottom w:val="nil"/>
              <w:right w:val="nil"/>
            </w:tcBorders>
            <w:shd w:val="clear" w:color="auto" w:fill="auto"/>
            <w:noWrap/>
            <w:vAlign w:val="bottom"/>
            <w:hideMark/>
          </w:tcPr>
          <w:p w14:paraId="40ED3DC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1,349 </w:t>
            </w:r>
          </w:p>
        </w:tc>
        <w:tc>
          <w:tcPr>
            <w:tcW w:w="900" w:type="dxa"/>
            <w:tcBorders>
              <w:top w:val="nil"/>
              <w:left w:val="nil"/>
              <w:bottom w:val="nil"/>
              <w:right w:val="nil"/>
            </w:tcBorders>
            <w:shd w:val="clear" w:color="auto" w:fill="auto"/>
            <w:noWrap/>
            <w:vAlign w:val="bottom"/>
            <w:hideMark/>
          </w:tcPr>
          <w:p w14:paraId="6867757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411902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0D4C83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734EB63" w14:textId="77777777" w:rsidTr="00540ADC">
        <w:trPr>
          <w:trHeight w:val="425"/>
          <w:jc w:val="center"/>
        </w:trPr>
        <w:tc>
          <w:tcPr>
            <w:tcW w:w="4060" w:type="dxa"/>
            <w:tcBorders>
              <w:top w:val="nil"/>
              <w:left w:val="nil"/>
              <w:bottom w:val="nil"/>
              <w:right w:val="nil"/>
            </w:tcBorders>
            <w:shd w:val="clear" w:color="000000" w:fill="FFFFFF"/>
            <w:vAlign w:val="bottom"/>
            <w:hideMark/>
          </w:tcPr>
          <w:p w14:paraId="78C7AB3F"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National suicide prevention leadership and support program - reprofile of funding</w:t>
            </w:r>
          </w:p>
        </w:tc>
        <w:tc>
          <w:tcPr>
            <w:tcW w:w="900" w:type="dxa"/>
            <w:tcBorders>
              <w:top w:val="nil"/>
              <w:left w:val="nil"/>
              <w:bottom w:val="nil"/>
              <w:right w:val="nil"/>
            </w:tcBorders>
            <w:shd w:val="clear" w:color="auto" w:fill="auto"/>
            <w:noWrap/>
            <w:vAlign w:val="bottom"/>
            <w:hideMark/>
          </w:tcPr>
          <w:p w14:paraId="1F017DF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550 </w:t>
            </w:r>
          </w:p>
        </w:tc>
        <w:tc>
          <w:tcPr>
            <w:tcW w:w="900" w:type="dxa"/>
            <w:tcBorders>
              <w:top w:val="nil"/>
              <w:left w:val="nil"/>
              <w:bottom w:val="nil"/>
              <w:right w:val="nil"/>
            </w:tcBorders>
            <w:shd w:val="clear" w:color="auto" w:fill="auto"/>
            <w:noWrap/>
            <w:vAlign w:val="bottom"/>
            <w:hideMark/>
          </w:tcPr>
          <w:p w14:paraId="1749F36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B0B704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0DE9CD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2406E243" w14:textId="77777777" w:rsidTr="00540ADC">
        <w:trPr>
          <w:trHeight w:val="425"/>
          <w:jc w:val="center"/>
        </w:trPr>
        <w:tc>
          <w:tcPr>
            <w:tcW w:w="4060" w:type="dxa"/>
            <w:tcBorders>
              <w:top w:val="nil"/>
              <w:left w:val="nil"/>
              <w:bottom w:val="nil"/>
              <w:right w:val="nil"/>
            </w:tcBorders>
            <w:shd w:val="clear" w:color="000000" w:fill="FFFFFF"/>
            <w:vAlign w:val="bottom"/>
            <w:hideMark/>
          </w:tcPr>
          <w:p w14:paraId="1436D650"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Primary mental health care schedule - reprofile of funding</w:t>
            </w:r>
          </w:p>
        </w:tc>
        <w:tc>
          <w:tcPr>
            <w:tcW w:w="900" w:type="dxa"/>
            <w:tcBorders>
              <w:top w:val="nil"/>
              <w:left w:val="nil"/>
              <w:bottom w:val="nil"/>
              <w:right w:val="nil"/>
            </w:tcBorders>
            <w:shd w:val="clear" w:color="auto" w:fill="auto"/>
            <w:noWrap/>
            <w:vAlign w:val="bottom"/>
            <w:hideMark/>
          </w:tcPr>
          <w:p w14:paraId="16C86806"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17,800 </w:t>
            </w:r>
          </w:p>
        </w:tc>
        <w:tc>
          <w:tcPr>
            <w:tcW w:w="900" w:type="dxa"/>
            <w:tcBorders>
              <w:top w:val="nil"/>
              <w:left w:val="nil"/>
              <w:bottom w:val="nil"/>
              <w:right w:val="nil"/>
            </w:tcBorders>
            <w:shd w:val="clear" w:color="auto" w:fill="auto"/>
            <w:noWrap/>
            <w:vAlign w:val="bottom"/>
            <w:hideMark/>
          </w:tcPr>
          <w:p w14:paraId="214B610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3D73CB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341F2A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6B425FE7" w14:textId="77777777" w:rsidTr="00540ADC">
        <w:trPr>
          <w:trHeight w:val="425"/>
          <w:jc w:val="center"/>
        </w:trPr>
        <w:tc>
          <w:tcPr>
            <w:tcW w:w="4060" w:type="dxa"/>
            <w:tcBorders>
              <w:top w:val="nil"/>
              <w:left w:val="nil"/>
              <w:bottom w:val="nil"/>
              <w:right w:val="nil"/>
            </w:tcBorders>
            <w:shd w:val="clear" w:color="000000" w:fill="FFFFFF"/>
            <w:vAlign w:val="bottom"/>
            <w:hideMark/>
          </w:tcPr>
          <w:p w14:paraId="3722E5E7"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South Australia bilateral initiatives - reprofile of funding</w:t>
            </w:r>
          </w:p>
        </w:tc>
        <w:tc>
          <w:tcPr>
            <w:tcW w:w="900" w:type="dxa"/>
            <w:tcBorders>
              <w:top w:val="nil"/>
              <w:left w:val="nil"/>
              <w:bottom w:val="nil"/>
              <w:right w:val="nil"/>
            </w:tcBorders>
            <w:shd w:val="clear" w:color="auto" w:fill="auto"/>
            <w:noWrap/>
            <w:vAlign w:val="bottom"/>
            <w:hideMark/>
          </w:tcPr>
          <w:p w14:paraId="50DAA64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5,260 </w:t>
            </w:r>
          </w:p>
        </w:tc>
        <w:tc>
          <w:tcPr>
            <w:tcW w:w="900" w:type="dxa"/>
            <w:tcBorders>
              <w:top w:val="nil"/>
              <w:left w:val="nil"/>
              <w:bottom w:val="nil"/>
              <w:right w:val="nil"/>
            </w:tcBorders>
            <w:shd w:val="clear" w:color="auto" w:fill="auto"/>
            <w:noWrap/>
            <w:vAlign w:val="bottom"/>
            <w:hideMark/>
          </w:tcPr>
          <w:p w14:paraId="6F2A106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BC4A0C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159C0B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6EC2E599" w14:textId="77777777" w:rsidTr="00540ADC">
        <w:trPr>
          <w:trHeight w:val="425"/>
          <w:jc w:val="center"/>
        </w:trPr>
        <w:tc>
          <w:tcPr>
            <w:tcW w:w="4060" w:type="dxa"/>
            <w:tcBorders>
              <w:top w:val="nil"/>
              <w:left w:val="nil"/>
              <w:bottom w:val="nil"/>
              <w:right w:val="nil"/>
            </w:tcBorders>
            <w:shd w:val="clear" w:color="000000" w:fill="FFFFFF"/>
            <w:vAlign w:val="bottom"/>
            <w:hideMark/>
          </w:tcPr>
          <w:p w14:paraId="6C6608B1"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Standardised assessment and referral - reprofile of funding</w:t>
            </w:r>
          </w:p>
        </w:tc>
        <w:tc>
          <w:tcPr>
            <w:tcW w:w="900" w:type="dxa"/>
            <w:tcBorders>
              <w:top w:val="nil"/>
              <w:left w:val="nil"/>
              <w:bottom w:val="nil"/>
              <w:right w:val="nil"/>
            </w:tcBorders>
            <w:shd w:val="clear" w:color="auto" w:fill="auto"/>
            <w:noWrap/>
            <w:vAlign w:val="bottom"/>
            <w:hideMark/>
          </w:tcPr>
          <w:p w14:paraId="216869B6"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2,000 </w:t>
            </w:r>
          </w:p>
        </w:tc>
        <w:tc>
          <w:tcPr>
            <w:tcW w:w="900" w:type="dxa"/>
            <w:tcBorders>
              <w:top w:val="nil"/>
              <w:left w:val="nil"/>
              <w:bottom w:val="nil"/>
              <w:right w:val="nil"/>
            </w:tcBorders>
            <w:shd w:val="clear" w:color="auto" w:fill="auto"/>
            <w:noWrap/>
            <w:vAlign w:val="bottom"/>
            <w:hideMark/>
          </w:tcPr>
          <w:p w14:paraId="3DAC24E3"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2,095 </w:t>
            </w:r>
          </w:p>
        </w:tc>
        <w:tc>
          <w:tcPr>
            <w:tcW w:w="900" w:type="dxa"/>
            <w:tcBorders>
              <w:top w:val="nil"/>
              <w:left w:val="nil"/>
              <w:bottom w:val="nil"/>
              <w:right w:val="nil"/>
            </w:tcBorders>
            <w:shd w:val="clear" w:color="auto" w:fill="auto"/>
            <w:noWrap/>
            <w:vAlign w:val="bottom"/>
            <w:hideMark/>
          </w:tcPr>
          <w:p w14:paraId="100FF40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F11890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64590027" w14:textId="77777777" w:rsidTr="00540ADC">
        <w:trPr>
          <w:trHeight w:val="425"/>
          <w:jc w:val="center"/>
        </w:trPr>
        <w:tc>
          <w:tcPr>
            <w:tcW w:w="4060" w:type="dxa"/>
            <w:tcBorders>
              <w:top w:val="nil"/>
              <w:left w:val="nil"/>
              <w:bottom w:val="nil"/>
              <w:right w:val="nil"/>
            </w:tcBorders>
            <w:shd w:val="clear" w:color="000000" w:fill="FFFFFF"/>
            <w:vAlign w:val="bottom"/>
            <w:hideMark/>
          </w:tcPr>
          <w:p w14:paraId="45EF1BCA"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Targeted regional initiatives for suicide prevention - reprofile of funding</w:t>
            </w:r>
          </w:p>
        </w:tc>
        <w:tc>
          <w:tcPr>
            <w:tcW w:w="900" w:type="dxa"/>
            <w:tcBorders>
              <w:top w:val="nil"/>
              <w:left w:val="nil"/>
              <w:bottom w:val="nil"/>
              <w:right w:val="nil"/>
            </w:tcBorders>
            <w:shd w:val="clear" w:color="auto" w:fill="auto"/>
            <w:noWrap/>
            <w:vAlign w:val="bottom"/>
            <w:hideMark/>
          </w:tcPr>
          <w:p w14:paraId="0109DBF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1,340 </w:t>
            </w:r>
          </w:p>
        </w:tc>
        <w:tc>
          <w:tcPr>
            <w:tcW w:w="900" w:type="dxa"/>
            <w:tcBorders>
              <w:top w:val="nil"/>
              <w:left w:val="nil"/>
              <w:bottom w:val="nil"/>
              <w:right w:val="nil"/>
            </w:tcBorders>
            <w:shd w:val="clear" w:color="auto" w:fill="auto"/>
            <w:noWrap/>
            <w:vAlign w:val="bottom"/>
            <w:hideMark/>
          </w:tcPr>
          <w:p w14:paraId="724771E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9EABF4F"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DBA04D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E077E9D" w14:textId="77777777" w:rsidTr="00540ADC">
        <w:trPr>
          <w:trHeight w:val="425"/>
          <w:jc w:val="center"/>
        </w:trPr>
        <w:tc>
          <w:tcPr>
            <w:tcW w:w="4060" w:type="dxa"/>
            <w:tcBorders>
              <w:top w:val="nil"/>
              <w:left w:val="nil"/>
              <w:bottom w:val="nil"/>
              <w:right w:val="nil"/>
            </w:tcBorders>
            <w:shd w:val="clear" w:color="auto" w:fill="auto"/>
            <w:vAlign w:val="bottom"/>
            <w:hideMark/>
          </w:tcPr>
          <w:p w14:paraId="4567B3CE"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Transfer of funding from the Department of Infrastructure - various projects</w:t>
            </w:r>
          </w:p>
        </w:tc>
        <w:tc>
          <w:tcPr>
            <w:tcW w:w="900" w:type="dxa"/>
            <w:tcBorders>
              <w:top w:val="nil"/>
              <w:left w:val="nil"/>
              <w:bottom w:val="nil"/>
              <w:right w:val="nil"/>
            </w:tcBorders>
            <w:shd w:val="clear" w:color="auto" w:fill="auto"/>
            <w:noWrap/>
            <w:vAlign w:val="bottom"/>
            <w:hideMark/>
          </w:tcPr>
          <w:p w14:paraId="3669C54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100 </w:t>
            </w:r>
          </w:p>
        </w:tc>
        <w:tc>
          <w:tcPr>
            <w:tcW w:w="900" w:type="dxa"/>
            <w:tcBorders>
              <w:top w:val="nil"/>
              <w:left w:val="nil"/>
              <w:bottom w:val="nil"/>
              <w:right w:val="nil"/>
            </w:tcBorders>
            <w:shd w:val="clear" w:color="auto" w:fill="auto"/>
            <w:noWrap/>
            <w:vAlign w:val="bottom"/>
            <w:hideMark/>
          </w:tcPr>
          <w:p w14:paraId="12C2B7D3"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100 </w:t>
            </w:r>
          </w:p>
        </w:tc>
        <w:tc>
          <w:tcPr>
            <w:tcW w:w="900" w:type="dxa"/>
            <w:tcBorders>
              <w:top w:val="nil"/>
              <w:left w:val="nil"/>
              <w:bottom w:val="nil"/>
              <w:right w:val="nil"/>
            </w:tcBorders>
            <w:shd w:val="clear" w:color="auto" w:fill="auto"/>
            <w:noWrap/>
            <w:vAlign w:val="bottom"/>
            <w:hideMark/>
          </w:tcPr>
          <w:p w14:paraId="5312CA8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2EFA13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4BCF300" w14:textId="77777777" w:rsidTr="00540ADC">
        <w:trPr>
          <w:trHeight w:val="425"/>
          <w:jc w:val="center"/>
        </w:trPr>
        <w:tc>
          <w:tcPr>
            <w:tcW w:w="4060" w:type="dxa"/>
            <w:tcBorders>
              <w:top w:val="nil"/>
              <w:left w:val="nil"/>
              <w:bottom w:val="nil"/>
              <w:right w:val="nil"/>
            </w:tcBorders>
            <w:shd w:val="clear" w:color="000000" w:fill="FFFFFF"/>
            <w:vAlign w:val="bottom"/>
            <w:hideMark/>
          </w:tcPr>
          <w:p w14:paraId="50910E26"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Translating and interpreting services - reprofile of funding</w:t>
            </w:r>
          </w:p>
        </w:tc>
        <w:tc>
          <w:tcPr>
            <w:tcW w:w="900" w:type="dxa"/>
            <w:tcBorders>
              <w:top w:val="nil"/>
              <w:left w:val="nil"/>
              <w:bottom w:val="nil"/>
              <w:right w:val="nil"/>
            </w:tcBorders>
            <w:shd w:val="clear" w:color="auto" w:fill="auto"/>
            <w:noWrap/>
            <w:vAlign w:val="bottom"/>
            <w:hideMark/>
          </w:tcPr>
          <w:p w14:paraId="67D89BB9"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BDAF2D4"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3,273 </w:t>
            </w:r>
          </w:p>
        </w:tc>
        <w:tc>
          <w:tcPr>
            <w:tcW w:w="900" w:type="dxa"/>
            <w:tcBorders>
              <w:top w:val="nil"/>
              <w:left w:val="nil"/>
              <w:bottom w:val="nil"/>
              <w:right w:val="nil"/>
            </w:tcBorders>
            <w:shd w:val="clear" w:color="auto" w:fill="auto"/>
            <w:noWrap/>
            <w:vAlign w:val="bottom"/>
            <w:hideMark/>
          </w:tcPr>
          <w:p w14:paraId="19A29B1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E238BF5"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002C18E1" w14:textId="77777777" w:rsidTr="00626BC4">
        <w:trPr>
          <w:trHeight w:val="283"/>
          <w:jc w:val="center"/>
        </w:trPr>
        <w:tc>
          <w:tcPr>
            <w:tcW w:w="4060" w:type="dxa"/>
            <w:tcBorders>
              <w:top w:val="nil"/>
              <w:left w:val="nil"/>
              <w:bottom w:val="nil"/>
              <w:right w:val="nil"/>
            </w:tcBorders>
            <w:shd w:val="clear" w:color="000000" w:fill="FFFFFF"/>
            <w:noWrap/>
            <w:vAlign w:val="bottom"/>
            <w:hideMark/>
          </w:tcPr>
          <w:p w14:paraId="5FC2F4EE"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Price parameter adjustments</w:t>
            </w:r>
            <w:r w:rsidRPr="00626BC4">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53B3590"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B82ACC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F2A40F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2,279 </w:t>
            </w:r>
          </w:p>
        </w:tc>
        <w:tc>
          <w:tcPr>
            <w:tcW w:w="900" w:type="dxa"/>
            <w:tcBorders>
              <w:top w:val="nil"/>
              <w:left w:val="nil"/>
              <w:bottom w:val="nil"/>
              <w:right w:val="nil"/>
            </w:tcBorders>
            <w:shd w:val="clear" w:color="auto" w:fill="auto"/>
            <w:noWrap/>
            <w:vAlign w:val="bottom"/>
            <w:hideMark/>
          </w:tcPr>
          <w:p w14:paraId="530BA0FE"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2,343 </w:t>
            </w:r>
          </w:p>
        </w:tc>
      </w:tr>
      <w:tr w:rsidR="00626BC4" w:rsidRPr="00626BC4" w14:paraId="73E5E432" w14:textId="77777777" w:rsidTr="00313086">
        <w:trPr>
          <w:trHeight w:val="283"/>
          <w:jc w:val="center"/>
        </w:trPr>
        <w:tc>
          <w:tcPr>
            <w:tcW w:w="4060" w:type="dxa"/>
            <w:tcBorders>
              <w:top w:val="nil"/>
              <w:left w:val="nil"/>
              <w:bottom w:val="nil"/>
              <w:right w:val="nil"/>
            </w:tcBorders>
            <w:shd w:val="clear" w:color="auto" w:fill="auto"/>
            <w:noWrap/>
            <w:vAlign w:val="bottom"/>
            <w:hideMark/>
          </w:tcPr>
          <w:p w14:paraId="36C312BB" w14:textId="77777777" w:rsidR="00626BC4" w:rsidRPr="00626BC4" w:rsidRDefault="00626BC4" w:rsidP="00626BC4">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74B2631A"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69,915 </w:t>
            </w:r>
          </w:p>
        </w:tc>
        <w:tc>
          <w:tcPr>
            <w:tcW w:w="900" w:type="dxa"/>
            <w:tcBorders>
              <w:top w:val="single" w:sz="4" w:space="0" w:color="auto"/>
              <w:left w:val="nil"/>
              <w:bottom w:val="single" w:sz="4" w:space="0" w:color="auto"/>
              <w:right w:val="nil"/>
            </w:tcBorders>
            <w:shd w:val="clear" w:color="auto" w:fill="auto"/>
            <w:noWrap/>
            <w:vAlign w:val="bottom"/>
            <w:hideMark/>
          </w:tcPr>
          <w:p w14:paraId="7A90DC7F"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44,224 </w:t>
            </w:r>
          </w:p>
        </w:tc>
        <w:tc>
          <w:tcPr>
            <w:tcW w:w="900" w:type="dxa"/>
            <w:tcBorders>
              <w:top w:val="single" w:sz="4" w:space="0" w:color="auto"/>
              <w:left w:val="nil"/>
              <w:bottom w:val="single" w:sz="4" w:space="0" w:color="auto"/>
              <w:right w:val="nil"/>
            </w:tcBorders>
            <w:shd w:val="clear" w:color="auto" w:fill="auto"/>
            <w:noWrap/>
            <w:vAlign w:val="bottom"/>
            <w:hideMark/>
          </w:tcPr>
          <w:p w14:paraId="2267DE50"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38,958 </w:t>
            </w:r>
          </w:p>
        </w:tc>
        <w:tc>
          <w:tcPr>
            <w:tcW w:w="900" w:type="dxa"/>
            <w:tcBorders>
              <w:top w:val="single" w:sz="4" w:space="0" w:color="auto"/>
              <w:left w:val="nil"/>
              <w:bottom w:val="single" w:sz="4" w:space="0" w:color="auto"/>
              <w:right w:val="nil"/>
            </w:tcBorders>
            <w:shd w:val="clear" w:color="auto" w:fill="auto"/>
            <w:noWrap/>
            <w:vAlign w:val="bottom"/>
            <w:hideMark/>
          </w:tcPr>
          <w:p w14:paraId="05C86561"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51,998 </w:t>
            </w:r>
          </w:p>
        </w:tc>
      </w:tr>
      <w:tr w:rsidR="00626BC4" w:rsidRPr="00626BC4" w14:paraId="19D472DF"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55704793"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Program 1.3: First Nations Health</w:t>
            </w:r>
          </w:p>
        </w:tc>
        <w:tc>
          <w:tcPr>
            <w:tcW w:w="900" w:type="dxa"/>
            <w:tcBorders>
              <w:top w:val="nil"/>
              <w:left w:val="nil"/>
              <w:bottom w:val="nil"/>
              <w:right w:val="nil"/>
            </w:tcBorders>
            <w:shd w:val="clear" w:color="auto" w:fill="auto"/>
            <w:noWrap/>
            <w:vAlign w:val="bottom"/>
            <w:hideMark/>
          </w:tcPr>
          <w:p w14:paraId="4F76C484"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A5DEE4C"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08B9421"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5BE8A82"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4D9B7041"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0647A018" w14:textId="77777777" w:rsidR="00626BC4" w:rsidRPr="00626BC4" w:rsidRDefault="00626BC4" w:rsidP="00626BC4">
            <w:pPr>
              <w:spacing w:before="0" w:after="0" w:line="240" w:lineRule="auto"/>
              <w:rPr>
                <w:rFonts w:ascii="Arial" w:hAnsi="Arial" w:cs="Arial"/>
                <w:b/>
                <w:bCs/>
                <w:sz w:val="16"/>
                <w:szCs w:val="16"/>
              </w:rPr>
            </w:pPr>
            <w:r w:rsidRPr="00626BC4">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4D56C59" w14:textId="77777777" w:rsidR="00626BC4" w:rsidRPr="00626BC4" w:rsidRDefault="00626BC4" w:rsidP="00626BC4">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AAA4B95" w14:textId="77777777" w:rsidR="00626BC4" w:rsidRPr="00626BC4" w:rsidRDefault="00626BC4" w:rsidP="00626BC4">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2223DEA"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6AE08FC"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37F6D35C" w14:textId="77777777" w:rsidTr="00540ADC">
        <w:trPr>
          <w:trHeight w:val="283"/>
          <w:jc w:val="center"/>
        </w:trPr>
        <w:tc>
          <w:tcPr>
            <w:tcW w:w="4060" w:type="dxa"/>
            <w:tcBorders>
              <w:top w:val="nil"/>
              <w:left w:val="nil"/>
              <w:bottom w:val="nil"/>
              <w:right w:val="nil"/>
            </w:tcBorders>
            <w:shd w:val="clear" w:color="auto" w:fill="auto"/>
            <w:noWrap/>
            <w:vAlign w:val="bottom"/>
            <w:hideMark/>
          </w:tcPr>
          <w:p w14:paraId="5F2E5D1B"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10B6B971" w14:textId="77777777" w:rsidR="00626BC4" w:rsidRPr="00626BC4" w:rsidRDefault="00626BC4" w:rsidP="00626BC4">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CF4D55A"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7A9CB77" w14:textId="77777777" w:rsidR="00626BC4" w:rsidRPr="00626BC4" w:rsidRDefault="00626BC4" w:rsidP="00626BC4">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7EF720A" w14:textId="77777777" w:rsidR="00626BC4" w:rsidRPr="00626BC4" w:rsidRDefault="00626BC4" w:rsidP="00626BC4">
            <w:pPr>
              <w:spacing w:before="0" w:after="0" w:line="240" w:lineRule="auto"/>
              <w:jc w:val="right"/>
              <w:rPr>
                <w:rFonts w:ascii="Times New Roman" w:hAnsi="Times New Roman"/>
                <w:sz w:val="20"/>
              </w:rPr>
            </w:pPr>
          </w:p>
        </w:tc>
      </w:tr>
      <w:tr w:rsidR="00626BC4" w:rsidRPr="00626BC4" w14:paraId="3F773C9B" w14:textId="77777777" w:rsidTr="00540ADC">
        <w:trPr>
          <w:trHeight w:val="283"/>
          <w:jc w:val="center"/>
        </w:trPr>
        <w:tc>
          <w:tcPr>
            <w:tcW w:w="4060" w:type="dxa"/>
            <w:tcBorders>
              <w:top w:val="nil"/>
              <w:left w:val="nil"/>
              <w:bottom w:val="nil"/>
              <w:right w:val="nil"/>
            </w:tcBorders>
            <w:shd w:val="clear" w:color="auto" w:fill="auto"/>
            <w:vAlign w:val="bottom"/>
            <w:hideMark/>
          </w:tcPr>
          <w:p w14:paraId="13172F4A"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Children's Ground - reprofile of funding</w:t>
            </w:r>
          </w:p>
        </w:tc>
        <w:tc>
          <w:tcPr>
            <w:tcW w:w="900" w:type="dxa"/>
            <w:tcBorders>
              <w:top w:val="nil"/>
              <w:left w:val="nil"/>
              <w:bottom w:val="nil"/>
              <w:right w:val="nil"/>
            </w:tcBorders>
            <w:shd w:val="clear" w:color="auto" w:fill="auto"/>
            <w:noWrap/>
            <w:vAlign w:val="bottom"/>
            <w:hideMark/>
          </w:tcPr>
          <w:p w14:paraId="7B7DEC91"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200 </w:t>
            </w:r>
          </w:p>
        </w:tc>
        <w:tc>
          <w:tcPr>
            <w:tcW w:w="900" w:type="dxa"/>
            <w:tcBorders>
              <w:top w:val="nil"/>
              <w:left w:val="nil"/>
              <w:bottom w:val="nil"/>
              <w:right w:val="nil"/>
            </w:tcBorders>
            <w:shd w:val="clear" w:color="auto" w:fill="auto"/>
            <w:noWrap/>
            <w:vAlign w:val="bottom"/>
            <w:hideMark/>
          </w:tcPr>
          <w:p w14:paraId="28E969D8"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D8E3DF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4ECE76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13C57049" w14:textId="77777777" w:rsidTr="00540ADC">
        <w:trPr>
          <w:trHeight w:val="283"/>
          <w:jc w:val="center"/>
        </w:trPr>
        <w:tc>
          <w:tcPr>
            <w:tcW w:w="4060" w:type="dxa"/>
            <w:tcBorders>
              <w:top w:val="nil"/>
              <w:left w:val="nil"/>
              <w:bottom w:val="nil"/>
              <w:right w:val="nil"/>
            </w:tcBorders>
            <w:shd w:val="clear" w:color="auto" w:fill="auto"/>
            <w:vAlign w:val="bottom"/>
            <w:hideMark/>
          </w:tcPr>
          <w:p w14:paraId="5C5CD176"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Dialysis Treatment Buses - reprofile of funding</w:t>
            </w:r>
          </w:p>
        </w:tc>
        <w:tc>
          <w:tcPr>
            <w:tcW w:w="900" w:type="dxa"/>
            <w:tcBorders>
              <w:top w:val="nil"/>
              <w:left w:val="nil"/>
              <w:bottom w:val="nil"/>
              <w:right w:val="nil"/>
            </w:tcBorders>
            <w:shd w:val="clear" w:color="auto" w:fill="auto"/>
            <w:noWrap/>
            <w:vAlign w:val="bottom"/>
            <w:hideMark/>
          </w:tcPr>
          <w:p w14:paraId="6FDC7CD2"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1,000 </w:t>
            </w:r>
          </w:p>
        </w:tc>
        <w:tc>
          <w:tcPr>
            <w:tcW w:w="900" w:type="dxa"/>
            <w:tcBorders>
              <w:top w:val="nil"/>
              <w:left w:val="nil"/>
              <w:bottom w:val="nil"/>
              <w:right w:val="nil"/>
            </w:tcBorders>
            <w:shd w:val="clear" w:color="auto" w:fill="auto"/>
            <w:noWrap/>
            <w:vAlign w:val="bottom"/>
            <w:hideMark/>
          </w:tcPr>
          <w:p w14:paraId="78AD8623"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3FFE4AD"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AF49357"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r>
      <w:tr w:rsidR="00626BC4" w:rsidRPr="00626BC4" w14:paraId="37BCFB74" w14:textId="77777777" w:rsidTr="00540ADC">
        <w:trPr>
          <w:trHeight w:val="283"/>
          <w:jc w:val="center"/>
        </w:trPr>
        <w:tc>
          <w:tcPr>
            <w:tcW w:w="4060" w:type="dxa"/>
            <w:tcBorders>
              <w:top w:val="nil"/>
              <w:left w:val="nil"/>
              <w:bottom w:val="nil"/>
              <w:right w:val="nil"/>
            </w:tcBorders>
            <w:shd w:val="clear" w:color="000000" w:fill="FFFFFF"/>
            <w:noWrap/>
            <w:vAlign w:val="bottom"/>
            <w:hideMark/>
          </w:tcPr>
          <w:p w14:paraId="187167C7" w14:textId="77777777" w:rsidR="00626BC4" w:rsidRPr="00626BC4" w:rsidRDefault="00626BC4" w:rsidP="00626BC4">
            <w:pPr>
              <w:spacing w:before="0" w:after="0" w:line="240" w:lineRule="auto"/>
              <w:rPr>
                <w:rFonts w:ascii="Arial" w:hAnsi="Arial" w:cs="Arial"/>
                <w:sz w:val="16"/>
                <w:szCs w:val="16"/>
              </w:rPr>
            </w:pPr>
            <w:r w:rsidRPr="00626BC4">
              <w:rPr>
                <w:rFonts w:ascii="Arial" w:hAnsi="Arial" w:cs="Arial"/>
                <w:sz w:val="16"/>
                <w:szCs w:val="16"/>
              </w:rPr>
              <w:t>Price parameter adjustments</w:t>
            </w:r>
            <w:r w:rsidRPr="00626BC4">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1A70D2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0B0F63A"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1,277 </w:t>
            </w:r>
          </w:p>
        </w:tc>
        <w:tc>
          <w:tcPr>
            <w:tcW w:w="900" w:type="dxa"/>
            <w:tcBorders>
              <w:top w:val="nil"/>
              <w:left w:val="nil"/>
              <w:bottom w:val="nil"/>
              <w:right w:val="nil"/>
            </w:tcBorders>
            <w:shd w:val="clear" w:color="auto" w:fill="auto"/>
            <w:noWrap/>
            <w:vAlign w:val="bottom"/>
            <w:hideMark/>
          </w:tcPr>
          <w:p w14:paraId="6FE2CD1C"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2,529 </w:t>
            </w:r>
          </w:p>
        </w:tc>
        <w:tc>
          <w:tcPr>
            <w:tcW w:w="900" w:type="dxa"/>
            <w:tcBorders>
              <w:top w:val="nil"/>
              <w:left w:val="nil"/>
              <w:bottom w:val="nil"/>
              <w:right w:val="nil"/>
            </w:tcBorders>
            <w:shd w:val="clear" w:color="auto" w:fill="auto"/>
            <w:noWrap/>
            <w:vAlign w:val="bottom"/>
            <w:hideMark/>
          </w:tcPr>
          <w:p w14:paraId="6AE3944B" w14:textId="77777777" w:rsidR="00626BC4" w:rsidRPr="00626BC4" w:rsidRDefault="00626BC4" w:rsidP="00626BC4">
            <w:pPr>
              <w:spacing w:before="0" w:after="0" w:line="240" w:lineRule="auto"/>
              <w:jc w:val="right"/>
              <w:rPr>
                <w:rFonts w:ascii="Arial" w:hAnsi="Arial" w:cs="Arial"/>
                <w:sz w:val="16"/>
                <w:szCs w:val="16"/>
              </w:rPr>
            </w:pPr>
            <w:r w:rsidRPr="00626BC4">
              <w:rPr>
                <w:rFonts w:ascii="Arial" w:hAnsi="Arial" w:cs="Arial"/>
                <w:sz w:val="16"/>
                <w:szCs w:val="16"/>
              </w:rPr>
              <w:t xml:space="preserve">2,498 </w:t>
            </w:r>
          </w:p>
        </w:tc>
      </w:tr>
      <w:tr w:rsidR="00626BC4" w:rsidRPr="00626BC4" w14:paraId="66D80F36" w14:textId="77777777" w:rsidTr="00540ADC">
        <w:trPr>
          <w:trHeight w:val="283"/>
          <w:jc w:val="center"/>
        </w:trPr>
        <w:tc>
          <w:tcPr>
            <w:tcW w:w="4060" w:type="dxa"/>
            <w:tcBorders>
              <w:top w:val="nil"/>
              <w:left w:val="nil"/>
              <w:bottom w:val="nil"/>
              <w:right w:val="nil"/>
            </w:tcBorders>
            <w:shd w:val="clear" w:color="auto" w:fill="auto"/>
            <w:noWrap/>
            <w:vAlign w:val="bottom"/>
            <w:hideMark/>
          </w:tcPr>
          <w:p w14:paraId="680774DE" w14:textId="77777777" w:rsidR="00626BC4" w:rsidRPr="00626BC4" w:rsidRDefault="00626BC4" w:rsidP="00626BC4">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011B5FCA"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1,200 </w:t>
            </w:r>
          </w:p>
        </w:tc>
        <w:tc>
          <w:tcPr>
            <w:tcW w:w="900" w:type="dxa"/>
            <w:tcBorders>
              <w:top w:val="single" w:sz="4" w:space="0" w:color="auto"/>
              <w:left w:val="nil"/>
              <w:bottom w:val="single" w:sz="4" w:space="0" w:color="auto"/>
              <w:right w:val="nil"/>
            </w:tcBorders>
            <w:shd w:val="clear" w:color="auto" w:fill="auto"/>
            <w:noWrap/>
            <w:vAlign w:val="bottom"/>
            <w:hideMark/>
          </w:tcPr>
          <w:p w14:paraId="12367485"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1,277 </w:t>
            </w:r>
          </w:p>
        </w:tc>
        <w:tc>
          <w:tcPr>
            <w:tcW w:w="900" w:type="dxa"/>
            <w:tcBorders>
              <w:top w:val="single" w:sz="4" w:space="0" w:color="auto"/>
              <w:left w:val="nil"/>
              <w:bottom w:val="single" w:sz="4" w:space="0" w:color="auto"/>
              <w:right w:val="nil"/>
            </w:tcBorders>
            <w:shd w:val="clear" w:color="auto" w:fill="auto"/>
            <w:noWrap/>
            <w:vAlign w:val="bottom"/>
            <w:hideMark/>
          </w:tcPr>
          <w:p w14:paraId="4E20C545"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2,529 </w:t>
            </w:r>
          </w:p>
        </w:tc>
        <w:tc>
          <w:tcPr>
            <w:tcW w:w="900" w:type="dxa"/>
            <w:tcBorders>
              <w:top w:val="single" w:sz="4" w:space="0" w:color="auto"/>
              <w:left w:val="nil"/>
              <w:bottom w:val="single" w:sz="4" w:space="0" w:color="auto"/>
              <w:right w:val="nil"/>
            </w:tcBorders>
            <w:shd w:val="clear" w:color="auto" w:fill="auto"/>
            <w:noWrap/>
            <w:vAlign w:val="bottom"/>
            <w:hideMark/>
          </w:tcPr>
          <w:p w14:paraId="5A3CBAD3" w14:textId="77777777" w:rsidR="00626BC4" w:rsidRPr="00626BC4" w:rsidRDefault="00626BC4" w:rsidP="00626BC4">
            <w:pPr>
              <w:spacing w:before="0" w:after="0" w:line="240" w:lineRule="auto"/>
              <w:jc w:val="right"/>
              <w:rPr>
                <w:rFonts w:ascii="Arial" w:hAnsi="Arial" w:cs="Arial"/>
                <w:b/>
                <w:bCs/>
                <w:sz w:val="16"/>
                <w:szCs w:val="16"/>
              </w:rPr>
            </w:pPr>
            <w:r w:rsidRPr="00626BC4">
              <w:rPr>
                <w:rFonts w:ascii="Arial" w:hAnsi="Arial" w:cs="Arial"/>
                <w:b/>
                <w:bCs/>
                <w:sz w:val="16"/>
                <w:szCs w:val="16"/>
              </w:rPr>
              <w:t xml:space="preserve">2,498 </w:t>
            </w:r>
          </w:p>
        </w:tc>
      </w:tr>
    </w:tbl>
    <w:p w14:paraId="1C7B6726" w14:textId="1BC43D3C" w:rsidR="002D0976" w:rsidRDefault="002D0976">
      <w:pPr>
        <w:spacing w:before="0" w:after="0" w:line="240" w:lineRule="auto"/>
        <w:rPr>
          <w:rFonts w:ascii="Arial" w:hAnsi="Arial" w:cs="Arial"/>
          <w:b/>
          <w:sz w:val="20"/>
          <w:u w:val="single"/>
        </w:rPr>
      </w:pPr>
    </w:p>
    <w:p w14:paraId="3BE39B1B" w14:textId="69B92484" w:rsidR="00D97536" w:rsidRDefault="00D97536" w:rsidP="00213063">
      <w:pPr>
        <w:spacing w:after="120"/>
        <w:rPr>
          <w:rFonts w:ascii="Arial" w:hAnsi="Arial" w:cs="Arial"/>
          <w:b/>
          <w:sz w:val="20"/>
        </w:rPr>
      </w:pPr>
    </w:p>
    <w:p w14:paraId="7EBACB11" w14:textId="77777777" w:rsidR="00F11F72" w:rsidRDefault="00F11F72" w:rsidP="00213063">
      <w:pPr>
        <w:spacing w:after="120"/>
        <w:rPr>
          <w:rFonts w:ascii="Arial" w:hAnsi="Arial" w:cs="Arial"/>
          <w:b/>
          <w:sz w:val="20"/>
        </w:rPr>
      </w:pPr>
    </w:p>
    <w:p w14:paraId="43910DB4" w14:textId="5E47B5FF" w:rsidR="00626BC4" w:rsidRPr="009203D5" w:rsidRDefault="002D0976" w:rsidP="00F03829">
      <w:pPr>
        <w:spacing w:after="20"/>
        <w:rPr>
          <w:rFonts w:ascii="Arial" w:hAnsi="Arial" w:cs="Arial"/>
          <w:b/>
          <w:sz w:val="20"/>
        </w:rPr>
      </w:pPr>
      <w:r w:rsidRPr="009203D5">
        <w:rPr>
          <w:rFonts w:ascii="Arial" w:hAnsi="Arial" w:cs="Arial"/>
          <w:b/>
          <w:sz w:val="20"/>
        </w:rPr>
        <w:lastRenderedPageBreak/>
        <w:t>T</w:t>
      </w:r>
      <w:r w:rsidR="009203D5">
        <w:rPr>
          <w:rFonts w:ascii="Arial" w:hAnsi="Arial" w:cs="Arial"/>
          <w:b/>
          <w:sz w:val="20"/>
        </w:rPr>
        <w:t xml:space="preserve">able 2.1.1: </w:t>
      </w:r>
      <w:r w:rsidR="00A52488">
        <w:rPr>
          <w:rFonts w:ascii="Arial" w:hAnsi="Arial" w:cs="Arial"/>
          <w:b/>
          <w:sz w:val="20"/>
        </w:rPr>
        <w:t>Variations Table –</w:t>
      </w:r>
      <w:r w:rsidRPr="009203D5">
        <w:rPr>
          <w:rFonts w:ascii="Arial" w:hAnsi="Arial" w:cs="Arial"/>
          <w:b/>
          <w:sz w:val="20"/>
        </w:rPr>
        <w:t xml:space="preserve"> Outcome 1 (continued)</w:t>
      </w:r>
    </w:p>
    <w:tbl>
      <w:tblPr>
        <w:tblW w:w="7660" w:type="dxa"/>
        <w:jc w:val="center"/>
        <w:tblLayout w:type="fixed"/>
        <w:tblLook w:val="04A0" w:firstRow="1" w:lastRow="0" w:firstColumn="1" w:lastColumn="0" w:noHBand="0" w:noVBand="1"/>
      </w:tblPr>
      <w:tblGrid>
        <w:gridCol w:w="4060"/>
        <w:gridCol w:w="900"/>
        <w:gridCol w:w="900"/>
        <w:gridCol w:w="900"/>
        <w:gridCol w:w="900"/>
      </w:tblGrid>
      <w:tr w:rsidR="002D0976" w:rsidRPr="002D0976" w14:paraId="5DF044B1" w14:textId="77777777" w:rsidTr="00D97536">
        <w:trPr>
          <w:trHeight w:val="397"/>
          <w:jc w:val="center"/>
        </w:trPr>
        <w:tc>
          <w:tcPr>
            <w:tcW w:w="4060" w:type="dxa"/>
            <w:tcBorders>
              <w:top w:val="single" w:sz="4" w:space="0" w:color="auto"/>
              <w:left w:val="nil"/>
              <w:bottom w:val="nil"/>
              <w:right w:val="nil"/>
            </w:tcBorders>
            <w:shd w:val="clear" w:color="auto" w:fill="auto"/>
            <w:hideMark/>
          </w:tcPr>
          <w:p w14:paraId="55FAEF79" w14:textId="77777777" w:rsidR="002D0976" w:rsidRPr="002D0976" w:rsidRDefault="002D0976" w:rsidP="00D353CB">
            <w:pPr>
              <w:spacing w:before="24" w:after="0" w:line="240" w:lineRule="auto"/>
              <w:jc w:val="right"/>
              <w:rPr>
                <w:rFonts w:ascii="Arial" w:hAnsi="Arial" w:cs="Arial"/>
                <w:sz w:val="16"/>
                <w:szCs w:val="16"/>
              </w:rPr>
            </w:pPr>
            <w:r w:rsidRPr="002D097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16C1E6DA" w14:textId="3FF91E5E" w:rsidR="002D0976" w:rsidRPr="002D0976" w:rsidRDefault="002D0976" w:rsidP="00D353CB">
            <w:pPr>
              <w:spacing w:before="24" w:after="0" w:line="240" w:lineRule="auto"/>
              <w:jc w:val="right"/>
              <w:rPr>
                <w:rFonts w:ascii="Arial" w:hAnsi="Arial" w:cs="Arial"/>
                <w:b/>
                <w:bCs/>
                <w:sz w:val="16"/>
                <w:szCs w:val="16"/>
              </w:rPr>
            </w:pPr>
            <w:r w:rsidRPr="002D0976">
              <w:rPr>
                <w:rFonts w:ascii="Arial" w:hAnsi="Arial" w:cs="Arial"/>
                <w:b/>
                <w:bCs/>
                <w:sz w:val="16"/>
                <w:szCs w:val="16"/>
              </w:rPr>
              <w:t>2023</w:t>
            </w:r>
            <w:r>
              <w:rPr>
                <w:rFonts w:ascii="Arial" w:hAnsi="Arial" w:cs="Arial"/>
                <w:b/>
                <w:bCs/>
                <w:sz w:val="16"/>
                <w:szCs w:val="16"/>
              </w:rPr>
              <w:t>–</w:t>
            </w:r>
            <w:r w:rsidRPr="002D0976">
              <w:rPr>
                <w:rFonts w:ascii="Arial" w:hAnsi="Arial" w:cs="Arial"/>
                <w:b/>
                <w:bCs/>
                <w:sz w:val="16"/>
                <w:szCs w:val="16"/>
              </w:rPr>
              <w:t>24</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7C1F045" w14:textId="29AAB619" w:rsidR="002D0976" w:rsidRPr="002D0976" w:rsidRDefault="002D0976" w:rsidP="00D353CB">
            <w:pPr>
              <w:spacing w:before="24" w:after="0" w:line="240" w:lineRule="auto"/>
              <w:jc w:val="right"/>
              <w:rPr>
                <w:rFonts w:ascii="Arial" w:hAnsi="Arial" w:cs="Arial"/>
                <w:b/>
                <w:bCs/>
                <w:sz w:val="16"/>
                <w:szCs w:val="16"/>
              </w:rPr>
            </w:pPr>
            <w:r>
              <w:rPr>
                <w:rFonts w:ascii="Arial" w:hAnsi="Arial" w:cs="Arial"/>
                <w:b/>
                <w:bCs/>
                <w:sz w:val="16"/>
                <w:szCs w:val="16"/>
              </w:rPr>
              <w:t>2024–</w:t>
            </w:r>
            <w:r w:rsidRPr="002D0976">
              <w:rPr>
                <w:rFonts w:ascii="Arial" w:hAnsi="Arial" w:cs="Arial"/>
                <w:b/>
                <w:bCs/>
                <w:sz w:val="16"/>
                <w:szCs w:val="16"/>
              </w:rPr>
              <w:t>25</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562B4DF3" w14:textId="42AF2E65" w:rsidR="002D0976" w:rsidRPr="002D0976" w:rsidRDefault="002D0976" w:rsidP="00D353CB">
            <w:pPr>
              <w:spacing w:before="24" w:after="0" w:line="240" w:lineRule="auto"/>
              <w:jc w:val="right"/>
              <w:rPr>
                <w:rFonts w:ascii="Arial" w:hAnsi="Arial" w:cs="Arial"/>
                <w:b/>
                <w:bCs/>
                <w:sz w:val="16"/>
                <w:szCs w:val="16"/>
              </w:rPr>
            </w:pPr>
            <w:r>
              <w:rPr>
                <w:rFonts w:ascii="Arial" w:hAnsi="Arial" w:cs="Arial"/>
                <w:b/>
                <w:bCs/>
                <w:sz w:val="16"/>
                <w:szCs w:val="16"/>
              </w:rPr>
              <w:t>2025–</w:t>
            </w:r>
            <w:r w:rsidRPr="002D0976">
              <w:rPr>
                <w:rFonts w:ascii="Arial" w:hAnsi="Arial" w:cs="Arial"/>
                <w:b/>
                <w:bCs/>
                <w:sz w:val="16"/>
                <w:szCs w:val="16"/>
              </w:rPr>
              <w:t>26</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565A36AC" w14:textId="5E9AAFBC" w:rsidR="002D0976" w:rsidRPr="002D0976" w:rsidRDefault="002D0976" w:rsidP="00D353CB">
            <w:pPr>
              <w:spacing w:before="24" w:after="0" w:line="240" w:lineRule="auto"/>
              <w:jc w:val="right"/>
              <w:rPr>
                <w:rFonts w:ascii="Arial" w:hAnsi="Arial" w:cs="Arial"/>
                <w:b/>
                <w:bCs/>
                <w:sz w:val="16"/>
                <w:szCs w:val="16"/>
              </w:rPr>
            </w:pPr>
            <w:r>
              <w:rPr>
                <w:rFonts w:ascii="Arial" w:hAnsi="Arial" w:cs="Arial"/>
                <w:b/>
                <w:bCs/>
                <w:sz w:val="16"/>
                <w:szCs w:val="16"/>
              </w:rPr>
              <w:t>2026–</w:t>
            </w:r>
            <w:r w:rsidRPr="002D0976">
              <w:rPr>
                <w:rFonts w:ascii="Arial" w:hAnsi="Arial" w:cs="Arial"/>
                <w:b/>
                <w:bCs/>
                <w:sz w:val="16"/>
                <w:szCs w:val="16"/>
              </w:rPr>
              <w:t>27</w:t>
            </w:r>
            <w:r w:rsidRPr="002D0976">
              <w:rPr>
                <w:rFonts w:ascii="Arial" w:hAnsi="Arial" w:cs="Arial"/>
                <w:b/>
                <w:bCs/>
                <w:sz w:val="16"/>
                <w:szCs w:val="16"/>
              </w:rPr>
              <w:br/>
            </w:r>
            <w:r w:rsidRPr="002D0976">
              <w:rPr>
                <w:rFonts w:ascii="Arial" w:hAnsi="Arial" w:cs="Arial"/>
                <w:sz w:val="16"/>
                <w:szCs w:val="16"/>
              </w:rPr>
              <w:t>$'000</w:t>
            </w:r>
          </w:p>
        </w:tc>
      </w:tr>
      <w:tr w:rsidR="002D0976" w:rsidRPr="002D0976" w14:paraId="6DEF5B7A"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65881CD4"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Program 1.4: Health Workforce</w:t>
            </w:r>
          </w:p>
        </w:tc>
        <w:tc>
          <w:tcPr>
            <w:tcW w:w="900" w:type="dxa"/>
            <w:tcBorders>
              <w:top w:val="nil"/>
              <w:left w:val="nil"/>
              <w:bottom w:val="nil"/>
              <w:right w:val="nil"/>
            </w:tcBorders>
            <w:shd w:val="clear" w:color="auto" w:fill="auto"/>
            <w:noWrap/>
            <w:vAlign w:val="bottom"/>
            <w:hideMark/>
          </w:tcPr>
          <w:p w14:paraId="31C6EBC0"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74EEC75"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9D217D2"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BE8D2E4"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3870E71D"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129551AE"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56B4B85"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03CCF7D" w14:textId="77777777" w:rsidR="002D0976" w:rsidRPr="002D0976" w:rsidRDefault="002D0976" w:rsidP="002D0976">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7F09B4B"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4825E85"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5BAC22CD" w14:textId="77777777" w:rsidTr="00D353CB">
        <w:trPr>
          <w:trHeight w:val="283"/>
          <w:jc w:val="center"/>
        </w:trPr>
        <w:tc>
          <w:tcPr>
            <w:tcW w:w="4060" w:type="dxa"/>
            <w:tcBorders>
              <w:top w:val="nil"/>
              <w:left w:val="nil"/>
              <w:bottom w:val="nil"/>
              <w:right w:val="nil"/>
            </w:tcBorders>
            <w:shd w:val="clear" w:color="auto" w:fill="auto"/>
            <w:noWrap/>
            <w:vAlign w:val="bottom"/>
            <w:hideMark/>
          </w:tcPr>
          <w:p w14:paraId="5E5F125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00503090"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F63AF53"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E49C0AB"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E714D37"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34D85523" w14:textId="77777777" w:rsidTr="00D353CB">
        <w:trPr>
          <w:trHeight w:val="454"/>
          <w:jc w:val="center"/>
        </w:trPr>
        <w:tc>
          <w:tcPr>
            <w:tcW w:w="4060" w:type="dxa"/>
            <w:tcBorders>
              <w:top w:val="nil"/>
              <w:left w:val="nil"/>
              <w:bottom w:val="nil"/>
              <w:right w:val="nil"/>
            </w:tcBorders>
            <w:shd w:val="clear" w:color="000000" w:fill="FFFFFF"/>
            <w:vAlign w:val="bottom"/>
            <w:hideMark/>
          </w:tcPr>
          <w:p w14:paraId="75BFFAFF" w14:textId="34848DF0"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 xml:space="preserve">Rural Health </w:t>
            </w:r>
            <w:r w:rsidR="00AD7BD8" w:rsidRPr="002D0976">
              <w:rPr>
                <w:rFonts w:ascii="Arial" w:hAnsi="Arial" w:cs="Arial"/>
                <w:sz w:val="16"/>
                <w:szCs w:val="16"/>
              </w:rPr>
              <w:t>Multidisciplinary</w:t>
            </w:r>
            <w:r w:rsidRPr="002D0976">
              <w:rPr>
                <w:rFonts w:ascii="Arial" w:hAnsi="Arial" w:cs="Arial"/>
                <w:sz w:val="16"/>
                <w:szCs w:val="16"/>
              </w:rPr>
              <w:t xml:space="preserve"> Training Program - reprofile of funding</w:t>
            </w:r>
          </w:p>
        </w:tc>
        <w:tc>
          <w:tcPr>
            <w:tcW w:w="900" w:type="dxa"/>
            <w:tcBorders>
              <w:top w:val="nil"/>
              <w:left w:val="nil"/>
              <w:bottom w:val="nil"/>
              <w:right w:val="nil"/>
            </w:tcBorders>
            <w:shd w:val="clear" w:color="auto" w:fill="auto"/>
            <w:noWrap/>
            <w:vAlign w:val="bottom"/>
            <w:hideMark/>
          </w:tcPr>
          <w:p w14:paraId="610CF16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16,035 </w:t>
            </w:r>
          </w:p>
        </w:tc>
        <w:tc>
          <w:tcPr>
            <w:tcW w:w="900" w:type="dxa"/>
            <w:tcBorders>
              <w:top w:val="nil"/>
              <w:left w:val="nil"/>
              <w:bottom w:val="nil"/>
              <w:right w:val="nil"/>
            </w:tcBorders>
            <w:shd w:val="clear" w:color="auto" w:fill="auto"/>
            <w:noWrap/>
            <w:vAlign w:val="bottom"/>
            <w:hideMark/>
          </w:tcPr>
          <w:p w14:paraId="48953A6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FEE80A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BCA241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54F7C60C" w14:textId="77777777" w:rsidTr="00D353CB">
        <w:trPr>
          <w:trHeight w:val="454"/>
          <w:jc w:val="center"/>
        </w:trPr>
        <w:tc>
          <w:tcPr>
            <w:tcW w:w="4060" w:type="dxa"/>
            <w:tcBorders>
              <w:top w:val="nil"/>
              <w:left w:val="nil"/>
              <w:bottom w:val="nil"/>
              <w:right w:val="nil"/>
            </w:tcBorders>
            <w:shd w:val="clear" w:color="auto" w:fill="auto"/>
            <w:vAlign w:val="bottom"/>
            <w:hideMark/>
          </w:tcPr>
          <w:p w14:paraId="6A46E911"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Transfer of funding from the Department of Infrastructure - various projects</w:t>
            </w:r>
          </w:p>
        </w:tc>
        <w:tc>
          <w:tcPr>
            <w:tcW w:w="900" w:type="dxa"/>
            <w:tcBorders>
              <w:top w:val="nil"/>
              <w:left w:val="nil"/>
              <w:bottom w:val="nil"/>
              <w:right w:val="nil"/>
            </w:tcBorders>
            <w:shd w:val="clear" w:color="auto" w:fill="auto"/>
            <w:noWrap/>
            <w:vAlign w:val="bottom"/>
            <w:hideMark/>
          </w:tcPr>
          <w:p w14:paraId="3D682AB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165 </w:t>
            </w:r>
          </w:p>
        </w:tc>
        <w:tc>
          <w:tcPr>
            <w:tcW w:w="900" w:type="dxa"/>
            <w:tcBorders>
              <w:top w:val="nil"/>
              <w:left w:val="nil"/>
              <w:bottom w:val="nil"/>
              <w:right w:val="nil"/>
            </w:tcBorders>
            <w:shd w:val="clear" w:color="auto" w:fill="auto"/>
            <w:noWrap/>
            <w:vAlign w:val="bottom"/>
            <w:hideMark/>
          </w:tcPr>
          <w:p w14:paraId="603B536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EFC1EC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935187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694316F7" w14:textId="77777777" w:rsidTr="00D353CB">
        <w:trPr>
          <w:trHeight w:val="283"/>
          <w:jc w:val="center"/>
        </w:trPr>
        <w:tc>
          <w:tcPr>
            <w:tcW w:w="4060" w:type="dxa"/>
            <w:tcBorders>
              <w:top w:val="nil"/>
              <w:left w:val="nil"/>
              <w:bottom w:val="nil"/>
              <w:right w:val="nil"/>
            </w:tcBorders>
            <w:shd w:val="clear" w:color="000000" w:fill="FFFFFF"/>
            <w:noWrap/>
            <w:vAlign w:val="bottom"/>
            <w:hideMark/>
          </w:tcPr>
          <w:p w14:paraId="4075A52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Price parameter adjustments</w:t>
            </w:r>
            <w:r w:rsidRPr="002D097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7C4CDCF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BC60B3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7A8C67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3,554 </w:t>
            </w:r>
          </w:p>
        </w:tc>
        <w:tc>
          <w:tcPr>
            <w:tcW w:w="900" w:type="dxa"/>
            <w:tcBorders>
              <w:top w:val="nil"/>
              <w:left w:val="nil"/>
              <w:bottom w:val="nil"/>
              <w:right w:val="nil"/>
            </w:tcBorders>
            <w:shd w:val="clear" w:color="auto" w:fill="auto"/>
            <w:noWrap/>
            <w:vAlign w:val="bottom"/>
            <w:hideMark/>
          </w:tcPr>
          <w:p w14:paraId="50D3D29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3,511 </w:t>
            </w:r>
          </w:p>
        </w:tc>
      </w:tr>
      <w:tr w:rsidR="002D0976" w:rsidRPr="002D0976" w14:paraId="7F2FDB26" w14:textId="77777777" w:rsidTr="00D353CB">
        <w:trPr>
          <w:trHeight w:val="283"/>
          <w:jc w:val="center"/>
        </w:trPr>
        <w:tc>
          <w:tcPr>
            <w:tcW w:w="4060" w:type="dxa"/>
            <w:tcBorders>
              <w:top w:val="nil"/>
              <w:left w:val="nil"/>
              <w:bottom w:val="nil"/>
              <w:right w:val="nil"/>
            </w:tcBorders>
            <w:shd w:val="clear" w:color="auto" w:fill="auto"/>
            <w:noWrap/>
            <w:vAlign w:val="bottom"/>
            <w:hideMark/>
          </w:tcPr>
          <w:p w14:paraId="4DD4E456" w14:textId="77777777" w:rsidR="002D0976" w:rsidRPr="002D0976" w:rsidRDefault="002D0976" w:rsidP="002D097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7B489294"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16,200 </w:t>
            </w:r>
          </w:p>
        </w:tc>
        <w:tc>
          <w:tcPr>
            <w:tcW w:w="900" w:type="dxa"/>
            <w:tcBorders>
              <w:top w:val="single" w:sz="4" w:space="0" w:color="auto"/>
              <w:left w:val="nil"/>
              <w:bottom w:val="single" w:sz="4" w:space="0" w:color="auto"/>
              <w:right w:val="nil"/>
            </w:tcBorders>
            <w:shd w:val="clear" w:color="auto" w:fill="auto"/>
            <w:noWrap/>
            <w:vAlign w:val="bottom"/>
            <w:hideMark/>
          </w:tcPr>
          <w:p w14:paraId="2A2C21B7"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7A163D52"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3,554 </w:t>
            </w:r>
          </w:p>
        </w:tc>
        <w:tc>
          <w:tcPr>
            <w:tcW w:w="900" w:type="dxa"/>
            <w:tcBorders>
              <w:top w:val="single" w:sz="4" w:space="0" w:color="auto"/>
              <w:left w:val="nil"/>
              <w:bottom w:val="single" w:sz="4" w:space="0" w:color="auto"/>
              <w:right w:val="nil"/>
            </w:tcBorders>
            <w:shd w:val="clear" w:color="auto" w:fill="auto"/>
            <w:noWrap/>
            <w:vAlign w:val="bottom"/>
            <w:hideMark/>
          </w:tcPr>
          <w:p w14:paraId="423B7CCF"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3,511 </w:t>
            </w:r>
          </w:p>
        </w:tc>
      </w:tr>
      <w:tr w:rsidR="002D0976" w:rsidRPr="002D0976" w14:paraId="739EB16A" w14:textId="77777777" w:rsidTr="00F11F72">
        <w:trPr>
          <w:trHeight w:val="283"/>
          <w:jc w:val="center"/>
        </w:trPr>
        <w:tc>
          <w:tcPr>
            <w:tcW w:w="5860" w:type="dxa"/>
            <w:gridSpan w:val="3"/>
            <w:tcBorders>
              <w:top w:val="nil"/>
              <w:left w:val="nil"/>
              <w:bottom w:val="nil"/>
              <w:right w:val="nil"/>
            </w:tcBorders>
            <w:shd w:val="clear" w:color="auto" w:fill="auto"/>
            <w:noWrap/>
            <w:vAlign w:val="bottom"/>
            <w:hideMark/>
          </w:tcPr>
          <w:p w14:paraId="69F74BB8"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 xml:space="preserve">Program 1.5: Preventive Health and Chronic Disease Support </w:t>
            </w:r>
          </w:p>
        </w:tc>
        <w:tc>
          <w:tcPr>
            <w:tcW w:w="900" w:type="dxa"/>
            <w:tcBorders>
              <w:top w:val="nil"/>
              <w:left w:val="nil"/>
              <w:bottom w:val="nil"/>
              <w:right w:val="nil"/>
            </w:tcBorders>
            <w:shd w:val="clear" w:color="auto" w:fill="auto"/>
            <w:noWrap/>
            <w:vAlign w:val="bottom"/>
            <w:hideMark/>
          </w:tcPr>
          <w:p w14:paraId="4F20C90E"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7CDF78D"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7189463B"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2A091D81"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3ABDAA37"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937DD58" w14:textId="77777777" w:rsidR="002D0976" w:rsidRPr="002D0976" w:rsidRDefault="002D0976" w:rsidP="002D0976">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F3338E3"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B1A0D9E"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45DA994C" w14:textId="77777777" w:rsidTr="00D353CB">
        <w:trPr>
          <w:trHeight w:val="283"/>
          <w:jc w:val="center"/>
        </w:trPr>
        <w:tc>
          <w:tcPr>
            <w:tcW w:w="4060" w:type="dxa"/>
            <w:tcBorders>
              <w:top w:val="nil"/>
              <w:left w:val="nil"/>
              <w:bottom w:val="nil"/>
              <w:right w:val="nil"/>
            </w:tcBorders>
            <w:shd w:val="clear" w:color="auto" w:fill="auto"/>
            <w:noWrap/>
            <w:vAlign w:val="bottom"/>
            <w:hideMark/>
          </w:tcPr>
          <w:p w14:paraId="3A582B7D"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63891D2B"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E30F4C2"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72A6CCC"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19CC267"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7A50FD28" w14:textId="77777777" w:rsidTr="00D353CB">
        <w:trPr>
          <w:trHeight w:val="397"/>
          <w:jc w:val="center"/>
        </w:trPr>
        <w:tc>
          <w:tcPr>
            <w:tcW w:w="4060" w:type="dxa"/>
            <w:tcBorders>
              <w:top w:val="nil"/>
              <w:left w:val="nil"/>
              <w:bottom w:val="nil"/>
              <w:right w:val="nil"/>
            </w:tcBorders>
            <w:shd w:val="clear" w:color="auto" w:fill="auto"/>
            <w:vAlign w:val="bottom"/>
            <w:hideMark/>
          </w:tcPr>
          <w:p w14:paraId="6E37D51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b/>
                <w:bCs/>
                <w:sz w:val="16"/>
                <w:szCs w:val="16"/>
              </w:rPr>
              <w:t>Measure</w:t>
            </w:r>
            <w:r w:rsidRPr="002D0976">
              <w:rPr>
                <w:rFonts w:ascii="Arial" w:hAnsi="Arial" w:cs="Arial"/>
                <w:sz w:val="16"/>
                <w:szCs w:val="16"/>
              </w:rPr>
              <w:t xml:space="preserve"> - Enhanced Regulatory Model for Vaping Products</w:t>
            </w:r>
          </w:p>
        </w:tc>
        <w:tc>
          <w:tcPr>
            <w:tcW w:w="900" w:type="dxa"/>
            <w:tcBorders>
              <w:top w:val="nil"/>
              <w:left w:val="nil"/>
              <w:bottom w:val="nil"/>
              <w:right w:val="nil"/>
            </w:tcBorders>
            <w:shd w:val="clear" w:color="auto" w:fill="auto"/>
            <w:noWrap/>
            <w:vAlign w:val="bottom"/>
            <w:hideMark/>
          </w:tcPr>
          <w:p w14:paraId="6EF5F2EC"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4,900 </w:t>
            </w:r>
          </w:p>
        </w:tc>
        <w:tc>
          <w:tcPr>
            <w:tcW w:w="900" w:type="dxa"/>
            <w:tcBorders>
              <w:top w:val="nil"/>
              <w:left w:val="nil"/>
              <w:bottom w:val="nil"/>
              <w:right w:val="nil"/>
            </w:tcBorders>
            <w:shd w:val="clear" w:color="auto" w:fill="auto"/>
            <w:noWrap/>
            <w:vAlign w:val="bottom"/>
            <w:hideMark/>
          </w:tcPr>
          <w:p w14:paraId="6C752A6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3,350 </w:t>
            </w:r>
          </w:p>
        </w:tc>
        <w:tc>
          <w:tcPr>
            <w:tcW w:w="900" w:type="dxa"/>
            <w:tcBorders>
              <w:top w:val="nil"/>
              <w:left w:val="nil"/>
              <w:bottom w:val="nil"/>
              <w:right w:val="nil"/>
            </w:tcBorders>
            <w:shd w:val="clear" w:color="auto" w:fill="auto"/>
            <w:noWrap/>
            <w:vAlign w:val="bottom"/>
            <w:hideMark/>
          </w:tcPr>
          <w:p w14:paraId="65E906E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3,550 </w:t>
            </w:r>
          </w:p>
        </w:tc>
        <w:tc>
          <w:tcPr>
            <w:tcW w:w="900" w:type="dxa"/>
            <w:tcBorders>
              <w:top w:val="nil"/>
              <w:left w:val="nil"/>
              <w:bottom w:val="nil"/>
              <w:right w:val="nil"/>
            </w:tcBorders>
            <w:shd w:val="clear" w:color="auto" w:fill="auto"/>
            <w:noWrap/>
            <w:vAlign w:val="bottom"/>
            <w:hideMark/>
          </w:tcPr>
          <w:p w14:paraId="37BA1F5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1,250 </w:t>
            </w:r>
          </w:p>
        </w:tc>
      </w:tr>
      <w:tr w:rsidR="002D0976" w:rsidRPr="002D0976" w14:paraId="7B2DABA3" w14:textId="77777777" w:rsidTr="00D353CB">
        <w:trPr>
          <w:trHeight w:val="397"/>
          <w:jc w:val="center"/>
        </w:trPr>
        <w:tc>
          <w:tcPr>
            <w:tcW w:w="4060" w:type="dxa"/>
            <w:tcBorders>
              <w:top w:val="nil"/>
              <w:left w:val="nil"/>
              <w:bottom w:val="nil"/>
              <w:right w:val="nil"/>
            </w:tcBorders>
            <w:shd w:val="clear" w:color="auto" w:fill="auto"/>
            <w:vAlign w:val="bottom"/>
            <w:hideMark/>
          </w:tcPr>
          <w:p w14:paraId="100CDC59"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b/>
                <w:bCs/>
                <w:sz w:val="16"/>
                <w:szCs w:val="16"/>
              </w:rPr>
              <w:t>Measure</w:t>
            </w:r>
            <w:r w:rsidRPr="002D0976">
              <w:rPr>
                <w:rFonts w:ascii="Arial" w:hAnsi="Arial" w:cs="Arial"/>
                <w:sz w:val="16"/>
                <w:szCs w:val="16"/>
              </w:rPr>
              <w:t xml:space="preserve"> - Improving Cancer Outcomes - cancer care nursing and navigation</w:t>
            </w:r>
          </w:p>
        </w:tc>
        <w:tc>
          <w:tcPr>
            <w:tcW w:w="900" w:type="dxa"/>
            <w:tcBorders>
              <w:top w:val="nil"/>
              <w:left w:val="nil"/>
              <w:bottom w:val="nil"/>
              <w:right w:val="nil"/>
            </w:tcBorders>
            <w:shd w:val="clear" w:color="auto" w:fill="auto"/>
            <w:noWrap/>
            <w:vAlign w:val="bottom"/>
            <w:hideMark/>
          </w:tcPr>
          <w:p w14:paraId="586DFCB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23,210 </w:t>
            </w:r>
          </w:p>
        </w:tc>
        <w:tc>
          <w:tcPr>
            <w:tcW w:w="900" w:type="dxa"/>
            <w:tcBorders>
              <w:top w:val="nil"/>
              <w:left w:val="nil"/>
              <w:bottom w:val="nil"/>
              <w:right w:val="nil"/>
            </w:tcBorders>
            <w:shd w:val="clear" w:color="auto" w:fill="auto"/>
            <w:noWrap/>
            <w:vAlign w:val="bottom"/>
            <w:hideMark/>
          </w:tcPr>
          <w:p w14:paraId="0E844BF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41,208 </w:t>
            </w:r>
          </w:p>
        </w:tc>
        <w:tc>
          <w:tcPr>
            <w:tcW w:w="900" w:type="dxa"/>
            <w:tcBorders>
              <w:top w:val="nil"/>
              <w:left w:val="nil"/>
              <w:bottom w:val="nil"/>
              <w:right w:val="nil"/>
            </w:tcBorders>
            <w:shd w:val="clear" w:color="auto" w:fill="auto"/>
            <w:noWrap/>
            <w:vAlign w:val="bottom"/>
            <w:hideMark/>
          </w:tcPr>
          <w:p w14:paraId="04636D5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46,416 </w:t>
            </w:r>
          </w:p>
        </w:tc>
        <w:tc>
          <w:tcPr>
            <w:tcW w:w="900" w:type="dxa"/>
            <w:tcBorders>
              <w:top w:val="nil"/>
              <w:left w:val="nil"/>
              <w:bottom w:val="nil"/>
              <w:right w:val="nil"/>
            </w:tcBorders>
            <w:shd w:val="clear" w:color="auto" w:fill="auto"/>
            <w:noWrap/>
            <w:vAlign w:val="bottom"/>
            <w:hideMark/>
          </w:tcPr>
          <w:p w14:paraId="7566934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71,733 </w:t>
            </w:r>
          </w:p>
        </w:tc>
      </w:tr>
      <w:tr w:rsidR="002D0976" w:rsidRPr="002D0976" w14:paraId="5373BEF5" w14:textId="77777777" w:rsidTr="00D353CB">
        <w:trPr>
          <w:trHeight w:val="397"/>
          <w:jc w:val="center"/>
        </w:trPr>
        <w:tc>
          <w:tcPr>
            <w:tcW w:w="4060" w:type="dxa"/>
            <w:tcBorders>
              <w:top w:val="nil"/>
              <w:left w:val="nil"/>
              <w:bottom w:val="nil"/>
              <w:right w:val="nil"/>
            </w:tcBorders>
            <w:shd w:val="clear" w:color="auto" w:fill="auto"/>
            <w:vAlign w:val="bottom"/>
            <w:hideMark/>
          </w:tcPr>
          <w:p w14:paraId="221E951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b/>
                <w:bCs/>
                <w:sz w:val="16"/>
                <w:szCs w:val="16"/>
              </w:rPr>
              <w:t>Measure</w:t>
            </w:r>
            <w:r w:rsidRPr="002D0976">
              <w:rPr>
                <w:rFonts w:ascii="Arial" w:hAnsi="Arial" w:cs="Arial"/>
                <w:sz w:val="16"/>
                <w:szCs w:val="16"/>
              </w:rPr>
              <w:t xml:space="preserve"> - Improving Cancer Outcomes - eliminating cervical cancer in Australia</w:t>
            </w:r>
          </w:p>
        </w:tc>
        <w:tc>
          <w:tcPr>
            <w:tcW w:w="900" w:type="dxa"/>
            <w:tcBorders>
              <w:top w:val="nil"/>
              <w:left w:val="nil"/>
              <w:bottom w:val="nil"/>
              <w:right w:val="nil"/>
            </w:tcBorders>
            <w:shd w:val="clear" w:color="auto" w:fill="auto"/>
            <w:noWrap/>
            <w:vAlign w:val="bottom"/>
            <w:hideMark/>
          </w:tcPr>
          <w:p w14:paraId="0A4B279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4,760 </w:t>
            </w:r>
          </w:p>
        </w:tc>
        <w:tc>
          <w:tcPr>
            <w:tcW w:w="900" w:type="dxa"/>
            <w:tcBorders>
              <w:top w:val="nil"/>
              <w:left w:val="nil"/>
              <w:bottom w:val="nil"/>
              <w:right w:val="nil"/>
            </w:tcBorders>
            <w:shd w:val="clear" w:color="auto" w:fill="auto"/>
            <w:noWrap/>
            <w:vAlign w:val="bottom"/>
            <w:hideMark/>
          </w:tcPr>
          <w:p w14:paraId="003BA71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3,758 </w:t>
            </w:r>
          </w:p>
        </w:tc>
        <w:tc>
          <w:tcPr>
            <w:tcW w:w="900" w:type="dxa"/>
            <w:tcBorders>
              <w:top w:val="nil"/>
              <w:left w:val="nil"/>
              <w:bottom w:val="nil"/>
              <w:right w:val="nil"/>
            </w:tcBorders>
            <w:shd w:val="clear" w:color="auto" w:fill="auto"/>
            <w:noWrap/>
            <w:vAlign w:val="bottom"/>
            <w:hideMark/>
          </w:tcPr>
          <w:p w14:paraId="0B85531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7,829 </w:t>
            </w:r>
          </w:p>
        </w:tc>
        <w:tc>
          <w:tcPr>
            <w:tcW w:w="900" w:type="dxa"/>
            <w:tcBorders>
              <w:top w:val="nil"/>
              <w:left w:val="nil"/>
              <w:bottom w:val="nil"/>
              <w:right w:val="nil"/>
            </w:tcBorders>
            <w:shd w:val="clear" w:color="auto" w:fill="auto"/>
            <w:noWrap/>
            <w:vAlign w:val="bottom"/>
            <w:hideMark/>
          </w:tcPr>
          <w:p w14:paraId="14D1E61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7,962 </w:t>
            </w:r>
          </w:p>
        </w:tc>
      </w:tr>
      <w:tr w:rsidR="002D0976" w:rsidRPr="002D0976" w14:paraId="761A0B0C" w14:textId="77777777" w:rsidTr="00D353CB">
        <w:trPr>
          <w:trHeight w:val="397"/>
          <w:jc w:val="center"/>
        </w:trPr>
        <w:tc>
          <w:tcPr>
            <w:tcW w:w="4060" w:type="dxa"/>
            <w:tcBorders>
              <w:top w:val="nil"/>
              <w:left w:val="nil"/>
              <w:bottom w:val="nil"/>
              <w:right w:val="nil"/>
            </w:tcBorders>
            <w:shd w:val="clear" w:color="auto" w:fill="auto"/>
            <w:vAlign w:val="bottom"/>
            <w:hideMark/>
          </w:tcPr>
          <w:p w14:paraId="1A718EB7"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b/>
                <w:bCs/>
                <w:sz w:val="16"/>
                <w:szCs w:val="16"/>
              </w:rPr>
              <w:t>Measure</w:t>
            </w:r>
            <w:r w:rsidRPr="002D0976">
              <w:rPr>
                <w:rFonts w:ascii="Arial" w:hAnsi="Arial" w:cs="Arial"/>
                <w:sz w:val="16"/>
                <w:szCs w:val="16"/>
              </w:rPr>
              <w:t xml:space="preserve"> - Re-opening the Eligibility Assessment for Registration with the Australian Thalidomide Survivors Support Program</w:t>
            </w:r>
          </w:p>
        </w:tc>
        <w:tc>
          <w:tcPr>
            <w:tcW w:w="900" w:type="dxa"/>
            <w:tcBorders>
              <w:top w:val="nil"/>
              <w:left w:val="nil"/>
              <w:bottom w:val="nil"/>
              <w:right w:val="nil"/>
            </w:tcBorders>
            <w:shd w:val="clear" w:color="auto" w:fill="auto"/>
            <w:noWrap/>
            <w:vAlign w:val="bottom"/>
            <w:hideMark/>
          </w:tcPr>
          <w:p w14:paraId="117CCC3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BB3034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3,253 </w:t>
            </w:r>
          </w:p>
        </w:tc>
        <w:tc>
          <w:tcPr>
            <w:tcW w:w="900" w:type="dxa"/>
            <w:tcBorders>
              <w:top w:val="nil"/>
              <w:left w:val="nil"/>
              <w:bottom w:val="nil"/>
              <w:right w:val="nil"/>
            </w:tcBorders>
            <w:shd w:val="clear" w:color="auto" w:fill="auto"/>
            <w:noWrap/>
            <w:vAlign w:val="bottom"/>
            <w:hideMark/>
          </w:tcPr>
          <w:p w14:paraId="1D9124C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568 </w:t>
            </w:r>
          </w:p>
        </w:tc>
        <w:tc>
          <w:tcPr>
            <w:tcW w:w="900" w:type="dxa"/>
            <w:tcBorders>
              <w:top w:val="nil"/>
              <w:left w:val="nil"/>
              <w:bottom w:val="nil"/>
              <w:right w:val="nil"/>
            </w:tcBorders>
            <w:shd w:val="clear" w:color="auto" w:fill="auto"/>
            <w:noWrap/>
            <w:vAlign w:val="bottom"/>
            <w:hideMark/>
          </w:tcPr>
          <w:p w14:paraId="643C3DC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575 </w:t>
            </w:r>
          </w:p>
        </w:tc>
      </w:tr>
      <w:tr w:rsidR="002D0976" w:rsidRPr="002D0976" w14:paraId="2D4BEF5E" w14:textId="77777777" w:rsidTr="00D353CB">
        <w:trPr>
          <w:trHeight w:val="397"/>
          <w:jc w:val="center"/>
        </w:trPr>
        <w:tc>
          <w:tcPr>
            <w:tcW w:w="4060" w:type="dxa"/>
            <w:tcBorders>
              <w:top w:val="nil"/>
              <w:left w:val="nil"/>
              <w:bottom w:val="nil"/>
              <w:right w:val="nil"/>
            </w:tcBorders>
            <w:shd w:val="clear" w:color="000000" w:fill="FFFFFF"/>
            <w:vAlign w:val="bottom"/>
            <w:hideMark/>
          </w:tcPr>
          <w:p w14:paraId="6026C7D0"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Addressing the impacts of female genital mutilation - reprofile of funding</w:t>
            </w:r>
          </w:p>
        </w:tc>
        <w:tc>
          <w:tcPr>
            <w:tcW w:w="900" w:type="dxa"/>
            <w:tcBorders>
              <w:top w:val="nil"/>
              <w:left w:val="nil"/>
              <w:bottom w:val="nil"/>
              <w:right w:val="nil"/>
            </w:tcBorders>
            <w:shd w:val="clear" w:color="auto" w:fill="auto"/>
            <w:noWrap/>
            <w:vAlign w:val="bottom"/>
            <w:hideMark/>
          </w:tcPr>
          <w:p w14:paraId="4ACC6B8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(410)</w:t>
            </w:r>
          </w:p>
        </w:tc>
        <w:tc>
          <w:tcPr>
            <w:tcW w:w="900" w:type="dxa"/>
            <w:tcBorders>
              <w:top w:val="nil"/>
              <w:left w:val="nil"/>
              <w:bottom w:val="nil"/>
              <w:right w:val="nil"/>
            </w:tcBorders>
            <w:shd w:val="clear" w:color="auto" w:fill="auto"/>
            <w:noWrap/>
            <w:vAlign w:val="bottom"/>
            <w:hideMark/>
          </w:tcPr>
          <w:p w14:paraId="1F45E24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351 </w:t>
            </w:r>
          </w:p>
        </w:tc>
        <w:tc>
          <w:tcPr>
            <w:tcW w:w="900" w:type="dxa"/>
            <w:tcBorders>
              <w:top w:val="nil"/>
              <w:left w:val="nil"/>
              <w:bottom w:val="nil"/>
              <w:right w:val="nil"/>
            </w:tcBorders>
            <w:shd w:val="clear" w:color="auto" w:fill="auto"/>
            <w:noWrap/>
            <w:vAlign w:val="bottom"/>
            <w:hideMark/>
          </w:tcPr>
          <w:p w14:paraId="5706752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809 </w:t>
            </w:r>
          </w:p>
        </w:tc>
        <w:tc>
          <w:tcPr>
            <w:tcW w:w="900" w:type="dxa"/>
            <w:tcBorders>
              <w:top w:val="nil"/>
              <w:left w:val="nil"/>
              <w:bottom w:val="nil"/>
              <w:right w:val="nil"/>
            </w:tcBorders>
            <w:shd w:val="clear" w:color="auto" w:fill="auto"/>
            <w:noWrap/>
            <w:vAlign w:val="bottom"/>
            <w:hideMark/>
          </w:tcPr>
          <w:p w14:paraId="2DC9AF0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4785E64E" w14:textId="77777777" w:rsidTr="00D353CB">
        <w:trPr>
          <w:trHeight w:val="397"/>
          <w:jc w:val="center"/>
        </w:trPr>
        <w:tc>
          <w:tcPr>
            <w:tcW w:w="4060" w:type="dxa"/>
            <w:tcBorders>
              <w:top w:val="nil"/>
              <w:left w:val="nil"/>
              <w:bottom w:val="nil"/>
              <w:right w:val="nil"/>
            </w:tcBorders>
            <w:shd w:val="clear" w:color="000000" w:fill="FFFFFF"/>
            <w:vAlign w:val="bottom"/>
            <w:hideMark/>
          </w:tcPr>
          <w:p w14:paraId="552AA47E" w14:textId="49419A89"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 xml:space="preserve">Alcohol and other drug treatment services in the </w:t>
            </w:r>
            <w:r w:rsidR="005931E4" w:rsidRPr="002D0976">
              <w:rPr>
                <w:rFonts w:ascii="Arial" w:hAnsi="Arial" w:cs="Arial"/>
                <w:sz w:val="16"/>
                <w:szCs w:val="16"/>
              </w:rPr>
              <w:t>Northern</w:t>
            </w:r>
            <w:r w:rsidRPr="002D0976">
              <w:rPr>
                <w:rFonts w:ascii="Arial" w:hAnsi="Arial" w:cs="Arial"/>
                <w:sz w:val="16"/>
                <w:szCs w:val="16"/>
              </w:rPr>
              <w:t xml:space="preserve"> Territory</w:t>
            </w:r>
          </w:p>
        </w:tc>
        <w:tc>
          <w:tcPr>
            <w:tcW w:w="900" w:type="dxa"/>
            <w:tcBorders>
              <w:top w:val="nil"/>
              <w:left w:val="nil"/>
              <w:bottom w:val="nil"/>
              <w:right w:val="nil"/>
            </w:tcBorders>
            <w:shd w:val="clear" w:color="auto" w:fill="auto"/>
            <w:noWrap/>
            <w:vAlign w:val="bottom"/>
            <w:hideMark/>
          </w:tcPr>
          <w:p w14:paraId="5FF54A3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2,060 </w:t>
            </w:r>
          </w:p>
        </w:tc>
        <w:tc>
          <w:tcPr>
            <w:tcW w:w="900" w:type="dxa"/>
            <w:tcBorders>
              <w:top w:val="nil"/>
              <w:left w:val="nil"/>
              <w:bottom w:val="nil"/>
              <w:right w:val="nil"/>
            </w:tcBorders>
            <w:shd w:val="clear" w:color="auto" w:fill="auto"/>
            <w:noWrap/>
            <w:vAlign w:val="bottom"/>
            <w:hideMark/>
          </w:tcPr>
          <w:p w14:paraId="602D150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C8C300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91AE31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0FE640FF" w14:textId="77777777" w:rsidTr="00D353CB">
        <w:trPr>
          <w:trHeight w:val="283"/>
          <w:jc w:val="center"/>
        </w:trPr>
        <w:tc>
          <w:tcPr>
            <w:tcW w:w="4060" w:type="dxa"/>
            <w:tcBorders>
              <w:top w:val="nil"/>
              <w:left w:val="nil"/>
              <w:bottom w:val="nil"/>
              <w:right w:val="nil"/>
            </w:tcBorders>
            <w:shd w:val="clear" w:color="000000" w:fill="FFFFFF"/>
            <w:noWrap/>
            <w:vAlign w:val="bottom"/>
            <w:hideMark/>
          </w:tcPr>
          <w:p w14:paraId="76E12416"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Bowel Cancer Testing Kits - reprofile of funding</w:t>
            </w:r>
          </w:p>
        </w:tc>
        <w:tc>
          <w:tcPr>
            <w:tcW w:w="900" w:type="dxa"/>
            <w:tcBorders>
              <w:top w:val="nil"/>
              <w:left w:val="nil"/>
              <w:bottom w:val="nil"/>
              <w:right w:val="nil"/>
            </w:tcBorders>
            <w:shd w:val="clear" w:color="auto" w:fill="auto"/>
            <w:noWrap/>
            <w:vAlign w:val="bottom"/>
            <w:hideMark/>
          </w:tcPr>
          <w:p w14:paraId="3632537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3B885E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8F58C9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F1F540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600EE6C6" w14:textId="77777777" w:rsidTr="00D353CB">
        <w:trPr>
          <w:trHeight w:val="397"/>
          <w:jc w:val="center"/>
        </w:trPr>
        <w:tc>
          <w:tcPr>
            <w:tcW w:w="4060" w:type="dxa"/>
            <w:tcBorders>
              <w:top w:val="nil"/>
              <w:left w:val="nil"/>
              <w:bottom w:val="nil"/>
              <w:right w:val="nil"/>
            </w:tcBorders>
            <w:shd w:val="clear" w:color="000000" w:fill="FFFFFF"/>
            <w:vAlign w:val="bottom"/>
            <w:hideMark/>
          </w:tcPr>
          <w:p w14:paraId="0F58249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Drug and alcohol services in cashless debit card site - reprofile of funding</w:t>
            </w:r>
          </w:p>
        </w:tc>
        <w:tc>
          <w:tcPr>
            <w:tcW w:w="900" w:type="dxa"/>
            <w:tcBorders>
              <w:top w:val="nil"/>
              <w:left w:val="nil"/>
              <w:bottom w:val="nil"/>
              <w:right w:val="nil"/>
            </w:tcBorders>
            <w:shd w:val="clear" w:color="auto" w:fill="auto"/>
            <w:noWrap/>
            <w:vAlign w:val="bottom"/>
            <w:hideMark/>
          </w:tcPr>
          <w:p w14:paraId="437FB5C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9,887 </w:t>
            </w:r>
          </w:p>
        </w:tc>
        <w:tc>
          <w:tcPr>
            <w:tcW w:w="900" w:type="dxa"/>
            <w:tcBorders>
              <w:top w:val="nil"/>
              <w:left w:val="nil"/>
              <w:bottom w:val="nil"/>
              <w:right w:val="nil"/>
            </w:tcBorders>
            <w:shd w:val="clear" w:color="auto" w:fill="auto"/>
            <w:noWrap/>
            <w:vAlign w:val="bottom"/>
            <w:hideMark/>
          </w:tcPr>
          <w:p w14:paraId="156D6AB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6,429 </w:t>
            </w:r>
          </w:p>
        </w:tc>
        <w:tc>
          <w:tcPr>
            <w:tcW w:w="900" w:type="dxa"/>
            <w:tcBorders>
              <w:top w:val="nil"/>
              <w:left w:val="nil"/>
              <w:bottom w:val="nil"/>
              <w:right w:val="nil"/>
            </w:tcBorders>
            <w:shd w:val="clear" w:color="auto" w:fill="auto"/>
            <w:noWrap/>
            <w:vAlign w:val="bottom"/>
            <w:hideMark/>
          </w:tcPr>
          <w:p w14:paraId="21A4872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FE21A1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DD53F11" w14:textId="77777777" w:rsidTr="00D353CB">
        <w:trPr>
          <w:trHeight w:val="397"/>
          <w:jc w:val="center"/>
        </w:trPr>
        <w:tc>
          <w:tcPr>
            <w:tcW w:w="4060" w:type="dxa"/>
            <w:tcBorders>
              <w:top w:val="nil"/>
              <w:left w:val="nil"/>
              <w:bottom w:val="nil"/>
              <w:right w:val="nil"/>
            </w:tcBorders>
            <w:shd w:val="clear" w:color="000000" w:fill="FFFFFF"/>
            <w:vAlign w:val="bottom"/>
            <w:hideMark/>
          </w:tcPr>
          <w:p w14:paraId="36B829A6" w14:textId="4C25665B"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 xml:space="preserve">National cancer </w:t>
            </w:r>
            <w:r w:rsidR="005931E4" w:rsidRPr="002D0976">
              <w:rPr>
                <w:rFonts w:ascii="Arial" w:hAnsi="Arial" w:cs="Arial"/>
                <w:sz w:val="16"/>
                <w:szCs w:val="16"/>
              </w:rPr>
              <w:t>screening</w:t>
            </w:r>
            <w:r w:rsidRPr="002D0976">
              <w:rPr>
                <w:rFonts w:ascii="Arial" w:hAnsi="Arial" w:cs="Arial"/>
                <w:sz w:val="16"/>
                <w:szCs w:val="16"/>
              </w:rPr>
              <w:t xml:space="preserve"> program - reprofile of funding</w:t>
            </w:r>
          </w:p>
        </w:tc>
        <w:tc>
          <w:tcPr>
            <w:tcW w:w="900" w:type="dxa"/>
            <w:tcBorders>
              <w:top w:val="nil"/>
              <w:left w:val="nil"/>
              <w:bottom w:val="nil"/>
              <w:right w:val="nil"/>
            </w:tcBorders>
            <w:shd w:val="clear" w:color="auto" w:fill="auto"/>
            <w:noWrap/>
            <w:vAlign w:val="bottom"/>
            <w:hideMark/>
          </w:tcPr>
          <w:p w14:paraId="5222987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6,636 </w:t>
            </w:r>
          </w:p>
        </w:tc>
        <w:tc>
          <w:tcPr>
            <w:tcW w:w="900" w:type="dxa"/>
            <w:tcBorders>
              <w:top w:val="nil"/>
              <w:left w:val="nil"/>
              <w:bottom w:val="nil"/>
              <w:right w:val="nil"/>
            </w:tcBorders>
            <w:shd w:val="clear" w:color="auto" w:fill="auto"/>
            <w:noWrap/>
            <w:vAlign w:val="bottom"/>
            <w:hideMark/>
          </w:tcPr>
          <w:p w14:paraId="14404BA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1A201A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F265D4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F22BB26" w14:textId="77777777" w:rsidTr="00D353CB">
        <w:trPr>
          <w:trHeight w:val="283"/>
          <w:jc w:val="center"/>
        </w:trPr>
        <w:tc>
          <w:tcPr>
            <w:tcW w:w="4060" w:type="dxa"/>
            <w:tcBorders>
              <w:top w:val="nil"/>
              <w:left w:val="nil"/>
              <w:bottom w:val="nil"/>
              <w:right w:val="nil"/>
            </w:tcBorders>
            <w:shd w:val="clear" w:color="000000" w:fill="FFFFFF"/>
            <w:noWrap/>
            <w:vAlign w:val="bottom"/>
            <w:hideMark/>
          </w:tcPr>
          <w:p w14:paraId="38E13F0D"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drugs campaign - reprofile of funding</w:t>
            </w:r>
          </w:p>
        </w:tc>
        <w:tc>
          <w:tcPr>
            <w:tcW w:w="900" w:type="dxa"/>
            <w:tcBorders>
              <w:top w:val="nil"/>
              <w:left w:val="nil"/>
              <w:bottom w:val="nil"/>
              <w:right w:val="nil"/>
            </w:tcBorders>
            <w:shd w:val="clear" w:color="auto" w:fill="auto"/>
            <w:noWrap/>
            <w:vAlign w:val="bottom"/>
            <w:hideMark/>
          </w:tcPr>
          <w:p w14:paraId="343CA15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6,722 </w:t>
            </w:r>
          </w:p>
        </w:tc>
        <w:tc>
          <w:tcPr>
            <w:tcW w:w="900" w:type="dxa"/>
            <w:tcBorders>
              <w:top w:val="nil"/>
              <w:left w:val="nil"/>
              <w:bottom w:val="nil"/>
              <w:right w:val="nil"/>
            </w:tcBorders>
            <w:shd w:val="clear" w:color="auto" w:fill="auto"/>
            <w:noWrap/>
            <w:vAlign w:val="bottom"/>
            <w:hideMark/>
          </w:tcPr>
          <w:p w14:paraId="1505D18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B451DB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591A2E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CE2FDAC" w14:textId="77777777" w:rsidTr="00D353CB">
        <w:trPr>
          <w:trHeight w:val="397"/>
          <w:jc w:val="center"/>
        </w:trPr>
        <w:tc>
          <w:tcPr>
            <w:tcW w:w="4060" w:type="dxa"/>
            <w:tcBorders>
              <w:top w:val="nil"/>
              <w:left w:val="nil"/>
              <w:bottom w:val="nil"/>
              <w:right w:val="nil"/>
            </w:tcBorders>
            <w:shd w:val="clear" w:color="000000" w:fill="FFFFFF"/>
            <w:vAlign w:val="bottom"/>
            <w:hideMark/>
          </w:tcPr>
          <w:p w14:paraId="72729517"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tobacco control program activities - reprofile of funding</w:t>
            </w:r>
          </w:p>
        </w:tc>
        <w:tc>
          <w:tcPr>
            <w:tcW w:w="900" w:type="dxa"/>
            <w:tcBorders>
              <w:top w:val="nil"/>
              <w:left w:val="nil"/>
              <w:bottom w:val="nil"/>
              <w:right w:val="nil"/>
            </w:tcBorders>
            <w:shd w:val="clear" w:color="auto" w:fill="auto"/>
            <w:noWrap/>
            <w:vAlign w:val="bottom"/>
            <w:hideMark/>
          </w:tcPr>
          <w:p w14:paraId="30CE8FF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1,175 </w:t>
            </w:r>
          </w:p>
        </w:tc>
        <w:tc>
          <w:tcPr>
            <w:tcW w:w="900" w:type="dxa"/>
            <w:tcBorders>
              <w:top w:val="nil"/>
              <w:left w:val="nil"/>
              <w:bottom w:val="nil"/>
              <w:right w:val="nil"/>
            </w:tcBorders>
            <w:shd w:val="clear" w:color="auto" w:fill="auto"/>
            <w:noWrap/>
            <w:vAlign w:val="bottom"/>
            <w:hideMark/>
          </w:tcPr>
          <w:p w14:paraId="7F75ACE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077004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05235B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451DAE3" w14:textId="77777777" w:rsidTr="00D353CB">
        <w:trPr>
          <w:trHeight w:val="397"/>
          <w:jc w:val="center"/>
        </w:trPr>
        <w:tc>
          <w:tcPr>
            <w:tcW w:w="4060" w:type="dxa"/>
            <w:tcBorders>
              <w:top w:val="nil"/>
              <w:left w:val="nil"/>
              <w:bottom w:val="nil"/>
              <w:right w:val="nil"/>
            </w:tcBorders>
            <w:shd w:val="clear" w:color="000000" w:fill="FFFFFF"/>
            <w:vAlign w:val="bottom"/>
            <w:hideMark/>
          </w:tcPr>
          <w:p w14:paraId="2B2AB409"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Prioritising preventative health post-COVID - reprofile of funding</w:t>
            </w:r>
          </w:p>
        </w:tc>
        <w:tc>
          <w:tcPr>
            <w:tcW w:w="900" w:type="dxa"/>
            <w:tcBorders>
              <w:top w:val="nil"/>
              <w:left w:val="nil"/>
              <w:bottom w:val="nil"/>
              <w:right w:val="nil"/>
            </w:tcBorders>
            <w:shd w:val="clear" w:color="auto" w:fill="auto"/>
            <w:noWrap/>
            <w:vAlign w:val="bottom"/>
            <w:hideMark/>
          </w:tcPr>
          <w:p w14:paraId="20497D3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2,060 </w:t>
            </w:r>
          </w:p>
        </w:tc>
        <w:tc>
          <w:tcPr>
            <w:tcW w:w="900" w:type="dxa"/>
            <w:tcBorders>
              <w:top w:val="nil"/>
              <w:left w:val="nil"/>
              <w:bottom w:val="nil"/>
              <w:right w:val="nil"/>
            </w:tcBorders>
            <w:shd w:val="clear" w:color="auto" w:fill="auto"/>
            <w:noWrap/>
            <w:vAlign w:val="bottom"/>
            <w:hideMark/>
          </w:tcPr>
          <w:p w14:paraId="3E544B9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2E4BFB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C9AA8F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67B8D32" w14:textId="77777777" w:rsidTr="00D353CB">
        <w:trPr>
          <w:trHeight w:val="283"/>
          <w:jc w:val="center"/>
        </w:trPr>
        <w:tc>
          <w:tcPr>
            <w:tcW w:w="4060" w:type="dxa"/>
            <w:tcBorders>
              <w:top w:val="nil"/>
              <w:left w:val="nil"/>
              <w:bottom w:val="nil"/>
              <w:right w:val="nil"/>
            </w:tcBorders>
            <w:shd w:val="clear" w:color="000000" w:fill="FFFFFF"/>
            <w:noWrap/>
            <w:vAlign w:val="bottom"/>
            <w:hideMark/>
          </w:tcPr>
          <w:p w14:paraId="4346FC4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Queanbeyan respite care facility - reprofile of funding</w:t>
            </w:r>
          </w:p>
        </w:tc>
        <w:tc>
          <w:tcPr>
            <w:tcW w:w="900" w:type="dxa"/>
            <w:tcBorders>
              <w:top w:val="nil"/>
              <w:left w:val="nil"/>
              <w:bottom w:val="nil"/>
              <w:right w:val="nil"/>
            </w:tcBorders>
            <w:shd w:val="clear" w:color="auto" w:fill="auto"/>
            <w:noWrap/>
            <w:vAlign w:val="bottom"/>
            <w:hideMark/>
          </w:tcPr>
          <w:p w14:paraId="1549D48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200 </w:t>
            </w:r>
          </w:p>
        </w:tc>
        <w:tc>
          <w:tcPr>
            <w:tcW w:w="900" w:type="dxa"/>
            <w:tcBorders>
              <w:top w:val="nil"/>
              <w:left w:val="nil"/>
              <w:bottom w:val="nil"/>
              <w:right w:val="nil"/>
            </w:tcBorders>
            <w:shd w:val="clear" w:color="auto" w:fill="auto"/>
            <w:noWrap/>
            <w:vAlign w:val="bottom"/>
            <w:hideMark/>
          </w:tcPr>
          <w:p w14:paraId="4C6B7F4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800 </w:t>
            </w:r>
          </w:p>
        </w:tc>
        <w:tc>
          <w:tcPr>
            <w:tcW w:w="900" w:type="dxa"/>
            <w:tcBorders>
              <w:top w:val="nil"/>
              <w:left w:val="nil"/>
              <w:bottom w:val="nil"/>
              <w:right w:val="nil"/>
            </w:tcBorders>
            <w:shd w:val="clear" w:color="auto" w:fill="auto"/>
            <w:noWrap/>
            <w:vAlign w:val="bottom"/>
            <w:hideMark/>
          </w:tcPr>
          <w:p w14:paraId="52FFD6FC"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BE760D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1D1688EA" w14:textId="77777777" w:rsidTr="00D353CB">
        <w:trPr>
          <w:trHeight w:val="397"/>
          <w:jc w:val="center"/>
        </w:trPr>
        <w:tc>
          <w:tcPr>
            <w:tcW w:w="4060" w:type="dxa"/>
            <w:tcBorders>
              <w:top w:val="nil"/>
              <w:left w:val="nil"/>
              <w:bottom w:val="nil"/>
              <w:right w:val="nil"/>
            </w:tcBorders>
            <w:shd w:val="clear" w:color="000000" w:fill="FFFFFF"/>
            <w:vAlign w:val="bottom"/>
            <w:hideMark/>
          </w:tcPr>
          <w:p w14:paraId="3CE496A0"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Residential alcohol and drug rehabilitation facility in Mackay - reprofile of funding</w:t>
            </w:r>
          </w:p>
        </w:tc>
        <w:tc>
          <w:tcPr>
            <w:tcW w:w="900" w:type="dxa"/>
            <w:tcBorders>
              <w:top w:val="nil"/>
              <w:left w:val="nil"/>
              <w:bottom w:val="nil"/>
              <w:right w:val="nil"/>
            </w:tcBorders>
            <w:shd w:val="clear" w:color="auto" w:fill="auto"/>
            <w:noWrap/>
            <w:vAlign w:val="bottom"/>
            <w:hideMark/>
          </w:tcPr>
          <w:p w14:paraId="28733B5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7B8297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1,200 </w:t>
            </w:r>
          </w:p>
        </w:tc>
        <w:tc>
          <w:tcPr>
            <w:tcW w:w="900" w:type="dxa"/>
            <w:tcBorders>
              <w:top w:val="nil"/>
              <w:left w:val="nil"/>
              <w:bottom w:val="nil"/>
              <w:right w:val="nil"/>
            </w:tcBorders>
            <w:shd w:val="clear" w:color="auto" w:fill="auto"/>
            <w:noWrap/>
            <w:vAlign w:val="bottom"/>
            <w:hideMark/>
          </w:tcPr>
          <w:p w14:paraId="1F1B57D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05303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038A133" w14:textId="77777777" w:rsidTr="00D353CB">
        <w:trPr>
          <w:trHeight w:val="397"/>
          <w:jc w:val="center"/>
        </w:trPr>
        <w:tc>
          <w:tcPr>
            <w:tcW w:w="4060" w:type="dxa"/>
            <w:tcBorders>
              <w:top w:val="nil"/>
              <w:left w:val="nil"/>
              <w:bottom w:val="nil"/>
              <w:right w:val="nil"/>
            </w:tcBorders>
            <w:shd w:val="clear" w:color="000000" w:fill="FFFFFF"/>
            <w:noWrap/>
            <w:vAlign w:val="bottom"/>
            <w:hideMark/>
          </w:tcPr>
          <w:p w14:paraId="048F4D0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Support for Thalidomide Survivors - reprofile of funding</w:t>
            </w:r>
          </w:p>
        </w:tc>
        <w:tc>
          <w:tcPr>
            <w:tcW w:w="900" w:type="dxa"/>
            <w:tcBorders>
              <w:top w:val="nil"/>
              <w:left w:val="nil"/>
              <w:bottom w:val="nil"/>
              <w:right w:val="nil"/>
            </w:tcBorders>
            <w:shd w:val="clear" w:color="auto" w:fill="auto"/>
            <w:noWrap/>
            <w:vAlign w:val="bottom"/>
            <w:hideMark/>
          </w:tcPr>
          <w:p w14:paraId="0889EA9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3,227 </w:t>
            </w:r>
          </w:p>
        </w:tc>
        <w:tc>
          <w:tcPr>
            <w:tcW w:w="900" w:type="dxa"/>
            <w:tcBorders>
              <w:top w:val="nil"/>
              <w:left w:val="nil"/>
              <w:bottom w:val="nil"/>
              <w:right w:val="nil"/>
            </w:tcBorders>
            <w:shd w:val="clear" w:color="auto" w:fill="auto"/>
            <w:noWrap/>
            <w:vAlign w:val="bottom"/>
            <w:hideMark/>
          </w:tcPr>
          <w:p w14:paraId="2DF98AC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94DF20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E4AA21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1B8A10F8" w14:textId="77777777" w:rsidTr="00D353CB">
        <w:trPr>
          <w:trHeight w:val="397"/>
          <w:jc w:val="center"/>
        </w:trPr>
        <w:tc>
          <w:tcPr>
            <w:tcW w:w="4060" w:type="dxa"/>
            <w:tcBorders>
              <w:top w:val="nil"/>
              <w:left w:val="nil"/>
              <w:bottom w:val="nil"/>
              <w:right w:val="nil"/>
            </w:tcBorders>
            <w:shd w:val="clear" w:color="000000" w:fill="FFFFFF"/>
            <w:vAlign w:val="bottom"/>
            <w:hideMark/>
          </w:tcPr>
          <w:p w14:paraId="078CE365"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Supporting priority populations health promotion grants - reprofile of funding</w:t>
            </w:r>
          </w:p>
        </w:tc>
        <w:tc>
          <w:tcPr>
            <w:tcW w:w="900" w:type="dxa"/>
            <w:tcBorders>
              <w:top w:val="nil"/>
              <w:left w:val="nil"/>
              <w:bottom w:val="nil"/>
              <w:right w:val="nil"/>
            </w:tcBorders>
            <w:shd w:val="clear" w:color="auto" w:fill="auto"/>
            <w:noWrap/>
            <w:vAlign w:val="bottom"/>
            <w:hideMark/>
          </w:tcPr>
          <w:p w14:paraId="42FC403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(865)</w:t>
            </w:r>
          </w:p>
        </w:tc>
        <w:tc>
          <w:tcPr>
            <w:tcW w:w="900" w:type="dxa"/>
            <w:tcBorders>
              <w:top w:val="nil"/>
              <w:left w:val="nil"/>
              <w:bottom w:val="nil"/>
              <w:right w:val="nil"/>
            </w:tcBorders>
            <w:shd w:val="clear" w:color="auto" w:fill="auto"/>
            <w:noWrap/>
            <w:vAlign w:val="bottom"/>
            <w:hideMark/>
          </w:tcPr>
          <w:p w14:paraId="6237F2A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(31)</w:t>
            </w:r>
          </w:p>
        </w:tc>
        <w:tc>
          <w:tcPr>
            <w:tcW w:w="900" w:type="dxa"/>
            <w:tcBorders>
              <w:top w:val="nil"/>
              <w:left w:val="nil"/>
              <w:bottom w:val="nil"/>
              <w:right w:val="nil"/>
            </w:tcBorders>
            <w:shd w:val="clear" w:color="auto" w:fill="auto"/>
            <w:noWrap/>
            <w:vAlign w:val="bottom"/>
            <w:hideMark/>
          </w:tcPr>
          <w:p w14:paraId="1765538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682 </w:t>
            </w:r>
          </w:p>
        </w:tc>
        <w:tc>
          <w:tcPr>
            <w:tcW w:w="900" w:type="dxa"/>
            <w:tcBorders>
              <w:top w:val="nil"/>
              <w:left w:val="nil"/>
              <w:bottom w:val="nil"/>
              <w:right w:val="nil"/>
            </w:tcBorders>
            <w:shd w:val="clear" w:color="auto" w:fill="auto"/>
            <w:noWrap/>
            <w:vAlign w:val="bottom"/>
            <w:hideMark/>
          </w:tcPr>
          <w:p w14:paraId="2543225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1,364 </w:t>
            </w:r>
          </w:p>
        </w:tc>
      </w:tr>
      <w:tr w:rsidR="002D0976" w:rsidRPr="002D0976" w14:paraId="64395C27" w14:textId="77777777" w:rsidTr="00D353CB">
        <w:trPr>
          <w:trHeight w:val="283"/>
          <w:jc w:val="center"/>
        </w:trPr>
        <w:tc>
          <w:tcPr>
            <w:tcW w:w="4060" w:type="dxa"/>
            <w:tcBorders>
              <w:top w:val="nil"/>
              <w:left w:val="nil"/>
              <w:bottom w:val="nil"/>
              <w:right w:val="nil"/>
            </w:tcBorders>
            <w:shd w:val="clear" w:color="000000" w:fill="FFFFFF"/>
            <w:noWrap/>
            <w:vAlign w:val="bottom"/>
            <w:hideMark/>
          </w:tcPr>
          <w:p w14:paraId="1AB9C300"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Price parameter adjustments</w:t>
            </w:r>
            <w:r w:rsidRPr="002D097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637AA6B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35AEB3C"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1FF4972"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1,104 </w:t>
            </w:r>
          </w:p>
        </w:tc>
        <w:tc>
          <w:tcPr>
            <w:tcW w:w="900" w:type="dxa"/>
            <w:tcBorders>
              <w:top w:val="nil"/>
              <w:left w:val="nil"/>
              <w:bottom w:val="nil"/>
              <w:right w:val="nil"/>
            </w:tcBorders>
            <w:shd w:val="clear" w:color="auto" w:fill="auto"/>
            <w:noWrap/>
            <w:vAlign w:val="bottom"/>
            <w:hideMark/>
          </w:tcPr>
          <w:p w14:paraId="39B15C9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1,026 </w:t>
            </w:r>
          </w:p>
        </w:tc>
      </w:tr>
      <w:tr w:rsidR="002D0976" w:rsidRPr="002D0976" w14:paraId="0D2A6E30" w14:textId="77777777" w:rsidTr="00D353CB">
        <w:trPr>
          <w:trHeight w:val="283"/>
          <w:jc w:val="center"/>
        </w:trPr>
        <w:tc>
          <w:tcPr>
            <w:tcW w:w="4060" w:type="dxa"/>
            <w:tcBorders>
              <w:top w:val="nil"/>
              <w:left w:val="nil"/>
              <w:bottom w:val="nil"/>
              <w:right w:val="nil"/>
            </w:tcBorders>
            <w:shd w:val="clear" w:color="auto" w:fill="auto"/>
            <w:noWrap/>
            <w:vAlign w:val="bottom"/>
            <w:hideMark/>
          </w:tcPr>
          <w:p w14:paraId="07913277" w14:textId="77777777" w:rsidR="002D0976" w:rsidRPr="002D0976" w:rsidRDefault="002D0976" w:rsidP="002D097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6849C117"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63,562 </w:t>
            </w:r>
          </w:p>
        </w:tc>
        <w:tc>
          <w:tcPr>
            <w:tcW w:w="900" w:type="dxa"/>
            <w:tcBorders>
              <w:top w:val="single" w:sz="4" w:space="0" w:color="auto"/>
              <w:left w:val="nil"/>
              <w:bottom w:val="single" w:sz="4" w:space="0" w:color="auto"/>
              <w:right w:val="nil"/>
            </w:tcBorders>
            <w:shd w:val="clear" w:color="auto" w:fill="auto"/>
            <w:noWrap/>
            <w:vAlign w:val="bottom"/>
            <w:hideMark/>
          </w:tcPr>
          <w:p w14:paraId="70818298"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60,318 </w:t>
            </w:r>
          </w:p>
        </w:tc>
        <w:tc>
          <w:tcPr>
            <w:tcW w:w="900" w:type="dxa"/>
            <w:tcBorders>
              <w:top w:val="single" w:sz="4" w:space="0" w:color="auto"/>
              <w:left w:val="nil"/>
              <w:bottom w:val="single" w:sz="4" w:space="0" w:color="auto"/>
              <w:right w:val="nil"/>
            </w:tcBorders>
            <w:shd w:val="clear" w:color="auto" w:fill="auto"/>
            <w:noWrap/>
            <w:vAlign w:val="bottom"/>
            <w:hideMark/>
          </w:tcPr>
          <w:p w14:paraId="337BE8FF"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60,958 </w:t>
            </w:r>
          </w:p>
        </w:tc>
        <w:tc>
          <w:tcPr>
            <w:tcW w:w="900" w:type="dxa"/>
            <w:tcBorders>
              <w:top w:val="single" w:sz="4" w:space="0" w:color="auto"/>
              <w:left w:val="nil"/>
              <w:bottom w:val="single" w:sz="4" w:space="0" w:color="auto"/>
              <w:right w:val="nil"/>
            </w:tcBorders>
            <w:shd w:val="clear" w:color="auto" w:fill="auto"/>
            <w:noWrap/>
            <w:vAlign w:val="bottom"/>
            <w:hideMark/>
          </w:tcPr>
          <w:p w14:paraId="33A64824"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83,910 </w:t>
            </w:r>
          </w:p>
        </w:tc>
      </w:tr>
    </w:tbl>
    <w:p w14:paraId="7AAF020F" w14:textId="77777777" w:rsidR="00F11F72" w:rsidRDefault="00F11F72" w:rsidP="00213063">
      <w:pPr>
        <w:spacing w:after="120"/>
        <w:rPr>
          <w:rFonts w:ascii="Arial" w:hAnsi="Arial" w:cs="Arial"/>
          <w:b/>
          <w:sz w:val="20"/>
        </w:rPr>
      </w:pPr>
    </w:p>
    <w:p w14:paraId="12C4483A" w14:textId="2A548F88" w:rsidR="002D0976" w:rsidRPr="009203D5" w:rsidRDefault="002D0976" w:rsidP="00F03829">
      <w:pPr>
        <w:spacing w:after="20"/>
        <w:rPr>
          <w:rFonts w:ascii="Arial" w:hAnsi="Arial" w:cs="Arial"/>
          <w:b/>
          <w:sz w:val="20"/>
        </w:rPr>
      </w:pPr>
      <w:r w:rsidRPr="009203D5">
        <w:rPr>
          <w:rFonts w:ascii="Arial" w:hAnsi="Arial" w:cs="Arial"/>
          <w:b/>
          <w:sz w:val="20"/>
        </w:rPr>
        <w:lastRenderedPageBreak/>
        <w:t>Table 2.1.1</w:t>
      </w:r>
      <w:r w:rsidR="00A52488">
        <w:rPr>
          <w:rFonts w:ascii="Arial" w:hAnsi="Arial" w:cs="Arial"/>
          <w:b/>
          <w:sz w:val="20"/>
        </w:rPr>
        <w:t>: Variations Table –</w:t>
      </w:r>
      <w:r w:rsidR="009203D5">
        <w:rPr>
          <w:rFonts w:ascii="Arial" w:hAnsi="Arial" w:cs="Arial"/>
          <w:b/>
          <w:sz w:val="20"/>
        </w:rPr>
        <w:t xml:space="preserve"> </w:t>
      </w:r>
      <w:r w:rsidRPr="009203D5">
        <w:rPr>
          <w:rFonts w:ascii="Arial" w:hAnsi="Arial" w:cs="Arial"/>
          <w:b/>
          <w:sz w:val="20"/>
        </w:rPr>
        <w:t>Outcome 1 (continued)</w:t>
      </w:r>
    </w:p>
    <w:tbl>
      <w:tblPr>
        <w:tblW w:w="7660" w:type="dxa"/>
        <w:jc w:val="center"/>
        <w:tblLayout w:type="fixed"/>
        <w:tblLook w:val="04A0" w:firstRow="1" w:lastRow="0" w:firstColumn="1" w:lastColumn="0" w:noHBand="0" w:noVBand="1"/>
      </w:tblPr>
      <w:tblGrid>
        <w:gridCol w:w="4060"/>
        <w:gridCol w:w="900"/>
        <w:gridCol w:w="900"/>
        <w:gridCol w:w="900"/>
        <w:gridCol w:w="900"/>
      </w:tblGrid>
      <w:tr w:rsidR="002D0976" w:rsidRPr="002D0976" w14:paraId="08196669" w14:textId="77777777" w:rsidTr="00D97536">
        <w:trPr>
          <w:trHeight w:val="397"/>
          <w:jc w:val="center"/>
        </w:trPr>
        <w:tc>
          <w:tcPr>
            <w:tcW w:w="4060" w:type="dxa"/>
            <w:tcBorders>
              <w:top w:val="single" w:sz="4" w:space="0" w:color="auto"/>
              <w:left w:val="nil"/>
              <w:bottom w:val="nil"/>
              <w:right w:val="nil"/>
            </w:tcBorders>
            <w:shd w:val="clear" w:color="auto" w:fill="auto"/>
            <w:hideMark/>
          </w:tcPr>
          <w:p w14:paraId="2CD9D2C6" w14:textId="77777777" w:rsidR="002D0976" w:rsidRPr="002D0976" w:rsidRDefault="002D0976" w:rsidP="00644295">
            <w:pPr>
              <w:spacing w:before="24" w:after="0" w:line="240" w:lineRule="auto"/>
              <w:jc w:val="right"/>
              <w:rPr>
                <w:rFonts w:ascii="Arial" w:hAnsi="Arial" w:cs="Arial"/>
                <w:sz w:val="16"/>
                <w:szCs w:val="16"/>
              </w:rPr>
            </w:pPr>
            <w:r w:rsidRPr="002D097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3B77C97A" w14:textId="11B39D5E" w:rsidR="002D0976" w:rsidRPr="002D0976" w:rsidRDefault="002D0976" w:rsidP="00644295">
            <w:pPr>
              <w:spacing w:before="24" w:after="0" w:line="240" w:lineRule="auto"/>
              <w:jc w:val="right"/>
              <w:rPr>
                <w:rFonts w:ascii="Arial" w:hAnsi="Arial" w:cs="Arial"/>
                <w:b/>
                <w:bCs/>
                <w:sz w:val="16"/>
                <w:szCs w:val="16"/>
              </w:rPr>
            </w:pPr>
            <w:r>
              <w:rPr>
                <w:rFonts w:ascii="Arial" w:hAnsi="Arial" w:cs="Arial"/>
                <w:b/>
                <w:bCs/>
                <w:sz w:val="16"/>
                <w:szCs w:val="16"/>
              </w:rPr>
              <w:t>2023–</w:t>
            </w:r>
            <w:r w:rsidRPr="002D0976">
              <w:rPr>
                <w:rFonts w:ascii="Arial" w:hAnsi="Arial" w:cs="Arial"/>
                <w:b/>
                <w:bCs/>
                <w:sz w:val="16"/>
                <w:szCs w:val="16"/>
              </w:rPr>
              <w:t>24</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7D791519" w14:textId="4AF6DB42" w:rsidR="002D0976" w:rsidRPr="002D0976" w:rsidRDefault="002D0976" w:rsidP="00644295">
            <w:pPr>
              <w:spacing w:before="24" w:after="0" w:line="240" w:lineRule="auto"/>
              <w:jc w:val="right"/>
              <w:rPr>
                <w:rFonts w:ascii="Arial" w:hAnsi="Arial" w:cs="Arial"/>
                <w:b/>
                <w:bCs/>
                <w:sz w:val="16"/>
                <w:szCs w:val="16"/>
              </w:rPr>
            </w:pPr>
            <w:r>
              <w:rPr>
                <w:rFonts w:ascii="Arial" w:hAnsi="Arial" w:cs="Arial"/>
                <w:b/>
                <w:bCs/>
                <w:sz w:val="16"/>
                <w:szCs w:val="16"/>
              </w:rPr>
              <w:t>2024–</w:t>
            </w:r>
            <w:r w:rsidRPr="002D0976">
              <w:rPr>
                <w:rFonts w:ascii="Arial" w:hAnsi="Arial" w:cs="Arial"/>
                <w:b/>
                <w:bCs/>
                <w:sz w:val="16"/>
                <w:szCs w:val="16"/>
              </w:rPr>
              <w:t>25</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92B60BC" w14:textId="7ABB936A" w:rsidR="002D0976" w:rsidRPr="002D0976" w:rsidRDefault="002D0976" w:rsidP="00644295">
            <w:pPr>
              <w:spacing w:before="24" w:after="0" w:line="240" w:lineRule="auto"/>
              <w:jc w:val="right"/>
              <w:rPr>
                <w:rFonts w:ascii="Arial" w:hAnsi="Arial" w:cs="Arial"/>
                <w:b/>
                <w:bCs/>
                <w:sz w:val="16"/>
                <w:szCs w:val="16"/>
              </w:rPr>
            </w:pPr>
            <w:r>
              <w:rPr>
                <w:rFonts w:ascii="Arial" w:hAnsi="Arial" w:cs="Arial"/>
                <w:b/>
                <w:bCs/>
                <w:sz w:val="16"/>
                <w:szCs w:val="16"/>
              </w:rPr>
              <w:t>2025–</w:t>
            </w:r>
            <w:r w:rsidRPr="002D0976">
              <w:rPr>
                <w:rFonts w:ascii="Arial" w:hAnsi="Arial" w:cs="Arial"/>
                <w:b/>
                <w:bCs/>
                <w:sz w:val="16"/>
                <w:szCs w:val="16"/>
              </w:rPr>
              <w:t>26</w:t>
            </w:r>
            <w:r w:rsidRPr="002D0976">
              <w:rPr>
                <w:rFonts w:ascii="Arial" w:hAnsi="Arial" w:cs="Arial"/>
                <w:b/>
                <w:bCs/>
                <w:sz w:val="16"/>
                <w:szCs w:val="16"/>
              </w:rPr>
              <w:br/>
            </w:r>
            <w:r w:rsidRPr="002D097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02AE17F" w14:textId="4270BEE3" w:rsidR="002D0976" w:rsidRPr="002D0976" w:rsidRDefault="002D0976" w:rsidP="00644295">
            <w:pPr>
              <w:spacing w:before="24" w:after="0" w:line="240" w:lineRule="auto"/>
              <w:jc w:val="right"/>
              <w:rPr>
                <w:rFonts w:ascii="Arial" w:hAnsi="Arial" w:cs="Arial"/>
                <w:b/>
                <w:bCs/>
                <w:sz w:val="16"/>
                <w:szCs w:val="16"/>
              </w:rPr>
            </w:pPr>
            <w:r>
              <w:rPr>
                <w:rFonts w:ascii="Arial" w:hAnsi="Arial" w:cs="Arial"/>
                <w:b/>
                <w:bCs/>
                <w:sz w:val="16"/>
                <w:szCs w:val="16"/>
              </w:rPr>
              <w:t>2026–</w:t>
            </w:r>
            <w:r w:rsidRPr="002D0976">
              <w:rPr>
                <w:rFonts w:ascii="Arial" w:hAnsi="Arial" w:cs="Arial"/>
                <w:b/>
                <w:bCs/>
                <w:sz w:val="16"/>
                <w:szCs w:val="16"/>
              </w:rPr>
              <w:t>27</w:t>
            </w:r>
            <w:r w:rsidRPr="002D0976">
              <w:rPr>
                <w:rFonts w:ascii="Arial" w:hAnsi="Arial" w:cs="Arial"/>
                <w:b/>
                <w:bCs/>
                <w:sz w:val="16"/>
                <w:szCs w:val="16"/>
              </w:rPr>
              <w:br/>
            </w:r>
            <w:r w:rsidRPr="002D0976">
              <w:rPr>
                <w:rFonts w:ascii="Arial" w:hAnsi="Arial" w:cs="Arial"/>
                <w:sz w:val="16"/>
                <w:szCs w:val="16"/>
              </w:rPr>
              <w:t>$'000</w:t>
            </w:r>
          </w:p>
        </w:tc>
      </w:tr>
      <w:tr w:rsidR="002D0976" w:rsidRPr="002D0976" w14:paraId="2FA09D49" w14:textId="77777777" w:rsidTr="00F11F72">
        <w:trPr>
          <w:trHeight w:val="283"/>
          <w:jc w:val="center"/>
        </w:trPr>
        <w:tc>
          <w:tcPr>
            <w:tcW w:w="4960" w:type="dxa"/>
            <w:gridSpan w:val="2"/>
            <w:tcBorders>
              <w:top w:val="nil"/>
              <w:left w:val="nil"/>
              <w:bottom w:val="nil"/>
              <w:right w:val="nil"/>
            </w:tcBorders>
            <w:shd w:val="clear" w:color="auto" w:fill="auto"/>
            <w:noWrap/>
            <w:vAlign w:val="bottom"/>
            <w:hideMark/>
          </w:tcPr>
          <w:p w14:paraId="517A7022"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Program 1.6: Primary Health Care Quality and Coordination</w:t>
            </w:r>
          </w:p>
        </w:tc>
        <w:tc>
          <w:tcPr>
            <w:tcW w:w="900" w:type="dxa"/>
            <w:tcBorders>
              <w:top w:val="nil"/>
              <w:left w:val="nil"/>
              <w:bottom w:val="nil"/>
              <w:right w:val="nil"/>
            </w:tcBorders>
            <w:shd w:val="clear" w:color="auto" w:fill="auto"/>
            <w:noWrap/>
            <w:vAlign w:val="bottom"/>
            <w:hideMark/>
          </w:tcPr>
          <w:p w14:paraId="612CB416"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B05A88E"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3200D06"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0C0D7767"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3FBEC7F8"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150A55C1"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8888CBA" w14:textId="77777777" w:rsidR="002D0976" w:rsidRPr="002D0976" w:rsidRDefault="002D0976" w:rsidP="002D0976">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98B9D94"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C2900B8"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6CF32B6C"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7BAA54C0"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50823BA4"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F36E004"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73CC055"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0AB76A4"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07047EE6" w14:textId="77777777" w:rsidTr="00BA01CF">
        <w:trPr>
          <w:trHeight w:val="397"/>
          <w:jc w:val="center"/>
        </w:trPr>
        <w:tc>
          <w:tcPr>
            <w:tcW w:w="4060" w:type="dxa"/>
            <w:tcBorders>
              <w:top w:val="nil"/>
              <w:left w:val="nil"/>
              <w:bottom w:val="nil"/>
              <w:right w:val="nil"/>
            </w:tcBorders>
            <w:shd w:val="clear" w:color="000000" w:fill="FFFFFF"/>
            <w:vAlign w:val="bottom"/>
            <w:hideMark/>
          </w:tcPr>
          <w:p w14:paraId="47D5B0C4"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Medicare Urgent Care Clinics - reallocation to the Treasury COAG Reform Fund</w:t>
            </w:r>
          </w:p>
        </w:tc>
        <w:tc>
          <w:tcPr>
            <w:tcW w:w="900" w:type="dxa"/>
            <w:tcBorders>
              <w:top w:val="nil"/>
              <w:left w:val="nil"/>
              <w:bottom w:val="nil"/>
              <w:right w:val="nil"/>
            </w:tcBorders>
            <w:shd w:val="clear" w:color="auto" w:fill="auto"/>
            <w:noWrap/>
            <w:vAlign w:val="bottom"/>
            <w:hideMark/>
          </w:tcPr>
          <w:p w14:paraId="6BEB23A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6C365F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12C1D8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(1,252)</w:t>
            </w:r>
          </w:p>
        </w:tc>
        <w:tc>
          <w:tcPr>
            <w:tcW w:w="900" w:type="dxa"/>
            <w:tcBorders>
              <w:top w:val="nil"/>
              <w:left w:val="nil"/>
              <w:bottom w:val="nil"/>
              <w:right w:val="nil"/>
            </w:tcBorders>
            <w:shd w:val="clear" w:color="auto" w:fill="auto"/>
            <w:noWrap/>
            <w:vAlign w:val="bottom"/>
            <w:hideMark/>
          </w:tcPr>
          <w:p w14:paraId="1475D1F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68D49ABD" w14:textId="77777777" w:rsidTr="00BA01CF">
        <w:trPr>
          <w:trHeight w:val="397"/>
          <w:jc w:val="center"/>
        </w:trPr>
        <w:tc>
          <w:tcPr>
            <w:tcW w:w="4060" w:type="dxa"/>
            <w:tcBorders>
              <w:top w:val="nil"/>
              <w:left w:val="nil"/>
              <w:bottom w:val="nil"/>
              <w:right w:val="nil"/>
            </w:tcBorders>
            <w:shd w:val="clear" w:color="000000" w:fill="FFFFFF"/>
            <w:vAlign w:val="bottom"/>
            <w:hideMark/>
          </w:tcPr>
          <w:p w14:paraId="5284E2D5"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 xml:space="preserve">Scoping improvements to </w:t>
            </w:r>
            <w:proofErr w:type="spellStart"/>
            <w:r w:rsidRPr="002D0976">
              <w:rPr>
                <w:rFonts w:ascii="Arial" w:hAnsi="Arial" w:cs="Arial"/>
                <w:sz w:val="16"/>
                <w:szCs w:val="16"/>
              </w:rPr>
              <w:t>Auslan</w:t>
            </w:r>
            <w:proofErr w:type="spellEnd"/>
            <w:r w:rsidRPr="002D0976">
              <w:rPr>
                <w:rFonts w:ascii="Arial" w:hAnsi="Arial" w:cs="Arial"/>
                <w:sz w:val="16"/>
                <w:szCs w:val="16"/>
              </w:rPr>
              <w:t xml:space="preserve"> services in primary health care - reprofile of funding</w:t>
            </w:r>
          </w:p>
        </w:tc>
        <w:tc>
          <w:tcPr>
            <w:tcW w:w="900" w:type="dxa"/>
            <w:tcBorders>
              <w:top w:val="nil"/>
              <w:left w:val="nil"/>
              <w:bottom w:val="nil"/>
              <w:right w:val="nil"/>
            </w:tcBorders>
            <w:shd w:val="clear" w:color="auto" w:fill="auto"/>
            <w:noWrap/>
            <w:vAlign w:val="bottom"/>
            <w:hideMark/>
          </w:tcPr>
          <w:p w14:paraId="4EFEDA1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233 </w:t>
            </w:r>
          </w:p>
        </w:tc>
        <w:tc>
          <w:tcPr>
            <w:tcW w:w="900" w:type="dxa"/>
            <w:tcBorders>
              <w:top w:val="nil"/>
              <w:left w:val="nil"/>
              <w:bottom w:val="nil"/>
              <w:right w:val="nil"/>
            </w:tcBorders>
            <w:shd w:val="clear" w:color="auto" w:fill="auto"/>
            <w:noWrap/>
            <w:vAlign w:val="bottom"/>
            <w:hideMark/>
          </w:tcPr>
          <w:p w14:paraId="220151E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7B0424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FEB16C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17027612" w14:textId="77777777" w:rsidTr="00BA01CF">
        <w:trPr>
          <w:trHeight w:val="397"/>
          <w:jc w:val="center"/>
        </w:trPr>
        <w:tc>
          <w:tcPr>
            <w:tcW w:w="4060" w:type="dxa"/>
            <w:tcBorders>
              <w:top w:val="nil"/>
              <w:left w:val="nil"/>
              <w:bottom w:val="nil"/>
              <w:right w:val="nil"/>
            </w:tcBorders>
            <w:shd w:val="clear" w:color="000000" w:fill="FFFFFF"/>
            <w:vAlign w:val="bottom"/>
            <w:hideMark/>
          </w:tcPr>
          <w:p w14:paraId="3F414071"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Strengthening primary care - accreditation funding - reprofile of funding</w:t>
            </w:r>
          </w:p>
        </w:tc>
        <w:tc>
          <w:tcPr>
            <w:tcW w:w="900" w:type="dxa"/>
            <w:tcBorders>
              <w:top w:val="nil"/>
              <w:left w:val="nil"/>
              <w:bottom w:val="nil"/>
              <w:right w:val="nil"/>
            </w:tcBorders>
            <w:shd w:val="clear" w:color="auto" w:fill="auto"/>
            <w:noWrap/>
            <w:vAlign w:val="bottom"/>
            <w:hideMark/>
          </w:tcPr>
          <w:p w14:paraId="45520B9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851 </w:t>
            </w:r>
          </w:p>
        </w:tc>
        <w:tc>
          <w:tcPr>
            <w:tcW w:w="900" w:type="dxa"/>
            <w:tcBorders>
              <w:top w:val="nil"/>
              <w:left w:val="nil"/>
              <w:bottom w:val="nil"/>
              <w:right w:val="nil"/>
            </w:tcBorders>
            <w:shd w:val="clear" w:color="auto" w:fill="auto"/>
            <w:noWrap/>
            <w:vAlign w:val="bottom"/>
            <w:hideMark/>
          </w:tcPr>
          <w:p w14:paraId="77935FD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BD0BFF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260CF6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6764DA7" w14:textId="77777777" w:rsidTr="00644295">
        <w:trPr>
          <w:trHeight w:val="283"/>
          <w:jc w:val="center"/>
        </w:trPr>
        <w:tc>
          <w:tcPr>
            <w:tcW w:w="4060" w:type="dxa"/>
            <w:tcBorders>
              <w:top w:val="nil"/>
              <w:left w:val="nil"/>
              <w:bottom w:val="nil"/>
              <w:right w:val="nil"/>
            </w:tcBorders>
            <w:shd w:val="clear" w:color="000000" w:fill="FFFFFF"/>
            <w:noWrap/>
            <w:vAlign w:val="bottom"/>
            <w:hideMark/>
          </w:tcPr>
          <w:p w14:paraId="5478527A"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Vaccine Administrations Channels</w:t>
            </w:r>
          </w:p>
        </w:tc>
        <w:tc>
          <w:tcPr>
            <w:tcW w:w="900" w:type="dxa"/>
            <w:tcBorders>
              <w:top w:val="nil"/>
              <w:left w:val="nil"/>
              <w:bottom w:val="nil"/>
              <w:right w:val="nil"/>
            </w:tcBorders>
            <w:shd w:val="clear" w:color="auto" w:fill="auto"/>
            <w:noWrap/>
            <w:vAlign w:val="bottom"/>
            <w:hideMark/>
          </w:tcPr>
          <w:p w14:paraId="2700E62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7,917 </w:t>
            </w:r>
          </w:p>
        </w:tc>
        <w:tc>
          <w:tcPr>
            <w:tcW w:w="900" w:type="dxa"/>
            <w:tcBorders>
              <w:top w:val="nil"/>
              <w:left w:val="nil"/>
              <w:bottom w:val="nil"/>
              <w:right w:val="nil"/>
            </w:tcBorders>
            <w:shd w:val="clear" w:color="auto" w:fill="auto"/>
            <w:noWrap/>
            <w:vAlign w:val="bottom"/>
            <w:hideMark/>
          </w:tcPr>
          <w:p w14:paraId="688ABCE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5,938 </w:t>
            </w:r>
          </w:p>
        </w:tc>
        <w:tc>
          <w:tcPr>
            <w:tcW w:w="900" w:type="dxa"/>
            <w:tcBorders>
              <w:top w:val="nil"/>
              <w:left w:val="nil"/>
              <w:bottom w:val="nil"/>
              <w:right w:val="nil"/>
            </w:tcBorders>
            <w:shd w:val="clear" w:color="auto" w:fill="auto"/>
            <w:noWrap/>
            <w:vAlign w:val="bottom"/>
            <w:hideMark/>
          </w:tcPr>
          <w:p w14:paraId="2D7E26D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BA3D02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06C7925E" w14:textId="77777777" w:rsidTr="00644295">
        <w:trPr>
          <w:trHeight w:val="227"/>
          <w:jc w:val="center"/>
        </w:trPr>
        <w:tc>
          <w:tcPr>
            <w:tcW w:w="4060" w:type="dxa"/>
            <w:tcBorders>
              <w:top w:val="nil"/>
              <w:left w:val="nil"/>
              <w:bottom w:val="nil"/>
              <w:right w:val="nil"/>
            </w:tcBorders>
            <w:shd w:val="clear" w:color="000000" w:fill="FFFFFF"/>
            <w:noWrap/>
            <w:vAlign w:val="bottom"/>
            <w:hideMark/>
          </w:tcPr>
          <w:p w14:paraId="738DCA7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Price parameter adjustments</w:t>
            </w:r>
            <w:r w:rsidRPr="002D097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219C5BE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67E2A0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11DF24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1,118 </w:t>
            </w:r>
          </w:p>
        </w:tc>
        <w:tc>
          <w:tcPr>
            <w:tcW w:w="900" w:type="dxa"/>
            <w:tcBorders>
              <w:top w:val="nil"/>
              <w:left w:val="nil"/>
              <w:bottom w:val="nil"/>
              <w:right w:val="nil"/>
            </w:tcBorders>
            <w:shd w:val="clear" w:color="auto" w:fill="auto"/>
            <w:noWrap/>
            <w:vAlign w:val="bottom"/>
            <w:hideMark/>
          </w:tcPr>
          <w:p w14:paraId="64E3808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975 </w:t>
            </w:r>
          </w:p>
        </w:tc>
      </w:tr>
      <w:tr w:rsidR="002D0976" w:rsidRPr="002D0976" w14:paraId="1ED08B3C"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3146DE44" w14:textId="77777777" w:rsidR="002D0976" w:rsidRPr="002D0976" w:rsidRDefault="002D0976" w:rsidP="002D097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06C9A070"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9,001 </w:t>
            </w:r>
          </w:p>
        </w:tc>
        <w:tc>
          <w:tcPr>
            <w:tcW w:w="900" w:type="dxa"/>
            <w:tcBorders>
              <w:top w:val="single" w:sz="4" w:space="0" w:color="auto"/>
              <w:left w:val="nil"/>
              <w:bottom w:val="single" w:sz="4" w:space="0" w:color="auto"/>
              <w:right w:val="nil"/>
            </w:tcBorders>
            <w:shd w:val="clear" w:color="auto" w:fill="auto"/>
            <w:noWrap/>
            <w:vAlign w:val="bottom"/>
            <w:hideMark/>
          </w:tcPr>
          <w:p w14:paraId="001C91FA"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5,938 </w:t>
            </w:r>
          </w:p>
        </w:tc>
        <w:tc>
          <w:tcPr>
            <w:tcW w:w="900" w:type="dxa"/>
            <w:tcBorders>
              <w:top w:val="single" w:sz="4" w:space="0" w:color="auto"/>
              <w:left w:val="nil"/>
              <w:bottom w:val="single" w:sz="4" w:space="0" w:color="auto"/>
              <w:right w:val="nil"/>
            </w:tcBorders>
            <w:shd w:val="clear" w:color="auto" w:fill="auto"/>
            <w:noWrap/>
            <w:vAlign w:val="bottom"/>
            <w:hideMark/>
          </w:tcPr>
          <w:p w14:paraId="6318DA84"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(134)</w:t>
            </w:r>
          </w:p>
        </w:tc>
        <w:tc>
          <w:tcPr>
            <w:tcW w:w="900" w:type="dxa"/>
            <w:tcBorders>
              <w:top w:val="single" w:sz="4" w:space="0" w:color="auto"/>
              <w:left w:val="nil"/>
              <w:bottom w:val="single" w:sz="4" w:space="0" w:color="auto"/>
              <w:right w:val="nil"/>
            </w:tcBorders>
            <w:shd w:val="clear" w:color="auto" w:fill="auto"/>
            <w:noWrap/>
            <w:vAlign w:val="bottom"/>
            <w:hideMark/>
          </w:tcPr>
          <w:p w14:paraId="4B83EAB9"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975 </w:t>
            </w:r>
          </w:p>
        </w:tc>
      </w:tr>
      <w:tr w:rsidR="002D0976" w:rsidRPr="002D0976" w14:paraId="17C79C29" w14:textId="77777777" w:rsidTr="00F11F72">
        <w:trPr>
          <w:trHeight w:val="283"/>
          <w:jc w:val="center"/>
        </w:trPr>
        <w:tc>
          <w:tcPr>
            <w:tcW w:w="5860" w:type="dxa"/>
            <w:gridSpan w:val="3"/>
            <w:tcBorders>
              <w:top w:val="nil"/>
              <w:left w:val="nil"/>
              <w:bottom w:val="nil"/>
              <w:right w:val="nil"/>
            </w:tcBorders>
            <w:shd w:val="clear" w:color="auto" w:fill="auto"/>
            <w:noWrap/>
            <w:vAlign w:val="bottom"/>
            <w:hideMark/>
          </w:tcPr>
          <w:p w14:paraId="417A2FF9"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Program 1.7: Primary Care Practice Incentives and Medical Indemnity</w:t>
            </w:r>
          </w:p>
        </w:tc>
        <w:tc>
          <w:tcPr>
            <w:tcW w:w="900" w:type="dxa"/>
            <w:tcBorders>
              <w:top w:val="nil"/>
              <w:left w:val="nil"/>
              <w:bottom w:val="nil"/>
              <w:right w:val="nil"/>
            </w:tcBorders>
            <w:shd w:val="clear" w:color="auto" w:fill="auto"/>
            <w:noWrap/>
            <w:vAlign w:val="bottom"/>
            <w:hideMark/>
          </w:tcPr>
          <w:p w14:paraId="078F3F9F"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D887A46"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018444F5"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5FBE845E"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2AE9022F"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8059E77" w14:textId="77777777" w:rsidR="002D0976" w:rsidRPr="002D0976" w:rsidRDefault="002D0976" w:rsidP="002D0976">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A9D0975"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5809942"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6E3B011A"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4A562586"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65EA5A33"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A9337A2"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CCA2B47"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2EB0C12"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7B873CB0" w14:textId="77777777" w:rsidTr="00BA01CF">
        <w:trPr>
          <w:trHeight w:val="397"/>
          <w:jc w:val="center"/>
        </w:trPr>
        <w:tc>
          <w:tcPr>
            <w:tcW w:w="4060" w:type="dxa"/>
            <w:tcBorders>
              <w:top w:val="nil"/>
              <w:left w:val="nil"/>
              <w:bottom w:val="nil"/>
              <w:right w:val="nil"/>
            </w:tcBorders>
            <w:shd w:val="clear" w:color="auto" w:fill="auto"/>
            <w:vAlign w:val="bottom"/>
            <w:hideMark/>
          </w:tcPr>
          <w:p w14:paraId="68A6383B"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b/>
                <w:bCs/>
                <w:sz w:val="16"/>
                <w:szCs w:val="16"/>
              </w:rPr>
              <w:t>Measure</w:t>
            </w:r>
            <w:r w:rsidRPr="002D0976">
              <w:rPr>
                <w:rFonts w:ascii="Arial" w:hAnsi="Arial" w:cs="Arial"/>
                <w:sz w:val="16"/>
                <w:szCs w:val="16"/>
              </w:rPr>
              <w:t xml:space="preserve"> - Continued Support for the COVID-19 Response</w:t>
            </w:r>
          </w:p>
        </w:tc>
        <w:tc>
          <w:tcPr>
            <w:tcW w:w="900" w:type="dxa"/>
            <w:tcBorders>
              <w:top w:val="nil"/>
              <w:left w:val="nil"/>
              <w:bottom w:val="nil"/>
              <w:right w:val="nil"/>
            </w:tcBorders>
            <w:shd w:val="clear" w:color="auto" w:fill="auto"/>
            <w:noWrap/>
            <w:vAlign w:val="bottom"/>
            <w:hideMark/>
          </w:tcPr>
          <w:p w14:paraId="4BC81DF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731F06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1E0ACA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2,100 </w:t>
            </w:r>
          </w:p>
        </w:tc>
        <w:tc>
          <w:tcPr>
            <w:tcW w:w="900" w:type="dxa"/>
            <w:tcBorders>
              <w:top w:val="nil"/>
              <w:left w:val="nil"/>
              <w:bottom w:val="nil"/>
              <w:right w:val="nil"/>
            </w:tcBorders>
            <w:shd w:val="clear" w:color="auto" w:fill="auto"/>
            <w:noWrap/>
            <w:vAlign w:val="bottom"/>
            <w:hideMark/>
          </w:tcPr>
          <w:p w14:paraId="134C91E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4,000 </w:t>
            </w:r>
          </w:p>
        </w:tc>
      </w:tr>
      <w:tr w:rsidR="002D0976" w:rsidRPr="002D0976" w14:paraId="2EAA2EFB" w14:textId="77777777" w:rsidTr="00644295">
        <w:trPr>
          <w:trHeight w:val="283"/>
          <w:jc w:val="center"/>
        </w:trPr>
        <w:tc>
          <w:tcPr>
            <w:tcW w:w="4060" w:type="dxa"/>
            <w:tcBorders>
              <w:top w:val="nil"/>
              <w:left w:val="nil"/>
              <w:bottom w:val="nil"/>
              <w:right w:val="nil"/>
            </w:tcBorders>
            <w:shd w:val="clear" w:color="000000" w:fill="FFFFFF"/>
            <w:noWrap/>
            <w:vAlign w:val="bottom"/>
            <w:hideMark/>
          </w:tcPr>
          <w:p w14:paraId="0E3014FE"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Price parameter adjustments</w:t>
            </w:r>
            <w:r w:rsidRPr="002D097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65A1FADC"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221B8A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436 </w:t>
            </w:r>
          </w:p>
        </w:tc>
        <w:tc>
          <w:tcPr>
            <w:tcW w:w="900" w:type="dxa"/>
            <w:tcBorders>
              <w:top w:val="nil"/>
              <w:left w:val="nil"/>
              <w:bottom w:val="nil"/>
              <w:right w:val="nil"/>
            </w:tcBorders>
            <w:shd w:val="clear" w:color="auto" w:fill="auto"/>
            <w:noWrap/>
            <w:vAlign w:val="bottom"/>
            <w:hideMark/>
          </w:tcPr>
          <w:p w14:paraId="32B63D6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917 </w:t>
            </w:r>
          </w:p>
        </w:tc>
        <w:tc>
          <w:tcPr>
            <w:tcW w:w="900" w:type="dxa"/>
            <w:tcBorders>
              <w:top w:val="nil"/>
              <w:left w:val="nil"/>
              <w:bottom w:val="nil"/>
              <w:right w:val="nil"/>
            </w:tcBorders>
            <w:shd w:val="clear" w:color="auto" w:fill="auto"/>
            <w:noWrap/>
            <w:vAlign w:val="bottom"/>
            <w:hideMark/>
          </w:tcPr>
          <w:p w14:paraId="145F7F7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957 </w:t>
            </w:r>
          </w:p>
        </w:tc>
      </w:tr>
      <w:tr w:rsidR="002D0976" w:rsidRPr="002D0976" w14:paraId="5CF3EB87"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51D92DD9" w14:textId="77777777" w:rsidR="002D0976" w:rsidRPr="002D0976" w:rsidRDefault="002D0976" w:rsidP="002D097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13C0AF6F"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6216E161"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436 </w:t>
            </w:r>
          </w:p>
        </w:tc>
        <w:tc>
          <w:tcPr>
            <w:tcW w:w="900" w:type="dxa"/>
            <w:tcBorders>
              <w:top w:val="single" w:sz="4" w:space="0" w:color="auto"/>
              <w:left w:val="nil"/>
              <w:bottom w:val="single" w:sz="4" w:space="0" w:color="auto"/>
              <w:right w:val="nil"/>
            </w:tcBorders>
            <w:shd w:val="clear" w:color="auto" w:fill="auto"/>
            <w:noWrap/>
            <w:vAlign w:val="bottom"/>
            <w:hideMark/>
          </w:tcPr>
          <w:p w14:paraId="22D13EF3"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3,017 </w:t>
            </w:r>
          </w:p>
        </w:tc>
        <w:tc>
          <w:tcPr>
            <w:tcW w:w="900" w:type="dxa"/>
            <w:tcBorders>
              <w:top w:val="single" w:sz="4" w:space="0" w:color="auto"/>
              <w:left w:val="nil"/>
              <w:bottom w:val="single" w:sz="4" w:space="0" w:color="auto"/>
              <w:right w:val="nil"/>
            </w:tcBorders>
            <w:shd w:val="clear" w:color="auto" w:fill="auto"/>
            <w:noWrap/>
            <w:vAlign w:val="bottom"/>
            <w:hideMark/>
          </w:tcPr>
          <w:p w14:paraId="5068BBA8"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4,957 </w:t>
            </w:r>
          </w:p>
        </w:tc>
      </w:tr>
      <w:tr w:rsidR="002D0976" w:rsidRPr="002D0976" w14:paraId="675BB72D" w14:textId="77777777" w:rsidTr="00F11F72">
        <w:trPr>
          <w:trHeight w:val="283"/>
          <w:jc w:val="center"/>
        </w:trPr>
        <w:tc>
          <w:tcPr>
            <w:tcW w:w="5860" w:type="dxa"/>
            <w:gridSpan w:val="3"/>
            <w:tcBorders>
              <w:top w:val="nil"/>
              <w:left w:val="nil"/>
              <w:bottom w:val="nil"/>
              <w:right w:val="nil"/>
            </w:tcBorders>
            <w:shd w:val="clear" w:color="auto" w:fill="auto"/>
            <w:noWrap/>
            <w:vAlign w:val="bottom"/>
            <w:hideMark/>
          </w:tcPr>
          <w:p w14:paraId="36A79722"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Program 1.8: Health Protection, Emergency Response and Regulation</w:t>
            </w:r>
          </w:p>
        </w:tc>
        <w:tc>
          <w:tcPr>
            <w:tcW w:w="900" w:type="dxa"/>
            <w:tcBorders>
              <w:top w:val="nil"/>
              <w:left w:val="nil"/>
              <w:bottom w:val="nil"/>
              <w:right w:val="nil"/>
            </w:tcBorders>
            <w:shd w:val="clear" w:color="auto" w:fill="auto"/>
            <w:noWrap/>
            <w:vAlign w:val="bottom"/>
            <w:hideMark/>
          </w:tcPr>
          <w:p w14:paraId="565DB344"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3B30F38"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3BA49231"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448F1F66" w14:textId="77777777" w:rsidR="002D0976" w:rsidRPr="002D0976" w:rsidRDefault="002D0976" w:rsidP="002D0976">
            <w:pPr>
              <w:spacing w:before="0" w:after="0" w:line="240" w:lineRule="auto"/>
              <w:rPr>
                <w:rFonts w:ascii="Arial" w:hAnsi="Arial" w:cs="Arial"/>
                <w:b/>
                <w:bCs/>
                <w:sz w:val="16"/>
                <w:szCs w:val="16"/>
              </w:rPr>
            </w:pPr>
            <w:r w:rsidRPr="002D097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41B47508" w14:textId="77777777" w:rsidR="002D0976" w:rsidRPr="002D0976" w:rsidRDefault="002D0976" w:rsidP="002D097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2FA79BD" w14:textId="77777777" w:rsidR="002D0976" w:rsidRPr="002D0976" w:rsidRDefault="002D0976" w:rsidP="002D0976">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E1D2C97"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0446A08"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2DD5B001"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3389411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3393AACF"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30CA6A8"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762649B"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4BA6586"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167F1B6B" w14:textId="77777777" w:rsidTr="00BA01CF">
        <w:trPr>
          <w:trHeight w:val="397"/>
          <w:jc w:val="center"/>
        </w:trPr>
        <w:tc>
          <w:tcPr>
            <w:tcW w:w="4060" w:type="dxa"/>
            <w:tcBorders>
              <w:top w:val="nil"/>
              <w:left w:val="nil"/>
              <w:bottom w:val="nil"/>
              <w:right w:val="nil"/>
            </w:tcBorders>
            <w:shd w:val="clear" w:color="000000" w:fill="FFFFFF"/>
            <w:vAlign w:val="bottom"/>
            <w:hideMark/>
          </w:tcPr>
          <w:p w14:paraId="79CDE69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 xml:space="preserve">COVID-19 vaccine, </w:t>
            </w:r>
            <w:proofErr w:type="gramStart"/>
            <w:r w:rsidRPr="002D0976">
              <w:rPr>
                <w:rFonts w:ascii="Arial" w:hAnsi="Arial" w:cs="Arial"/>
                <w:sz w:val="16"/>
                <w:szCs w:val="16"/>
              </w:rPr>
              <w:t>treatment</w:t>
            </w:r>
            <w:proofErr w:type="gramEnd"/>
            <w:r w:rsidRPr="002D0976">
              <w:rPr>
                <w:rFonts w:ascii="Arial" w:hAnsi="Arial" w:cs="Arial"/>
                <w:sz w:val="16"/>
                <w:szCs w:val="16"/>
              </w:rPr>
              <w:t xml:space="preserve"> and consumables - reprofile of funding</w:t>
            </w:r>
          </w:p>
        </w:tc>
        <w:tc>
          <w:tcPr>
            <w:tcW w:w="900" w:type="dxa"/>
            <w:tcBorders>
              <w:top w:val="nil"/>
              <w:left w:val="nil"/>
              <w:bottom w:val="nil"/>
              <w:right w:val="nil"/>
            </w:tcBorders>
            <w:shd w:val="clear" w:color="auto" w:fill="auto"/>
            <w:noWrap/>
            <w:vAlign w:val="bottom"/>
            <w:hideMark/>
          </w:tcPr>
          <w:p w14:paraId="6B14DD1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(10,992)</w:t>
            </w:r>
          </w:p>
        </w:tc>
        <w:tc>
          <w:tcPr>
            <w:tcW w:w="900" w:type="dxa"/>
            <w:tcBorders>
              <w:top w:val="nil"/>
              <w:left w:val="nil"/>
              <w:bottom w:val="nil"/>
              <w:right w:val="nil"/>
            </w:tcBorders>
            <w:shd w:val="clear" w:color="auto" w:fill="auto"/>
            <w:noWrap/>
            <w:vAlign w:val="bottom"/>
            <w:hideMark/>
          </w:tcPr>
          <w:p w14:paraId="1A7397D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141,844 </w:t>
            </w:r>
          </w:p>
        </w:tc>
        <w:tc>
          <w:tcPr>
            <w:tcW w:w="900" w:type="dxa"/>
            <w:tcBorders>
              <w:top w:val="nil"/>
              <w:left w:val="nil"/>
              <w:bottom w:val="nil"/>
              <w:right w:val="nil"/>
            </w:tcBorders>
            <w:shd w:val="clear" w:color="auto" w:fill="auto"/>
            <w:noWrap/>
            <w:vAlign w:val="bottom"/>
            <w:hideMark/>
          </w:tcPr>
          <w:p w14:paraId="5F95327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58,156 </w:t>
            </w:r>
          </w:p>
        </w:tc>
        <w:tc>
          <w:tcPr>
            <w:tcW w:w="900" w:type="dxa"/>
            <w:tcBorders>
              <w:top w:val="nil"/>
              <w:left w:val="nil"/>
              <w:bottom w:val="nil"/>
              <w:right w:val="nil"/>
            </w:tcBorders>
            <w:shd w:val="clear" w:color="auto" w:fill="auto"/>
            <w:noWrap/>
            <w:vAlign w:val="bottom"/>
            <w:hideMark/>
          </w:tcPr>
          <w:p w14:paraId="79BE599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9E93FE8" w14:textId="77777777" w:rsidTr="002D0976">
        <w:trPr>
          <w:trHeight w:val="225"/>
          <w:jc w:val="center"/>
        </w:trPr>
        <w:tc>
          <w:tcPr>
            <w:tcW w:w="4060" w:type="dxa"/>
            <w:tcBorders>
              <w:top w:val="nil"/>
              <w:left w:val="nil"/>
              <w:bottom w:val="nil"/>
              <w:right w:val="nil"/>
            </w:tcBorders>
            <w:shd w:val="clear" w:color="auto" w:fill="auto"/>
            <w:vAlign w:val="bottom"/>
            <w:hideMark/>
          </w:tcPr>
          <w:p w14:paraId="254BA892"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Foreign exchange rate changes</w:t>
            </w:r>
          </w:p>
        </w:tc>
        <w:tc>
          <w:tcPr>
            <w:tcW w:w="900" w:type="dxa"/>
            <w:tcBorders>
              <w:top w:val="nil"/>
              <w:left w:val="nil"/>
              <w:bottom w:val="nil"/>
              <w:right w:val="nil"/>
            </w:tcBorders>
            <w:shd w:val="clear" w:color="auto" w:fill="auto"/>
            <w:noWrap/>
            <w:vAlign w:val="bottom"/>
            <w:hideMark/>
          </w:tcPr>
          <w:p w14:paraId="628EB49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6,770 </w:t>
            </w:r>
          </w:p>
        </w:tc>
        <w:tc>
          <w:tcPr>
            <w:tcW w:w="900" w:type="dxa"/>
            <w:tcBorders>
              <w:top w:val="nil"/>
              <w:left w:val="nil"/>
              <w:bottom w:val="nil"/>
              <w:right w:val="nil"/>
            </w:tcBorders>
            <w:shd w:val="clear" w:color="auto" w:fill="auto"/>
            <w:noWrap/>
            <w:vAlign w:val="bottom"/>
            <w:hideMark/>
          </w:tcPr>
          <w:p w14:paraId="17B1FC1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4,766 </w:t>
            </w:r>
          </w:p>
        </w:tc>
        <w:tc>
          <w:tcPr>
            <w:tcW w:w="900" w:type="dxa"/>
            <w:tcBorders>
              <w:top w:val="nil"/>
              <w:left w:val="nil"/>
              <w:bottom w:val="nil"/>
              <w:right w:val="nil"/>
            </w:tcBorders>
            <w:shd w:val="clear" w:color="auto" w:fill="auto"/>
            <w:noWrap/>
            <w:vAlign w:val="bottom"/>
            <w:hideMark/>
          </w:tcPr>
          <w:p w14:paraId="2221AB6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1,954 </w:t>
            </w:r>
          </w:p>
        </w:tc>
        <w:tc>
          <w:tcPr>
            <w:tcW w:w="900" w:type="dxa"/>
            <w:tcBorders>
              <w:top w:val="nil"/>
              <w:left w:val="nil"/>
              <w:bottom w:val="nil"/>
              <w:right w:val="nil"/>
            </w:tcBorders>
            <w:shd w:val="clear" w:color="auto" w:fill="auto"/>
            <w:noWrap/>
            <w:vAlign w:val="bottom"/>
            <w:hideMark/>
          </w:tcPr>
          <w:p w14:paraId="00B9FB4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1E95562D" w14:textId="77777777" w:rsidTr="002D0976">
        <w:trPr>
          <w:trHeight w:val="225"/>
          <w:jc w:val="center"/>
        </w:trPr>
        <w:tc>
          <w:tcPr>
            <w:tcW w:w="4060" w:type="dxa"/>
            <w:tcBorders>
              <w:top w:val="nil"/>
              <w:left w:val="nil"/>
              <w:bottom w:val="nil"/>
              <w:right w:val="nil"/>
            </w:tcBorders>
            <w:shd w:val="clear" w:color="000000" w:fill="FFFFFF"/>
            <w:vAlign w:val="bottom"/>
            <w:hideMark/>
          </w:tcPr>
          <w:p w14:paraId="0445B02E"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COVID-19 Vaccine Program</w:t>
            </w:r>
          </w:p>
        </w:tc>
        <w:tc>
          <w:tcPr>
            <w:tcW w:w="900" w:type="dxa"/>
            <w:tcBorders>
              <w:top w:val="nil"/>
              <w:left w:val="nil"/>
              <w:bottom w:val="nil"/>
              <w:right w:val="nil"/>
            </w:tcBorders>
            <w:shd w:val="clear" w:color="auto" w:fill="auto"/>
            <w:noWrap/>
            <w:vAlign w:val="bottom"/>
            <w:hideMark/>
          </w:tcPr>
          <w:p w14:paraId="00848E5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8552080"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29,090 </w:t>
            </w:r>
          </w:p>
        </w:tc>
        <w:tc>
          <w:tcPr>
            <w:tcW w:w="900" w:type="dxa"/>
            <w:tcBorders>
              <w:top w:val="nil"/>
              <w:left w:val="nil"/>
              <w:bottom w:val="nil"/>
              <w:right w:val="nil"/>
            </w:tcBorders>
            <w:shd w:val="clear" w:color="auto" w:fill="auto"/>
            <w:noWrap/>
            <w:vAlign w:val="bottom"/>
            <w:hideMark/>
          </w:tcPr>
          <w:p w14:paraId="74CCD59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12B20C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512FEF2B" w14:textId="77777777" w:rsidTr="00BA01CF">
        <w:trPr>
          <w:trHeight w:val="397"/>
          <w:jc w:val="center"/>
        </w:trPr>
        <w:tc>
          <w:tcPr>
            <w:tcW w:w="4060" w:type="dxa"/>
            <w:tcBorders>
              <w:top w:val="nil"/>
              <w:left w:val="nil"/>
              <w:bottom w:val="nil"/>
              <w:right w:val="nil"/>
            </w:tcBorders>
            <w:shd w:val="clear" w:color="auto" w:fill="auto"/>
            <w:vAlign w:val="bottom"/>
            <w:hideMark/>
          </w:tcPr>
          <w:p w14:paraId="6217B4C4"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Medical Stockpile replenishment - freight - reclassification to capital funding</w:t>
            </w:r>
          </w:p>
        </w:tc>
        <w:tc>
          <w:tcPr>
            <w:tcW w:w="900" w:type="dxa"/>
            <w:tcBorders>
              <w:top w:val="nil"/>
              <w:left w:val="nil"/>
              <w:bottom w:val="nil"/>
              <w:right w:val="nil"/>
            </w:tcBorders>
            <w:shd w:val="clear" w:color="auto" w:fill="auto"/>
            <w:noWrap/>
            <w:vAlign w:val="bottom"/>
            <w:hideMark/>
          </w:tcPr>
          <w:p w14:paraId="427EBAC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(2,426)</w:t>
            </w:r>
          </w:p>
        </w:tc>
        <w:tc>
          <w:tcPr>
            <w:tcW w:w="900" w:type="dxa"/>
            <w:tcBorders>
              <w:top w:val="nil"/>
              <w:left w:val="nil"/>
              <w:bottom w:val="nil"/>
              <w:right w:val="nil"/>
            </w:tcBorders>
            <w:shd w:val="clear" w:color="auto" w:fill="auto"/>
            <w:noWrap/>
            <w:vAlign w:val="bottom"/>
            <w:hideMark/>
          </w:tcPr>
          <w:p w14:paraId="12D0AD5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A96301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EC04551"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37CC2CCA" w14:textId="77777777" w:rsidTr="00BA01CF">
        <w:trPr>
          <w:trHeight w:val="397"/>
          <w:jc w:val="center"/>
        </w:trPr>
        <w:tc>
          <w:tcPr>
            <w:tcW w:w="4060" w:type="dxa"/>
            <w:tcBorders>
              <w:top w:val="nil"/>
              <w:left w:val="nil"/>
              <w:bottom w:val="nil"/>
              <w:right w:val="nil"/>
            </w:tcBorders>
            <w:shd w:val="clear" w:color="000000" w:fill="FFFFFF"/>
            <w:vAlign w:val="bottom"/>
            <w:hideMark/>
          </w:tcPr>
          <w:p w14:paraId="36F72E0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Sexually Transmissible Infection campaign - reprofile of funding</w:t>
            </w:r>
          </w:p>
        </w:tc>
        <w:tc>
          <w:tcPr>
            <w:tcW w:w="900" w:type="dxa"/>
            <w:tcBorders>
              <w:top w:val="nil"/>
              <w:left w:val="nil"/>
              <w:bottom w:val="nil"/>
              <w:right w:val="nil"/>
            </w:tcBorders>
            <w:shd w:val="clear" w:color="auto" w:fill="auto"/>
            <w:noWrap/>
            <w:vAlign w:val="bottom"/>
            <w:hideMark/>
          </w:tcPr>
          <w:p w14:paraId="43AE4BA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3,700 </w:t>
            </w:r>
          </w:p>
        </w:tc>
        <w:tc>
          <w:tcPr>
            <w:tcW w:w="900" w:type="dxa"/>
            <w:tcBorders>
              <w:top w:val="nil"/>
              <w:left w:val="nil"/>
              <w:bottom w:val="nil"/>
              <w:right w:val="nil"/>
            </w:tcBorders>
            <w:shd w:val="clear" w:color="auto" w:fill="auto"/>
            <w:noWrap/>
            <w:vAlign w:val="bottom"/>
            <w:hideMark/>
          </w:tcPr>
          <w:p w14:paraId="10989EC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A102E1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9C4A3C8"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C9FAE65" w14:textId="77777777" w:rsidTr="00BA01CF">
        <w:trPr>
          <w:trHeight w:val="397"/>
          <w:jc w:val="center"/>
        </w:trPr>
        <w:tc>
          <w:tcPr>
            <w:tcW w:w="4060" w:type="dxa"/>
            <w:tcBorders>
              <w:top w:val="nil"/>
              <w:left w:val="nil"/>
              <w:bottom w:val="nil"/>
              <w:right w:val="nil"/>
            </w:tcBorders>
            <w:shd w:val="clear" w:color="000000" w:fill="FFFFFF"/>
            <w:vAlign w:val="bottom"/>
            <w:hideMark/>
          </w:tcPr>
          <w:p w14:paraId="2EDF01E6"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Support from the National Medical Stockpile to support vulnerable populations</w:t>
            </w:r>
          </w:p>
        </w:tc>
        <w:tc>
          <w:tcPr>
            <w:tcW w:w="900" w:type="dxa"/>
            <w:tcBorders>
              <w:top w:val="nil"/>
              <w:left w:val="nil"/>
              <w:bottom w:val="nil"/>
              <w:right w:val="nil"/>
            </w:tcBorders>
            <w:shd w:val="clear" w:color="auto" w:fill="auto"/>
            <w:noWrap/>
            <w:vAlign w:val="bottom"/>
            <w:hideMark/>
          </w:tcPr>
          <w:p w14:paraId="3C589717"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44,203 </w:t>
            </w:r>
          </w:p>
        </w:tc>
        <w:tc>
          <w:tcPr>
            <w:tcW w:w="900" w:type="dxa"/>
            <w:tcBorders>
              <w:top w:val="nil"/>
              <w:left w:val="nil"/>
              <w:bottom w:val="nil"/>
              <w:right w:val="nil"/>
            </w:tcBorders>
            <w:shd w:val="clear" w:color="auto" w:fill="auto"/>
            <w:noWrap/>
            <w:vAlign w:val="bottom"/>
            <w:hideMark/>
          </w:tcPr>
          <w:p w14:paraId="2DA9329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28,988 </w:t>
            </w:r>
          </w:p>
        </w:tc>
        <w:tc>
          <w:tcPr>
            <w:tcW w:w="900" w:type="dxa"/>
            <w:tcBorders>
              <w:top w:val="nil"/>
              <w:left w:val="nil"/>
              <w:bottom w:val="nil"/>
              <w:right w:val="nil"/>
            </w:tcBorders>
            <w:shd w:val="clear" w:color="auto" w:fill="auto"/>
            <w:noWrap/>
            <w:vAlign w:val="bottom"/>
            <w:hideMark/>
          </w:tcPr>
          <w:p w14:paraId="4F06672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3B11C8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0C467B8" w14:textId="77777777" w:rsidTr="002D0976">
        <w:trPr>
          <w:trHeight w:val="225"/>
          <w:jc w:val="center"/>
        </w:trPr>
        <w:tc>
          <w:tcPr>
            <w:tcW w:w="4060" w:type="dxa"/>
            <w:tcBorders>
              <w:top w:val="nil"/>
              <w:left w:val="nil"/>
              <w:bottom w:val="nil"/>
              <w:right w:val="nil"/>
            </w:tcBorders>
            <w:shd w:val="clear" w:color="auto" w:fill="auto"/>
            <w:vAlign w:val="bottom"/>
            <w:hideMark/>
          </w:tcPr>
          <w:p w14:paraId="14F24C9C"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Transition of COVID-19 Vaccine Program - correction</w:t>
            </w:r>
          </w:p>
        </w:tc>
        <w:tc>
          <w:tcPr>
            <w:tcW w:w="900" w:type="dxa"/>
            <w:tcBorders>
              <w:top w:val="nil"/>
              <w:left w:val="nil"/>
              <w:bottom w:val="nil"/>
              <w:right w:val="nil"/>
            </w:tcBorders>
            <w:shd w:val="clear" w:color="auto" w:fill="auto"/>
            <w:noWrap/>
            <w:vAlign w:val="bottom"/>
            <w:hideMark/>
          </w:tcPr>
          <w:p w14:paraId="2E71B02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(32)</w:t>
            </w:r>
          </w:p>
        </w:tc>
        <w:tc>
          <w:tcPr>
            <w:tcW w:w="900" w:type="dxa"/>
            <w:tcBorders>
              <w:top w:val="nil"/>
              <w:left w:val="nil"/>
              <w:bottom w:val="nil"/>
              <w:right w:val="nil"/>
            </w:tcBorders>
            <w:shd w:val="clear" w:color="auto" w:fill="auto"/>
            <w:noWrap/>
            <w:vAlign w:val="bottom"/>
            <w:hideMark/>
          </w:tcPr>
          <w:p w14:paraId="5A7F737A"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67DE8B5"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7555C5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214A4B2A" w14:textId="77777777" w:rsidTr="00BA01CF">
        <w:trPr>
          <w:trHeight w:val="397"/>
          <w:jc w:val="center"/>
        </w:trPr>
        <w:tc>
          <w:tcPr>
            <w:tcW w:w="4060" w:type="dxa"/>
            <w:tcBorders>
              <w:top w:val="nil"/>
              <w:left w:val="nil"/>
              <w:bottom w:val="nil"/>
              <w:right w:val="nil"/>
            </w:tcBorders>
            <w:shd w:val="clear" w:color="000000" w:fill="FFFFFF"/>
            <w:vAlign w:val="bottom"/>
            <w:hideMark/>
          </w:tcPr>
          <w:p w14:paraId="39CBF02F"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Vaccine Administrations Partners Panel - reprofile of funding</w:t>
            </w:r>
          </w:p>
        </w:tc>
        <w:tc>
          <w:tcPr>
            <w:tcW w:w="900" w:type="dxa"/>
            <w:tcBorders>
              <w:top w:val="nil"/>
              <w:left w:val="nil"/>
              <w:bottom w:val="nil"/>
              <w:right w:val="nil"/>
            </w:tcBorders>
            <w:shd w:val="clear" w:color="auto" w:fill="auto"/>
            <w:noWrap/>
            <w:vAlign w:val="bottom"/>
            <w:hideMark/>
          </w:tcPr>
          <w:p w14:paraId="5FCA1C1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20,000 </w:t>
            </w:r>
          </w:p>
        </w:tc>
        <w:tc>
          <w:tcPr>
            <w:tcW w:w="900" w:type="dxa"/>
            <w:tcBorders>
              <w:top w:val="nil"/>
              <w:left w:val="nil"/>
              <w:bottom w:val="nil"/>
              <w:right w:val="nil"/>
            </w:tcBorders>
            <w:shd w:val="clear" w:color="auto" w:fill="auto"/>
            <w:noWrap/>
            <w:vAlign w:val="bottom"/>
            <w:hideMark/>
          </w:tcPr>
          <w:p w14:paraId="67A51A4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3ED701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6F287A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5C915D8D" w14:textId="77777777" w:rsidTr="00644295">
        <w:trPr>
          <w:trHeight w:val="227"/>
          <w:jc w:val="center"/>
        </w:trPr>
        <w:tc>
          <w:tcPr>
            <w:tcW w:w="4060" w:type="dxa"/>
            <w:tcBorders>
              <w:top w:val="nil"/>
              <w:left w:val="nil"/>
              <w:bottom w:val="nil"/>
              <w:right w:val="nil"/>
            </w:tcBorders>
            <w:shd w:val="clear" w:color="000000" w:fill="FFFFFF"/>
            <w:noWrap/>
            <w:vAlign w:val="bottom"/>
            <w:hideMark/>
          </w:tcPr>
          <w:p w14:paraId="3A3240A8"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Price parameter adjustments</w:t>
            </w:r>
            <w:r w:rsidRPr="002D097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34E741E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6D8F33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BF7882D"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970 </w:t>
            </w:r>
          </w:p>
        </w:tc>
        <w:tc>
          <w:tcPr>
            <w:tcW w:w="900" w:type="dxa"/>
            <w:tcBorders>
              <w:top w:val="nil"/>
              <w:left w:val="nil"/>
              <w:bottom w:val="nil"/>
              <w:right w:val="nil"/>
            </w:tcBorders>
            <w:shd w:val="clear" w:color="auto" w:fill="auto"/>
            <w:noWrap/>
            <w:vAlign w:val="bottom"/>
            <w:hideMark/>
          </w:tcPr>
          <w:p w14:paraId="12302893"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1,026 </w:t>
            </w:r>
          </w:p>
        </w:tc>
      </w:tr>
      <w:tr w:rsidR="002D0976" w:rsidRPr="002D0976" w14:paraId="70199734" w14:textId="77777777" w:rsidTr="00644295">
        <w:trPr>
          <w:trHeight w:val="227"/>
          <w:jc w:val="center"/>
        </w:trPr>
        <w:tc>
          <w:tcPr>
            <w:tcW w:w="4060" w:type="dxa"/>
            <w:tcBorders>
              <w:top w:val="nil"/>
              <w:left w:val="nil"/>
              <w:bottom w:val="nil"/>
              <w:right w:val="nil"/>
            </w:tcBorders>
            <w:shd w:val="clear" w:color="auto" w:fill="auto"/>
            <w:noWrap/>
            <w:vAlign w:val="bottom"/>
            <w:hideMark/>
          </w:tcPr>
          <w:p w14:paraId="4FBED55F"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Appropriation Bill (No. 4)</w:t>
            </w:r>
          </w:p>
        </w:tc>
        <w:tc>
          <w:tcPr>
            <w:tcW w:w="900" w:type="dxa"/>
            <w:tcBorders>
              <w:top w:val="nil"/>
              <w:left w:val="nil"/>
              <w:bottom w:val="nil"/>
              <w:right w:val="nil"/>
            </w:tcBorders>
            <w:shd w:val="clear" w:color="auto" w:fill="auto"/>
            <w:noWrap/>
            <w:vAlign w:val="bottom"/>
            <w:hideMark/>
          </w:tcPr>
          <w:p w14:paraId="670C6D9C" w14:textId="77777777" w:rsidR="002D0976" w:rsidRPr="002D0976" w:rsidRDefault="002D0976" w:rsidP="002D097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2D5DA2D"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11FEEC0" w14:textId="77777777" w:rsidR="002D0976" w:rsidRPr="002D0976" w:rsidRDefault="002D0976" w:rsidP="002D097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1172601" w14:textId="77777777" w:rsidR="002D0976" w:rsidRPr="002D0976" w:rsidRDefault="002D0976" w:rsidP="002D0976">
            <w:pPr>
              <w:spacing w:before="0" w:after="0" w:line="240" w:lineRule="auto"/>
              <w:jc w:val="right"/>
              <w:rPr>
                <w:rFonts w:ascii="Times New Roman" w:hAnsi="Times New Roman"/>
                <w:sz w:val="20"/>
              </w:rPr>
            </w:pPr>
          </w:p>
        </w:tc>
      </w:tr>
      <w:tr w:rsidR="002D0976" w:rsidRPr="002D0976" w14:paraId="3E2908C7" w14:textId="77777777" w:rsidTr="00BA01CF">
        <w:trPr>
          <w:trHeight w:val="397"/>
          <w:jc w:val="center"/>
        </w:trPr>
        <w:tc>
          <w:tcPr>
            <w:tcW w:w="4060" w:type="dxa"/>
            <w:tcBorders>
              <w:top w:val="nil"/>
              <w:left w:val="nil"/>
              <w:bottom w:val="nil"/>
              <w:right w:val="nil"/>
            </w:tcBorders>
            <w:shd w:val="clear" w:color="auto" w:fill="auto"/>
            <w:vAlign w:val="bottom"/>
            <w:hideMark/>
          </w:tcPr>
          <w:p w14:paraId="20CA917E"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National Medical Stockpile replenishment - freight - reclassification from operating funding</w:t>
            </w:r>
          </w:p>
        </w:tc>
        <w:tc>
          <w:tcPr>
            <w:tcW w:w="900" w:type="dxa"/>
            <w:tcBorders>
              <w:top w:val="nil"/>
              <w:left w:val="nil"/>
              <w:bottom w:val="nil"/>
              <w:right w:val="nil"/>
            </w:tcBorders>
            <w:shd w:val="clear" w:color="auto" w:fill="auto"/>
            <w:noWrap/>
            <w:vAlign w:val="bottom"/>
            <w:hideMark/>
          </w:tcPr>
          <w:p w14:paraId="163C477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2,426 </w:t>
            </w:r>
          </w:p>
        </w:tc>
        <w:tc>
          <w:tcPr>
            <w:tcW w:w="900" w:type="dxa"/>
            <w:tcBorders>
              <w:top w:val="nil"/>
              <w:left w:val="nil"/>
              <w:bottom w:val="nil"/>
              <w:right w:val="nil"/>
            </w:tcBorders>
            <w:shd w:val="clear" w:color="auto" w:fill="auto"/>
            <w:noWrap/>
            <w:vAlign w:val="bottom"/>
            <w:hideMark/>
          </w:tcPr>
          <w:p w14:paraId="218F99DF"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D0EC579"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ABA750B"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7C478D83" w14:textId="77777777" w:rsidTr="002D0976">
        <w:trPr>
          <w:trHeight w:val="397"/>
          <w:jc w:val="center"/>
        </w:trPr>
        <w:tc>
          <w:tcPr>
            <w:tcW w:w="4060" w:type="dxa"/>
            <w:tcBorders>
              <w:top w:val="nil"/>
              <w:left w:val="nil"/>
              <w:bottom w:val="nil"/>
              <w:right w:val="nil"/>
            </w:tcBorders>
            <w:shd w:val="clear" w:color="000000" w:fill="FFFFFF"/>
            <w:vAlign w:val="bottom"/>
            <w:hideMark/>
          </w:tcPr>
          <w:p w14:paraId="474295B5" w14:textId="77777777" w:rsidR="002D0976" w:rsidRPr="002D0976" w:rsidRDefault="002D0976" w:rsidP="002D0976">
            <w:pPr>
              <w:spacing w:before="0" w:after="0" w:line="240" w:lineRule="auto"/>
              <w:rPr>
                <w:rFonts w:ascii="Arial" w:hAnsi="Arial" w:cs="Arial"/>
                <w:sz w:val="16"/>
                <w:szCs w:val="16"/>
              </w:rPr>
            </w:pPr>
            <w:r w:rsidRPr="002D0976">
              <w:rPr>
                <w:rFonts w:ascii="Arial" w:hAnsi="Arial" w:cs="Arial"/>
                <w:sz w:val="16"/>
                <w:szCs w:val="16"/>
              </w:rPr>
              <w:t>Support from the National Medical Stockpile to support vulnerable populations</w:t>
            </w:r>
          </w:p>
        </w:tc>
        <w:tc>
          <w:tcPr>
            <w:tcW w:w="900" w:type="dxa"/>
            <w:tcBorders>
              <w:top w:val="nil"/>
              <w:left w:val="nil"/>
              <w:bottom w:val="nil"/>
              <w:right w:val="nil"/>
            </w:tcBorders>
            <w:shd w:val="clear" w:color="auto" w:fill="auto"/>
            <w:noWrap/>
            <w:vAlign w:val="bottom"/>
            <w:hideMark/>
          </w:tcPr>
          <w:p w14:paraId="60760B4E"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37,712 </w:t>
            </w:r>
          </w:p>
        </w:tc>
        <w:tc>
          <w:tcPr>
            <w:tcW w:w="900" w:type="dxa"/>
            <w:tcBorders>
              <w:top w:val="nil"/>
              <w:left w:val="nil"/>
              <w:bottom w:val="nil"/>
              <w:right w:val="nil"/>
            </w:tcBorders>
            <w:shd w:val="clear" w:color="auto" w:fill="auto"/>
            <w:noWrap/>
            <w:vAlign w:val="bottom"/>
            <w:hideMark/>
          </w:tcPr>
          <w:p w14:paraId="2B9CA54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37D4486"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7BA9734" w14:textId="77777777" w:rsidR="002D0976" w:rsidRPr="002D0976" w:rsidRDefault="002D0976" w:rsidP="002D0976">
            <w:pPr>
              <w:spacing w:before="0" w:after="0" w:line="240" w:lineRule="auto"/>
              <w:jc w:val="right"/>
              <w:rPr>
                <w:rFonts w:ascii="Arial" w:hAnsi="Arial" w:cs="Arial"/>
                <w:sz w:val="16"/>
                <w:szCs w:val="16"/>
              </w:rPr>
            </w:pPr>
            <w:r w:rsidRPr="002D0976">
              <w:rPr>
                <w:rFonts w:ascii="Arial" w:hAnsi="Arial" w:cs="Arial"/>
                <w:sz w:val="16"/>
                <w:szCs w:val="16"/>
              </w:rPr>
              <w:t xml:space="preserve">- </w:t>
            </w:r>
          </w:p>
        </w:tc>
      </w:tr>
      <w:tr w:rsidR="002D0976" w:rsidRPr="002D0976" w14:paraId="4AE93CAA" w14:textId="77777777" w:rsidTr="00644295">
        <w:trPr>
          <w:trHeight w:val="283"/>
          <w:jc w:val="center"/>
        </w:trPr>
        <w:tc>
          <w:tcPr>
            <w:tcW w:w="4060" w:type="dxa"/>
            <w:tcBorders>
              <w:top w:val="nil"/>
              <w:left w:val="nil"/>
              <w:bottom w:val="nil"/>
              <w:right w:val="nil"/>
            </w:tcBorders>
            <w:shd w:val="clear" w:color="auto" w:fill="auto"/>
            <w:noWrap/>
            <w:vAlign w:val="bottom"/>
            <w:hideMark/>
          </w:tcPr>
          <w:p w14:paraId="600CE2CF" w14:textId="77777777" w:rsidR="002D0976" w:rsidRPr="002D0976" w:rsidRDefault="002D0976" w:rsidP="002D097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696601BA"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101,361 </w:t>
            </w:r>
          </w:p>
        </w:tc>
        <w:tc>
          <w:tcPr>
            <w:tcW w:w="900" w:type="dxa"/>
            <w:tcBorders>
              <w:top w:val="single" w:sz="4" w:space="0" w:color="auto"/>
              <w:left w:val="nil"/>
              <w:bottom w:val="single" w:sz="4" w:space="0" w:color="auto"/>
              <w:right w:val="nil"/>
            </w:tcBorders>
            <w:shd w:val="clear" w:color="auto" w:fill="auto"/>
            <w:noWrap/>
            <w:vAlign w:val="bottom"/>
            <w:hideMark/>
          </w:tcPr>
          <w:p w14:paraId="095D374E"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204,688 </w:t>
            </w:r>
          </w:p>
        </w:tc>
        <w:tc>
          <w:tcPr>
            <w:tcW w:w="900" w:type="dxa"/>
            <w:tcBorders>
              <w:top w:val="single" w:sz="4" w:space="0" w:color="auto"/>
              <w:left w:val="nil"/>
              <w:bottom w:val="single" w:sz="4" w:space="0" w:color="auto"/>
              <w:right w:val="nil"/>
            </w:tcBorders>
            <w:shd w:val="clear" w:color="auto" w:fill="auto"/>
            <w:noWrap/>
            <w:vAlign w:val="bottom"/>
            <w:hideMark/>
          </w:tcPr>
          <w:p w14:paraId="581F730B"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61,080 </w:t>
            </w:r>
          </w:p>
        </w:tc>
        <w:tc>
          <w:tcPr>
            <w:tcW w:w="900" w:type="dxa"/>
            <w:tcBorders>
              <w:top w:val="single" w:sz="4" w:space="0" w:color="auto"/>
              <w:left w:val="nil"/>
              <w:bottom w:val="single" w:sz="4" w:space="0" w:color="auto"/>
              <w:right w:val="nil"/>
            </w:tcBorders>
            <w:shd w:val="clear" w:color="auto" w:fill="auto"/>
            <w:noWrap/>
            <w:vAlign w:val="bottom"/>
            <w:hideMark/>
          </w:tcPr>
          <w:p w14:paraId="498D4051" w14:textId="77777777" w:rsidR="002D0976" w:rsidRPr="002D0976" w:rsidRDefault="002D0976" w:rsidP="002D0976">
            <w:pPr>
              <w:spacing w:before="0" w:after="0" w:line="240" w:lineRule="auto"/>
              <w:jc w:val="right"/>
              <w:rPr>
                <w:rFonts w:ascii="Arial" w:hAnsi="Arial" w:cs="Arial"/>
                <w:b/>
                <w:bCs/>
                <w:sz w:val="16"/>
                <w:szCs w:val="16"/>
              </w:rPr>
            </w:pPr>
            <w:r w:rsidRPr="002D0976">
              <w:rPr>
                <w:rFonts w:ascii="Arial" w:hAnsi="Arial" w:cs="Arial"/>
                <w:b/>
                <w:bCs/>
                <w:sz w:val="16"/>
                <w:szCs w:val="16"/>
              </w:rPr>
              <w:t xml:space="preserve">1,026 </w:t>
            </w:r>
          </w:p>
        </w:tc>
      </w:tr>
      <w:tr w:rsidR="00644295" w:rsidRPr="00B338A9" w14:paraId="58A2F939" w14:textId="77777777" w:rsidTr="00761AF1">
        <w:trPr>
          <w:trHeight w:val="300"/>
          <w:jc w:val="center"/>
        </w:trPr>
        <w:tc>
          <w:tcPr>
            <w:tcW w:w="7660" w:type="dxa"/>
            <w:gridSpan w:val="5"/>
            <w:tcBorders>
              <w:top w:val="nil"/>
              <w:left w:val="nil"/>
              <w:bottom w:val="single" w:sz="4" w:space="0" w:color="auto"/>
              <w:right w:val="nil"/>
            </w:tcBorders>
            <w:shd w:val="clear" w:color="auto" w:fill="auto"/>
            <w:noWrap/>
            <w:vAlign w:val="bottom"/>
          </w:tcPr>
          <w:p w14:paraId="120A428E" w14:textId="3380AAF1" w:rsidR="00F11F72" w:rsidRDefault="00F11F72" w:rsidP="009203D5">
            <w:pPr>
              <w:spacing w:before="148" w:after="74"/>
              <w:rPr>
                <w:rFonts w:ascii="Arial" w:hAnsi="Arial" w:cs="Arial"/>
                <w:b/>
                <w:sz w:val="20"/>
              </w:rPr>
            </w:pPr>
          </w:p>
          <w:p w14:paraId="6A2AA5C2" w14:textId="77777777" w:rsidR="00AE31C4" w:rsidRDefault="00AE31C4" w:rsidP="009203D5">
            <w:pPr>
              <w:spacing w:before="148" w:after="74"/>
              <w:rPr>
                <w:rFonts w:ascii="Arial" w:hAnsi="Arial" w:cs="Arial"/>
                <w:b/>
                <w:sz w:val="20"/>
              </w:rPr>
            </w:pPr>
          </w:p>
          <w:p w14:paraId="4FA71A26" w14:textId="25E9170B" w:rsidR="00644295" w:rsidRPr="009203D5" w:rsidRDefault="00644295" w:rsidP="00AE31C4">
            <w:pPr>
              <w:spacing w:before="148" w:after="12"/>
              <w:rPr>
                <w:rFonts w:ascii="Arial" w:hAnsi="Arial" w:cs="Arial"/>
                <w:b/>
                <w:sz w:val="20"/>
              </w:rPr>
            </w:pPr>
            <w:r w:rsidRPr="009203D5">
              <w:rPr>
                <w:rFonts w:ascii="Arial" w:hAnsi="Arial" w:cs="Arial"/>
                <w:b/>
                <w:sz w:val="20"/>
              </w:rPr>
              <w:lastRenderedPageBreak/>
              <w:t>T</w:t>
            </w:r>
            <w:r w:rsidR="00A52488">
              <w:rPr>
                <w:rFonts w:ascii="Arial" w:hAnsi="Arial" w:cs="Arial"/>
                <w:b/>
                <w:sz w:val="20"/>
              </w:rPr>
              <w:t>able 2.1.1: Variations table –</w:t>
            </w:r>
            <w:r w:rsidR="009203D5">
              <w:rPr>
                <w:rFonts w:ascii="Arial" w:hAnsi="Arial" w:cs="Arial"/>
                <w:b/>
                <w:sz w:val="20"/>
              </w:rPr>
              <w:t xml:space="preserve"> </w:t>
            </w:r>
            <w:r w:rsidRPr="009203D5">
              <w:rPr>
                <w:rFonts w:ascii="Arial" w:hAnsi="Arial" w:cs="Arial"/>
                <w:b/>
                <w:sz w:val="20"/>
              </w:rPr>
              <w:t>Outcome 1 (continued)</w:t>
            </w:r>
          </w:p>
        </w:tc>
      </w:tr>
      <w:tr w:rsidR="00B338A9" w:rsidRPr="00B338A9" w14:paraId="7005E3E3" w14:textId="77777777" w:rsidTr="00761AF1">
        <w:trPr>
          <w:trHeight w:val="340"/>
          <w:jc w:val="center"/>
        </w:trPr>
        <w:tc>
          <w:tcPr>
            <w:tcW w:w="4060" w:type="dxa"/>
            <w:tcBorders>
              <w:top w:val="single" w:sz="4" w:space="0" w:color="auto"/>
              <w:left w:val="nil"/>
              <w:bottom w:val="nil"/>
              <w:right w:val="nil"/>
            </w:tcBorders>
            <w:shd w:val="clear" w:color="auto" w:fill="auto"/>
            <w:noWrap/>
          </w:tcPr>
          <w:p w14:paraId="30669174" w14:textId="5C31A9CA" w:rsidR="00902E35" w:rsidRPr="00A95402" w:rsidRDefault="00902E35" w:rsidP="00ED2292">
            <w:pPr>
              <w:tabs>
                <w:tab w:val="left" w:pos="549"/>
              </w:tabs>
              <w:spacing w:before="0" w:after="0"/>
              <w:rPr>
                <w:rFonts w:ascii="Arial" w:hAnsi="Arial" w:cs="Arial"/>
                <w:sz w:val="16"/>
                <w:szCs w:val="16"/>
              </w:rPr>
            </w:pPr>
          </w:p>
        </w:tc>
        <w:tc>
          <w:tcPr>
            <w:tcW w:w="900" w:type="dxa"/>
            <w:tcBorders>
              <w:top w:val="single" w:sz="4" w:space="0" w:color="auto"/>
              <w:left w:val="nil"/>
              <w:right w:val="nil"/>
            </w:tcBorders>
            <w:shd w:val="clear" w:color="auto" w:fill="auto"/>
            <w:noWrap/>
          </w:tcPr>
          <w:p w14:paraId="74279B45" w14:textId="24C1E421" w:rsidR="00B338A9" w:rsidRPr="00B338A9" w:rsidRDefault="00B338A9" w:rsidP="00902E35">
            <w:pPr>
              <w:spacing w:before="24" w:after="0" w:line="240" w:lineRule="auto"/>
              <w:jc w:val="right"/>
              <w:rPr>
                <w:rFonts w:ascii="Arial" w:hAnsi="Arial" w:cs="Arial"/>
                <w:b/>
                <w:bCs/>
                <w:sz w:val="16"/>
                <w:szCs w:val="16"/>
              </w:rPr>
            </w:pPr>
            <w:r>
              <w:rPr>
                <w:rFonts w:ascii="Arial" w:hAnsi="Arial" w:cs="Arial"/>
                <w:b/>
                <w:bCs/>
                <w:sz w:val="16"/>
                <w:szCs w:val="16"/>
              </w:rPr>
              <w:t>202</w:t>
            </w:r>
            <w:r w:rsidR="00BD7F62">
              <w:rPr>
                <w:rFonts w:ascii="Arial" w:hAnsi="Arial" w:cs="Arial"/>
                <w:b/>
                <w:bCs/>
                <w:sz w:val="16"/>
                <w:szCs w:val="16"/>
              </w:rPr>
              <w:t>3–2</w:t>
            </w:r>
            <w:r>
              <w:rPr>
                <w:rFonts w:ascii="Arial" w:hAnsi="Arial" w:cs="Arial"/>
                <w:b/>
                <w:bCs/>
                <w:sz w:val="16"/>
                <w:szCs w:val="16"/>
              </w:rPr>
              <w:t>4</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noWrap/>
          </w:tcPr>
          <w:p w14:paraId="2E7CA0A7" w14:textId="08B3DC1E" w:rsidR="00B338A9" w:rsidRPr="00B338A9" w:rsidRDefault="00B338A9" w:rsidP="00902E35">
            <w:pPr>
              <w:spacing w:before="24" w:after="0" w:line="240" w:lineRule="auto"/>
              <w:jc w:val="right"/>
              <w:rPr>
                <w:rFonts w:ascii="Arial" w:hAnsi="Arial" w:cs="Arial"/>
                <w:b/>
                <w:bCs/>
                <w:sz w:val="16"/>
                <w:szCs w:val="16"/>
              </w:rPr>
            </w:pPr>
            <w:r>
              <w:rPr>
                <w:rFonts w:ascii="Arial" w:hAnsi="Arial" w:cs="Arial"/>
                <w:b/>
                <w:bCs/>
                <w:sz w:val="16"/>
                <w:szCs w:val="16"/>
              </w:rPr>
              <w:t>202</w:t>
            </w:r>
            <w:r w:rsidR="00BD7F62">
              <w:rPr>
                <w:rFonts w:ascii="Arial" w:hAnsi="Arial" w:cs="Arial"/>
                <w:b/>
                <w:bCs/>
                <w:sz w:val="16"/>
                <w:szCs w:val="16"/>
              </w:rPr>
              <w:t>4–2</w:t>
            </w:r>
            <w:r>
              <w:rPr>
                <w:rFonts w:ascii="Arial" w:hAnsi="Arial" w:cs="Arial"/>
                <w:b/>
                <w:bCs/>
                <w:sz w:val="16"/>
                <w:szCs w:val="16"/>
              </w:rPr>
              <w:t>5</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noWrap/>
          </w:tcPr>
          <w:p w14:paraId="7E2BE06F" w14:textId="75140656" w:rsidR="00B338A9" w:rsidRPr="00B338A9" w:rsidRDefault="00B338A9" w:rsidP="00902E35">
            <w:pPr>
              <w:spacing w:before="24" w:after="0" w:line="240" w:lineRule="auto"/>
              <w:jc w:val="right"/>
              <w:rPr>
                <w:rFonts w:ascii="Arial" w:hAnsi="Arial" w:cs="Arial"/>
                <w:b/>
                <w:bCs/>
                <w:sz w:val="16"/>
                <w:szCs w:val="16"/>
              </w:rPr>
            </w:pPr>
            <w:r>
              <w:rPr>
                <w:rFonts w:ascii="Arial" w:hAnsi="Arial" w:cs="Arial"/>
                <w:b/>
                <w:bCs/>
                <w:sz w:val="16"/>
                <w:szCs w:val="16"/>
              </w:rPr>
              <w:t>202</w:t>
            </w:r>
            <w:r w:rsidR="00BD7F62">
              <w:rPr>
                <w:rFonts w:ascii="Arial" w:hAnsi="Arial" w:cs="Arial"/>
                <w:b/>
                <w:bCs/>
                <w:sz w:val="16"/>
                <w:szCs w:val="16"/>
              </w:rPr>
              <w:t>5–2</w:t>
            </w:r>
            <w:r>
              <w:rPr>
                <w:rFonts w:ascii="Arial" w:hAnsi="Arial" w:cs="Arial"/>
                <w:b/>
                <w:bCs/>
                <w:sz w:val="16"/>
                <w:szCs w:val="16"/>
              </w:rPr>
              <w:t>6</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noWrap/>
          </w:tcPr>
          <w:p w14:paraId="744E043F" w14:textId="341596C8" w:rsidR="00B338A9" w:rsidRPr="00B338A9" w:rsidRDefault="00B338A9" w:rsidP="00902E35">
            <w:pPr>
              <w:spacing w:before="24" w:after="0" w:line="240" w:lineRule="auto"/>
              <w:jc w:val="right"/>
              <w:rPr>
                <w:rFonts w:ascii="Arial" w:hAnsi="Arial" w:cs="Arial"/>
                <w:b/>
                <w:bCs/>
                <w:sz w:val="16"/>
                <w:szCs w:val="16"/>
              </w:rPr>
            </w:pPr>
            <w:r>
              <w:rPr>
                <w:rFonts w:ascii="Arial" w:hAnsi="Arial" w:cs="Arial"/>
                <w:b/>
                <w:bCs/>
                <w:sz w:val="16"/>
                <w:szCs w:val="16"/>
              </w:rPr>
              <w:t>202</w:t>
            </w:r>
            <w:r w:rsidR="00BD7F62">
              <w:rPr>
                <w:rFonts w:ascii="Arial" w:hAnsi="Arial" w:cs="Arial"/>
                <w:b/>
                <w:bCs/>
                <w:sz w:val="16"/>
                <w:szCs w:val="16"/>
              </w:rPr>
              <w:t>6–2</w:t>
            </w:r>
            <w:r>
              <w:rPr>
                <w:rFonts w:ascii="Arial" w:hAnsi="Arial" w:cs="Arial"/>
                <w:b/>
                <w:bCs/>
                <w:sz w:val="16"/>
                <w:szCs w:val="16"/>
              </w:rPr>
              <w:t>7</w:t>
            </w:r>
            <w:r>
              <w:rPr>
                <w:rFonts w:ascii="Arial" w:hAnsi="Arial" w:cs="Arial"/>
                <w:b/>
                <w:bCs/>
                <w:sz w:val="16"/>
                <w:szCs w:val="16"/>
              </w:rPr>
              <w:br/>
            </w:r>
            <w:r>
              <w:rPr>
                <w:rFonts w:ascii="Arial" w:hAnsi="Arial" w:cs="Arial"/>
                <w:sz w:val="16"/>
                <w:szCs w:val="16"/>
              </w:rPr>
              <w:t>$'000</w:t>
            </w:r>
          </w:p>
        </w:tc>
      </w:tr>
      <w:tr w:rsidR="00B338A9" w:rsidRPr="00B338A9" w14:paraId="5D372F4B" w14:textId="77777777" w:rsidTr="00F11F72">
        <w:trPr>
          <w:trHeight w:val="283"/>
          <w:jc w:val="center"/>
        </w:trPr>
        <w:tc>
          <w:tcPr>
            <w:tcW w:w="4060" w:type="dxa"/>
            <w:tcBorders>
              <w:left w:val="nil"/>
              <w:bottom w:val="nil"/>
              <w:right w:val="nil"/>
            </w:tcBorders>
            <w:shd w:val="clear" w:color="auto" w:fill="auto"/>
            <w:noWrap/>
            <w:vAlign w:val="bottom"/>
            <w:hideMark/>
          </w:tcPr>
          <w:p w14:paraId="2D04772C" w14:textId="77777777" w:rsidR="00B338A9" w:rsidRPr="00644295" w:rsidRDefault="00B338A9" w:rsidP="002567A6">
            <w:pPr>
              <w:spacing w:before="0" w:after="0" w:line="240" w:lineRule="auto"/>
              <w:rPr>
                <w:rFonts w:ascii="Arial" w:hAnsi="Arial" w:cs="Arial"/>
                <w:b/>
                <w:sz w:val="16"/>
                <w:szCs w:val="16"/>
              </w:rPr>
            </w:pPr>
            <w:r w:rsidRPr="00644295">
              <w:rPr>
                <w:rFonts w:ascii="Arial" w:hAnsi="Arial" w:cs="Arial"/>
                <w:b/>
                <w:sz w:val="16"/>
                <w:szCs w:val="16"/>
              </w:rPr>
              <w:t>Program 1.9: Immunisation</w:t>
            </w:r>
          </w:p>
        </w:tc>
        <w:tc>
          <w:tcPr>
            <w:tcW w:w="900" w:type="dxa"/>
            <w:tcBorders>
              <w:top w:val="single" w:sz="4" w:space="0" w:color="auto"/>
              <w:left w:val="nil"/>
              <w:right w:val="nil"/>
            </w:tcBorders>
            <w:shd w:val="clear" w:color="auto" w:fill="auto"/>
            <w:noWrap/>
            <w:vAlign w:val="bottom"/>
            <w:hideMark/>
          </w:tcPr>
          <w:p w14:paraId="1F5CA8A1"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auto" w:fill="auto"/>
            <w:noWrap/>
            <w:vAlign w:val="bottom"/>
            <w:hideMark/>
          </w:tcPr>
          <w:p w14:paraId="40BDF391"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auto" w:fill="auto"/>
            <w:noWrap/>
            <w:vAlign w:val="bottom"/>
            <w:hideMark/>
          </w:tcPr>
          <w:p w14:paraId="5235DBAA"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auto" w:fill="auto"/>
            <w:noWrap/>
            <w:vAlign w:val="bottom"/>
            <w:hideMark/>
          </w:tcPr>
          <w:p w14:paraId="7738E85D" w14:textId="77777777" w:rsidR="00B338A9" w:rsidRPr="00B338A9" w:rsidRDefault="00B338A9" w:rsidP="002567A6">
            <w:pPr>
              <w:spacing w:before="0" w:after="0" w:line="240" w:lineRule="auto"/>
              <w:jc w:val="right"/>
              <w:rPr>
                <w:rFonts w:ascii="Arial" w:hAnsi="Arial" w:cs="Arial"/>
                <w:b/>
                <w:bCs/>
                <w:sz w:val="16"/>
                <w:szCs w:val="16"/>
              </w:rPr>
            </w:pPr>
          </w:p>
        </w:tc>
      </w:tr>
      <w:tr w:rsidR="00B338A9" w:rsidRPr="00B338A9" w14:paraId="592540F1"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291E45A9" w14:textId="77777777" w:rsidR="00B338A9" w:rsidRPr="00644295" w:rsidRDefault="00B338A9" w:rsidP="002567A6">
            <w:pPr>
              <w:spacing w:before="0" w:after="0" w:line="240" w:lineRule="auto"/>
              <w:rPr>
                <w:rFonts w:ascii="Arial" w:hAnsi="Arial" w:cs="Arial"/>
                <w:b/>
                <w:sz w:val="16"/>
                <w:szCs w:val="16"/>
              </w:rPr>
            </w:pPr>
            <w:r w:rsidRPr="00644295">
              <w:rPr>
                <w:rFonts w:ascii="Arial" w:hAnsi="Arial" w:cs="Arial"/>
                <w:b/>
                <w:sz w:val="16"/>
                <w:szCs w:val="16"/>
              </w:rPr>
              <w:t>Changes to administered appropriations</w:t>
            </w:r>
          </w:p>
        </w:tc>
        <w:tc>
          <w:tcPr>
            <w:tcW w:w="900" w:type="dxa"/>
            <w:tcBorders>
              <w:left w:val="nil"/>
              <w:right w:val="nil"/>
            </w:tcBorders>
            <w:shd w:val="clear" w:color="auto" w:fill="auto"/>
            <w:noWrap/>
            <w:vAlign w:val="bottom"/>
            <w:hideMark/>
          </w:tcPr>
          <w:p w14:paraId="09633013"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3D380DE9"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2A7A88A6"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39D91C73" w14:textId="77777777" w:rsidR="00B338A9" w:rsidRPr="00B338A9" w:rsidRDefault="00B338A9" w:rsidP="002567A6">
            <w:pPr>
              <w:spacing w:before="0" w:after="0" w:line="240" w:lineRule="auto"/>
              <w:jc w:val="right"/>
              <w:rPr>
                <w:rFonts w:ascii="Arial" w:hAnsi="Arial" w:cs="Arial"/>
                <w:b/>
                <w:bCs/>
                <w:sz w:val="16"/>
                <w:szCs w:val="16"/>
              </w:rPr>
            </w:pPr>
          </w:p>
        </w:tc>
      </w:tr>
      <w:tr w:rsidR="00B338A9" w:rsidRPr="00B338A9" w14:paraId="3F687953"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05393D3D" w14:textId="77777777" w:rsidR="00B338A9" w:rsidRPr="00B338A9" w:rsidRDefault="00B338A9" w:rsidP="002567A6">
            <w:pPr>
              <w:spacing w:before="0" w:after="0" w:line="240" w:lineRule="auto"/>
              <w:rPr>
                <w:rFonts w:ascii="Arial" w:hAnsi="Arial" w:cs="Arial"/>
                <w:sz w:val="16"/>
                <w:szCs w:val="16"/>
              </w:rPr>
            </w:pPr>
            <w:r w:rsidRPr="00B338A9">
              <w:rPr>
                <w:rFonts w:ascii="Arial" w:hAnsi="Arial" w:cs="Arial"/>
                <w:sz w:val="16"/>
                <w:szCs w:val="16"/>
              </w:rPr>
              <w:t>Appropriation Bill (No. 3)</w:t>
            </w:r>
          </w:p>
        </w:tc>
        <w:tc>
          <w:tcPr>
            <w:tcW w:w="900" w:type="dxa"/>
            <w:tcBorders>
              <w:left w:val="nil"/>
              <w:right w:val="nil"/>
            </w:tcBorders>
            <w:shd w:val="clear" w:color="auto" w:fill="auto"/>
            <w:noWrap/>
            <w:vAlign w:val="bottom"/>
            <w:hideMark/>
          </w:tcPr>
          <w:p w14:paraId="7FEEFEE9"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0EB621DD"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7C3DE071" w14:textId="77777777" w:rsidR="00B338A9" w:rsidRPr="00B338A9" w:rsidRDefault="00B338A9" w:rsidP="002567A6">
            <w:pPr>
              <w:spacing w:before="0" w:after="0" w:line="240" w:lineRule="auto"/>
              <w:jc w:val="right"/>
              <w:rPr>
                <w:rFonts w:ascii="Arial" w:hAnsi="Arial" w:cs="Arial"/>
                <w:b/>
                <w:bCs/>
                <w:sz w:val="16"/>
                <w:szCs w:val="16"/>
              </w:rPr>
            </w:pPr>
          </w:p>
        </w:tc>
        <w:tc>
          <w:tcPr>
            <w:tcW w:w="900" w:type="dxa"/>
            <w:tcBorders>
              <w:left w:val="nil"/>
              <w:right w:val="nil"/>
            </w:tcBorders>
            <w:shd w:val="clear" w:color="auto" w:fill="auto"/>
            <w:noWrap/>
            <w:vAlign w:val="bottom"/>
            <w:hideMark/>
          </w:tcPr>
          <w:p w14:paraId="6CD841FD" w14:textId="77777777" w:rsidR="00B338A9" w:rsidRPr="00B338A9" w:rsidRDefault="00B338A9" w:rsidP="002567A6">
            <w:pPr>
              <w:spacing w:before="0" w:after="0" w:line="240" w:lineRule="auto"/>
              <w:jc w:val="right"/>
              <w:rPr>
                <w:rFonts w:ascii="Arial" w:hAnsi="Arial" w:cs="Arial"/>
                <w:b/>
                <w:bCs/>
                <w:sz w:val="16"/>
                <w:szCs w:val="16"/>
              </w:rPr>
            </w:pPr>
          </w:p>
        </w:tc>
      </w:tr>
      <w:tr w:rsidR="00B338A9" w:rsidRPr="00B338A9" w14:paraId="6A5CF090"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26034D14" w14:textId="77777777" w:rsidR="00B338A9" w:rsidRPr="00B338A9" w:rsidRDefault="00B338A9" w:rsidP="002567A6">
            <w:pPr>
              <w:spacing w:before="0" w:after="0" w:line="240" w:lineRule="auto"/>
              <w:rPr>
                <w:rFonts w:ascii="Arial" w:hAnsi="Arial" w:cs="Arial"/>
                <w:sz w:val="16"/>
                <w:szCs w:val="16"/>
              </w:rPr>
            </w:pPr>
            <w:r w:rsidRPr="00644295">
              <w:rPr>
                <w:rFonts w:ascii="Arial" w:hAnsi="Arial" w:cs="Arial"/>
                <w:b/>
                <w:sz w:val="16"/>
                <w:szCs w:val="16"/>
              </w:rPr>
              <w:t>Measure -</w:t>
            </w:r>
            <w:r w:rsidRPr="00B338A9">
              <w:rPr>
                <w:rFonts w:ascii="Arial" w:hAnsi="Arial" w:cs="Arial"/>
                <w:sz w:val="16"/>
                <w:szCs w:val="16"/>
              </w:rPr>
              <w:t xml:space="preserve"> National Immunisation Program</w:t>
            </w:r>
          </w:p>
        </w:tc>
        <w:tc>
          <w:tcPr>
            <w:tcW w:w="900" w:type="dxa"/>
            <w:tcBorders>
              <w:left w:val="nil"/>
              <w:right w:val="nil"/>
            </w:tcBorders>
            <w:shd w:val="clear" w:color="auto" w:fill="auto"/>
            <w:noWrap/>
            <w:vAlign w:val="bottom"/>
            <w:hideMark/>
          </w:tcPr>
          <w:p w14:paraId="67B0CFA1"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1,545 </w:t>
            </w:r>
          </w:p>
        </w:tc>
        <w:tc>
          <w:tcPr>
            <w:tcW w:w="900" w:type="dxa"/>
            <w:tcBorders>
              <w:left w:val="nil"/>
              <w:right w:val="nil"/>
            </w:tcBorders>
            <w:shd w:val="clear" w:color="auto" w:fill="auto"/>
            <w:noWrap/>
            <w:vAlign w:val="bottom"/>
            <w:hideMark/>
          </w:tcPr>
          <w:p w14:paraId="051A4BC1"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1,639 </w:t>
            </w:r>
          </w:p>
        </w:tc>
        <w:tc>
          <w:tcPr>
            <w:tcW w:w="900" w:type="dxa"/>
            <w:tcBorders>
              <w:left w:val="nil"/>
              <w:right w:val="nil"/>
            </w:tcBorders>
            <w:shd w:val="clear" w:color="auto" w:fill="auto"/>
            <w:noWrap/>
            <w:vAlign w:val="bottom"/>
            <w:hideMark/>
          </w:tcPr>
          <w:p w14:paraId="5CD8CCAE"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1,663 </w:t>
            </w:r>
          </w:p>
        </w:tc>
        <w:tc>
          <w:tcPr>
            <w:tcW w:w="900" w:type="dxa"/>
            <w:tcBorders>
              <w:left w:val="nil"/>
              <w:right w:val="nil"/>
            </w:tcBorders>
            <w:shd w:val="clear" w:color="auto" w:fill="auto"/>
            <w:noWrap/>
            <w:vAlign w:val="bottom"/>
            <w:hideMark/>
          </w:tcPr>
          <w:p w14:paraId="04311771"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1,686 </w:t>
            </w:r>
          </w:p>
        </w:tc>
      </w:tr>
      <w:tr w:rsidR="00B338A9" w:rsidRPr="00B338A9" w14:paraId="3B029FB6"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0A85AC17" w14:textId="77777777" w:rsidR="00B338A9" w:rsidRPr="00B338A9" w:rsidRDefault="00B338A9" w:rsidP="002567A6">
            <w:pPr>
              <w:spacing w:before="0" w:after="0" w:line="240" w:lineRule="auto"/>
              <w:rPr>
                <w:rFonts w:ascii="Arial" w:hAnsi="Arial" w:cs="Arial"/>
                <w:sz w:val="16"/>
                <w:szCs w:val="16"/>
              </w:rPr>
            </w:pPr>
            <w:r w:rsidRPr="00B338A9">
              <w:rPr>
                <w:rFonts w:ascii="Arial" w:hAnsi="Arial" w:cs="Arial"/>
                <w:sz w:val="16"/>
                <w:szCs w:val="16"/>
              </w:rPr>
              <w:t>National COVID-19 Vaccine Program</w:t>
            </w:r>
          </w:p>
        </w:tc>
        <w:tc>
          <w:tcPr>
            <w:tcW w:w="900" w:type="dxa"/>
            <w:tcBorders>
              <w:left w:val="nil"/>
              <w:right w:val="nil"/>
            </w:tcBorders>
            <w:shd w:val="clear" w:color="auto" w:fill="auto"/>
            <w:noWrap/>
            <w:vAlign w:val="bottom"/>
            <w:hideMark/>
          </w:tcPr>
          <w:p w14:paraId="4527B7C9"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80 </w:t>
            </w:r>
          </w:p>
        </w:tc>
        <w:tc>
          <w:tcPr>
            <w:tcW w:w="900" w:type="dxa"/>
            <w:tcBorders>
              <w:left w:val="nil"/>
              <w:right w:val="nil"/>
            </w:tcBorders>
            <w:shd w:val="clear" w:color="auto" w:fill="auto"/>
            <w:noWrap/>
            <w:vAlign w:val="bottom"/>
            <w:hideMark/>
          </w:tcPr>
          <w:p w14:paraId="1FC27429"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01EF1015"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4B48982C"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B338A9" w:rsidRPr="00B338A9" w14:paraId="65AD457A"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6EB5DDC9" w14:textId="77777777" w:rsidR="00B338A9" w:rsidRPr="00B338A9" w:rsidRDefault="00B338A9" w:rsidP="002567A6">
            <w:pPr>
              <w:spacing w:before="0" w:after="0" w:line="240" w:lineRule="auto"/>
              <w:rPr>
                <w:rFonts w:ascii="Arial" w:hAnsi="Arial" w:cs="Arial"/>
                <w:sz w:val="16"/>
                <w:szCs w:val="16"/>
              </w:rPr>
            </w:pPr>
            <w:r w:rsidRPr="00B338A9">
              <w:rPr>
                <w:rFonts w:ascii="Arial" w:hAnsi="Arial" w:cs="Arial"/>
                <w:sz w:val="16"/>
                <w:szCs w:val="16"/>
              </w:rPr>
              <w:t>National Vaccine Program communications - correction</w:t>
            </w:r>
          </w:p>
        </w:tc>
        <w:tc>
          <w:tcPr>
            <w:tcW w:w="900" w:type="dxa"/>
            <w:tcBorders>
              <w:left w:val="nil"/>
              <w:right w:val="nil"/>
            </w:tcBorders>
            <w:shd w:val="clear" w:color="auto" w:fill="auto"/>
            <w:noWrap/>
            <w:vAlign w:val="bottom"/>
            <w:hideMark/>
          </w:tcPr>
          <w:p w14:paraId="520A4B99"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700 </w:t>
            </w:r>
          </w:p>
        </w:tc>
        <w:tc>
          <w:tcPr>
            <w:tcW w:w="900" w:type="dxa"/>
            <w:tcBorders>
              <w:left w:val="nil"/>
              <w:right w:val="nil"/>
            </w:tcBorders>
            <w:shd w:val="clear" w:color="auto" w:fill="auto"/>
            <w:noWrap/>
            <w:vAlign w:val="bottom"/>
            <w:hideMark/>
          </w:tcPr>
          <w:p w14:paraId="700315DB"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500 </w:t>
            </w:r>
          </w:p>
        </w:tc>
        <w:tc>
          <w:tcPr>
            <w:tcW w:w="900" w:type="dxa"/>
            <w:tcBorders>
              <w:left w:val="nil"/>
              <w:right w:val="nil"/>
            </w:tcBorders>
            <w:shd w:val="clear" w:color="auto" w:fill="auto"/>
            <w:noWrap/>
            <w:vAlign w:val="bottom"/>
            <w:hideMark/>
          </w:tcPr>
          <w:p w14:paraId="416A5444"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272F8926"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B338A9" w:rsidRPr="00B338A9" w14:paraId="29EB3859" w14:textId="77777777" w:rsidTr="008F6FDF">
        <w:trPr>
          <w:trHeight w:val="283"/>
          <w:jc w:val="center"/>
        </w:trPr>
        <w:tc>
          <w:tcPr>
            <w:tcW w:w="4060" w:type="dxa"/>
            <w:tcBorders>
              <w:top w:val="nil"/>
              <w:left w:val="nil"/>
              <w:bottom w:val="nil"/>
              <w:right w:val="nil"/>
            </w:tcBorders>
            <w:shd w:val="clear" w:color="auto" w:fill="auto"/>
            <w:noWrap/>
            <w:vAlign w:val="bottom"/>
            <w:hideMark/>
          </w:tcPr>
          <w:p w14:paraId="434F4EE2" w14:textId="77777777" w:rsidR="00B338A9" w:rsidRPr="00B338A9" w:rsidRDefault="00B338A9" w:rsidP="002567A6">
            <w:pPr>
              <w:spacing w:before="0" w:after="0" w:line="240" w:lineRule="auto"/>
              <w:rPr>
                <w:rFonts w:ascii="Arial" w:hAnsi="Arial" w:cs="Arial"/>
                <w:sz w:val="16"/>
                <w:szCs w:val="16"/>
              </w:rPr>
            </w:pPr>
            <w:r w:rsidRPr="00B338A9">
              <w:rPr>
                <w:rFonts w:ascii="Arial" w:hAnsi="Arial" w:cs="Arial"/>
                <w:sz w:val="16"/>
                <w:szCs w:val="16"/>
              </w:rPr>
              <w:t xml:space="preserve">Price parameter adjustments </w:t>
            </w:r>
            <w:r w:rsidRPr="009203D5">
              <w:rPr>
                <w:rFonts w:ascii="Arial" w:hAnsi="Arial" w:cs="Arial"/>
                <w:sz w:val="16"/>
                <w:szCs w:val="16"/>
                <w:vertAlign w:val="superscript"/>
              </w:rPr>
              <w:t>(a)</w:t>
            </w:r>
          </w:p>
        </w:tc>
        <w:tc>
          <w:tcPr>
            <w:tcW w:w="900" w:type="dxa"/>
            <w:tcBorders>
              <w:left w:val="nil"/>
              <w:bottom w:val="single" w:sz="4" w:space="0" w:color="auto"/>
              <w:right w:val="nil"/>
            </w:tcBorders>
            <w:shd w:val="clear" w:color="auto" w:fill="auto"/>
            <w:noWrap/>
            <w:vAlign w:val="bottom"/>
            <w:hideMark/>
          </w:tcPr>
          <w:p w14:paraId="54920DB7"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bottom w:val="single" w:sz="4" w:space="0" w:color="auto"/>
              <w:right w:val="nil"/>
            </w:tcBorders>
            <w:shd w:val="clear" w:color="auto" w:fill="auto"/>
            <w:noWrap/>
            <w:vAlign w:val="bottom"/>
            <w:hideMark/>
          </w:tcPr>
          <w:p w14:paraId="0225089D"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bottom w:val="single" w:sz="4" w:space="0" w:color="auto"/>
              <w:right w:val="nil"/>
            </w:tcBorders>
            <w:shd w:val="clear" w:color="auto" w:fill="auto"/>
            <w:noWrap/>
            <w:vAlign w:val="bottom"/>
            <w:hideMark/>
          </w:tcPr>
          <w:p w14:paraId="61C82E6C"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58 </w:t>
            </w:r>
          </w:p>
        </w:tc>
        <w:tc>
          <w:tcPr>
            <w:tcW w:w="900" w:type="dxa"/>
            <w:tcBorders>
              <w:left w:val="nil"/>
              <w:bottom w:val="single" w:sz="4" w:space="0" w:color="auto"/>
              <w:right w:val="nil"/>
            </w:tcBorders>
            <w:shd w:val="clear" w:color="auto" w:fill="auto"/>
            <w:noWrap/>
            <w:vAlign w:val="bottom"/>
            <w:hideMark/>
          </w:tcPr>
          <w:p w14:paraId="57A9D8B3" w14:textId="77777777" w:rsidR="00B338A9" w:rsidRPr="00E87F80" w:rsidRDefault="00B338A9" w:rsidP="002567A6">
            <w:pPr>
              <w:spacing w:before="0" w:after="0" w:line="240" w:lineRule="auto"/>
              <w:jc w:val="right"/>
              <w:rPr>
                <w:rFonts w:ascii="Arial" w:hAnsi="Arial" w:cs="Arial"/>
                <w:bCs/>
                <w:sz w:val="16"/>
                <w:szCs w:val="16"/>
              </w:rPr>
            </w:pPr>
            <w:r w:rsidRPr="00E87F80">
              <w:rPr>
                <w:rFonts w:ascii="Arial" w:hAnsi="Arial" w:cs="Arial"/>
                <w:bCs/>
                <w:sz w:val="16"/>
                <w:szCs w:val="16"/>
              </w:rPr>
              <w:t xml:space="preserve">59 </w:t>
            </w:r>
          </w:p>
        </w:tc>
      </w:tr>
      <w:tr w:rsidR="00B338A9" w:rsidRPr="00B338A9" w14:paraId="62273595" w14:textId="77777777" w:rsidTr="008F6FDF">
        <w:trPr>
          <w:trHeight w:val="283"/>
          <w:jc w:val="center"/>
        </w:trPr>
        <w:tc>
          <w:tcPr>
            <w:tcW w:w="4060" w:type="dxa"/>
            <w:tcBorders>
              <w:top w:val="nil"/>
              <w:left w:val="nil"/>
              <w:bottom w:val="nil"/>
              <w:right w:val="nil"/>
            </w:tcBorders>
            <w:shd w:val="clear" w:color="auto" w:fill="auto"/>
            <w:noWrap/>
            <w:vAlign w:val="bottom"/>
            <w:hideMark/>
          </w:tcPr>
          <w:p w14:paraId="3FDD88B2" w14:textId="77777777" w:rsidR="00B338A9" w:rsidRPr="00B338A9" w:rsidRDefault="00B338A9" w:rsidP="002567A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30D1F0C1" w14:textId="77777777" w:rsidR="00B338A9" w:rsidRPr="00B338A9" w:rsidRDefault="00B338A9" w:rsidP="002567A6">
            <w:pPr>
              <w:spacing w:before="0" w:after="0" w:line="240" w:lineRule="auto"/>
              <w:jc w:val="right"/>
              <w:rPr>
                <w:rFonts w:ascii="Arial" w:hAnsi="Arial" w:cs="Arial"/>
                <w:b/>
                <w:bCs/>
                <w:sz w:val="16"/>
                <w:szCs w:val="16"/>
              </w:rPr>
            </w:pPr>
            <w:r w:rsidRPr="00B338A9">
              <w:rPr>
                <w:rFonts w:ascii="Arial" w:hAnsi="Arial" w:cs="Arial"/>
                <w:b/>
                <w:bCs/>
                <w:sz w:val="16"/>
                <w:szCs w:val="16"/>
              </w:rPr>
              <w:t xml:space="preserve">2,325 </w:t>
            </w:r>
          </w:p>
        </w:tc>
        <w:tc>
          <w:tcPr>
            <w:tcW w:w="900" w:type="dxa"/>
            <w:tcBorders>
              <w:top w:val="single" w:sz="4" w:space="0" w:color="auto"/>
              <w:left w:val="nil"/>
              <w:bottom w:val="single" w:sz="4" w:space="0" w:color="auto"/>
              <w:right w:val="nil"/>
            </w:tcBorders>
            <w:shd w:val="clear" w:color="auto" w:fill="auto"/>
            <w:noWrap/>
            <w:vAlign w:val="bottom"/>
            <w:hideMark/>
          </w:tcPr>
          <w:p w14:paraId="010DD8A9" w14:textId="77777777" w:rsidR="00B338A9" w:rsidRPr="00B338A9" w:rsidRDefault="00B338A9" w:rsidP="002567A6">
            <w:pPr>
              <w:spacing w:before="0" w:after="0" w:line="240" w:lineRule="auto"/>
              <w:jc w:val="right"/>
              <w:rPr>
                <w:rFonts w:ascii="Arial" w:hAnsi="Arial" w:cs="Arial"/>
                <w:b/>
                <w:bCs/>
                <w:sz w:val="16"/>
                <w:szCs w:val="16"/>
              </w:rPr>
            </w:pPr>
            <w:r w:rsidRPr="00B338A9">
              <w:rPr>
                <w:rFonts w:ascii="Arial" w:hAnsi="Arial" w:cs="Arial"/>
                <w:b/>
                <w:bCs/>
                <w:sz w:val="16"/>
                <w:szCs w:val="16"/>
              </w:rPr>
              <w:t xml:space="preserve">2,139 </w:t>
            </w:r>
          </w:p>
        </w:tc>
        <w:tc>
          <w:tcPr>
            <w:tcW w:w="900" w:type="dxa"/>
            <w:tcBorders>
              <w:top w:val="single" w:sz="4" w:space="0" w:color="auto"/>
              <w:left w:val="nil"/>
              <w:bottom w:val="single" w:sz="4" w:space="0" w:color="auto"/>
              <w:right w:val="nil"/>
            </w:tcBorders>
            <w:shd w:val="clear" w:color="auto" w:fill="auto"/>
            <w:noWrap/>
            <w:vAlign w:val="bottom"/>
            <w:hideMark/>
          </w:tcPr>
          <w:p w14:paraId="0B3D75E2" w14:textId="77777777" w:rsidR="00B338A9" w:rsidRPr="00B338A9" w:rsidRDefault="00B338A9" w:rsidP="002567A6">
            <w:pPr>
              <w:spacing w:before="0" w:after="0" w:line="240" w:lineRule="auto"/>
              <w:jc w:val="right"/>
              <w:rPr>
                <w:rFonts w:ascii="Arial" w:hAnsi="Arial" w:cs="Arial"/>
                <w:b/>
                <w:bCs/>
                <w:sz w:val="16"/>
                <w:szCs w:val="16"/>
              </w:rPr>
            </w:pPr>
            <w:r w:rsidRPr="00B338A9">
              <w:rPr>
                <w:rFonts w:ascii="Arial" w:hAnsi="Arial" w:cs="Arial"/>
                <w:b/>
                <w:bCs/>
                <w:sz w:val="16"/>
                <w:szCs w:val="16"/>
              </w:rPr>
              <w:t xml:space="preserve">1,721 </w:t>
            </w:r>
          </w:p>
        </w:tc>
        <w:tc>
          <w:tcPr>
            <w:tcW w:w="900" w:type="dxa"/>
            <w:tcBorders>
              <w:top w:val="single" w:sz="4" w:space="0" w:color="auto"/>
              <w:left w:val="nil"/>
              <w:bottom w:val="single" w:sz="4" w:space="0" w:color="auto"/>
              <w:right w:val="nil"/>
            </w:tcBorders>
            <w:shd w:val="clear" w:color="auto" w:fill="auto"/>
            <w:noWrap/>
            <w:vAlign w:val="bottom"/>
            <w:hideMark/>
          </w:tcPr>
          <w:p w14:paraId="4FE01234" w14:textId="77777777" w:rsidR="00B338A9" w:rsidRPr="00B338A9" w:rsidRDefault="00B338A9" w:rsidP="002567A6">
            <w:pPr>
              <w:spacing w:before="0" w:after="0" w:line="240" w:lineRule="auto"/>
              <w:jc w:val="right"/>
              <w:rPr>
                <w:rFonts w:ascii="Arial" w:hAnsi="Arial" w:cs="Arial"/>
                <w:b/>
                <w:bCs/>
                <w:sz w:val="16"/>
                <w:szCs w:val="16"/>
              </w:rPr>
            </w:pPr>
            <w:r w:rsidRPr="00B338A9">
              <w:rPr>
                <w:rFonts w:ascii="Arial" w:hAnsi="Arial" w:cs="Arial"/>
                <w:b/>
                <w:bCs/>
                <w:sz w:val="16"/>
                <w:szCs w:val="16"/>
              </w:rPr>
              <w:t xml:space="preserve">1,745 </w:t>
            </w:r>
          </w:p>
        </w:tc>
      </w:tr>
      <w:tr w:rsidR="00E87F80" w:rsidRPr="00E87F80" w14:paraId="09AEFBF6"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5B4FB2DE" w14:textId="77777777" w:rsidR="00E87F80" w:rsidRPr="00E87F80" w:rsidRDefault="00E87F80" w:rsidP="00E87F80">
            <w:pPr>
              <w:spacing w:before="0" w:after="0" w:line="240" w:lineRule="auto"/>
              <w:rPr>
                <w:rFonts w:ascii="Arial" w:hAnsi="Arial" w:cs="Arial"/>
                <w:b/>
                <w:sz w:val="16"/>
                <w:szCs w:val="16"/>
              </w:rPr>
            </w:pPr>
            <w:r w:rsidRPr="00E87F80">
              <w:rPr>
                <w:rFonts w:ascii="Arial" w:hAnsi="Arial" w:cs="Arial"/>
                <w:b/>
                <w:sz w:val="16"/>
                <w:szCs w:val="16"/>
              </w:rPr>
              <w:t xml:space="preserve">Outcome 1: Health Policy, </w:t>
            </w:r>
            <w:proofErr w:type="gramStart"/>
            <w:r w:rsidRPr="00E87F80">
              <w:rPr>
                <w:rFonts w:ascii="Arial" w:hAnsi="Arial" w:cs="Arial"/>
                <w:b/>
                <w:sz w:val="16"/>
                <w:szCs w:val="16"/>
              </w:rPr>
              <w:t>Access</w:t>
            </w:r>
            <w:proofErr w:type="gramEnd"/>
            <w:r w:rsidRPr="00E87F80">
              <w:rPr>
                <w:rFonts w:ascii="Arial" w:hAnsi="Arial" w:cs="Arial"/>
                <w:b/>
                <w:sz w:val="16"/>
                <w:szCs w:val="16"/>
              </w:rPr>
              <w:t xml:space="preserve"> and Support</w:t>
            </w:r>
          </w:p>
        </w:tc>
        <w:tc>
          <w:tcPr>
            <w:tcW w:w="900" w:type="dxa"/>
            <w:tcBorders>
              <w:top w:val="single" w:sz="4" w:space="0" w:color="auto"/>
              <w:left w:val="nil"/>
              <w:right w:val="nil"/>
            </w:tcBorders>
            <w:shd w:val="clear" w:color="auto" w:fill="auto"/>
            <w:noWrap/>
            <w:vAlign w:val="bottom"/>
            <w:hideMark/>
          </w:tcPr>
          <w:p w14:paraId="1B8DE38A" w14:textId="77777777" w:rsidR="00E87F80" w:rsidRPr="00E87F80" w:rsidRDefault="00E87F80" w:rsidP="00E87F80">
            <w:pPr>
              <w:spacing w:before="0" w:after="0" w:line="240" w:lineRule="auto"/>
              <w:rPr>
                <w:rFonts w:ascii="Arial" w:hAnsi="Arial" w:cs="Arial"/>
                <w:bCs/>
                <w:sz w:val="16"/>
                <w:szCs w:val="16"/>
              </w:rPr>
            </w:pPr>
          </w:p>
        </w:tc>
        <w:tc>
          <w:tcPr>
            <w:tcW w:w="900" w:type="dxa"/>
            <w:tcBorders>
              <w:top w:val="single" w:sz="4" w:space="0" w:color="auto"/>
              <w:left w:val="nil"/>
              <w:right w:val="nil"/>
            </w:tcBorders>
            <w:shd w:val="clear" w:color="auto" w:fill="auto"/>
            <w:noWrap/>
            <w:vAlign w:val="bottom"/>
            <w:hideMark/>
          </w:tcPr>
          <w:p w14:paraId="2D5EE666" w14:textId="77777777" w:rsidR="00E87F80" w:rsidRPr="00E87F80" w:rsidRDefault="00E87F80" w:rsidP="00E87F80">
            <w:pPr>
              <w:spacing w:before="0" w:after="0" w:line="240" w:lineRule="auto"/>
              <w:rPr>
                <w:rFonts w:ascii="Arial" w:hAnsi="Arial" w:cs="Arial"/>
                <w:bCs/>
                <w:sz w:val="16"/>
                <w:szCs w:val="16"/>
              </w:rPr>
            </w:pPr>
          </w:p>
        </w:tc>
        <w:tc>
          <w:tcPr>
            <w:tcW w:w="900" w:type="dxa"/>
            <w:tcBorders>
              <w:top w:val="single" w:sz="4" w:space="0" w:color="auto"/>
              <w:left w:val="nil"/>
              <w:right w:val="nil"/>
            </w:tcBorders>
            <w:shd w:val="clear" w:color="auto" w:fill="auto"/>
            <w:noWrap/>
            <w:vAlign w:val="bottom"/>
            <w:hideMark/>
          </w:tcPr>
          <w:p w14:paraId="2CB9928D" w14:textId="77777777" w:rsidR="00E87F80" w:rsidRPr="00E87F80" w:rsidRDefault="00E87F80" w:rsidP="00E87F80">
            <w:pPr>
              <w:spacing w:before="0" w:after="0" w:line="240" w:lineRule="auto"/>
              <w:rPr>
                <w:rFonts w:ascii="Arial" w:hAnsi="Arial" w:cs="Arial"/>
                <w:bCs/>
                <w:sz w:val="16"/>
                <w:szCs w:val="16"/>
              </w:rPr>
            </w:pPr>
          </w:p>
        </w:tc>
        <w:tc>
          <w:tcPr>
            <w:tcW w:w="900" w:type="dxa"/>
            <w:tcBorders>
              <w:top w:val="single" w:sz="4" w:space="0" w:color="auto"/>
              <w:left w:val="nil"/>
              <w:right w:val="nil"/>
            </w:tcBorders>
            <w:shd w:val="clear" w:color="auto" w:fill="auto"/>
            <w:noWrap/>
            <w:vAlign w:val="bottom"/>
            <w:hideMark/>
          </w:tcPr>
          <w:p w14:paraId="6637E73D" w14:textId="77777777" w:rsidR="00E87F80" w:rsidRPr="00E87F80" w:rsidRDefault="00E87F80" w:rsidP="00E87F80">
            <w:pPr>
              <w:spacing w:before="0" w:after="0" w:line="240" w:lineRule="auto"/>
              <w:rPr>
                <w:rFonts w:ascii="Arial" w:hAnsi="Arial" w:cs="Arial"/>
                <w:bCs/>
                <w:sz w:val="16"/>
                <w:szCs w:val="16"/>
              </w:rPr>
            </w:pPr>
          </w:p>
        </w:tc>
      </w:tr>
      <w:tr w:rsidR="00E87F80" w:rsidRPr="00E87F80" w14:paraId="6BB9B052" w14:textId="77777777" w:rsidTr="00F11F72">
        <w:trPr>
          <w:trHeight w:val="283"/>
          <w:jc w:val="center"/>
        </w:trPr>
        <w:tc>
          <w:tcPr>
            <w:tcW w:w="4060" w:type="dxa"/>
            <w:tcBorders>
              <w:top w:val="nil"/>
              <w:left w:val="nil"/>
              <w:bottom w:val="nil"/>
              <w:right w:val="nil"/>
            </w:tcBorders>
            <w:shd w:val="clear" w:color="auto" w:fill="auto"/>
            <w:noWrap/>
            <w:vAlign w:val="bottom"/>
            <w:hideMark/>
          </w:tcPr>
          <w:p w14:paraId="1904B5F5" w14:textId="77777777" w:rsidR="00E87F80" w:rsidRPr="00E87F80" w:rsidRDefault="00E87F80" w:rsidP="00E87F80">
            <w:pPr>
              <w:spacing w:before="0" w:after="0" w:line="240" w:lineRule="auto"/>
              <w:rPr>
                <w:rFonts w:ascii="Arial" w:hAnsi="Arial" w:cs="Arial"/>
                <w:b/>
                <w:sz w:val="16"/>
                <w:szCs w:val="16"/>
              </w:rPr>
            </w:pPr>
            <w:r w:rsidRPr="00E87F80">
              <w:rPr>
                <w:rFonts w:ascii="Arial" w:hAnsi="Arial" w:cs="Arial"/>
                <w:b/>
                <w:sz w:val="16"/>
                <w:szCs w:val="16"/>
              </w:rPr>
              <w:t>Changes to departmental appropriations</w:t>
            </w:r>
          </w:p>
        </w:tc>
        <w:tc>
          <w:tcPr>
            <w:tcW w:w="900" w:type="dxa"/>
            <w:tcBorders>
              <w:left w:val="nil"/>
              <w:right w:val="nil"/>
            </w:tcBorders>
            <w:shd w:val="clear" w:color="auto" w:fill="auto"/>
            <w:noWrap/>
            <w:vAlign w:val="bottom"/>
            <w:hideMark/>
          </w:tcPr>
          <w:p w14:paraId="64C52436" w14:textId="77777777" w:rsidR="00E87F80" w:rsidRPr="00E87F80" w:rsidRDefault="00E87F80" w:rsidP="00E87F80">
            <w:pPr>
              <w:spacing w:before="0" w:after="0" w:line="240" w:lineRule="auto"/>
              <w:rPr>
                <w:rFonts w:ascii="Arial" w:hAnsi="Arial" w:cs="Arial"/>
                <w:bCs/>
                <w:sz w:val="16"/>
                <w:szCs w:val="16"/>
              </w:rPr>
            </w:pPr>
          </w:p>
        </w:tc>
        <w:tc>
          <w:tcPr>
            <w:tcW w:w="900" w:type="dxa"/>
            <w:tcBorders>
              <w:left w:val="nil"/>
              <w:right w:val="nil"/>
            </w:tcBorders>
            <w:shd w:val="clear" w:color="auto" w:fill="auto"/>
            <w:noWrap/>
            <w:vAlign w:val="bottom"/>
            <w:hideMark/>
          </w:tcPr>
          <w:p w14:paraId="7A0B0BE6" w14:textId="77777777" w:rsidR="00E87F80" w:rsidRPr="00E87F80" w:rsidRDefault="00E87F80" w:rsidP="00E87F80">
            <w:pPr>
              <w:spacing w:before="0" w:after="0" w:line="240" w:lineRule="auto"/>
              <w:rPr>
                <w:rFonts w:ascii="Arial" w:hAnsi="Arial" w:cs="Arial"/>
                <w:bCs/>
                <w:sz w:val="16"/>
                <w:szCs w:val="16"/>
              </w:rPr>
            </w:pPr>
          </w:p>
        </w:tc>
        <w:tc>
          <w:tcPr>
            <w:tcW w:w="900" w:type="dxa"/>
            <w:tcBorders>
              <w:left w:val="nil"/>
              <w:right w:val="nil"/>
            </w:tcBorders>
            <w:shd w:val="clear" w:color="auto" w:fill="auto"/>
            <w:noWrap/>
            <w:vAlign w:val="bottom"/>
            <w:hideMark/>
          </w:tcPr>
          <w:p w14:paraId="14D4600F" w14:textId="77777777" w:rsidR="00E87F80" w:rsidRPr="00E87F80" w:rsidRDefault="00E87F80" w:rsidP="00E87F80">
            <w:pPr>
              <w:spacing w:before="0" w:after="0" w:line="240" w:lineRule="auto"/>
              <w:rPr>
                <w:rFonts w:ascii="Arial" w:hAnsi="Arial" w:cs="Arial"/>
                <w:bCs/>
                <w:sz w:val="16"/>
                <w:szCs w:val="16"/>
              </w:rPr>
            </w:pPr>
          </w:p>
        </w:tc>
        <w:tc>
          <w:tcPr>
            <w:tcW w:w="900" w:type="dxa"/>
            <w:tcBorders>
              <w:left w:val="nil"/>
              <w:right w:val="nil"/>
            </w:tcBorders>
            <w:shd w:val="clear" w:color="auto" w:fill="auto"/>
            <w:noWrap/>
            <w:vAlign w:val="bottom"/>
            <w:hideMark/>
          </w:tcPr>
          <w:p w14:paraId="3275C956" w14:textId="77777777" w:rsidR="00E87F80" w:rsidRPr="00E87F80" w:rsidRDefault="00E87F80" w:rsidP="00E87F80">
            <w:pPr>
              <w:spacing w:before="0" w:after="0" w:line="240" w:lineRule="auto"/>
              <w:rPr>
                <w:rFonts w:ascii="Arial" w:hAnsi="Arial" w:cs="Arial"/>
                <w:bCs/>
                <w:sz w:val="16"/>
                <w:szCs w:val="16"/>
              </w:rPr>
            </w:pPr>
          </w:p>
        </w:tc>
      </w:tr>
      <w:tr w:rsidR="00E87F80" w:rsidRPr="00E87F80" w14:paraId="43FEDEEE"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4DAE2FF3"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Appropriation Bill (No. 3)</w:t>
            </w:r>
          </w:p>
        </w:tc>
        <w:tc>
          <w:tcPr>
            <w:tcW w:w="900" w:type="dxa"/>
            <w:tcBorders>
              <w:left w:val="nil"/>
              <w:right w:val="nil"/>
            </w:tcBorders>
            <w:shd w:val="clear" w:color="auto" w:fill="auto"/>
            <w:noWrap/>
            <w:vAlign w:val="bottom"/>
            <w:hideMark/>
          </w:tcPr>
          <w:p w14:paraId="2E72685A"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761A0DD3"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60913C48"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3EC26DE6" w14:textId="77777777" w:rsidR="00E87F80" w:rsidRPr="00E87F80" w:rsidRDefault="00E87F80" w:rsidP="00E87F80">
            <w:pPr>
              <w:spacing w:before="0" w:after="0" w:line="240" w:lineRule="auto"/>
              <w:jc w:val="right"/>
              <w:rPr>
                <w:rFonts w:ascii="Arial" w:hAnsi="Arial" w:cs="Arial"/>
                <w:bCs/>
                <w:sz w:val="16"/>
                <w:szCs w:val="16"/>
              </w:rPr>
            </w:pPr>
          </w:p>
        </w:tc>
      </w:tr>
      <w:tr w:rsidR="00E87F80" w:rsidRPr="00E87F80" w14:paraId="213C247B"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23BB2A27"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 xml:space="preserve">Measure </w:t>
            </w:r>
            <w:r w:rsidRPr="00E87F80">
              <w:rPr>
                <w:rFonts w:ascii="Arial" w:hAnsi="Arial" w:cs="Arial"/>
                <w:sz w:val="16"/>
                <w:szCs w:val="16"/>
              </w:rPr>
              <w:t>- Continued Support for the COVID-19 Response</w:t>
            </w:r>
          </w:p>
        </w:tc>
        <w:tc>
          <w:tcPr>
            <w:tcW w:w="900" w:type="dxa"/>
            <w:tcBorders>
              <w:left w:val="nil"/>
              <w:right w:val="nil"/>
            </w:tcBorders>
            <w:shd w:val="clear" w:color="auto" w:fill="auto"/>
            <w:noWrap/>
            <w:vAlign w:val="bottom"/>
            <w:hideMark/>
          </w:tcPr>
          <w:p w14:paraId="5E4CDDE7"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45E9C88D"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3,276 </w:t>
            </w:r>
          </w:p>
        </w:tc>
        <w:tc>
          <w:tcPr>
            <w:tcW w:w="900" w:type="dxa"/>
            <w:tcBorders>
              <w:left w:val="nil"/>
              <w:right w:val="nil"/>
            </w:tcBorders>
            <w:shd w:val="clear" w:color="auto" w:fill="auto"/>
            <w:noWrap/>
            <w:vAlign w:val="bottom"/>
            <w:hideMark/>
          </w:tcPr>
          <w:p w14:paraId="34BF96B3"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3,269 </w:t>
            </w:r>
          </w:p>
        </w:tc>
        <w:tc>
          <w:tcPr>
            <w:tcW w:w="900" w:type="dxa"/>
            <w:tcBorders>
              <w:left w:val="nil"/>
              <w:right w:val="nil"/>
            </w:tcBorders>
            <w:shd w:val="clear" w:color="auto" w:fill="auto"/>
            <w:noWrap/>
            <w:vAlign w:val="bottom"/>
            <w:hideMark/>
          </w:tcPr>
          <w:p w14:paraId="350523D3"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449 </w:t>
            </w:r>
          </w:p>
        </w:tc>
      </w:tr>
      <w:tr w:rsidR="00E87F80" w:rsidRPr="00E87F80" w14:paraId="271C1EBD"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1B503975"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 xml:space="preserve">Measure </w:t>
            </w:r>
            <w:r w:rsidRPr="00E87F80">
              <w:rPr>
                <w:rFonts w:ascii="Arial" w:hAnsi="Arial" w:cs="Arial"/>
                <w:sz w:val="16"/>
                <w:szCs w:val="16"/>
              </w:rPr>
              <w:t>- Enhanced Regulatory Model for Vaping Products</w:t>
            </w:r>
          </w:p>
        </w:tc>
        <w:tc>
          <w:tcPr>
            <w:tcW w:w="900" w:type="dxa"/>
            <w:tcBorders>
              <w:left w:val="nil"/>
              <w:right w:val="nil"/>
            </w:tcBorders>
            <w:shd w:val="clear" w:color="auto" w:fill="auto"/>
            <w:noWrap/>
            <w:vAlign w:val="bottom"/>
            <w:hideMark/>
          </w:tcPr>
          <w:p w14:paraId="6FB90EE0"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18,298 </w:t>
            </w:r>
          </w:p>
        </w:tc>
        <w:tc>
          <w:tcPr>
            <w:tcW w:w="900" w:type="dxa"/>
            <w:tcBorders>
              <w:left w:val="nil"/>
              <w:right w:val="nil"/>
            </w:tcBorders>
            <w:shd w:val="clear" w:color="auto" w:fill="auto"/>
            <w:noWrap/>
            <w:vAlign w:val="bottom"/>
            <w:hideMark/>
          </w:tcPr>
          <w:p w14:paraId="297C8B42"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30,963 </w:t>
            </w:r>
          </w:p>
        </w:tc>
        <w:tc>
          <w:tcPr>
            <w:tcW w:w="900" w:type="dxa"/>
            <w:tcBorders>
              <w:left w:val="nil"/>
              <w:right w:val="nil"/>
            </w:tcBorders>
            <w:shd w:val="clear" w:color="auto" w:fill="auto"/>
            <w:noWrap/>
            <w:vAlign w:val="bottom"/>
            <w:hideMark/>
          </w:tcPr>
          <w:p w14:paraId="29F71B66"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07E2E948"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613BBC20"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7CD3F93F"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 xml:space="preserve">Measure </w:t>
            </w:r>
            <w:r w:rsidRPr="00E87F80">
              <w:rPr>
                <w:rFonts w:ascii="Arial" w:hAnsi="Arial" w:cs="Arial"/>
                <w:sz w:val="16"/>
                <w:szCs w:val="16"/>
              </w:rPr>
              <w:t>- Genomics Australia</w:t>
            </w:r>
          </w:p>
        </w:tc>
        <w:tc>
          <w:tcPr>
            <w:tcW w:w="900" w:type="dxa"/>
            <w:tcBorders>
              <w:left w:val="nil"/>
              <w:right w:val="nil"/>
            </w:tcBorders>
            <w:shd w:val="clear" w:color="auto" w:fill="auto"/>
            <w:noWrap/>
            <w:vAlign w:val="bottom"/>
            <w:hideMark/>
          </w:tcPr>
          <w:p w14:paraId="6B0DD5C1"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(416)</w:t>
            </w:r>
          </w:p>
        </w:tc>
        <w:tc>
          <w:tcPr>
            <w:tcW w:w="900" w:type="dxa"/>
            <w:tcBorders>
              <w:left w:val="nil"/>
              <w:right w:val="nil"/>
            </w:tcBorders>
            <w:shd w:val="clear" w:color="auto" w:fill="auto"/>
            <w:noWrap/>
            <w:vAlign w:val="bottom"/>
            <w:hideMark/>
          </w:tcPr>
          <w:p w14:paraId="0CCE2E4C"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491 </w:t>
            </w:r>
          </w:p>
        </w:tc>
        <w:tc>
          <w:tcPr>
            <w:tcW w:w="900" w:type="dxa"/>
            <w:tcBorders>
              <w:left w:val="nil"/>
              <w:right w:val="nil"/>
            </w:tcBorders>
            <w:shd w:val="clear" w:color="auto" w:fill="auto"/>
            <w:noWrap/>
            <w:vAlign w:val="bottom"/>
            <w:hideMark/>
          </w:tcPr>
          <w:p w14:paraId="5CD2E3B6"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2176AF9C"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5FE84613"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4BAD0A44"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Measure</w:t>
            </w:r>
            <w:r w:rsidRPr="00E87F80">
              <w:rPr>
                <w:rFonts w:ascii="Arial" w:hAnsi="Arial" w:cs="Arial"/>
                <w:sz w:val="16"/>
                <w:szCs w:val="16"/>
              </w:rPr>
              <w:t xml:space="preserve"> - Improving Cancer Outcomes - cancer care nursing and navigation</w:t>
            </w:r>
          </w:p>
        </w:tc>
        <w:tc>
          <w:tcPr>
            <w:tcW w:w="900" w:type="dxa"/>
            <w:tcBorders>
              <w:left w:val="nil"/>
              <w:right w:val="nil"/>
            </w:tcBorders>
            <w:shd w:val="clear" w:color="auto" w:fill="auto"/>
            <w:noWrap/>
            <w:vAlign w:val="bottom"/>
            <w:hideMark/>
          </w:tcPr>
          <w:p w14:paraId="486FA918"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685 </w:t>
            </w:r>
          </w:p>
        </w:tc>
        <w:tc>
          <w:tcPr>
            <w:tcW w:w="900" w:type="dxa"/>
            <w:tcBorders>
              <w:left w:val="nil"/>
              <w:right w:val="nil"/>
            </w:tcBorders>
            <w:shd w:val="clear" w:color="auto" w:fill="auto"/>
            <w:noWrap/>
            <w:vAlign w:val="bottom"/>
            <w:hideMark/>
          </w:tcPr>
          <w:p w14:paraId="7EB6E81D"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654 </w:t>
            </w:r>
          </w:p>
        </w:tc>
        <w:tc>
          <w:tcPr>
            <w:tcW w:w="900" w:type="dxa"/>
            <w:tcBorders>
              <w:left w:val="nil"/>
              <w:right w:val="nil"/>
            </w:tcBorders>
            <w:shd w:val="clear" w:color="auto" w:fill="auto"/>
            <w:noWrap/>
            <w:vAlign w:val="bottom"/>
            <w:hideMark/>
          </w:tcPr>
          <w:p w14:paraId="49F39E0A"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482 </w:t>
            </w:r>
          </w:p>
        </w:tc>
        <w:tc>
          <w:tcPr>
            <w:tcW w:w="900" w:type="dxa"/>
            <w:tcBorders>
              <w:left w:val="nil"/>
              <w:right w:val="nil"/>
            </w:tcBorders>
            <w:shd w:val="clear" w:color="auto" w:fill="auto"/>
            <w:noWrap/>
            <w:vAlign w:val="bottom"/>
            <w:hideMark/>
          </w:tcPr>
          <w:p w14:paraId="2202C911"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487 </w:t>
            </w:r>
          </w:p>
        </w:tc>
      </w:tr>
      <w:tr w:rsidR="00E87F80" w:rsidRPr="00E87F80" w14:paraId="2296AF91"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6CD529E1"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Measure</w:t>
            </w:r>
            <w:r w:rsidRPr="00E87F80">
              <w:rPr>
                <w:rFonts w:ascii="Arial" w:hAnsi="Arial" w:cs="Arial"/>
                <w:sz w:val="16"/>
                <w:szCs w:val="16"/>
              </w:rPr>
              <w:t xml:space="preserve"> - Improving Cancer Outcomes - eliminating cervical cancer in Australia</w:t>
            </w:r>
          </w:p>
        </w:tc>
        <w:tc>
          <w:tcPr>
            <w:tcW w:w="900" w:type="dxa"/>
            <w:tcBorders>
              <w:left w:val="nil"/>
              <w:right w:val="nil"/>
            </w:tcBorders>
            <w:shd w:val="clear" w:color="auto" w:fill="auto"/>
            <w:noWrap/>
            <w:vAlign w:val="bottom"/>
            <w:hideMark/>
          </w:tcPr>
          <w:p w14:paraId="48B49AEB"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530 </w:t>
            </w:r>
          </w:p>
        </w:tc>
        <w:tc>
          <w:tcPr>
            <w:tcW w:w="900" w:type="dxa"/>
            <w:tcBorders>
              <w:left w:val="nil"/>
              <w:right w:val="nil"/>
            </w:tcBorders>
            <w:shd w:val="clear" w:color="auto" w:fill="auto"/>
            <w:noWrap/>
            <w:vAlign w:val="bottom"/>
            <w:hideMark/>
          </w:tcPr>
          <w:p w14:paraId="53A7FEB7"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540 </w:t>
            </w:r>
          </w:p>
        </w:tc>
        <w:tc>
          <w:tcPr>
            <w:tcW w:w="900" w:type="dxa"/>
            <w:tcBorders>
              <w:left w:val="nil"/>
              <w:right w:val="nil"/>
            </w:tcBorders>
            <w:shd w:val="clear" w:color="auto" w:fill="auto"/>
            <w:noWrap/>
            <w:vAlign w:val="bottom"/>
            <w:hideMark/>
          </w:tcPr>
          <w:p w14:paraId="6EE3880C"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543 </w:t>
            </w:r>
          </w:p>
        </w:tc>
        <w:tc>
          <w:tcPr>
            <w:tcW w:w="900" w:type="dxa"/>
            <w:tcBorders>
              <w:left w:val="nil"/>
              <w:right w:val="nil"/>
            </w:tcBorders>
            <w:shd w:val="clear" w:color="auto" w:fill="auto"/>
            <w:noWrap/>
            <w:vAlign w:val="bottom"/>
            <w:hideMark/>
          </w:tcPr>
          <w:p w14:paraId="29E71ED6"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549 </w:t>
            </w:r>
          </w:p>
        </w:tc>
      </w:tr>
      <w:tr w:rsidR="00E87F80" w:rsidRPr="00E87F80" w14:paraId="6E72C9AC"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09DA0D85"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 xml:space="preserve">Measure </w:t>
            </w:r>
            <w:r w:rsidRPr="00E87F80">
              <w:rPr>
                <w:rFonts w:ascii="Arial" w:hAnsi="Arial" w:cs="Arial"/>
                <w:sz w:val="16"/>
                <w:szCs w:val="16"/>
              </w:rPr>
              <w:t>- Mental Health</w:t>
            </w:r>
          </w:p>
        </w:tc>
        <w:tc>
          <w:tcPr>
            <w:tcW w:w="900" w:type="dxa"/>
            <w:tcBorders>
              <w:left w:val="nil"/>
              <w:right w:val="nil"/>
            </w:tcBorders>
            <w:shd w:val="clear" w:color="auto" w:fill="auto"/>
            <w:noWrap/>
            <w:vAlign w:val="bottom"/>
            <w:hideMark/>
          </w:tcPr>
          <w:p w14:paraId="0D455181"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37547F75"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1,083 </w:t>
            </w:r>
          </w:p>
        </w:tc>
        <w:tc>
          <w:tcPr>
            <w:tcW w:w="900" w:type="dxa"/>
            <w:tcBorders>
              <w:left w:val="nil"/>
              <w:right w:val="nil"/>
            </w:tcBorders>
            <w:shd w:val="clear" w:color="auto" w:fill="auto"/>
            <w:noWrap/>
            <w:vAlign w:val="bottom"/>
            <w:hideMark/>
          </w:tcPr>
          <w:p w14:paraId="3FAA6AD2"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1,102 </w:t>
            </w:r>
          </w:p>
        </w:tc>
        <w:tc>
          <w:tcPr>
            <w:tcW w:w="900" w:type="dxa"/>
            <w:tcBorders>
              <w:left w:val="nil"/>
              <w:right w:val="nil"/>
            </w:tcBorders>
            <w:shd w:val="clear" w:color="auto" w:fill="auto"/>
            <w:noWrap/>
            <w:vAlign w:val="bottom"/>
            <w:hideMark/>
          </w:tcPr>
          <w:p w14:paraId="07D0C06D"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392ECB14"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44AFAE8A" w14:textId="19DB6E2E"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 xml:space="preserve">Alcohol and other drug treatment services in the </w:t>
            </w:r>
            <w:r w:rsidR="008F6FDF" w:rsidRPr="00E87F80">
              <w:rPr>
                <w:rFonts w:ascii="Arial" w:hAnsi="Arial" w:cs="Arial"/>
                <w:sz w:val="16"/>
                <w:szCs w:val="16"/>
              </w:rPr>
              <w:t>Northern</w:t>
            </w:r>
            <w:r w:rsidRPr="00E87F80">
              <w:rPr>
                <w:rFonts w:ascii="Arial" w:hAnsi="Arial" w:cs="Arial"/>
                <w:sz w:val="16"/>
                <w:szCs w:val="16"/>
              </w:rPr>
              <w:t xml:space="preserve"> Territory</w:t>
            </w:r>
          </w:p>
        </w:tc>
        <w:tc>
          <w:tcPr>
            <w:tcW w:w="900" w:type="dxa"/>
            <w:tcBorders>
              <w:left w:val="nil"/>
              <w:right w:val="nil"/>
            </w:tcBorders>
            <w:shd w:val="clear" w:color="auto" w:fill="auto"/>
            <w:noWrap/>
            <w:vAlign w:val="bottom"/>
            <w:hideMark/>
          </w:tcPr>
          <w:p w14:paraId="22C7C312"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200 </w:t>
            </w:r>
          </w:p>
        </w:tc>
        <w:tc>
          <w:tcPr>
            <w:tcW w:w="900" w:type="dxa"/>
            <w:tcBorders>
              <w:left w:val="nil"/>
              <w:right w:val="nil"/>
            </w:tcBorders>
            <w:shd w:val="clear" w:color="auto" w:fill="auto"/>
            <w:noWrap/>
            <w:vAlign w:val="bottom"/>
            <w:hideMark/>
          </w:tcPr>
          <w:p w14:paraId="64934255"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0064AAF2"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30FEC741"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3B116392"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5331848C" w14:textId="73093670"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End to end vaccination journey - reallocation to the A</w:t>
            </w:r>
            <w:r w:rsidR="00013672">
              <w:rPr>
                <w:rFonts w:ascii="Arial" w:hAnsi="Arial" w:cs="Arial"/>
                <w:sz w:val="16"/>
                <w:szCs w:val="16"/>
              </w:rPr>
              <w:t xml:space="preserve">ustralian </w:t>
            </w:r>
            <w:r w:rsidRPr="00E87F80">
              <w:rPr>
                <w:rFonts w:ascii="Arial" w:hAnsi="Arial" w:cs="Arial"/>
                <w:sz w:val="16"/>
                <w:szCs w:val="16"/>
              </w:rPr>
              <w:t>D</w:t>
            </w:r>
            <w:r w:rsidR="00013672">
              <w:rPr>
                <w:rFonts w:ascii="Arial" w:hAnsi="Arial" w:cs="Arial"/>
                <w:sz w:val="16"/>
                <w:szCs w:val="16"/>
              </w:rPr>
              <w:t xml:space="preserve">igital </w:t>
            </w:r>
            <w:r w:rsidRPr="00E87F80">
              <w:rPr>
                <w:rFonts w:ascii="Arial" w:hAnsi="Arial" w:cs="Arial"/>
                <w:sz w:val="16"/>
                <w:szCs w:val="16"/>
              </w:rPr>
              <w:t>H</w:t>
            </w:r>
            <w:r w:rsidR="00013672">
              <w:rPr>
                <w:rFonts w:ascii="Arial" w:hAnsi="Arial" w:cs="Arial"/>
                <w:sz w:val="16"/>
                <w:szCs w:val="16"/>
              </w:rPr>
              <w:t xml:space="preserve">ealth </w:t>
            </w:r>
            <w:r w:rsidRPr="00E87F80">
              <w:rPr>
                <w:rFonts w:ascii="Arial" w:hAnsi="Arial" w:cs="Arial"/>
                <w:sz w:val="16"/>
                <w:szCs w:val="16"/>
              </w:rPr>
              <w:t>A</w:t>
            </w:r>
            <w:r w:rsidR="00013672">
              <w:rPr>
                <w:rFonts w:ascii="Arial" w:hAnsi="Arial" w:cs="Arial"/>
                <w:sz w:val="16"/>
                <w:szCs w:val="16"/>
              </w:rPr>
              <w:t>gency</w:t>
            </w:r>
          </w:p>
        </w:tc>
        <w:tc>
          <w:tcPr>
            <w:tcW w:w="900" w:type="dxa"/>
            <w:tcBorders>
              <w:left w:val="nil"/>
              <w:right w:val="nil"/>
            </w:tcBorders>
            <w:shd w:val="clear" w:color="auto" w:fill="auto"/>
            <w:noWrap/>
            <w:vAlign w:val="bottom"/>
            <w:hideMark/>
          </w:tcPr>
          <w:p w14:paraId="2DB6D73C"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(1,629)</w:t>
            </w:r>
          </w:p>
        </w:tc>
        <w:tc>
          <w:tcPr>
            <w:tcW w:w="900" w:type="dxa"/>
            <w:tcBorders>
              <w:left w:val="nil"/>
              <w:right w:val="nil"/>
            </w:tcBorders>
            <w:shd w:val="clear" w:color="auto" w:fill="auto"/>
            <w:noWrap/>
            <w:vAlign w:val="bottom"/>
            <w:hideMark/>
          </w:tcPr>
          <w:p w14:paraId="5A6BF39C"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(1,635)</w:t>
            </w:r>
          </w:p>
        </w:tc>
        <w:tc>
          <w:tcPr>
            <w:tcW w:w="900" w:type="dxa"/>
            <w:tcBorders>
              <w:left w:val="nil"/>
              <w:right w:val="nil"/>
            </w:tcBorders>
            <w:shd w:val="clear" w:color="auto" w:fill="auto"/>
            <w:noWrap/>
            <w:vAlign w:val="bottom"/>
            <w:hideMark/>
          </w:tcPr>
          <w:p w14:paraId="7A6D8734"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(1,642)</w:t>
            </w:r>
          </w:p>
        </w:tc>
        <w:tc>
          <w:tcPr>
            <w:tcW w:w="900" w:type="dxa"/>
            <w:tcBorders>
              <w:left w:val="nil"/>
              <w:right w:val="nil"/>
            </w:tcBorders>
            <w:shd w:val="clear" w:color="auto" w:fill="auto"/>
            <w:noWrap/>
            <w:vAlign w:val="bottom"/>
            <w:hideMark/>
          </w:tcPr>
          <w:p w14:paraId="56E8C66F"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(1,648)</w:t>
            </w:r>
          </w:p>
        </w:tc>
      </w:tr>
      <w:tr w:rsidR="00E87F80" w:rsidRPr="00E87F80" w14:paraId="677B58A0"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2525AA50"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National COVID-19 Vaccine Program</w:t>
            </w:r>
          </w:p>
        </w:tc>
        <w:tc>
          <w:tcPr>
            <w:tcW w:w="900" w:type="dxa"/>
            <w:tcBorders>
              <w:left w:val="nil"/>
              <w:right w:val="nil"/>
            </w:tcBorders>
            <w:shd w:val="clear" w:color="auto" w:fill="auto"/>
            <w:noWrap/>
            <w:vAlign w:val="bottom"/>
            <w:hideMark/>
          </w:tcPr>
          <w:p w14:paraId="31038379"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22,095 </w:t>
            </w:r>
          </w:p>
        </w:tc>
        <w:tc>
          <w:tcPr>
            <w:tcW w:w="900" w:type="dxa"/>
            <w:tcBorders>
              <w:left w:val="nil"/>
              <w:right w:val="nil"/>
            </w:tcBorders>
            <w:shd w:val="clear" w:color="auto" w:fill="auto"/>
            <w:noWrap/>
            <w:vAlign w:val="bottom"/>
            <w:hideMark/>
          </w:tcPr>
          <w:p w14:paraId="6ED78C93"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19,914 </w:t>
            </w:r>
          </w:p>
        </w:tc>
        <w:tc>
          <w:tcPr>
            <w:tcW w:w="900" w:type="dxa"/>
            <w:tcBorders>
              <w:left w:val="nil"/>
              <w:right w:val="nil"/>
            </w:tcBorders>
            <w:shd w:val="clear" w:color="auto" w:fill="auto"/>
            <w:noWrap/>
            <w:vAlign w:val="bottom"/>
            <w:hideMark/>
          </w:tcPr>
          <w:p w14:paraId="5E38D884"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45D71632"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098B8030"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0203D183"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Support from the National Medical Stockpile to support vulnerable populations</w:t>
            </w:r>
          </w:p>
        </w:tc>
        <w:tc>
          <w:tcPr>
            <w:tcW w:w="900" w:type="dxa"/>
            <w:tcBorders>
              <w:left w:val="nil"/>
              <w:right w:val="nil"/>
            </w:tcBorders>
            <w:shd w:val="clear" w:color="auto" w:fill="auto"/>
            <w:noWrap/>
            <w:vAlign w:val="bottom"/>
            <w:hideMark/>
          </w:tcPr>
          <w:p w14:paraId="67894AD5"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734 </w:t>
            </w:r>
          </w:p>
        </w:tc>
        <w:tc>
          <w:tcPr>
            <w:tcW w:w="900" w:type="dxa"/>
            <w:tcBorders>
              <w:left w:val="nil"/>
              <w:right w:val="nil"/>
            </w:tcBorders>
            <w:shd w:val="clear" w:color="auto" w:fill="auto"/>
            <w:noWrap/>
            <w:vAlign w:val="bottom"/>
            <w:hideMark/>
          </w:tcPr>
          <w:p w14:paraId="1908A8B9"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7C3D756E"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5CCEEDF4"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209CC877"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47C15D0C"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Appropriation Bill (No. 4)</w:t>
            </w:r>
          </w:p>
        </w:tc>
        <w:tc>
          <w:tcPr>
            <w:tcW w:w="900" w:type="dxa"/>
            <w:tcBorders>
              <w:left w:val="nil"/>
              <w:right w:val="nil"/>
            </w:tcBorders>
            <w:shd w:val="clear" w:color="auto" w:fill="auto"/>
            <w:noWrap/>
            <w:vAlign w:val="bottom"/>
            <w:hideMark/>
          </w:tcPr>
          <w:p w14:paraId="601B6442"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15E21C15"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1E5C1EE2" w14:textId="77777777" w:rsidR="00E87F80" w:rsidRPr="00E87F80" w:rsidRDefault="00E87F80" w:rsidP="00E87F80">
            <w:pPr>
              <w:spacing w:before="0" w:after="0" w:line="240" w:lineRule="auto"/>
              <w:jc w:val="right"/>
              <w:rPr>
                <w:rFonts w:ascii="Arial" w:hAnsi="Arial" w:cs="Arial"/>
                <w:bCs/>
                <w:sz w:val="16"/>
                <w:szCs w:val="16"/>
              </w:rPr>
            </w:pPr>
          </w:p>
        </w:tc>
        <w:tc>
          <w:tcPr>
            <w:tcW w:w="900" w:type="dxa"/>
            <w:tcBorders>
              <w:left w:val="nil"/>
              <w:right w:val="nil"/>
            </w:tcBorders>
            <w:shd w:val="clear" w:color="auto" w:fill="auto"/>
            <w:noWrap/>
            <w:vAlign w:val="bottom"/>
            <w:hideMark/>
          </w:tcPr>
          <w:p w14:paraId="4F1981FE" w14:textId="77777777" w:rsidR="00E87F80" w:rsidRPr="00E87F80" w:rsidRDefault="00E87F80" w:rsidP="00E87F80">
            <w:pPr>
              <w:spacing w:before="0" w:after="0" w:line="240" w:lineRule="auto"/>
              <w:jc w:val="right"/>
              <w:rPr>
                <w:rFonts w:ascii="Arial" w:hAnsi="Arial" w:cs="Arial"/>
                <w:bCs/>
                <w:sz w:val="16"/>
                <w:szCs w:val="16"/>
              </w:rPr>
            </w:pPr>
          </w:p>
        </w:tc>
      </w:tr>
      <w:tr w:rsidR="00E87F80" w:rsidRPr="00E87F80" w14:paraId="72708CDB"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39C332E1"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b/>
                <w:sz w:val="16"/>
                <w:szCs w:val="16"/>
              </w:rPr>
              <w:t xml:space="preserve">Measure </w:t>
            </w:r>
            <w:r w:rsidRPr="00E87F80">
              <w:rPr>
                <w:rFonts w:ascii="Arial" w:hAnsi="Arial" w:cs="Arial"/>
                <w:sz w:val="16"/>
                <w:szCs w:val="16"/>
              </w:rPr>
              <w:t>- Enhanced Regulatory Model for Vaping Products</w:t>
            </w:r>
          </w:p>
        </w:tc>
        <w:tc>
          <w:tcPr>
            <w:tcW w:w="900" w:type="dxa"/>
            <w:tcBorders>
              <w:left w:val="nil"/>
              <w:right w:val="nil"/>
            </w:tcBorders>
            <w:shd w:val="clear" w:color="auto" w:fill="auto"/>
            <w:noWrap/>
            <w:vAlign w:val="bottom"/>
            <w:hideMark/>
          </w:tcPr>
          <w:p w14:paraId="1083BDAE"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1,359 </w:t>
            </w:r>
          </w:p>
        </w:tc>
        <w:tc>
          <w:tcPr>
            <w:tcW w:w="900" w:type="dxa"/>
            <w:tcBorders>
              <w:left w:val="nil"/>
              <w:right w:val="nil"/>
            </w:tcBorders>
            <w:shd w:val="clear" w:color="auto" w:fill="auto"/>
            <w:noWrap/>
            <w:vAlign w:val="bottom"/>
            <w:hideMark/>
          </w:tcPr>
          <w:p w14:paraId="29106AD1"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4,504 </w:t>
            </w:r>
          </w:p>
        </w:tc>
        <w:tc>
          <w:tcPr>
            <w:tcW w:w="900" w:type="dxa"/>
            <w:tcBorders>
              <w:left w:val="nil"/>
              <w:right w:val="nil"/>
            </w:tcBorders>
            <w:shd w:val="clear" w:color="auto" w:fill="auto"/>
            <w:noWrap/>
            <w:vAlign w:val="bottom"/>
            <w:hideMark/>
          </w:tcPr>
          <w:p w14:paraId="75DEAD03"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7AA04B2A"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72406CDB"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62D89E79"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COVID-19 data and digital - reclassification to administered operating</w:t>
            </w:r>
          </w:p>
        </w:tc>
        <w:tc>
          <w:tcPr>
            <w:tcW w:w="900" w:type="dxa"/>
            <w:tcBorders>
              <w:left w:val="nil"/>
              <w:right w:val="nil"/>
            </w:tcBorders>
            <w:shd w:val="clear" w:color="auto" w:fill="auto"/>
            <w:noWrap/>
            <w:vAlign w:val="bottom"/>
            <w:hideMark/>
          </w:tcPr>
          <w:p w14:paraId="2B447DF8"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(9,096)</w:t>
            </w:r>
          </w:p>
        </w:tc>
        <w:tc>
          <w:tcPr>
            <w:tcW w:w="900" w:type="dxa"/>
            <w:tcBorders>
              <w:left w:val="nil"/>
              <w:right w:val="nil"/>
            </w:tcBorders>
            <w:shd w:val="clear" w:color="auto" w:fill="auto"/>
            <w:noWrap/>
            <w:vAlign w:val="bottom"/>
            <w:hideMark/>
          </w:tcPr>
          <w:p w14:paraId="7DA17027"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355878F0"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c>
          <w:tcPr>
            <w:tcW w:w="900" w:type="dxa"/>
            <w:tcBorders>
              <w:left w:val="nil"/>
              <w:right w:val="nil"/>
            </w:tcBorders>
            <w:shd w:val="clear" w:color="auto" w:fill="auto"/>
            <w:noWrap/>
            <w:vAlign w:val="bottom"/>
            <w:hideMark/>
          </w:tcPr>
          <w:p w14:paraId="1E2450E7"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 </w:t>
            </w:r>
          </w:p>
        </w:tc>
      </w:tr>
      <w:tr w:rsidR="00E87F80" w:rsidRPr="00E87F80" w14:paraId="4EBF4A1C"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2C9CFD94"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Implementation of new legislation to modernise the Gene Technology Scheme - correction</w:t>
            </w:r>
          </w:p>
        </w:tc>
        <w:tc>
          <w:tcPr>
            <w:tcW w:w="900" w:type="dxa"/>
            <w:tcBorders>
              <w:left w:val="nil"/>
              <w:bottom w:val="single" w:sz="4" w:space="0" w:color="auto"/>
              <w:right w:val="nil"/>
            </w:tcBorders>
            <w:shd w:val="clear" w:color="auto" w:fill="auto"/>
            <w:noWrap/>
            <w:vAlign w:val="bottom"/>
            <w:hideMark/>
          </w:tcPr>
          <w:p w14:paraId="1DB8DF86" w14:textId="77777777" w:rsidR="00E87F80" w:rsidRPr="00E87F80" w:rsidRDefault="00E87F80" w:rsidP="00E87F80">
            <w:pPr>
              <w:spacing w:before="0" w:after="0" w:line="240" w:lineRule="auto"/>
              <w:jc w:val="right"/>
              <w:rPr>
                <w:rFonts w:ascii="Arial" w:hAnsi="Arial" w:cs="Arial"/>
                <w:bCs/>
                <w:sz w:val="16"/>
                <w:szCs w:val="16"/>
              </w:rPr>
            </w:pPr>
            <w:r w:rsidRPr="00E87F80">
              <w:rPr>
                <w:rFonts w:ascii="Arial" w:hAnsi="Arial" w:cs="Arial"/>
                <w:bCs/>
                <w:sz w:val="16"/>
                <w:szCs w:val="16"/>
              </w:rPr>
              <w:t xml:space="preserve">1,097 </w:t>
            </w:r>
          </w:p>
        </w:tc>
        <w:tc>
          <w:tcPr>
            <w:tcW w:w="900" w:type="dxa"/>
            <w:tcBorders>
              <w:left w:val="nil"/>
              <w:bottom w:val="single" w:sz="4" w:space="0" w:color="auto"/>
              <w:right w:val="nil"/>
            </w:tcBorders>
            <w:shd w:val="clear" w:color="auto" w:fill="auto"/>
            <w:noWrap/>
            <w:vAlign w:val="bottom"/>
            <w:hideMark/>
          </w:tcPr>
          <w:p w14:paraId="5863D977"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 </w:t>
            </w:r>
          </w:p>
        </w:tc>
        <w:tc>
          <w:tcPr>
            <w:tcW w:w="900" w:type="dxa"/>
            <w:tcBorders>
              <w:left w:val="nil"/>
              <w:bottom w:val="single" w:sz="4" w:space="0" w:color="auto"/>
              <w:right w:val="nil"/>
            </w:tcBorders>
            <w:shd w:val="clear" w:color="auto" w:fill="auto"/>
            <w:noWrap/>
            <w:vAlign w:val="bottom"/>
            <w:hideMark/>
          </w:tcPr>
          <w:p w14:paraId="099A9681"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 </w:t>
            </w:r>
          </w:p>
        </w:tc>
        <w:tc>
          <w:tcPr>
            <w:tcW w:w="900" w:type="dxa"/>
            <w:tcBorders>
              <w:left w:val="nil"/>
              <w:bottom w:val="single" w:sz="4" w:space="0" w:color="auto"/>
              <w:right w:val="nil"/>
            </w:tcBorders>
            <w:shd w:val="clear" w:color="auto" w:fill="auto"/>
            <w:noWrap/>
            <w:vAlign w:val="bottom"/>
            <w:hideMark/>
          </w:tcPr>
          <w:p w14:paraId="0A8C9866"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 </w:t>
            </w:r>
          </w:p>
        </w:tc>
      </w:tr>
      <w:tr w:rsidR="00E87F80" w:rsidRPr="00E87F80" w14:paraId="592DD602" w14:textId="77777777" w:rsidTr="00E87F80">
        <w:trPr>
          <w:trHeight w:val="283"/>
          <w:jc w:val="center"/>
        </w:trPr>
        <w:tc>
          <w:tcPr>
            <w:tcW w:w="4060" w:type="dxa"/>
            <w:tcBorders>
              <w:top w:val="nil"/>
              <w:left w:val="nil"/>
              <w:bottom w:val="nil"/>
              <w:right w:val="nil"/>
            </w:tcBorders>
            <w:shd w:val="clear" w:color="auto" w:fill="auto"/>
            <w:noWrap/>
            <w:vAlign w:val="bottom"/>
            <w:hideMark/>
          </w:tcPr>
          <w:p w14:paraId="1B8AF1D6" w14:textId="77777777" w:rsidR="00E87F80" w:rsidRPr="00E87F80" w:rsidRDefault="00E87F80" w:rsidP="00E87F80">
            <w:pPr>
              <w:spacing w:before="0" w:after="0" w:line="240" w:lineRule="auto"/>
              <w:rPr>
                <w:rFonts w:ascii="Arial" w:hAnsi="Arial" w:cs="Arial"/>
                <w:sz w:val="16"/>
                <w:szCs w:val="16"/>
              </w:rPr>
            </w:pPr>
            <w:r w:rsidRPr="00E87F80">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3C6C542B"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33,857 </w:t>
            </w:r>
          </w:p>
        </w:tc>
        <w:tc>
          <w:tcPr>
            <w:tcW w:w="900" w:type="dxa"/>
            <w:tcBorders>
              <w:top w:val="single" w:sz="4" w:space="0" w:color="auto"/>
              <w:left w:val="nil"/>
              <w:bottom w:val="single" w:sz="4" w:space="0" w:color="auto"/>
              <w:right w:val="nil"/>
            </w:tcBorders>
            <w:shd w:val="clear" w:color="auto" w:fill="auto"/>
            <w:noWrap/>
            <w:vAlign w:val="bottom"/>
            <w:hideMark/>
          </w:tcPr>
          <w:p w14:paraId="22E5BCA8"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59,790 </w:t>
            </w:r>
          </w:p>
        </w:tc>
        <w:tc>
          <w:tcPr>
            <w:tcW w:w="900" w:type="dxa"/>
            <w:tcBorders>
              <w:top w:val="single" w:sz="4" w:space="0" w:color="auto"/>
              <w:left w:val="nil"/>
              <w:bottom w:val="single" w:sz="4" w:space="0" w:color="auto"/>
              <w:right w:val="nil"/>
            </w:tcBorders>
            <w:shd w:val="clear" w:color="auto" w:fill="auto"/>
            <w:noWrap/>
            <w:vAlign w:val="bottom"/>
            <w:hideMark/>
          </w:tcPr>
          <w:p w14:paraId="628333FF"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 xml:space="preserve">3,754 </w:t>
            </w:r>
          </w:p>
        </w:tc>
        <w:tc>
          <w:tcPr>
            <w:tcW w:w="900" w:type="dxa"/>
            <w:tcBorders>
              <w:top w:val="single" w:sz="4" w:space="0" w:color="auto"/>
              <w:left w:val="nil"/>
              <w:bottom w:val="single" w:sz="4" w:space="0" w:color="auto"/>
              <w:right w:val="nil"/>
            </w:tcBorders>
            <w:shd w:val="clear" w:color="auto" w:fill="auto"/>
            <w:noWrap/>
            <w:vAlign w:val="bottom"/>
            <w:hideMark/>
          </w:tcPr>
          <w:p w14:paraId="5E6EBBF7" w14:textId="77777777" w:rsidR="00E87F80" w:rsidRPr="00E87F80" w:rsidRDefault="00E87F80" w:rsidP="00E87F80">
            <w:pPr>
              <w:spacing w:before="0" w:after="0" w:line="240" w:lineRule="auto"/>
              <w:jc w:val="right"/>
              <w:rPr>
                <w:rFonts w:ascii="Arial" w:hAnsi="Arial" w:cs="Arial"/>
                <w:b/>
                <w:bCs/>
                <w:sz w:val="16"/>
                <w:szCs w:val="16"/>
              </w:rPr>
            </w:pPr>
            <w:r w:rsidRPr="00E87F80">
              <w:rPr>
                <w:rFonts w:ascii="Arial" w:hAnsi="Arial" w:cs="Arial"/>
                <w:b/>
                <w:bCs/>
                <w:sz w:val="16"/>
                <w:szCs w:val="16"/>
              </w:rPr>
              <w:t>(163)</w:t>
            </w:r>
          </w:p>
        </w:tc>
      </w:tr>
    </w:tbl>
    <w:p w14:paraId="10D2BD9C" w14:textId="00272417" w:rsidR="00626BC4" w:rsidRDefault="00A83F1F" w:rsidP="00A83F1F">
      <w:pPr>
        <w:pStyle w:val="FootnoteText"/>
      </w:pPr>
      <w:r w:rsidRPr="00A83F1F">
        <w:rPr>
          <w:vertAlign w:val="superscript"/>
        </w:rPr>
        <w:t>(a)</w:t>
      </w:r>
      <w:r>
        <w:t xml:space="preserve"> </w:t>
      </w:r>
      <w:r>
        <w:tab/>
      </w:r>
      <w:r w:rsidRPr="00A83F1F">
        <w:t xml:space="preserve">See explanation in Portfolio Glossary. </w:t>
      </w:r>
      <w:r w:rsidR="00626BC4">
        <w:br w:type="page"/>
      </w:r>
    </w:p>
    <w:p w14:paraId="49C374AC" w14:textId="75099D0C" w:rsidR="00AE35DB" w:rsidRPr="00A52488" w:rsidRDefault="00AE35DB" w:rsidP="00A52488">
      <w:pPr>
        <w:spacing w:after="120"/>
        <w:jc w:val="center"/>
        <w:rPr>
          <w:rFonts w:ascii="Arial" w:hAnsi="Arial" w:cs="Arial"/>
          <w:b/>
          <w:sz w:val="22"/>
          <w:u w:val="single"/>
        </w:rPr>
      </w:pPr>
      <w:r w:rsidRPr="00A52488">
        <w:rPr>
          <w:rFonts w:ascii="Arial" w:hAnsi="Arial" w:cs="Arial"/>
          <w:b/>
          <w:sz w:val="22"/>
          <w:u w:val="single"/>
        </w:rPr>
        <w:lastRenderedPageBreak/>
        <w:t xml:space="preserve">Corrigendum to the </w:t>
      </w:r>
      <w:r w:rsidRPr="00A52488">
        <w:rPr>
          <w:rFonts w:ascii="Arial" w:hAnsi="Arial" w:cs="Arial"/>
          <w:b/>
          <w:i/>
          <w:sz w:val="22"/>
          <w:u w:val="single"/>
        </w:rPr>
        <w:t xml:space="preserve">Health and Aged Care </w:t>
      </w:r>
      <w:r w:rsidR="00A52488">
        <w:rPr>
          <w:rFonts w:ascii="Arial" w:hAnsi="Arial" w:cs="Arial"/>
          <w:b/>
          <w:i/>
          <w:sz w:val="22"/>
          <w:u w:val="single"/>
        </w:rPr>
        <w:br/>
      </w:r>
      <w:r w:rsidRPr="00A52488">
        <w:rPr>
          <w:rFonts w:ascii="Arial" w:hAnsi="Arial" w:cs="Arial"/>
          <w:b/>
          <w:i/>
          <w:sz w:val="22"/>
          <w:u w:val="single"/>
        </w:rPr>
        <w:t>Portfolio Budget Statements 2023–24</w:t>
      </w:r>
    </w:p>
    <w:p w14:paraId="1C02255C" w14:textId="7B75CEEC" w:rsidR="002B5B49" w:rsidRPr="00A64C6D" w:rsidRDefault="002B5B49" w:rsidP="00A52488">
      <w:pPr>
        <w:spacing w:before="120" w:after="120" w:line="240" w:lineRule="auto"/>
        <w:rPr>
          <w:color w:val="000000"/>
          <w:sz w:val="20"/>
        </w:rPr>
      </w:pPr>
      <w:r w:rsidRPr="00A64C6D">
        <w:rPr>
          <w:color w:val="000000"/>
          <w:sz w:val="20"/>
        </w:rPr>
        <w:t>Corrections</w:t>
      </w:r>
      <w:r w:rsidR="00E2631B">
        <w:rPr>
          <w:color w:val="000000"/>
          <w:sz w:val="20"/>
        </w:rPr>
        <w:t xml:space="preserve"> have been made to </w:t>
      </w:r>
      <w:r w:rsidR="00E2631B" w:rsidRPr="00E2631B">
        <w:rPr>
          <w:b/>
          <w:color w:val="000000"/>
          <w:sz w:val="20"/>
        </w:rPr>
        <w:t>Table 2.1</w:t>
      </w:r>
      <w:r w:rsidRPr="00E2631B">
        <w:rPr>
          <w:b/>
          <w:color w:val="000000"/>
          <w:sz w:val="20"/>
        </w:rPr>
        <w:t>.1: Budgeted expenses for Outcome 1</w:t>
      </w:r>
      <w:r w:rsidRPr="00A64C6D">
        <w:rPr>
          <w:color w:val="000000"/>
          <w:sz w:val="20"/>
        </w:rPr>
        <w:t xml:space="preserve"> as follows:</w:t>
      </w:r>
      <w:r w:rsidR="00E70AF2" w:rsidRPr="00A64C6D">
        <w:rPr>
          <w:rStyle w:val="FootnoteReference"/>
          <w:color w:val="000000"/>
          <w:sz w:val="20"/>
        </w:rPr>
        <w:footnoteReference w:id="7"/>
      </w:r>
    </w:p>
    <w:p w14:paraId="195FE968" w14:textId="77777777" w:rsidR="002B5B49" w:rsidRPr="00A64C6D" w:rsidRDefault="002B5B49" w:rsidP="002B5B49">
      <w:pPr>
        <w:spacing w:before="0" w:after="120" w:line="240" w:lineRule="auto"/>
        <w:rPr>
          <w:color w:val="000000"/>
          <w:sz w:val="20"/>
        </w:rPr>
      </w:pPr>
      <w:r w:rsidRPr="00A64C6D">
        <w:rPr>
          <w:color w:val="000000"/>
          <w:sz w:val="20"/>
          <w:u w:val="single"/>
        </w:rPr>
        <w:t>Update (Page 55)</w:t>
      </w:r>
      <w:r w:rsidRPr="00A64C6D">
        <w:rPr>
          <w:color w:val="000000"/>
          <w:sz w:val="20"/>
        </w:rPr>
        <w:t xml:space="preserve">: </w:t>
      </w:r>
    </w:p>
    <w:p w14:paraId="0F89E9FD" w14:textId="77777777" w:rsidR="002B5B49" w:rsidRPr="00E2631B" w:rsidRDefault="002B5B49" w:rsidP="00E2631B">
      <w:pPr>
        <w:pStyle w:val="ListParagraph"/>
        <w:numPr>
          <w:ilvl w:val="0"/>
          <w:numId w:val="52"/>
        </w:numPr>
        <w:spacing w:before="0" w:after="120" w:line="240" w:lineRule="auto"/>
        <w:rPr>
          <w:rFonts w:ascii="Book Antiqua" w:hAnsi="Book Antiqua"/>
          <w:color w:val="000000"/>
          <w:sz w:val="20"/>
        </w:rPr>
      </w:pPr>
      <w:r w:rsidRPr="00E2631B">
        <w:rPr>
          <w:rFonts w:ascii="Book Antiqua" w:hAnsi="Book Antiqua"/>
          <w:color w:val="000000"/>
          <w:sz w:val="20"/>
        </w:rPr>
        <w:t>Program 1.9: Immunisation - ‘Ordinary annual services’ line.</w:t>
      </w:r>
    </w:p>
    <w:p w14:paraId="5D97C4ED" w14:textId="464AAEFC" w:rsidR="002B5B49" w:rsidRPr="00E2631B" w:rsidRDefault="002B5B49" w:rsidP="00E2631B">
      <w:pPr>
        <w:pStyle w:val="ListParagraph"/>
        <w:numPr>
          <w:ilvl w:val="0"/>
          <w:numId w:val="52"/>
        </w:numPr>
        <w:spacing w:before="0" w:after="120" w:line="240" w:lineRule="auto"/>
        <w:rPr>
          <w:rFonts w:ascii="Book Antiqua" w:hAnsi="Book Antiqua"/>
          <w:color w:val="000000"/>
          <w:sz w:val="20"/>
        </w:rPr>
      </w:pPr>
      <w:r w:rsidRPr="00E2631B">
        <w:rPr>
          <w:rFonts w:ascii="Book Antiqua" w:hAnsi="Book Antiqua"/>
          <w:color w:val="000000"/>
          <w:sz w:val="20"/>
        </w:rPr>
        <w:t>Program 1.9: Immunisation - ‘Total for Program 1.9’ line.</w:t>
      </w:r>
    </w:p>
    <w:p w14:paraId="109797FF" w14:textId="3F18A214" w:rsidR="00662921" w:rsidRPr="00662921" w:rsidRDefault="00662921" w:rsidP="00E2631B">
      <w:pPr>
        <w:spacing w:after="120"/>
        <w:rPr>
          <w:sz w:val="20"/>
        </w:rPr>
      </w:pPr>
      <w:r w:rsidRPr="00CD11AC">
        <w:rPr>
          <w:sz w:val="20"/>
          <w:u w:val="single"/>
        </w:rPr>
        <w:t xml:space="preserve">Update (Page </w:t>
      </w:r>
      <w:r>
        <w:rPr>
          <w:sz w:val="20"/>
          <w:u w:val="single"/>
        </w:rPr>
        <w:t>5</w:t>
      </w:r>
      <w:r w:rsidRPr="00CD11AC">
        <w:rPr>
          <w:sz w:val="20"/>
          <w:u w:val="single"/>
        </w:rPr>
        <w:t>6)</w:t>
      </w:r>
      <w:r w:rsidRPr="00CD11AC">
        <w:rPr>
          <w:sz w:val="20"/>
        </w:rPr>
        <w:t xml:space="preserve">: </w:t>
      </w:r>
    </w:p>
    <w:p w14:paraId="6678C3A9" w14:textId="77777777" w:rsidR="00E2631B" w:rsidRDefault="002B5B49" w:rsidP="000C45FD">
      <w:pPr>
        <w:pStyle w:val="ListParagraph"/>
        <w:numPr>
          <w:ilvl w:val="0"/>
          <w:numId w:val="53"/>
        </w:numPr>
        <w:spacing w:before="0" w:after="120" w:line="240" w:lineRule="auto"/>
        <w:rPr>
          <w:rFonts w:ascii="Book Antiqua" w:hAnsi="Book Antiqua"/>
          <w:color w:val="000000"/>
          <w:sz w:val="20"/>
        </w:rPr>
      </w:pPr>
      <w:r w:rsidRPr="00E2631B">
        <w:rPr>
          <w:rFonts w:ascii="Book Antiqua" w:hAnsi="Book Antiqua"/>
          <w:color w:val="000000"/>
          <w:sz w:val="20"/>
        </w:rPr>
        <w:t>Outcome 1 totals by appropriation type: ‘Ordinary annual services’ line.</w:t>
      </w:r>
    </w:p>
    <w:p w14:paraId="0E362D2D" w14:textId="75916912" w:rsidR="002B5B49" w:rsidRPr="00E2631B" w:rsidRDefault="002B5B49" w:rsidP="000C45FD">
      <w:pPr>
        <w:pStyle w:val="ListParagraph"/>
        <w:numPr>
          <w:ilvl w:val="0"/>
          <w:numId w:val="53"/>
        </w:numPr>
        <w:spacing w:before="0" w:after="120" w:line="240" w:lineRule="auto"/>
        <w:rPr>
          <w:rFonts w:ascii="Book Antiqua" w:hAnsi="Book Antiqua"/>
          <w:color w:val="000000"/>
          <w:sz w:val="20"/>
        </w:rPr>
      </w:pPr>
      <w:r w:rsidRPr="00E2631B">
        <w:rPr>
          <w:rFonts w:ascii="Book Antiqua" w:hAnsi="Book Antiqua"/>
          <w:color w:val="000000"/>
          <w:sz w:val="20"/>
        </w:rPr>
        <w:t>Outcome 1 totals by appropriation type: ‘Total expenses for Outcome 1’ line.</w:t>
      </w:r>
    </w:p>
    <w:p w14:paraId="5EFC185A" w14:textId="575C0AC8" w:rsidR="002B5B49" w:rsidRPr="000C45FD" w:rsidRDefault="002B5B49" w:rsidP="007B67BB">
      <w:pPr>
        <w:pStyle w:val="TableGraphic"/>
        <w:spacing w:before="240" w:after="20"/>
        <w:rPr>
          <w:rFonts w:ascii="Arial" w:hAnsi="Arial" w:cs="Arial"/>
          <w:b/>
          <w:sz w:val="20"/>
        </w:rPr>
      </w:pPr>
      <w:r w:rsidRPr="000D22DB">
        <w:rPr>
          <w:rFonts w:ascii="Arial" w:hAnsi="Arial" w:cs="Arial"/>
          <w:b/>
          <w:sz w:val="20"/>
        </w:rPr>
        <w:t xml:space="preserve">Table </w:t>
      </w:r>
      <w:r>
        <w:rPr>
          <w:rFonts w:ascii="Arial" w:hAnsi="Arial" w:cs="Arial"/>
          <w:b/>
          <w:sz w:val="20"/>
        </w:rPr>
        <w:t>2</w:t>
      </w:r>
      <w:r w:rsidRPr="000D22DB">
        <w:rPr>
          <w:rFonts w:ascii="Arial" w:hAnsi="Arial" w:cs="Arial"/>
          <w:b/>
          <w:sz w:val="20"/>
        </w:rPr>
        <w:t>.</w:t>
      </w:r>
      <w:r>
        <w:rPr>
          <w:rFonts w:ascii="Arial" w:hAnsi="Arial" w:cs="Arial"/>
          <w:b/>
          <w:sz w:val="20"/>
        </w:rPr>
        <w:t>1.1</w:t>
      </w:r>
      <w:r w:rsidRPr="000D22DB">
        <w:rPr>
          <w:rFonts w:ascii="Arial" w:hAnsi="Arial" w:cs="Arial"/>
          <w:b/>
          <w:sz w:val="20"/>
        </w:rPr>
        <w:t xml:space="preserve">: </w:t>
      </w:r>
      <w:r>
        <w:rPr>
          <w:rFonts w:ascii="Arial" w:hAnsi="Arial" w:cs="Arial"/>
          <w:b/>
          <w:sz w:val="20"/>
        </w:rPr>
        <w:t xml:space="preserve">Budgeted expenses for </w:t>
      </w:r>
      <w:r w:rsidR="007B67BB">
        <w:rPr>
          <w:rFonts w:ascii="Arial" w:hAnsi="Arial" w:cs="Arial"/>
          <w:b/>
          <w:sz w:val="20"/>
        </w:rPr>
        <w:t>Outcome 1 (continued)</w:t>
      </w:r>
    </w:p>
    <w:tbl>
      <w:tblPr>
        <w:tblW w:w="7320" w:type="dxa"/>
        <w:tblLayout w:type="fixed"/>
        <w:tblLook w:val="04A0" w:firstRow="1" w:lastRow="0" w:firstColumn="1" w:lastColumn="0" w:noHBand="0" w:noVBand="1"/>
      </w:tblPr>
      <w:tblGrid>
        <w:gridCol w:w="2653"/>
        <w:gridCol w:w="936"/>
        <w:gridCol w:w="932"/>
        <w:gridCol w:w="933"/>
        <w:gridCol w:w="933"/>
        <w:gridCol w:w="933"/>
      </w:tblGrid>
      <w:tr w:rsidR="002B5B49" w:rsidRPr="002B5B49" w14:paraId="277C0F2F" w14:textId="77777777" w:rsidTr="00E70AF2">
        <w:trPr>
          <w:trHeight w:val="765"/>
        </w:trPr>
        <w:tc>
          <w:tcPr>
            <w:tcW w:w="2653" w:type="dxa"/>
            <w:tcBorders>
              <w:top w:val="single" w:sz="4" w:space="0" w:color="auto"/>
              <w:left w:val="nil"/>
              <w:bottom w:val="nil"/>
              <w:right w:val="nil"/>
            </w:tcBorders>
            <w:shd w:val="clear" w:color="auto" w:fill="auto"/>
            <w:hideMark/>
          </w:tcPr>
          <w:p w14:paraId="4748B70D"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 </w:t>
            </w:r>
          </w:p>
        </w:tc>
        <w:tc>
          <w:tcPr>
            <w:tcW w:w="936" w:type="dxa"/>
            <w:tcBorders>
              <w:top w:val="single" w:sz="4" w:space="0" w:color="auto"/>
              <w:left w:val="nil"/>
              <w:bottom w:val="single" w:sz="4" w:space="0" w:color="auto"/>
              <w:right w:val="nil"/>
            </w:tcBorders>
            <w:shd w:val="clear" w:color="auto" w:fill="auto"/>
            <w:tcMar>
              <w:left w:w="0" w:type="dxa"/>
            </w:tcMar>
            <w:hideMark/>
          </w:tcPr>
          <w:p w14:paraId="4BA3507A"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2022–23</w:t>
            </w:r>
            <w:r w:rsidRPr="002B5B49">
              <w:rPr>
                <w:rFonts w:ascii="Arial" w:hAnsi="Arial" w:cs="Arial"/>
                <w:b/>
                <w:bCs/>
                <w:sz w:val="16"/>
                <w:szCs w:val="16"/>
              </w:rPr>
              <w:br/>
              <w:t>Estimated actual</w:t>
            </w:r>
            <w:r w:rsidRPr="002B5B49">
              <w:rPr>
                <w:rFonts w:ascii="Arial" w:hAnsi="Arial" w:cs="Arial"/>
                <w:b/>
                <w:bCs/>
                <w:sz w:val="16"/>
                <w:szCs w:val="16"/>
              </w:rPr>
              <w:br/>
            </w:r>
            <w:r w:rsidRPr="00213063">
              <w:rPr>
                <w:rFonts w:ascii="Arial" w:hAnsi="Arial" w:cs="Arial"/>
                <w:bCs/>
                <w:sz w:val="16"/>
                <w:szCs w:val="16"/>
              </w:rPr>
              <w:t>$'000</w:t>
            </w:r>
          </w:p>
        </w:tc>
        <w:tc>
          <w:tcPr>
            <w:tcW w:w="932" w:type="dxa"/>
            <w:tcBorders>
              <w:top w:val="single" w:sz="4" w:space="0" w:color="auto"/>
              <w:left w:val="nil"/>
              <w:bottom w:val="single" w:sz="4" w:space="0" w:color="auto"/>
              <w:right w:val="nil"/>
            </w:tcBorders>
            <w:shd w:val="clear" w:color="000000" w:fill="D9D9D9"/>
            <w:hideMark/>
          </w:tcPr>
          <w:p w14:paraId="53534198"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2023–24 Budget</w:t>
            </w:r>
            <w:r w:rsidRPr="002B5B49">
              <w:rPr>
                <w:rFonts w:ascii="Arial" w:hAnsi="Arial" w:cs="Arial"/>
                <w:b/>
                <w:bCs/>
                <w:sz w:val="16"/>
                <w:szCs w:val="16"/>
              </w:rPr>
              <w:br/>
            </w:r>
            <w:r w:rsidRPr="002B5B49">
              <w:rPr>
                <w:rFonts w:ascii="Arial" w:hAnsi="Arial" w:cs="Arial"/>
                <w:b/>
                <w:bCs/>
                <w:sz w:val="16"/>
                <w:szCs w:val="16"/>
              </w:rPr>
              <w:br/>
            </w:r>
            <w:r w:rsidRPr="00213063">
              <w:rPr>
                <w:rFonts w:ascii="Arial" w:hAnsi="Arial" w:cs="Arial"/>
                <w:bCs/>
                <w:sz w:val="16"/>
                <w:szCs w:val="16"/>
              </w:rPr>
              <w:t>$'000</w:t>
            </w:r>
          </w:p>
        </w:tc>
        <w:tc>
          <w:tcPr>
            <w:tcW w:w="933" w:type="dxa"/>
            <w:tcBorders>
              <w:top w:val="single" w:sz="4" w:space="0" w:color="auto"/>
              <w:left w:val="nil"/>
              <w:bottom w:val="single" w:sz="4" w:space="0" w:color="auto"/>
              <w:right w:val="nil"/>
            </w:tcBorders>
            <w:shd w:val="clear" w:color="auto" w:fill="auto"/>
            <w:hideMark/>
          </w:tcPr>
          <w:p w14:paraId="3C0845ED"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2024–25 Forward estimate</w:t>
            </w:r>
            <w:r w:rsidRPr="002B5B49">
              <w:rPr>
                <w:rFonts w:ascii="Arial" w:hAnsi="Arial" w:cs="Arial"/>
                <w:b/>
                <w:bCs/>
                <w:sz w:val="16"/>
                <w:szCs w:val="16"/>
              </w:rPr>
              <w:br/>
            </w:r>
            <w:r w:rsidRPr="00213063">
              <w:rPr>
                <w:rFonts w:ascii="Arial" w:hAnsi="Arial" w:cs="Arial"/>
                <w:bCs/>
                <w:sz w:val="16"/>
                <w:szCs w:val="16"/>
              </w:rPr>
              <w:t>$'000</w:t>
            </w:r>
          </w:p>
        </w:tc>
        <w:tc>
          <w:tcPr>
            <w:tcW w:w="933" w:type="dxa"/>
            <w:tcBorders>
              <w:top w:val="single" w:sz="4" w:space="0" w:color="auto"/>
              <w:left w:val="nil"/>
              <w:bottom w:val="single" w:sz="4" w:space="0" w:color="auto"/>
              <w:right w:val="nil"/>
            </w:tcBorders>
            <w:shd w:val="clear" w:color="auto" w:fill="auto"/>
            <w:hideMark/>
          </w:tcPr>
          <w:p w14:paraId="246F698B"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2025–26 Forward estimate</w:t>
            </w:r>
            <w:r w:rsidRPr="002B5B49">
              <w:rPr>
                <w:rFonts w:ascii="Arial" w:hAnsi="Arial" w:cs="Arial"/>
                <w:b/>
                <w:bCs/>
                <w:sz w:val="16"/>
                <w:szCs w:val="16"/>
              </w:rPr>
              <w:br/>
            </w:r>
            <w:r w:rsidRPr="00213063">
              <w:rPr>
                <w:rFonts w:ascii="Arial" w:hAnsi="Arial" w:cs="Arial"/>
                <w:bCs/>
                <w:sz w:val="16"/>
                <w:szCs w:val="16"/>
              </w:rPr>
              <w:t>$'000</w:t>
            </w:r>
          </w:p>
        </w:tc>
        <w:tc>
          <w:tcPr>
            <w:tcW w:w="933" w:type="dxa"/>
            <w:tcBorders>
              <w:top w:val="single" w:sz="4" w:space="0" w:color="auto"/>
              <w:left w:val="nil"/>
              <w:bottom w:val="single" w:sz="4" w:space="0" w:color="auto"/>
              <w:right w:val="nil"/>
            </w:tcBorders>
            <w:shd w:val="clear" w:color="auto" w:fill="auto"/>
            <w:hideMark/>
          </w:tcPr>
          <w:p w14:paraId="6130C82B"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2026–27 Forward estimate</w:t>
            </w:r>
            <w:r w:rsidRPr="002B5B49">
              <w:rPr>
                <w:rFonts w:ascii="Arial" w:hAnsi="Arial" w:cs="Arial"/>
                <w:b/>
                <w:bCs/>
                <w:sz w:val="16"/>
                <w:szCs w:val="16"/>
              </w:rPr>
              <w:br/>
            </w:r>
            <w:r w:rsidRPr="00213063">
              <w:rPr>
                <w:rFonts w:ascii="Arial" w:hAnsi="Arial" w:cs="Arial"/>
                <w:bCs/>
                <w:sz w:val="16"/>
                <w:szCs w:val="16"/>
              </w:rPr>
              <w:t>$'000</w:t>
            </w:r>
          </w:p>
        </w:tc>
      </w:tr>
      <w:tr w:rsidR="002B5B49" w:rsidRPr="002B5B49" w14:paraId="74E47DA1" w14:textId="77777777" w:rsidTr="00B532D7">
        <w:trPr>
          <w:trHeight w:val="283"/>
        </w:trPr>
        <w:tc>
          <w:tcPr>
            <w:tcW w:w="2653" w:type="dxa"/>
            <w:tcBorders>
              <w:top w:val="nil"/>
              <w:left w:val="nil"/>
              <w:bottom w:val="nil"/>
              <w:right w:val="nil"/>
            </w:tcBorders>
            <w:shd w:val="clear" w:color="auto" w:fill="auto"/>
            <w:noWrap/>
            <w:vAlign w:val="bottom"/>
            <w:hideMark/>
          </w:tcPr>
          <w:p w14:paraId="5D5F57B0" w14:textId="33FF9D25" w:rsidR="002B5B49" w:rsidRPr="002B5B49" w:rsidRDefault="002B5B49" w:rsidP="00043975">
            <w:pPr>
              <w:spacing w:before="0" w:after="0" w:line="240" w:lineRule="auto"/>
              <w:rPr>
                <w:rFonts w:ascii="Arial" w:hAnsi="Arial" w:cs="Arial"/>
                <w:b/>
                <w:bCs/>
                <w:sz w:val="16"/>
                <w:szCs w:val="16"/>
              </w:rPr>
            </w:pPr>
            <w:r w:rsidRPr="002B5B49">
              <w:rPr>
                <w:rFonts w:ascii="Arial" w:hAnsi="Arial" w:cs="Arial"/>
                <w:b/>
                <w:bCs/>
                <w:sz w:val="16"/>
                <w:szCs w:val="16"/>
              </w:rPr>
              <w:t>Program 1.9: Immunisation</w:t>
            </w:r>
            <w:r w:rsidRPr="002B5B49">
              <w:rPr>
                <w:rFonts w:ascii="Arial" w:hAnsi="Arial" w:cs="Arial"/>
                <w:b/>
                <w:bCs/>
                <w:sz w:val="16"/>
                <w:szCs w:val="16"/>
                <w:vertAlign w:val="superscript"/>
              </w:rPr>
              <w:t>(a)</w:t>
            </w:r>
          </w:p>
        </w:tc>
        <w:tc>
          <w:tcPr>
            <w:tcW w:w="936" w:type="dxa"/>
            <w:tcBorders>
              <w:top w:val="nil"/>
              <w:left w:val="nil"/>
              <w:bottom w:val="nil"/>
              <w:right w:val="nil"/>
            </w:tcBorders>
            <w:shd w:val="clear" w:color="auto" w:fill="auto"/>
            <w:noWrap/>
            <w:vAlign w:val="bottom"/>
            <w:hideMark/>
          </w:tcPr>
          <w:p w14:paraId="2DB3DE12"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32" w:type="dxa"/>
            <w:tcBorders>
              <w:top w:val="nil"/>
              <w:left w:val="nil"/>
              <w:bottom w:val="nil"/>
              <w:right w:val="nil"/>
            </w:tcBorders>
            <w:shd w:val="clear" w:color="auto" w:fill="auto"/>
            <w:noWrap/>
            <w:vAlign w:val="bottom"/>
            <w:hideMark/>
          </w:tcPr>
          <w:p w14:paraId="685B17ED"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33" w:type="dxa"/>
            <w:tcBorders>
              <w:top w:val="nil"/>
              <w:left w:val="nil"/>
              <w:bottom w:val="nil"/>
              <w:right w:val="nil"/>
            </w:tcBorders>
            <w:shd w:val="clear" w:color="auto" w:fill="auto"/>
            <w:noWrap/>
            <w:vAlign w:val="bottom"/>
            <w:hideMark/>
          </w:tcPr>
          <w:p w14:paraId="09B1D291"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33" w:type="dxa"/>
            <w:tcBorders>
              <w:top w:val="nil"/>
              <w:left w:val="nil"/>
              <w:bottom w:val="nil"/>
              <w:right w:val="nil"/>
            </w:tcBorders>
            <w:shd w:val="clear" w:color="auto" w:fill="auto"/>
            <w:noWrap/>
            <w:vAlign w:val="bottom"/>
            <w:hideMark/>
          </w:tcPr>
          <w:p w14:paraId="05E7B4A2"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33" w:type="dxa"/>
            <w:tcBorders>
              <w:top w:val="nil"/>
              <w:left w:val="nil"/>
              <w:bottom w:val="nil"/>
              <w:right w:val="nil"/>
            </w:tcBorders>
            <w:shd w:val="clear" w:color="auto" w:fill="auto"/>
            <w:noWrap/>
            <w:vAlign w:val="bottom"/>
            <w:hideMark/>
          </w:tcPr>
          <w:p w14:paraId="250967EC"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r>
      <w:tr w:rsidR="002B5B49" w:rsidRPr="002B5B49" w14:paraId="1533F7A7" w14:textId="77777777" w:rsidTr="00B532D7">
        <w:trPr>
          <w:trHeight w:val="283"/>
        </w:trPr>
        <w:tc>
          <w:tcPr>
            <w:tcW w:w="2653" w:type="dxa"/>
            <w:tcBorders>
              <w:top w:val="nil"/>
              <w:left w:val="nil"/>
              <w:bottom w:val="nil"/>
              <w:right w:val="nil"/>
            </w:tcBorders>
            <w:shd w:val="clear" w:color="auto" w:fill="auto"/>
            <w:noWrap/>
            <w:vAlign w:val="bottom"/>
            <w:hideMark/>
          </w:tcPr>
          <w:p w14:paraId="7CB492D4" w14:textId="77777777" w:rsidR="002B5B49" w:rsidRPr="002B5B49" w:rsidRDefault="002B5B49" w:rsidP="002B5B49">
            <w:pPr>
              <w:spacing w:before="0" w:after="0" w:line="240" w:lineRule="auto"/>
              <w:ind w:firstLineChars="100" w:firstLine="160"/>
              <w:rPr>
                <w:rFonts w:ascii="Arial" w:hAnsi="Arial" w:cs="Arial"/>
                <w:sz w:val="16"/>
                <w:szCs w:val="16"/>
              </w:rPr>
            </w:pPr>
            <w:r w:rsidRPr="002B5B49">
              <w:rPr>
                <w:rFonts w:ascii="Arial" w:hAnsi="Arial" w:cs="Arial"/>
                <w:sz w:val="16"/>
                <w:szCs w:val="16"/>
              </w:rPr>
              <w:t>Administered expenses</w:t>
            </w:r>
          </w:p>
        </w:tc>
        <w:tc>
          <w:tcPr>
            <w:tcW w:w="936" w:type="dxa"/>
            <w:tcBorders>
              <w:top w:val="nil"/>
              <w:left w:val="nil"/>
              <w:bottom w:val="nil"/>
              <w:right w:val="nil"/>
            </w:tcBorders>
            <w:shd w:val="clear" w:color="auto" w:fill="auto"/>
            <w:noWrap/>
            <w:vAlign w:val="bottom"/>
            <w:hideMark/>
          </w:tcPr>
          <w:p w14:paraId="3671CD45" w14:textId="77777777" w:rsidR="002B5B49" w:rsidRPr="002B5B49" w:rsidRDefault="002B5B49" w:rsidP="002B5B49">
            <w:pPr>
              <w:spacing w:before="0" w:after="0" w:line="240" w:lineRule="auto"/>
              <w:ind w:firstLineChars="100" w:firstLine="160"/>
              <w:rPr>
                <w:rFonts w:ascii="Arial" w:hAnsi="Arial" w:cs="Arial"/>
                <w:sz w:val="16"/>
                <w:szCs w:val="16"/>
              </w:rPr>
            </w:pPr>
          </w:p>
        </w:tc>
        <w:tc>
          <w:tcPr>
            <w:tcW w:w="932" w:type="dxa"/>
            <w:tcBorders>
              <w:top w:val="nil"/>
              <w:left w:val="nil"/>
              <w:bottom w:val="nil"/>
              <w:right w:val="nil"/>
            </w:tcBorders>
            <w:shd w:val="clear" w:color="000000" w:fill="D9D9D9"/>
            <w:noWrap/>
            <w:vAlign w:val="bottom"/>
            <w:hideMark/>
          </w:tcPr>
          <w:p w14:paraId="46DCAC7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 </w:t>
            </w:r>
          </w:p>
        </w:tc>
        <w:tc>
          <w:tcPr>
            <w:tcW w:w="933" w:type="dxa"/>
            <w:tcBorders>
              <w:top w:val="nil"/>
              <w:left w:val="nil"/>
              <w:bottom w:val="nil"/>
              <w:right w:val="nil"/>
            </w:tcBorders>
            <w:shd w:val="clear" w:color="auto" w:fill="auto"/>
            <w:noWrap/>
            <w:vAlign w:val="bottom"/>
            <w:hideMark/>
          </w:tcPr>
          <w:p w14:paraId="1AD0B68F" w14:textId="77777777" w:rsidR="002B5B49" w:rsidRPr="002B5B49" w:rsidRDefault="002B5B49" w:rsidP="002B5B49">
            <w:pPr>
              <w:spacing w:before="0"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bottom"/>
            <w:hideMark/>
          </w:tcPr>
          <w:p w14:paraId="53F84C50" w14:textId="77777777" w:rsidR="002B5B49" w:rsidRPr="002B5B49" w:rsidRDefault="002B5B49" w:rsidP="002B5B49">
            <w:pPr>
              <w:spacing w:before="0" w:after="0" w:line="240" w:lineRule="auto"/>
              <w:jc w:val="right"/>
              <w:rPr>
                <w:rFonts w:ascii="Times New Roman" w:hAnsi="Times New Roman"/>
                <w:sz w:val="20"/>
              </w:rPr>
            </w:pPr>
          </w:p>
        </w:tc>
        <w:tc>
          <w:tcPr>
            <w:tcW w:w="933" w:type="dxa"/>
            <w:tcBorders>
              <w:top w:val="nil"/>
              <w:left w:val="nil"/>
              <w:bottom w:val="nil"/>
              <w:right w:val="nil"/>
            </w:tcBorders>
            <w:shd w:val="clear" w:color="auto" w:fill="auto"/>
            <w:noWrap/>
            <w:vAlign w:val="bottom"/>
            <w:hideMark/>
          </w:tcPr>
          <w:p w14:paraId="77947406"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372F26D3" w14:textId="77777777" w:rsidTr="00E70AF2">
        <w:trPr>
          <w:trHeight w:val="225"/>
        </w:trPr>
        <w:tc>
          <w:tcPr>
            <w:tcW w:w="2653" w:type="dxa"/>
            <w:tcBorders>
              <w:top w:val="nil"/>
              <w:left w:val="nil"/>
              <w:bottom w:val="nil"/>
              <w:right w:val="nil"/>
            </w:tcBorders>
            <w:shd w:val="clear" w:color="auto" w:fill="auto"/>
            <w:noWrap/>
            <w:vAlign w:val="bottom"/>
            <w:hideMark/>
          </w:tcPr>
          <w:p w14:paraId="05B083AF" w14:textId="028411C7" w:rsidR="002B5B49" w:rsidRPr="002B5B49" w:rsidRDefault="002B5B49" w:rsidP="00043975">
            <w:pPr>
              <w:spacing w:before="0" w:after="0" w:line="240" w:lineRule="auto"/>
              <w:ind w:firstLineChars="200" w:firstLine="320"/>
              <w:rPr>
                <w:rFonts w:ascii="Arial" w:hAnsi="Arial" w:cs="Arial"/>
                <w:sz w:val="16"/>
                <w:szCs w:val="16"/>
              </w:rPr>
            </w:pPr>
            <w:r w:rsidRPr="002B5B49">
              <w:rPr>
                <w:rFonts w:ascii="Arial" w:hAnsi="Arial" w:cs="Arial"/>
                <w:sz w:val="16"/>
                <w:szCs w:val="16"/>
              </w:rPr>
              <w:t>Ordinary annual services</w:t>
            </w:r>
            <w:r w:rsidRPr="002B5B49">
              <w:rPr>
                <w:rFonts w:ascii="Arial" w:hAnsi="Arial" w:cs="Arial"/>
                <w:sz w:val="16"/>
                <w:szCs w:val="16"/>
                <w:vertAlign w:val="superscript"/>
              </w:rPr>
              <w:t>(b)</w:t>
            </w:r>
          </w:p>
        </w:tc>
        <w:tc>
          <w:tcPr>
            <w:tcW w:w="936" w:type="dxa"/>
            <w:tcBorders>
              <w:top w:val="nil"/>
              <w:left w:val="nil"/>
              <w:bottom w:val="nil"/>
              <w:right w:val="nil"/>
            </w:tcBorders>
            <w:shd w:val="clear" w:color="auto" w:fill="auto"/>
            <w:noWrap/>
            <w:vAlign w:val="bottom"/>
            <w:hideMark/>
          </w:tcPr>
          <w:p w14:paraId="5FB88506"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32,694</w:t>
            </w:r>
          </w:p>
        </w:tc>
        <w:tc>
          <w:tcPr>
            <w:tcW w:w="932" w:type="dxa"/>
            <w:tcBorders>
              <w:top w:val="nil"/>
              <w:left w:val="nil"/>
              <w:bottom w:val="nil"/>
              <w:right w:val="nil"/>
            </w:tcBorders>
            <w:shd w:val="clear" w:color="000000" w:fill="D9D9D9"/>
            <w:noWrap/>
            <w:vAlign w:val="bottom"/>
            <w:hideMark/>
          </w:tcPr>
          <w:p w14:paraId="44D416B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29,250</w:t>
            </w:r>
          </w:p>
        </w:tc>
        <w:tc>
          <w:tcPr>
            <w:tcW w:w="933" w:type="dxa"/>
            <w:tcBorders>
              <w:top w:val="nil"/>
              <w:left w:val="nil"/>
              <w:bottom w:val="nil"/>
              <w:right w:val="nil"/>
            </w:tcBorders>
            <w:shd w:val="clear" w:color="auto" w:fill="auto"/>
            <w:noWrap/>
            <w:vAlign w:val="bottom"/>
            <w:hideMark/>
          </w:tcPr>
          <w:p w14:paraId="177834A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30,080</w:t>
            </w:r>
          </w:p>
        </w:tc>
        <w:tc>
          <w:tcPr>
            <w:tcW w:w="933" w:type="dxa"/>
            <w:tcBorders>
              <w:top w:val="nil"/>
              <w:left w:val="nil"/>
              <w:bottom w:val="nil"/>
              <w:right w:val="nil"/>
            </w:tcBorders>
            <w:shd w:val="clear" w:color="auto" w:fill="auto"/>
            <w:noWrap/>
            <w:vAlign w:val="bottom"/>
            <w:hideMark/>
          </w:tcPr>
          <w:p w14:paraId="79890A7D"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29,622</w:t>
            </w:r>
          </w:p>
        </w:tc>
        <w:tc>
          <w:tcPr>
            <w:tcW w:w="933" w:type="dxa"/>
            <w:tcBorders>
              <w:top w:val="nil"/>
              <w:left w:val="nil"/>
              <w:bottom w:val="nil"/>
              <w:right w:val="nil"/>
            </w:tcBorders>
            <w:shd w:val="clear" w:color="auto" w:fill="auto"/>
            <w:noWrap/>
            <w:vAlign w:val="bottom"/>
            <w:hideMark/>
          </w:tcPr>
          <w:p w14:paraId="1964481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30,105</w:t>
            </w:r>
          </w:p>
        </w:tc>
      </w:tr>
      <w:tr w:rsidR="002B5B49" w:rsidRPr="002B5B49" w14:paraId="53957C43" w14:textId="77777777" w:rsidTr="00B532D7">
        <w:trPr>
          <w:trHeight w:val="425"/>
        </w:trPr>
        <w:tc>
          <w:tcPr>
            <w:tcW w:w="2653" w:type="dxa"/>
            <w:tcBorders>
              <w:top w:val="nil"/>
              <w:left w:val="nil"/>
              <w:bottom w:val="nil"/>
              <w:right w:val="nil"/>
            </w:tcBorders>
            <w:shd w:val="clear" w:color="auto" w:fill="auto"/>
            <w:vAlign w:val="bottom"/>
            <w:hideMark/>
          </w:tcPr>
          <w:p w14:paraId="26F13F86" w14:textId="77777777" w:rsidR="002B5B49" w:rsidRPr="002B5B49" w:rsidRDefault="002B5B49" w:rsidP="002B5B49">
            <w:pPr>
              <w:spacing w:before="0" w:after="0" w:line="240" w:lineRule="auto"/>
              <w:ind w:leftChars="275" w:left="523"/>
              <w:rPr>
                <w:rFonts w:ascii="Arial" w:hAnsi="Arial" w:cs="Arial"/>
                <w:sz w:val="16"/>
                <w:szCs w:val="16"/>
              </w:rPr>
            </w:pPr>
            <w:r w:rsidRPr="002B5B49">
              <w:rPr>
                <w:rFonts w:ascii="Arial" w:hAnsi="Arial" w:cs="Arial"/>
                <w:sz w:val="16"/>
                <w:szCs w:val="16"/>
              </w:rPr>
              <w:t>to Australian Immunisation Register Special Account</w:t>
            </w:r>
          </w:p>
        </w:tc>
        <w:tc>
          <w:tcPr>
            <w:tcW w:w="936" w:type="dxa"/>
            <w:tcBorders>
              <w:top w:val="nil"/>
              <w:left w:val="nil"/>
              <w:bottom w:val="nil"/>
              <w:right w:val="nil"/>
            </w:tcBorders>
            <w:shd w:val="clear" w:color="auto" w:fill="auto"/>
            <w:noWrap/>
            <w:vAlign w:val="bottom"/>
            <w:hideMark/>
          </w:tcPr>
          <w:p w14:paraId="101ECD7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932" w:type="dxa"/>
            <w:tcBorders>
              <w:top w:val="nil"/>
              <w:left w:val="nil"/>
              <w:bottom w:val="nil"/>
              <w:right w:val="nil"/>
            </w:tcBorders>
            <w:shd w:val="clear" w:color="000000" w:fill="D9D9D9"/>
            <w:noWrap/>
            <w:vAlign w:val="bottom"/>
            <w:hideMark/>
          </w:tcPr>
          <w:p w14:paraId="08BD73F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933" w:type="dxa"/>
            <w:tcBorders>
              <w:top w:val="nil"/>
              <w:left w:val="nil"/>
              <w:bottom w:val="nil"/>
              <w:right w:val="nil"/>
            </w:tcBorders>
            <w:shd w:val="clear" w:color="auto" w:fill="auto"/>
            <w:noWrap/>
            <w:vAlign w:val="bottom"/>
            <w:hideMark/>
          </w:tcPr>
          <w:p w14:paraId="6716E93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933" w:type="dxa"/>
            <w:tcBorders>
              <w:top w:val="nil"/>
              <w:left w:val="nil"/>
              <w:bottom w:val="nil"/>
              <w:right w:val="nil"/>
            </w:tcBorders>
            <w:shd w:val="clear" w:color="auto" w:fill="auto"/>
            <w:noWrap/>
            <w:vAlign w:val="bottom"/>
            <w:hideMark/>
          </w:tcPr>
          <w:p w14:paraId="74FD503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933" w:type="dxa"/>
            <w:tcBorders>
              <w:top w:val="nil"/>
              <w:left w:val="nil"/>
              <w:bottom w:val="nil"/>
              <w:right w:val="nil"/>
            </w:tcBorders>
            <w:shd w:val="clear" w:color="auto" w:fill="auto"/>
            <w:noWrap/>
            <w:vAlign w:val="bottom"/>
            <w:hideMark/>
          </w:tcPr>
          <w:p w14:paraId="34FC715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r>
      <w:tr w:rsidR="002B5B49" w:rsidRPr="002B5B49" w14:paraId="469D8745" w14:textId="77777777" w:rsidTr="00E70AF2">
        <w:trPr>
          <w:trHeight w:val="225"/>
        </w:trPr>
        <w:tc>
          <w:tcPr>
            <w:tcW w:w="2653" w:type="dxa"/>
            <w:tcBorders>
              <w:top w:val="nil"/>
              <w:left w:val="nil"/>
              <w:bottom w:val="nil"/>
              <w:right w:val="nil"/>
            </w:tcBorders>
            <w:shd w:val="clear" w:color="auto" w:fill="auto"/>
            <w:noWrap/>
            <w:vAlign w:val="bottom"/>
            <w:hideMark/>
          </w:tcPr>
          <w:p w14:paraId="28CCE5C4" w14:textId="77777777" w:rsidR="002B5B49" w:rsidRPr="002B5B49" w:rsidRDefault="002B5B49" w:rsidP="002B5B49">
            <w:pPr>
              <w:spacing w:before="0" w:after="0" w:line="240" w:lineRule="auto"/>
              <w:ind w:firstLineChars="200" w:firstLine="320"/>
              <w:rPr>
                <w:rFonts w:ascii="Arial" w:hAnsi="Arial" w:cs="Arial"/>
                <w:sz w:val="16"/>
                <w:szCs w:val="16"/>
              </w:rPr>
            </w:pPr>
            <w:r w:rsidRPr="002B5B49">
              <w:rPr>
                <w:rFonts w:ascii="Arial" w:hAnsi="Arial" w:cs="Arial"/>
                <w:sz w:val="16"/>
                <w:szCs w:val="16"/>
              </w:rPr>
              <w:t>Special accounts</w:t>
            </w:r>
          </w:p>
        </w:tc>
        <w:tc>
          <w:tcPr>
            <w:tcW w:w="936" w:type="dxa"/>
            <w:tcBorders>
              <w:top w:val="nil"/>
              <w:left w:val="nil"/>
              <w:bottom w:val="nil"/>
              <w:right w:val="nil"/>
            </w:tcBorders>
            <w:shd w:val="clear" w:color="auto" w:fill="auto"/>
            <w:noWrap/>
            <w:vAlign w:val="bottom"/>
            <w:hideMark/>
          </w:tcPr>
          <w:p w14:paraId="5797585C" w14:textId="77777777" w:rsidR="002B5B49" w:rsidRPr="002B5B49" w:rsidRDefault="002B5B49" w:rsidP="002B5B49">
            <w:pPr>
              <w:spacing w:before="0" w:after="0" w:line="240" w:lineRule="auto"/>
              <w:ind w:firstLineChars="200" w:firstLine="320"/>
              <w:rPr>
                <w:rFonts w:ascii="Arial" w:hAnsi="Arial" w:cs="Arial"/>
                <w:sz w:val="16"/>
                <w:szCs w:val="16"/>
              </w:rPr>
            </w:pPr>
          </w:p>
        </w:tc>
        <w:tc>
          <w:tcPr>
            <w:tcW w:w="932" w:type="dxa"/>
            <w:tcBorders>
              <w:top w:val="nil"/>
              <w:left w:val="nil"/>
              <w:bottom w:val="nil"/>
              <w:right w:val="nil"/>
            </w:tcBorders>
            <w:shd w:val="clear" w:color="000000" w:fill="D9D9D9"/>
            <w:noWrap/>
            <w:vAlign w:val="bottom"/>
            <w:hideMark/>
          </w:tcPr>
          <w:p w14:paraId="6425983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 </w:t>
            </w:r>
          </w:p>
        </w:tc>
        <w:tc>
          <w:tcPr>
            <w:tcW w:w="933" w:type="dxa"/>
            <w:tcBorders>
              <w:top w:val="nil"/>
              <w:left w:val="nil"/>
              <w:bottom w:val="nil"/>
              <w:right w:val="nil"/>
            </w:tcBorders>
            <w:shd w:val="clear" w:color="auto" w:fill="auto"/>
            <w:noWrap/>
            <w:vAlign w:val="bottom"/>
            <w:hideMark/>
          </w:tcPr>
          <w:p w14:paraId="114C5051" w14:textId="77777777" w:rsidR="002B5B49" w:rsidRPr="002B5B49" w:rsidRDefault="002B5B49" w:rsidP="002B5B49">
            <w:pPr>
              <w:spacing w:before="0"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bottom"/>
            <w:hideMark/>
          </w:tcPr>
          <w:p w14:paraId="37B1F5F7" w14:textId="77777777" w:rsidR="002B5B49" w:rsidRPr="002B5B49" w:rsidRDefault="002B5B49" w:rsidP="002B5B49">
            <w:pPr>
              <w:spacing w:before="0" w:after="0" w:line="240" w:lineRule="auto"/>
              <w:jc w:val="right"/>
              <w:rPr>
                <w:rFonts w:ascii="Times New Roman" w:hAnsi="Times New Roman"/>
                <w:sz w:val="20"/>
              </w:rPr>
            </w:pPr>
          </w:p>
        </w:tc>
        <w:tc>
          <w:tcPr>
            <w:tcW w:w="933" w:type="dxa"/>
            <w:tcBorders>
              <w:top w:val="nil"/>
              <w:left w:val="nil"/>
              <w:bottom w:val="nil"/>
              <w:right w:val="nil"/>
            </w:tcBorders>
            <w:shd w:val="clear" w:color="auto" w:fill="auto"/>
            <w:noWrap/>
            <w:vAlign w:val="bottom"/>
            <w:hideMark/>
          </w:tcPr>
          <w:p w14:paraId="4135C398"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34483F53" w14:textId="77777777" w:rsidTr="00B532D7">
        <w:trPr>
          <w:trHeight w:val="595"/>
        </w:trPr>
        <w:tc>
          <w:tcPr>
            <w:tcW w:w="2653" w:type="dxa"/>
            <w:tcBorders>
              <w:top w:val="nil"/>
              <w:left w:val="nil"/>
              <w:bottom w:val="nil"/>
              <w:right w:val="nil"/>
            </w:tcBorders>
            <w:shd w:val="clear" w:color="auto" w:fill="auto"/>
            <w:vAlign w:val="bottom"/>
            <w:hideMark/>
          </w:tcPr>
          <w:p w14:paraId="245B2EDF" w14:textId="77777777" w:rsidR="002B5B49" w:rsidRPr="002B5B49" w:rsidRDefault="002B5B49" w:rsidP="002B5B49">
            <w:pPr>
              <w:spacing w:before="0" w:after="0" w:line="240" w:lineRule="auto"/>
              <w:ind w:leftChars="275" w:left="523"/>
              <w:rPr>
                <w:rFonts w:ascii="Arial" w:hAnsi="Arial" w:cs="Arial"/>
                <w:sz w:val="16"/>
                <w:szCs w:val="16"/>
              </w:rPr>
            </w:pPr>
            <w:r w:rsidRPr="002B5B49">
              <w:rPr>
                <w:rFonts w:ascii="Arial" w:hAnsi="Arial" w:cs="Arial"/>
                <w:sz w:val="16"/>
                <w:szCs w:val="16"/>
              </w:rPr>
              <w:t>Australian Immunisation Register Special Account - s78 PGPA Act</w:t>
            </w:r>
          </w:p>
        </w:tc>
        <w:tc>
          <w:tcPr>
            <w:tcW w:w="936" w:type="dxa"/>
            <w:tcBorders>
              <w:top w:val="nil"/>
              <w:left w:val="nil"/>
              <w:bottom w:val="nil"/>
              <w:right w:val="nil"/>
            </w:tcBorders>
            <w:shd w:val="clear" w:color="auto" w:fill="auto"/>
            <w:noWrap/>
            <w:vAlign w:val="bottom"/>
            <w:hideMark/>
          </w:tcPr>
          <w:p w14:paraId="5921DB7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9,819</w:t>
            </w:r>
          </w:p>
        </w:tc>
        <w:tc>
          <w:tcPr>
            <w:tcW w:w="932" w:type="dxa"/>
            <w:tcBorders>
              <w:top w:val="nil"/>
              <w:left w:val="nil"/>
              <w:bottom w:val="nil"/>
              <w:right w:val="nil"/>
            </w:tcBorders>
            <w:shd w:val="clear" w:color="000000" w:fill="D9D9D9"/>
            <w:noWrap/>
            <w:vAlign w:val="bottom"/>
            <w:hideMark/>
          </w:tcPr>
          <w:p w14:paraId="02ECE50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9,819</w:t>
            </w:r>
          </w:p>
        </w:tc>
        <w:tc>
          <w:tcPr>
            <w:tcW w:w="933" w:type="dxa"/>
            <w:tcBorders>
              <w:top w:val="nil"/>
              <w:left w:val="nil"/>
              <w:bottom w:val="nil"/>
              <w:right w:val="nil"/>
            </w:tcBorders>
            <w:shd w:val="clear" w:color="auto" w:fill="auto"/>
            <w:noWrap/>
            <w:vAlign w:val="bottom"/>
            <w:hideMark/>
          </w:tcPr>
          <w:p w14:paraId="551C23D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9,819</w:t>
            </w:r>
          </w:p>
        </w:tc>
        <w:tc>
          <w:tcPr>
            <w:tcW w:w="933" w:type="dxa"/>
            <w:tcBorders>
              <w:top w:val="nil"/>
              <w:left w:val="nil"/>
              <w:bottom w:val="nil"/>
              <w:right w:val="nil"/>
            </w:tcBorders>
            <w:shd w:val="clear" w:color="auto" w:fill="auto"/>
            <w:noWrap/>
            <w:vAlign w:val="bottom"/>
            <w:hideMark/>
          </w:tcPr>
          <w:p w14:paraId="33982CE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9,819</w:t>
            </w:r>
          </w:p>
        </w:tc>
        <w:tc>
          <w:tcPr>
            <w:tcW w:w="933" w:type="dxa"/>
            <w:tcBorders>
              <w:top w:val="nil"/>
              <w:left w:val="nil"/>
              <w:bottom w:val="nil"/>
              <w:right w:val="nil"/>
            </w:tcBorders>
            <w:shd w:val="clear" w:color="auto" w:fill="auto"/>
            <w:noWrap/>
            <w:vAlign w:val="bottom"/>
            <w:hideMark/>
          </w:tcPr>
          <w:p w14:paraId="6FFF6811"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9,819</w:t>
            </w:r>
          </w:p>
        </w:tc>
      </w:tr>
      <w:tr w:rsidR="002B5B49" w:rsidRPr="002B5B49" w14:paraId="4160993A" w14:textId="77777777" w:rsidTr="00E70AF2">
        <w:trPr>
          <w:trHeight w:val="225"/>
        </w:trPr>
        <w:tc>
          <w:tcPr>
            <w:tcW w:w="2653" w:type="dxa"/>
            <w:tcBorders>
              <w:top w:val="nil"/>
              <w:left w:val="nil"/>
              <w:bottom w:val="nil"/>
              <w:right w:val="nil"/>
            </w:tcBorders>
            <w:shd w:val="clear" w:color="auto" w:fill="auto"/>
            <w:noWrap/>
            <w:vAlign w:val="bottom"/>
            <w:hideMark/>
          </w:tcPr>
          <w:p w14:paraId="52B22366" w14:textId="6ED2AAAB" w:rsidR="002B5B49" w:rsidRPr="002B5B49" w:rsidRDefault="002B5B49" w:rsidP="00043975">
            <w:pPr>
              <w:spacing w:before="0" w:after="0" w:line="240" w:lineRule="auto"/>
              <w:ind w:firstLineChars="300" w:firstLine="480"/>
              <w:rPr>
                <w:rFonts w:ascii="Arial" w:hAnsi="Arial" w:cs="Arial"/>
                <w:sz w:val="16"/>
                <w:szCs w:val="16"/>
              </w:rPr>
            </w:pPr>
            <w:r w:rsidRPr="002B5B49">
              <w:rPr>
                <w:rFonts w:ascii="Arial" w:hAnsi="Arial" w:cs="Arial"/>
                <w:sz w:val="16"/>
                <w:szCs w:val="16"/>
              </w:rPr>
              <w:t>Expense adjustment</w:t>
            </w:r>
            <w:r w:rsidRPr="002B5B49">
              <w:rPr>
                <w:rFonts w:ascii="Arial" w:hAnsi="Arial" w:cs="Arial"/>
                <w:sz w:val="16"/>
                <w:szCs w:val="16"/>
                <w:vertAlign w:val="superscript"/>
              </w:rPr>
              <w:t>(d)</w:t>
            </w:r>
          </w:p>
        </w:tc>
        <w:tc>
          <w:tcPr>
            <w:tcW w:w="936" w:type="dxa"/>
            <w:tcBorders>
              <w:top w:val="nil"/>
              <w:left w:val="nil"/>
              <w:bottom w:val="nil"/>
              <w:right w:val="nil"/>
            </w:tcBorders>
            <w:shd w:val="clear" w:color="auto" w:fill="auto"/>
            <w:noWrap/>
            <w:vAlign w:val="bottom"/>
            <w:hideMark/>
          </w:tcPr>
          <w:p w14:paraId="1704EE8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w:t>
            </w:r>
          </w:p>
        </w:tc>
        <w:tc>
          <w:tcPr>
            <w:tcW w:w="932" w:type="dxa"/>
            <w:tcBorders>
              <w:top w:val="nil"/>
              <w:left w:val="nil"/>
              <w:bottom w:val="nil"/>
              <w:right w:val="nil"/>
            </w:tcBorders>
            <w:shd w:val="clear" w:color="000000" w:fill="D9D9D9"/>
            <w:noWrap/>
            <w:vAlign w:val="bottom"/>
            <w:hideMark/>
          </w:tcPr>
          <w:p w14:paraId="333E744D"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14:paraId="7E00729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14:paraId="72398CD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14:paraId="24DCB03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w:t>
            </w:r>
          </w:p>
        </w:tc>
      </w:tr>
      <w:tr w:rsidR="002B5B49" w:rsidRPr="002B5B49" w14:paraId="6CEE9D21" w14:textId="77777777" w:rsidTr="00E70AF2">
        <w:trPr>
          <w:trHeight w:val="225"/>
        </w:trPr>
        <w:tc>
          <w:tcPr>
            <w:tcW w:w="2653" w:type="dxa"/>
            <w:tcBorders>
              <w:top w:val="nil"/>
              <w:left w:val="nil"/>
              <w:bottom w:val="nil"/>
              <w:right w:val="nil"/>
            </w:tcBorders>
            <w:shd w:val="clear" w:color="auto" w:fill="auto"/>
            <w:noWrap/>
            <w:vAlign w:val="bottom"/>
            <w:hideMark/>
          </w:tcPr>
          <w:p w14:paraId="31E313D9" w14:textId="77777777" w:rsidR="002B5B49" w:rsidRPr="002B5B49" w:rsidRDefault="002B5B49" w:rsidP="002B5B49">
            <w:pPr>
              <w:spacing w:before="0" w:after="0" w:line="240" w:lineRule="auto"/>
              <w:ind w:firstLineChars="200" w:firstLine="320"/>
              <w:rPr>
                <w:rFonts w:ascii="Arial" w:hAnsi="Arial" w:cs="Arial"/>
                <w:sz w:val="16"/>
                <w:szCs w:val="16"/>
              </w:rPr>
            </w:pPr>
            <w:r w:rsidRPr="002B5B49">
              <w:rPr>
                <w:rFonts w:ascii="Arial" w:hAnsi="Arial" w:cs="Arial"/>
                <w:sz w:val="16"/>
                <w:szCs w:val="16"/>
              </w:rPr>
              <w:t>Special appropriations</w:t>
            </w:r>
          </w:p>
        </w:tc>
        <w:tc>
          <w:tcPr>
            <w:tcW w:w="936" w:type="dxa"/>
            <w:tcBorders>
              <w:top w:val="nil"/>
              <w:left w:val="nil"/>
              <w:bottom w:val="nil"/>
              <w:right w:val="nil"/>
            </w:tcBorders>
            <w:shd w:val="clear" w:color="auto" w:fill="auto"/>
            <w:noWrap/>
            <w:vAlign w:val="bottom"/>
            <w:hideMark/>
          </w:tcPr>
          <w:p w14:paraId="6F7D3423" w14:textId="77777777" w:rsidR="002B5B49" w:rsidRPr="002B5B49" w:rsidRDefault="002B5B49" w:rsidP="002B5B49">
            <w:pPr>
              <w:spacing w:before="0" w:after="0" w:line="240" w:lineRule="auto"/>
              <w:ind w:firstLineChars="200" w:firstLine="320"/>
              <w:rPr>
                <w:rFonts w:ascii="Arial" w:hAnsi="Arial" w:cs="Arial"/>
                <w:sz w:val="16"/>
                <w:szCs w:val="16"/>
              </w:rPr>
            </w:pPr>
          </w:p>
        </w:tc>
        <w:tc>
          <w:tcPr>
            <w:tcW w:w="932" w:type="dxa"/>
            <w:tcBorders>
              <w:top w:val="nil"/>
              <w:left w:val="nil"/>
              <w:bottom w:val="nil"/>
              <w:right w:val="nil"/>
            </w:tcBorders>
            <w:shd w:val="clear" w:color="000000" w:fill="D9D9D9"/>
            <w:noWrap/>
            <w:vAlign w:val="bottom"/>
            <w:hideMark/>
          </w:tcPr>
          <w:p w14:paraId="3146076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 </w:t>
            </w:r>
          </w:p>
        </w:tc>
        <w:tc>
          <w:tcPr>
            <w:tcW w:w="933" w:type="dxa"/>
            <w:tcBorders>
              <w:top w:val="nil"/>
              <w:left w:val="nil"/>
              <w:bottom w:val="nil"/>
              <w:right w:val="nil"/>
            </w:tcBorders>
            <w:shd w:val="clear" w:color="auto" w:fill="auto"/>
            <w:noWrap/>
            <w:vAlign w:val="bottom"/>
            <w:hideMark/>
          </w:tcPr>
          <w:p w14:paraId="66977281" w14:textId="77777777" w:rsidR="002B5B49" w:rsidRPr="002B5B49" w:rsidRDefault="002B5B49" w:rsidP="002B5B49">
            <w:pPr>
              <w:spacing w:before="0"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bottom"/>
            <w:hideMark/>
          </w:tcPr>
          <w:p w14:paraId="5B10A883" w14:textId="77777777" w:rsidR="002B5B49" w:rsidRPr="002B5B49" w:rsidRDefault="002B5B49" w:rsidP="002B5B49">
            <w:pPr>
              <w:spacing w:before="0" w:after="0" w:line="240" w:lineRule="auto"/>
              <w:jc w:val="right"/>
              <w:rPr>
                <w:rFonts w:ascii="Times New Roman" w:hAnsi="Times New Roman"/>
                <w:sz w:val="20"/>
              </w:rPr>
            </w:pPr>
          </w:p>
        </w:tc>
        <w:tc>
          <w:tcPr>
            <w:tcW w:w="933" w:type="dxa"/>
            <w:tcBorders>
              <w:top w:val="nil"/>
              <w:left w:val="nil"/>
              <w:bottom w:val="nil"/>
              <w:right w:val="nil"/>
            </w:tcBorders>
            <w:shd w:val="clear" w:color="auto" w:fill="auto"/>
            <w:noWrap/>
            <w:vAlign w:val="bottom"/>
            <w:hideMark/>
          </w:tcPr>
          <w:p w14:paraId="291D87C7"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07C83032" w14:textId="77777777" w:rsidTr="00B532D7">
        <w:trPr>
          <w:trHeight w:val="425"/>
        </w:trPr>
        <w:tc>
          <w:tcPr>
            <w:tcW w:w="2653" w:type="dxa"/>
            <w:tcBorders>
              <w:top w:val="nil"/>
              <w:left w:val="nil"/>
              <w:bottom w:val="nil"/>
              <w:right w:val="nil"/>
            </w:tcBorders>
            <w:shd w:val="clear" w:color="auto" w:fill="auto"/>
            <w:vAlign w:val="bottom"/>
            <w:hideMark/>
          </w:tcPr>
          <w:p w14:paraId="190EF1E7" w14:textId="77777777" w:rsidR="002B5B49" w:rsidRPr="002B5B49" w:rsidRDefault="002B5B49" w:rsidP="002B5B49">
            <w:pPr>
              <w:spacing w:before="0" w:after="0" w:line="240" w:lineRule="auto"/>
              <w:ind w:leftChars="275" w:left="523"/>
              <w:rPr>
                <w:rFonts w:ascii="Arial" w:hAnsi="Arial" w:cs="Arial"/>
                <w:sz w:val="16"/>
                <w:szCs w:val="16"/>
              </w:rPr>
            </w:pPr>
            <w:r w:rsidRPr="002B5B49">
              <w:rPr>
                <w:rFonts w:ascii="Arial" w:hAnsi="Arial" w:cs="Arial"/>
                <w:i/>
                <w:iCs/>
                <w:sz w:val="16"/>
                <w:szCs w:val="16"/>
              </w:rPr>
              <w:t>National Health Act 1953</w:t>
            </w:r>
            <w:r w:rsidRPr="002B5B49">
              <w:rPr>
                <w:rFonts w:ascii="Arial" w:hAnsi="Arial" w:cs="Arial"/>
                <w:sz w:val="16"/>
                <w:szCs w:val="16"/>
              </w:rPr>
              <w:t xml:space="preserve"> </w:t>
            </w:r>
            <w:r w:rsidRPr="002B5B49">
              <w:rPr>
                <w:rFonts w:ascii="Arial" w:hAnsi="Arial" w:cs="Arial"/>
                <w:sz w:val="16"/>
                <w:szCs w:val="16"/>
              </w:rPr>
              <w:br/>
              <w:t>- essential vaccines</w:t>
            </w:r>
          </w:p>
        </w:tc>
        <w:tc>
          <w:tcPr>
            <w:tcW w:w="936" w:type="dxa"/>
            <w:tcBorders>
              <w:top w:val="nil"/>
              <w:left w:val="nil"/>
              <w:bottom w:val="nil"/>
              <w:right w:val="nil"/>
            </w:tcBorders>
            <w:shd w:val="clear" w:color="auto" w:fill="auto"/>
            <w:noWrap/>
            <w:vAlign w:val="bottom"/>
            <w:hideMark/>
          </w:tcPr>
          <w:p w14:paraId="6D62E89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440,827</w:t>
            </w:r>
          </w:p>
        </w:tc>
        <w:tc>
          <w:tcPr>
            <w:tcW w:w="932" w:type="dxa"/>
            <w:tcBorders>
              <w:top w:val="nil"/>
              <w:left w:val="nil"/>
              <w:bottom w:val="nil"/>
              <w:right w:val="nil"/>
            </w:tcBorders>
            <w:shd w:val="clear" w:color="000000" w:fill="D9D9D9"/>
            <w:noWrap/>
            <w:vAlign w:val="bottom"/>
            <w:hideMark/>
          </w:tcPr>
          <w:p w14:paraId="068188C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512,149</w:t>
            </w:r>
          </w:p>
        </w:tc>
        <w:tc>
          <w:tcPr>
            <w:tcW w:w="933" w:type="dxa"/>
            <w:tcBorders>
              <w:top w:val="nil"/>
              <w:left w:val="nil"/>
              <w:bottom w:val="nil"/>
              <w:right w:val="nil"/>
            </w:tcBorders>
            <w:shd w:val="clear" w:color="auto" w:fill="auto"/>
            <w:noWrap/>
            <w:vAlign w:val="bottom"/>
            <w:hideMark/>
          </w:tcPr>
          <w:p w14:paraId="3268FC7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541,985</w:t>
            </w:r>
          </w:p>
        </w:tc>
        <w:tc>
          <w:tcPr>
            <w:tcW w:w="933" w:type="dxa"/>
            <w:tcBorders>
              <w:top w:val="nil"/>
              <w:left w:val="nil"/>
              <w:bottom w:val="nil"/>
              <w:right w:val="nil"/>
            </w:tcBorders>
            <w:shd w:val="clear" w:color="auto" w:fill="auto"/>
            <w:noWrap/>
            <w:vAlign w:val="bottom"/>
            <w:hideMark/>
          </w:tcPr>
          <w:p w14:paraId="00A9D6E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544,648</w:t>
            </w:r>
          </w:p>
        </w:tc>
        <w:tc>
          <w:tcPr>
            <w:tcW w:w="933" w:type="dxa"/>
            <w:tcBorders>
              <w:top w:val="nil"/>
              <w:left w:val="nil"/>
              <w:bottom w:val="nil"/>
              <w:right w:val="nil"/>
            </w:tcBorders>
            <w:shd w:val="clear" w:color="auto" w:fill="auto"/>
            <w:noWrap/>
            <w:vAlign w:val="bottom"/>
            <w:hideMark/>
          </w:tcPr>
          <w:p w14:paraId="0EA5C01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545,979</w:t>
            </w:r>
          </w:p>
        </w:tc>
      </w:tr>
      <w:tr w:rsidR="002B5B49" w:rsidRPr="002B5B49" w14:paraId="3C74F79B" w14:textId="77777777" w:rsidTr="00B532D7">
        <w:trPr>
          <w:trHeight w:val="283"/>
        </w:trPr>
        <w:tc>
          <w:tcPr>
            <w:tcW w:w="2653" w:type="dxa"/>
            <w:tcBorders>
              <w:top w:val="nil"/>
              <w:left w:val="nil"/>
              <w:bottom w:val="nil"/>
              <w:right w:val="nil"/>
            </w:tcBorders>
            <w:shd w:val="clear" w:color="auto" w:fill="auto"/>
            <w:noWrap/>
            <w:vAlign w:val="bottom"/>
            <w:hideMark/>
          </w:tcPr>
          <w:p w14:paraId="25ED9F5B" w14:textId="77777777" w:rsidR="002B5B49" w:rsidRPr="002B5B49" w:rsidRDefault="002B5B49" w:rsidP="002B5B49">
            <w:pPr>
              <w:spacing w:before="0" w:after="0" w:line="240" w:lineRule="auto"/>
              <w:ind w:firstLineChars="100" w:firstLine="161"/>
              <w:rPr>
                <w:rFonts w:ascii="Arial" w:hAnsi="Arial" w:cs="Arial"/>
                <w:b/>
                <w:bCs/>
                <w:sz w:val="16"/>
                <w:szCs w:val="16"/>
              </w:rPr>
            </w:pPr>
            <w:r w:rsidRPr="002B5B49">
              <w:rPr>
                <w:rFonts w:ascii="Arial" w:hAnsi="Arial" w:cs="Arial"/>
                <w:b/>
                <w:bCs/>
                <w:sz w:val="16"/>
                <w:szCs w:val="16"/>
              </w:rPr>
              <w:t>Total for Program 1.9</w:t>
            </w:r>
          </w:p>
        </w:tc>
        <w:tc>
          <w:tcPr>
            <w:tcW w:w="936" w:type="dxa"/>
            <w:tcBorders>
              <w:top w:val="single" w:sz="4" w:space="0" w:color="auto"/>
              <w:left w:val="nil"/>
              <w:bottom w:val="single" w:sz="4" w:space="0" w:color="auto"/>
              <w:right w:val="nil"/>
            </w:tcBorders>
            <w:shd w:val="clear" w:color="auto" w:fill="auto"/>
            <w:noWrap/>
            <w:vAlign w:val="bottom"/>
            <w:hideMark/>
          </w:tcPr>
          <w:p w14:paraId="28073632"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476,207</w:t>
            </w:r>
          </w:p>
        </w:tc>
        <w:tc>
          <w:tcPr>
            <w:tcW w:w="932" w:type="dxa"/>
            <w:tcBorders>
              <w:top w:val="single" w:sz="4" w:space="0" w:color="auto"/>
              <w:left w:val="nil"/>
              <w:bottom w:val="single" w:sz="4" w:space="0" w:color="auto"/>
              <w:right w:val="nil"/>
            </w:tcBorders>
            <w:shd w:val="clear" w:color="000000" w:fill="D9D9D9"/>
            <w:noWrap/>
            <w:vAlign w:val="bottom"/>
            <w:hideMark/>
          </w:tcPr>
          <w:p w14:paraId="37B6ECFA"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544,085</w:t>
            </w:r>
          </w:p>
        </w:tc>
        <w:tc>
          <w:tcPr>
            <w:tcW w:w="933" w:type="dxa"/>
            <w:tcBorders>
              <w:top w:val="single" w:sz="4" w:space="0" w:color="auto"/>
              <w:left w:val="nil"/>
              <w:bottom w:val="single" w:sz="4" w:space="0" w:color="auto"/>
              <w:right w:val="nil"/>
            </w:tcBorders>
            <w:shd w:val="clear" w:color="auto" w:fill="auto"/>
            <w:noWrap/>
            <w:vAlign w:val="bottom"/>
            <w:hideMark/>
          </w:tcPr>
          <w:p w14:paraId="7FADF59E"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574,751</w:t>
            </w:r>
          </w:p>
        </w:tc>
        <w:tc>
          <w:tcPr>
            <w:tcW w:w="933" w:type="dxa"/>
            <w:tcBorders>
              <w:top w:val="single" w:sz="4" w:space="0" w:color="auto"/>
              <w:left w:val="nil"/>
              <w:bottom w:val="single" w:sz="4" w:space="0" w:color="auto"/>
              <w:right w:val="nil"/>
            </w:tcBorders>
            <w:shd w:val="clear" w:color="auto" w:fill="auto"/>
            <w:noWrap/>
            <w:vAlign w:val="bottom"/>
            <w:hideMark/>
          </w:tcPr>
          <w:p w14:paraId="4FB498CC"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576,956</w:t>
            </w:r>
          </w:p>
        </w:tc>
        <w:tc>
          <w:tcPr>
            <w:tcW w:w="933" w:type="dxa"/>
            <w:tcBorders>
              <w:top w:val="single" w:sz="4" w:space="0" w:color="auto"/>
              <w:left w:val="nil"/>
              <w:bottom w:val="single" w:sz="4" w:space="0" w:color="auto"/>
              <w:right w:val="nil"/>
            </w:tcBorders>
            <w:shd w:val="clear" w:color="auto" w:fill="auto"/>
            <w:noWrap/>
            <w:vAlign w:val="bottom"/>
            <w:hideMark/>
          </w:tcPr>
          <w:p w14:paraId="5E56A140"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578,770</w:t>
            </w:r>
          </w:p>
        </w:tc>
      </w:tr>
    </w:tbl>
    <w:p w14:paraId="7680DAAA" w14:textId="77777777" w:rsidR="00D97536" w:rsidRDefault="00D97536" w:rsidP="002B5B49">
      <w:pPr>
        <w:spacing w:after="120" w:line="240" w:lineRule="auto"/>
        <w:ind w:right="-113"/>
        <w:rPr>
          <w:rFonts w:ascii="Arial" w:hAnsi="Arial" w:cs="Arial"/>
          <w:b/>
          <w:color w:val="000000"/>
          <w:sz w:val="20"/>
        </w:rPr>
      </w:pPr>
    </w:p>
    <w:p w14:paraId="000DF064" w14:textId="77777777" w:rsidR="00D97536" w:rsidRDefault="00D97536">
      <w:pPr>
        <w:spacing w:before="0" w:after="0" w:line="240" w:lineRule="auto"/>
        <w:rPr>
          <w:rFonts w:ascii="Arial" w:hAnsi="Arial" w:cs="Arial"/>
          <w:b/>
          <w:color w:val="000000"/>
          <w:sz w:val="20"/>
        </w:rPr>
      </w:pPr>
      <w:r>
        <w:rPr>
          <w:rFonts w:ascii="Arial" w:hAnsi="Arial" w:cs="Arial"/>
          <w:b/>
          <w:color w:val="000000"/>
          <w:sz w:val="20"/>
        </w:rPr>
        <w:br w:type="page"/>
      </w:r>
    </w:p>
    <w:p w14:paraId="17BDC09D" w14:textId="4851AAB0" w:rsidR="002B5B49" w:rsidRPr="002B5B49" w:rsidRDefault="002B5B49" w:rsidP="007B67BB">
      <w:pPr>
        <w:spacing w:after="20" w:line="240" w:lineRule="auto"/>
        <w:ind w:right="-113"/>
        <w:rPr>
          <w:rFonts w:ascii="Arial" w:hAnsi="Arial" w:cs="Arial"/>
          <w:b/>
          <w:color w:val="000000"/>
          <w:sz w:val="20"/>
        </w:rPr>
      </w:pPr>
      <w:r w:rsidRPr="002B5B49">
        <w:rPr>
          <w:rFonts w:ascii="Arial" w:hAnsi="Arial" w:cs="Arial"/>
          <w:b/>
          <w:color w:val="000000"/>
          <w:sz w:val="20"/>
        </w:rPr>
        <w:lastRenderedPageBreak/>
        <w:t>Table 2.1.1: Budgeted expenses for Outcome 1 (continued)</w:t>
      </w:r>
    </w:p>
    <w:tbl>
      <w:tblPr>
        <w:tblW w:w="7320" w:type="dxa"/>
        <w:tblLayout w:type="fixed"/>
        <w:tblLook w:val="04A0" w:firstRow="1" w:lastRow="0" w:firstColumn="1" w:lastColumn="0" w:noHBand="0" w:noVBand="1"/>
      </w:tblPr>
      <w:tblGrid>
        <w:gridCol w:w="2858"/>
        <w:gridCol w:w="904"/>
        <w:gridCol w:w="904"/>
        <w:gridCol w:w="904"/>
        <w:gridCol w:w="875"/>
        <w:gridCol w:w="875"/>
      </w:tblGrid>
      <w:tr w:rsidR="002B5B49" w:rsidRPr="002B5B49" w14:paraId="115FA2EA" w14:textId="77777777" w:rsidTr="00E70AF2">
        <w:trPr>
          <w:trHeight w:val="765"/>
        </w:trPr>
        <w:tc>
          <w:tcPr>
            <w:tcW w:w="2858" w:type="dxa"/>
            <w:tcBorders>
              <w:top w:val="single" w:sz="4" w:space="0" w:color="auto"/>
              <w:left w:val="nil"/>
              <w:bottom w:val="nil"/>
              <w:right w:val="nil"/>
            </w:tcBorders>
            <w:shd w:val="clear" w:color="auto" w:fill="auto"/>
            <w:hideMark/>
          </w:tcPr>
          <w:p w14:paraId="6592F497"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 </w:t>
            </w:r>
          </w:p>
        </w:tc>
        <w:tc>
          <w:tcPr>
            <w:tcW w:w="904" w:type="dxa"/>
            <w:tcBorders>
              <w:top w:val="single" w:sz="4" w:space="0" w:color="auto"/>
              <w:left w:val="nil"/>
              <w:bottom w:val="single" w:sz="4" w:space="0" w:color="auto"/>
              <w:right w:val="nil"/>
            </w:tcBorders>
            <w:shd w:val="clear" w:color="auto" w:fill="auto"/>
            <w:tcMar>
              <w:left w:w="0" w:type="dxa"/>
            </w:tcMar>
            <w:hideMark/>
          </w:tcPr>
          <w:p w14:paraId="51BE2F7A"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2022–23</w:t>
            </w:r>
            <w:r w:rsidRPr="002B5B49">
              <w:rPr>
                <w:rFonts w:ascii="Arial" w:hAnsi="Arial" w:cs="Arial"/>
                <w:b/>
                <w:bCs/>
                <w:sz w:val="16"/>
                <w:szCs w:val="16"/>
              </w:rPr>
              <w:br/>
              <w:t>Estimated actual</w:t>
            </w:r>
            <w:r w:rsidRPr="002B5B49">
              <w:rPr>
                <w:rFonts w:ascii="Arial" w:hAnsi="Arial" w:cs="Arial"/>
                <w:b/>
                <w:bCs/>
                <w:sz w:val="16"/>
                <w:szCs w:val="16"/>
              </w:rPr>
              <w:br/>
            </w:r>
            <w:r w:rsidRPr="00CE69E2">
              <w:rPr>
                <w:rFonts w:ascii="Arial" w:hAnsi="Arial" w:cs="Arial"/>
                <w:bCs/>
                <w:sz w:val="16"/>
                <w:szCs w:val="16"/>
              </w:rPr>
              <w:t>$'000</w:t>
            </w:r>
          </w:p>
        </w:tc>
        <w:tc>
          <w:tcPr>
            <w:tcW w:w="904" w:type="dxa"/>
            <w:tcBorders>
              <w:top w:val="single" w:sz="4" w:space="0" w:color="auto"/>
              <w:left w:val="nil"/>
              <w:bottom w:val="single" w:sz="4" w:space="0" w:color="auto"/>
              <w:right w:val="nil"/>
            </w:tcBorders>
            <w:shd w:val="clear" w:color="000000" w:fill="D9D9D9"/>
            <w:hideMark/>
          </w:tcPr>
          <w:p w14:paraId="0830475F"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2023–24 Budget</w:t>
            </w:r>
            <w:r w:rsidRPr="002B5B49">
              <w:rPr>
                <w:rFonts w:ascii="Arial" w:hAnsi="Arial" w:cs="Arial"/>
                <w:b/>
                <w:bCs/>
                <w:sz w:val="16"/>
                <w:szCs w:val="16"/>
              </w:rPr>
              <w:br/>
            </w:r>
            <w:r w:rsidRPr="002B5B49">
              <w:rPr>
                <w:rFonts w:ascii="Arial" w:hAnsi="Arial" w:cs="Arial"/>
                <w:b/>
                <w:bCs/>
                <w:sz w:val="16"/>
                <w:szCs w:val="16"/>
              </w:rPr>
              <w:br/>
            </w:r>
            <w:r w:rsidRPr="00CE69E2">
              <w:rPr>
                <w:rFonts w:ascii="Arial" w:hAnsi="Arial" w:cs="Arial"/>
                <w:bCs/>
                <w:sz w:val="16"/>
                <w:szCs w:val="16"/>
              </w:rPr>
              <w:t>$'000</w:t>
            </w:r>
          </w:p>
        </w:tc>
        <w:tc>
          <w:tcPr>
            <w:tcW w:w="904" w:type="dxa"/>
            <w:tcBorders>
              <w:top w:val="single" w:sz="4" w:space="0" w:color="auto"/>
              <w:left w:val="nil"/>
              <w:bottom w:val="single" w:sz="4" w:space="0" w:color="auto"/>
              <w:right w:val="nil"/>
            </w:tcBorders>
            <w:shd w:val="clear" w:color="auto" w:fill="auto"/>
            <w:hideMark/>
          </w:tcPr>
          <w:p w14:paraId="3F2EB824"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2024–25 Forward estimate</w:t>
            </w:r>
            <w:r w:rsidRPr="002B5B49">
              <w:rPr>
                <w:rFonts w:ascii="Arial" w:hAnsi="Arial" w:cs="Arial"/>
                <w:b/>
                <w:bCs/>
                <w:sz w:val="16"/>
                <w:szCs w:val="16"/>
              </w:rPr>
              <w:br/>
            </w:r>
            <w:r w:rsidRPr="00CE69E2">
              <w:rPr>
                <w:rFonts w:ascii="Arial" w:hAnsi="Arial" w:cs="Arial"/>
                <w:bCs/>
                <w:sz w:val="16"/>
                <w:szCs w:val="16"/>
              </w:rPr>
              <w:t>$'000</w:t>
            </w:r>
          </w:p>
        </w:tc>
        <w:tc>
          <w:tcPr>
            <w:tcW w:w="875" w:type="dxa"/>
            <w:tcBorders>
              <w:top w:val="single" w:sz="4" w:space="0" w:color="auto"/>
              <w:left w:val="nil"/>
              <w:bottom w:val="single" w:sz="4" w:space="0" w:color="auto"/>
              <w:right w:val="nil"/>
            </w:tcBorders>
            <w:shd w:val="clear" w:color="auto" w:fill="auto"/>
            <w:hideMark/>
          </w:tcPr>
          <w:p w14:paraId="7E5B127E"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2025–26 Forward estimate</w:t>
            </w:r>
            <w:r w:rsidRPr="002B5B49">
              <w:rPr>
                <w:rFonts w:ascii="Arial" w:hAnsi="Arial" w:cs="Arial"/>
                <w:b/>
                <w:bCs/>
                <w:sz w:val="16"/>
                <w:szCs w:val="16"/>
              </w:rPr>
              <w:br/>
            </w:r>
            <w:r w:rsidRPr="00CE69E2">
              <w:rPr>
                <w:rFonts w:ascii="Arial" w:hAnsi="Arial" w:cs="Arial"/>
                <w:bCs/>
                <w:sz w:val="16"/>
                <w:szCs w:val="16"/>
              </w:rPr>
              <w:t>$'000</w:t>
            </w:r>
          </w:p>
        </w:tc>
        <w:tc>
          <w:tcPr>
            <w:tcW w:w="875" w:type="dxa"/>
            <w:tcBorders>
              <w:top w:val="single" w:sz="4" w:space="0" w:color="auto"/>
              <w:left w:val="nil"/>
              <w:bottom w:val="single" w:sz="4" w:space="0" w:color="auto"/>
              <w:right w:val="nil"/>
            </w:tcBorders>
            <w:shd w:val="clear" w:color="auto" w:fill="auto"/>
            <w:hideMark/>
          </w:tcPr>
          <w:p w14:paraId="06E16EAD"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2026–27 Forward estimate</w:t>
            </w:r>
            <w:r w:rsidRPr="002B5B49">
              <w:rPr>
                <w:rFonts w:ascii="Arial" w:hAnsi="Arial" w:cs="Arial"/>
                <w:b/>
                <w:bCs/>
                <w:sz w:val="16"/>
                <w:szCs w:val="16"/>
              </w:rPr>
              <w:br/>
            </w:r>
            <w:r w:rsidRPr="00CE69E2">
              <w:rPr>
                <w:rFonts w:ascii="Arial" w:hAnsi="Arial" w:cs="Arial"/>
                <w:bCs/>
                <w:sz w:val="16"/>
                <w:szCs w:val="16"/>
              </w:rPr>
              <w:t>$'000</w:t>
            </w:r>
          </w:p>
        </w:tc>
      </w:tr>
      <w:tr w:rsidR="002B5B49" w:rsidRPr="002B5B49" w14:paraId="30FF58AD" w14:textId="77777777" w:rsidTr="00CE69E2">
        <w:trPr>
          <w:trHeight w:val="283"/>
        </w:trPr>
        <w:tc>
          <w:tcPr>
            <w:tcW w:w="7320" w:type="dxa"/>
            <w:gridSpan w:val="6"/>
            <w:tcBorders>
              <w:top w:val="nil"/>
              <w:left w:val="nil"/>
              <w:bottom w:val="nil"/>
              <w:right w:val="nil"/>
            </w:tcBorders>
            <w:shd w:val="clear" w:color="auto" w:fill="auto"/>
            <w:vAlign w:val="bottom"/>
            <w:hideMark/>
          </w:tcPr>
          <w:p w14:paraId="1CF9AA1A" w14:textId="77777777" w:rsidR="002B5B49" w:rsidRPr="002B5B49" w:rsidRDefault="002B5B49" w:rsidP="002B5B49">
            <w:pPr>
              <w:spacing w:before="0" w:after="0" w:line="240" w:lineRule="auto"/>
              <w:rPr>
                <w:rFonts w:ascii="Arial" w:hAnsi="Arial" w:cs="Arial"/>
                <w:b/>
                <w:bCs/>
                <w:sz w:val="16"/>
                <w:szCs w:val="16"/>
              </w:rPr>
            </w:pPr>
            <w:r w:rsidRPr="002B5B49">
              <w:rPr>
                <w:rFonts w:ascii="Arial" w:hAnsi="Arial" w:cs="Arial"/>
                <w:b/>
                <w:bCs/>
                <w:sz w:val="16"/>
                <w:szCs w:val="16"/>
              </w:rPr>
              <w:t>Outcome 1 totals by appropriation type</w:t>
            </w:r>
          </w:p>
        </w:tc>
      </w:tr>
      <w:tr w:rsidR="002B5B49" w:rsidRPr="002B5B49" w14:paraId="221B3326" w14:textId="77777777" w:rsidTr="00CE69E2">
        <w:trPr>
          <w:trHeight w:val="283"/>
        </w:trPr>
        <w:tc>
          <w:tcPr>
            <w:tcW w:w="2858" w:type="dxa"/>
            <w:tcBorders>
              <w:top w:val="nil"/>
              <w:left w:val="nil"/>
              <w:bottom w:val="nil"/>
              <w:right w:val="nil"/>
            </w:tcBorders>
            <w:shd w:val="clear" w:color="auto" w:fill="auto"/>
            <w:noWrap/>
            <w:vAlign w:val="bottom"/>
            <w:hideMark/>
          </w:tcPr>
          <w:p w14:paraId="4EF9A549" w14:textId="77777777" w:rsidR="002B5B49" w:rsidRPr="002B5B49" w:rsidRDefault="002B5B49" w:rsidP="002B5B49">
            <w:pPr>
              <w:spacing w:before="0" w:after="0" w:line="240" w:lineRule="auto"/>
              <w:ind w:firstLineChars="100" w:firstLine="160"/>
              <w:rPr>
                <w:rFonts w:ascii="Arial" w:hAnsi="Arial" w:cs="Arial"/>
                <w:sz w:val="16"/>
                <w:szCs w:val="16"/>
              </w:rPr>
            </w:pPr>
            <w:r w:rsidRPr="002B5B49">
              <w:rPr>
                <w:rFonts w:ascii="Arial" w:hAnsi="Arial" w:cs="Arial"/>
                <w:sz w:val="16"/>
                <w:szCs w:val="16"/>
              </w:rPr>
              <w:t>Administered expenses</w:t>
            </w:r>
          </w:p>
        </w:tc>
        <w:tc>
          <w:tcPr>
            <w:tcW w:w="904" w:type="dxa"/>
            <w:tcBorders>
              <w:top w:val="nil"/>
              <w:left w:val="nil"/>
              <w:bottom w:val="nil"/>
              <w:right w:val="nil"/>
            </w:tcBorders>
            <w:shd w:val="clear" w:color="auto" w:fill="auto"/>
            <w:noWrap/>
            <w:vAlign w:val="bottom"/>
            <w:hideMark/>
          </w:tcPr>
          <w:p w14:paraId="5A46C373" w14:textId="77777777" w:rsidR="002B5B49" w:rsidRPr="002B5B49" w:rsidRDefault="002B5B49" w:rsidP="002B5B49">
            <w:pPr>
              <w:spacing w:before="0" w:after="0" w:line="240" w:lineRule="auto"/>
              <w:ind w:firstLineChars="100" w:firstLine="160"/>
              <w:rPr>
                <w:rFonts w:ascii="Arial" w:hAnsi="Arial" w:cs="Arial"/>
                <w:sz w:val="16"/>
                <w:szCs w:val="16"/>
              </w:rPr>
            </w:pPr>
          </w:p>
        </w:tc>
        <w:tc>
          <w:tcPr>
            <w:tcW w:w="904" w:type="dxa"/>
            <w:tcBorders>
              <w:top w:val="nil"/>
              <w:left w:val="nil"/>
              <w:bottom w:val="nil"/>
              <w:right w:val="nil"/>
            </w:tcBorders>
            <w:shd w:val="clear" w:color="000000" w:fill="D9D9D9"/>
            <w:noWrap/>
            <w:vAlign w:val="bottom"/>
            <w:hideMark/>
          </w:tcPr>
          <w:p w14:paraId="67C4FC20"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04" w:type="dxa"/>
            <w:tcBorders>
              <w:top w:val="nil"/>
              <w:left w:val="nil"/>
              <w:bottom w:val="nil"/>
              <w:right w:val="nil"/>
            </w:tcBorders>
            <w:shd w:val="clear" w:color="auto" w:fill="auto"/>
            <w:noWrap/>
            <w:vAlign w:val="bottom"/>
            <w:hideMark/>
          </w:tcPr>
          <w:p w14:paraId="0B09404E" w14:textId="77777777" w:rsidR="002B5B49" w:rsidRPr="002B5B49" w:rsidRDefault="002B5B49" w:rsidP="002B5B49">
            <w:pPr>
              <w:spacing w:before="0" w:after="0" w:line="240" w:lineRule="auto"/>
              <w:jc w:val="right"/>
              <w:rPr>
                <w:rFonts w:ascii="Arial" w:hAnsi="Arial" w:cs="Arial"/>
                <w:b/>
                <w:bCs/>
                <w:sz w:val="16"/>
                <w:szCs w:val="16"/>
              </w:rPr>
            </w:pPr>
          </w:p>
        </w:tc>
        <w:tc>
          <w:tcPr>
            <w:tcW w:w="875" w:type="dxa"/>
            <w:tcBorders>
              <w:top w:val="nil"/>
              <w:left w:val="nil"/>
              <w:bottom w:val="nil"/>
              <w:right w:val="nil"/>
            </w:tcBorders>
            <w:shd w:val="clear" w:color="auto" w:fill="auto"/>
            <w:noWrap/>
            <w:vAlign w:val="bottom"/>
            <w:hideMark/>
          </w:tcPr>
          <w:p w14:paraId="7CF49A4B" w14:textId="77777777" w:rsidR="002B5B49" w:rsidRPr="002B5B49" w:rsidRDefault="002B5B49" w:rsidP="002B5B49">
            <w:pPr>
              <w:spacing w:before="0" w:after="0" w:line="240" w:lineRule="auto"/>
              <w:jc w:val="right"/>
              <w:rPr>
                <w:rFonts w:ascii="Times New Roman" w:hAnsi="Times New Roman"/>
                <w:sz w:val="20"/>
              </w:rPr>
            </w:pPr>
          </w:p>
        </w:tc>
        <w:tc>
          <w:tcPr>
            <w:tcW w:w="875" w:type="dxa"/>
            <w:tcBorders>
              <w:top w:val="nil"/>
              <w:left w:val="nil"/>
              <w:bottom w:val="nil"/>
              <w:right w:val="nil"/>
            </w:tcBorders>
            <w:shd w:val="clear" w:color="auto" w:fill="auto"/>
            <w:noWrap/>
            <w:vAlign w:val="bottom"/>
            <w:hideMark/>
          </w:tcPr>
          <w:p w14:paraId="4ED024A8"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1814578C" w14:textId="77777777" w:rsidTr="00E70AF2">
        <w:trPr>
          <w:trHeight w:val="225"/>
        </w:trPr>
        <w:tc>
          <w:tcPr>
            <w:tcW w:w="2858" w:type="dxa"/>
            <w:tcBorders>
              <w:top w:val="nil"/>
              <w:left w:val="nil"/>
              <w:bottom w:val="nil"/>
              <w:right w:val="nil"/>
            </w:tcBorders>
            <w:shd w:val="clear" w:color="auto" w:fill="auto"/>
            <w:noWrap/>
            <w:vAlign w:val="bottom"/>
            <w:hideMark/>
          </w:tcPr>
          <w:p w14:paraId="088604C9" w14:textId="64BD8133" w:rsidR="002B5B49" w:rsidRPr="002B5B49" w:rsidRDefault="002B5B49" w:rsidP="00043975">
            <w:pPr>
              <w:spacing w:before="0" w:after="0" w:line="240" w:lineRule="auto"/>
              <w:ind w:leftChars="175" w:left="333"/>
              <w:rPr>
                <w:rFonts w:ascii="Arial" w:hAnsi="Arial" w:cs="Arial"/>
                <w:sz w:val="16"/>
                <w:szCs w:val="16"/>
              </w:rPr>
            </w:pPr>
            <w:r w:rsidRPr="002B5B49">
              <w:rPr>
                <w:rFonts w:ascii="Arial" w:hAnsi="Arial" w:cs="Arial"/>
                <w:sz w:val="16"/>
                <w:szCs w:val="16"/>
              </w:rPr>
              <w:t>Ordinary annual services</w:t>
            </w:r>
            <w:r w:rsidRPr="002B5B49">
              <w:rPr>
                <w:rFonts w:ascii="Arial" w:hAnsi="Arial" w:cs="Arial"/>
                <w:sz w:val="16"/>
                <w:szCs w:val="16"/>
                <w:vertAlign w:val="superscript"/>
              </w:rPr>
              <w:t>(b)</w:t>
            </w:r>
          </w:p>
        </w:tc>
        <w:tc>
          <w:tcPr>
            <w:tcW w:w="904" w:type="dxa"/>
            <w:tcBorders>
              <w:top w:val="nil"/>
              <w:left w:val="nil"/>
              <w:bottom w:val="nil"/>
              <w:right w:val="nil"/>
            </w:tcBorders>
            <w:shd w:val="clear" w:color="auto" w:fill="auto"/>
            <w:noWrap/>
            <w:tcMar>
              <w:left w:w="0" w:type="dxa"/>
              <w:right w:w="0" w:type="dxa"/>
            </w:tcMar>
            <w:vAlign w:val="bottom"/>
            <w:hideMark/>
          </w:tcPr>
          <w:p w14:paraId="18724D8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11,218,388</w:t>
            </w:r>
          </w:p>
        </w:tc>
        <w:tc>
          <w:tcPr>
            <w:tcW w:w="904" w:type="dxa"/>
            <w:tcBorders>
              <w:top w:val="nil"/>
              <w:left w:val="nil"/>
              <w:bottom w:val="nil"/>
              <w:right w:val="nil"/>
            </w:tcBorders>
            <w:shd w:val="clear" w:color="000000" w:fill="D9D9D9"/>
            <w:noWrap/>
            <w:tcMar>
              <w:left w:w="0" w:type="dxa"/>
            </w:tcMar>
            <w:vAlign w:val="bottom"/>
            <w:hideMark/>
          </w:tcPr>
          <w:p w14:paraId="74157BA6"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7,859,268</w:t>
            </w:r>
          </w:p>
        </w:tc>
        <w:tc>
          <w:tcPr>
            <w:tcW w:w="904" w:type="dxa"/>
            <w:tcBorders>
              <w:top w:val="nil"/>
              <w:left w:val="nil"/>
              <w:bottom w:val="nil"/>
              <w:right w:val="nil"/>
            </w:tcBorders>
            <w:shd w:val="clear" w:color="auto" w:fill="auto"/>
            <w:noWrap/>
            <w:tcMar>
              <w:left w:w="0" w:type="dxa"/>
            </w:tcMar>
            <w:vAlign w:val="bottom"/>
            <w:hideMark/>
          </w:tcPr>
          <w:p w14:paraId="77358B4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6,743,082</w:t>
            </w:r>
          </w:p>
        </w:tc>
        <w:tc>
          <w:tcPr>
            <w:tcW w:w="875" w:type="dxa"/>
            <w:tcBorders>
              <w:top w:val="nil"/>
              <w:left w:val="nil"/>
              <w:bottom w:val="nil"/>
              <w:right w:val="nil"/>
            </w:tcBorders>
            <w:shd w:val="clear" w:color="auto" w:fill="auto"/>
            <w:noWrap/>
            <w:tcMar>
              <w:left w:w="0" w:type="dxa"/>
            </w:tcMar>
            <w:vAlign w:val="bottom"/>
            <w:hideMark/>
          </w:tcPr>
          <w:p w14:paraId="5C2E473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6,542,086</w:t>
            </w:r>
          </w:p>
        </w:tc>
        <w:tc>
          <w:tcPr>
            <w:tcW w:w="875" w:type="dxa"/>
            <w:tcBorders>
              <w:top w:val="nil"/>
              <w:left w:val="nil"/>
              <w:bottom w:val="nil"/>
              <w:right w:val="nil"/>
            </w:tcBorders>
            <w:shd w:val="clear" w:color="auto" w:fill="auto"/>
            <w:noWrap/>
            <w:tcMar>
              <w:left w:w="0" w:type="dxa"/>
            </w:tcMar>
            <w:vAlign w:val="bottom"/>
            <w:hideMark/>
          </w:tcPr>
          <w:p w14:paraId="766EEA0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6,414,601</w:t>
            </w:r>
          </w:p>
        </w:tc>
      </w:tr>
      <w:tr w:rsidR="002B5B49" w:rsidRPr="002B5B49" w14:paraId="5B2A4765" w14:textId="77777777" w:rsidTr="00E70AF2">
        <w:trPr>
          <w:trHeight w:val="225"/>
        </w:trPr>
        <w:tc>
          <w:tcPr>
            <w:tcW w:w="2858" w:type="dxa"/>
            <w:tcBorders>
              <w:top w:val="nil"/>
              <w:left w:val="nil"/>
              <w:bottom w:val="nil"/>
              <w:right w:val="nil"/>
            </w:tcBorders>
            <w:shd w:val="clear" w:color="auto" w:fill="auto"/>
            <w:noWrap/>
            <w:vAlign w:val="bottom"/>
            <w:hideMark/>
          </w:tcPr>
          <w:p w14:paraId="5F6F6369" w14:textId="77777777" w:rsidR="002B5B49" w:rsidRPr="002B5B49" w:rsidRDefault="002B5B49" w:rsidP="002B5B49">
            <w:pPr>
              <w:spacing w:before="0" w:after="0" w:line="240" w:lineRule="auto"/>
              <w:ind w:firstLineChars="300" w:firstLine="480"/>
              <w:rPr>
                <w:rFonts w:ascii="Arial" w:hAnsi="Arial" w:cs="Arial"/>
                <w:sz w:val="16"/>
                <w:szCs w:val="16"/>
              </w:rPr>
            </w:pPr>
            <w:r w:rsidRPr="002B5B49">
              <w:rPr>
                <w:rFonts w:ascii="Arial" w:hAnsi="Arial" w:cs="Arial"/>
                <w:sz w:val="16"/>
                <w:szCs w:val="16"/>
              </w:rPr>
              <w:t>to Special accounts</w:t>
            </w:r>
          </w:p>
        </w:tc>
        <w:tc>
          <w:tcPr>
            <w:tcW w:w="904" w:type="dxa"/>
            <w:tcBorders>
              <w:top w:val="nil"/>
              <w:left w:val="nil"/>
              <w:bottom w:val="nil"/>
              <w:right w:val="nil"/>
            </w:tcBorders>
            <w:shd w:val="clear" w:color="auto" w:fill="auto"/>
            <w:noWrap/>
            <w:tcMar>
              <w:left w:w="0" w:type="dxa"/>
            </w:tcMar>
            <w:vAlign w:val="bottom"/>
            <w:hideMark/>
          </w:tcPr>
          <w:p w14:paraId="4F458CE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(17,543)</w:t>
            </w:r>
          </w:p>
        </w:tc>
        <w:tc>
          <w:tcPr>
            <w:tcW w:w="904" w:type="dxa"/>
            <w:tcBorders>
              <w:top w:val="nil"/>
              <w:left w:val="nil"/>
              <w:bottom w:val="nil"/>
              <w:right w:val="nil"/>
            </w:tcBorders>
            <w:shd w:val="clear" w:color="000000" w:fill="D9D9D9"/>
            <w:noWrap/>
            <w:tcMar>
              <w:left w:w="0" w:type="dxa"/>
            </w:tcMar>
            <w:vAlign w:val="bottom"/>
            <w:hideMark/>
          </w:tcPr>
          <w:p w14:paraId="3A3B915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904" w:type="dxa"/>
            <w:tcBorders>
              <w:top w:val="nil"/>
              <w:left w:val="nil"/>
              <w:bottom w:val="nil"/>
              <w:right w:val="nil"/>
            </w:tcBorders>
            <w:shd w:val="clear" w:color="auto" w:fill="auto"/>
            <w:noWrap/>
            <w:tcMar>
              <w:left w:w="0" w:type="dxa"/>
            </w:tcMar>
            <w:vAlign w:val="bottom"/>
            <w:hideMark/>
          </w:tcPr>
          <w:p w14:paraId="1A43E0D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875" w:type="dxa"/>
            <w:tcBorders>
              <w:top w:val="nil"/>
              <w:left w:val="nil"/>
              <w:bottom w:val="nil"/>
              <w:right w:val="nil"/>
            </w:tcBorders>
            <w:shd w:val="clear" w:color="auto" w:fill="auto"/>
            <w:noWrap/>
            <w:tcMar>
              <w:left w:w="0" w:type="dxa"/>
            </w:tcMar>
            <w:vAlign w:val="bottom"/>
            <w:hideMark/>
          </w:tcPr>
          <w:p w14:paraId="39158C5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c>
          <w:tcPr>
            <w:tcW w:w="875" w:type="dxa"/>
            <w:tcBorders>
              <w:top w:val="nil"/>
              <w:left w:val="nil"/>
              <w:bottom w:val="nil"/>
              <w:right w:val="nil"/>
            </w:tcBorders>
            <w:shd w:val="clear" w:color="auto" w:fill="auto"/>
            <w:noWrap/>
            <w:tcMar>
              <w:left w:w="0" w:type="dxa"/>
            </w:tcMar>
            <w:vAlign w:val="bottom"/>
            <w:hideMark/>
          </w:tcPr>
          <w:p w14:paraId="0AB4F511"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(7,133)</w:t>
            </w:r>
          </w:p>
        </w:tc>
      </w:tr>
      <w:tr w:rsidR="002B5B49" w:rsidRPr="002B5B49" w14:paraId="3686A491" w14:textId="77777777" w:rsidTr="00E70AF2">
        <w:trPr>
          <w:trHeight w:val="225"/>
        </w:trPr>
        <w:tc>
          <w:tcPr>
            <w:tcW w:w="2858" w:type="dxa"/>
            <w:tcBorders>
              <w:top w:val="nil"/>
              <w:left w:val="nil"/>
              <w:bottom w:val="nil"/>
              <w:right w:val="nil"/>
            </w:tcBorders>
            <w:shd w:val="clear" w:color="auto" w:fill="auto"/>
            <w:noWrap/>
            <w:vAlign w:val="bottom"/>
            <w:hideMark/>
          </w:tcPr>
          <w:p w14:paraId="0001CCB4" w14:textId="77777777" w:rsidR="002B5B49" w:rsidRPr="002B5B49" w:rsidRDefault="002B5B49" w:rsidP="002B5B49">
            <w:pPr>
              <w:spacing w:before="0" w:after="0" w:line="240" w:lineRule="auto"/>
              <w:ind w:leftChars="175" w:left="333"/>
              <w:rPr>
                <w:rFonts w:ascii="Arial" w:hAnsi="Arial" w:cs="Arial"/>
                <w:sz w:val="16"/>
                <w:szCs w:val="16"/>
              </w:rPr>
            </w:pPr>
            <w:r w:rsidRPr="002B5B49">
              <w:rPr>
                <w:rFonts w:ascii="Arial" w:hAnsi="Arial" w:cs="Arial"/>
                <w:sz w:val="16"/>
                <w:szCs w:val="16"/>
              </w:rPr>
              <w:t>Special appropriations</w:t>
            </w:r>
          </w:p>
        </w:tc>
        <w:tc>
          <w:tcPr>
            <w:tcW w:w="904" w:type="dxa"/>
            <w:tcBorders>
              <w:top w:val="nil"/>
              <w:left w:val="nil"/>
              <w:bottom w:val="nil"/>
              <w:right w:val="nil"/>
            </w:tcBorders>
            <w:shd w:val="clear" w:color="auto" w:fill="auto"/>
            <w:noWrap/>
            <w:tcMar>
              <w:left w:w="0" w:type="dxa"/>
            </w:tcMar>
            <w:vAlign w:val="bottom"/>
            <w:hideMark/>
          </w:tcPr>
          <w:p w14:paraId="6016D52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1,555,425</w:t>
            </w:r>
          </w:p>
        </w:tc>
        <w:tc>
          <w:tcPr>
            <w:tcW w:w="904" w:type="dxa"/>
            <w:tcBorders>
              <w:top w:val="nil"/>
              <w:left w:val="nil"/>
              <w:bottom w:val="nil"/>
              <w:right w:val="nil"/>
            </w:tcBorders>
            <w:shd w:val="clear" w:color="000000" w:fill="D9D9D9"/>
            <w:noWrap/>
            <w:tcMar>
              <w:left w:w="0" w:type="dxa"/>
            </w:tcMar>
            <w:vAlign w:val="bottom"/>
            <w:hideMark/>
          </w:tcPr>
          <w:p w14:paraId="66FC291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1,724,696</w:t>
            </w:r>
          </w:p>
        </w:tc>
        <w:tc>
          <w:tcPr>
            <w:tcW w:w="904" w:type="dxa"/>
            <w:tcBorders>
              <w:top w:val="nil"/>
              <w:left w:val="nil"/>
              <w:bottom w:val="nil"/>
              <w:right w:val="nil"/>
            </w:tcBorders>
            <w:shd w:val="clear" w:color="auto" w:fill="auto"/>
            <w:noWrap/>
            <w:tcMar>
              <w:left w:w="0" w:type="dxa"/>
            </w:tcMar>
            <w:vAlign w:val="bottom"/>
            <w:hideMark/>
          </w:tcPr>
          <w:p w14:paraId="72C20D1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1,828,659</w:t>
            </w:r>
          </w:p>
        </w:tc>
        <w:tc>
          <w:tcPr>
            <w:tcW w:w="875" w:type="dxa"/>
            <w:tcBorders>
              <w:top w:val="nil"/>
              <w:left w:val="nil"/>
              <w:bottom w:val="nil"/>
              <w:right w:val="nil"/>
            </w:tcBorders>
            <w:shd w:val="clear" w:color="auto" w:fill="auto"/>
            <w:noWrap/>
            <w:tcMar>
              <w:left w:w="0" w:type="dxa"/>
            </w:tcMar>
            <w:vAlign w:val="bottom"/>
            <w:hideMark/>
          </w:tcPr>
          <w:p w14:paraId="197DC14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1,918,603</w:t>
            </w:r>
          </w:p>
        </w:tc>
        <w:tc>
          <w:tcPr>
            <w:tcW w:w="875" w:type="dxa"/>
            <w:tcBorders>
              <w:top w:val="nil"/>
              <w:left w:val="nil"/>
              <w:bottom w:val="nil"/>
              <w:right w:val="nil"/>
            </w:tcBorders>
            <w:shd w:val="clear" w:color="auto" w:fill="auto"/>
            <w:noWrap/>
            <w:tcMar>
              <w:left w:w="0" w:type="dxa"/>
            </w:tcMar>
            <w:vAlign w:val="bottom"/>
            <w:hideMark/>
          </w:tcPr>
          <w:p w14:paraId="086C1C4E"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1,983,719</w:t>
            </w:r>
          </w:p>
        </w:tc>
      </w:tr>
      <w:tr w:rsidR="002B5B49" w:rsidRPr="002B5B49" w14:paraId="4951452B" w14:textId="77777777" w:rsidTr="00E70AF2">
        <w:trPr>
          <w:trHeight w:val="225"/>
        </w:trPr>
        <w:tc>
          <w:tcPr>
            <w:tcW w:w="2858" w:type="dxa"/>
            <w:tcBorders>
              <w:top w:val="nil"/>
              <w:left w:val="nil"/>
              <w:bottom w:val="nil"/>
              <w:right w:val="nil"/>
            </w:tcBorders>
            <w:shd w:val="clear" w:color="auto" w:fill="auto"/>
            <w:noWrap/>
            <w:vAlign w:val="bottom"/>
            <w:hideMark/>
          </w:tcPr>
          <w:p w14:paraId="66642C69" w14:textId="77777777" w:rsidR="002B5B49" w:rsidRPr="002B5B49" w:rsidRDefault="002B5B49" w:rsidP="002B5B49">
            <w:pPr>
              <w:spacing w:before="0" w:after="0" w:line="240" w:lineRule="auto"/>
              <w:ind w:leftChars="175" w:left="333"/>
              <w:rPr>
                <w:rFonts w:ascii="Arial" w:hAnsi="Arial" w:cs="Arial"/>
                <w:sz w:val="16"/>
                <w:szCs w:val="16"/>
              </w:rPr>
            </w:pPr>
            <w:r w:rsidRPr="002B5B49">
              <w:rPr>
                <w:rFonts w:ascii="Arial" w:hAnsi="Arial" w:cs="Arial"/>
                <w:sz w:val="16"/>
                <w:szCs w:val="16"/>
              </w:rPr>
              <w:t>Special accounts</w:t>
            </w:r>
          </w:p>
        </w:tc>
        <w:tc>
          <w:tcPr>
            <w:tcW w:w="904" w:type="dxa"/>
            <w:tcBorders>
              <w:top w:val="nil"/>
              <w:left w:val="nil"/>
              <w:bottom w:val="nil"/>
              <w:right w:val="nil"/>
            </w:tcBorders>
            <w:shd w:val="clear" w:color="auto" w:fill="auto"/>
            <w:noWrap/>
            <w:tcMar>
              <w:left w:w="0" w:type="dxa"/>
            </w:tcMar>
            <w:vAlign w:val="bottom"/>
            <w:hideMark/>
          </w:tcPr>
          <w:p w14:paraId="2C089AE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618,229</w:t>
            </w:r>
          </w:p>
        </w:tc>
        <w:tc>
          <w:tcPr>
            <w:tcW w:w="904" w:type="dxa"/>
            <w:tcBorders>
              <w:top w:val="nil"/>
              <w:left w:val="nil"/>
              <w:bottom w:val="nil"/>
              <w:right w:val="nil"/>
            </w:tcBorders>
            <w:shd w:val="clear" w:color="000000" w:fill="D9D9D9"/>
            <w:noWrap/>
            <w:tcMar>
              <w:left w:w="0" w:type="dxa"/>
            </w:tcMar>
            <w:vAlign w:val="bottom"/>
            <w:hideMark/>
          </w:tcPr>
          <w:p w14:paraId="612B52D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659,819</w:t>
            </w:r>
          </w:p>
        </w:tc>
        <w:tc>
          <w:tcPr>
            <w:tcW w:w="904" w:type="dxa"/>
            <w:tcBorders>
              <w:top w:val="nil"/>
              <w:left w:val="nil"/>
              <w:bottom w:val="nil"/>
              <w:right w:val="nil"/>
            </w:tcBorders>
            <w:shd w:val="clear" w:color="auto" w:fill="auto"/>
            <w:noWrap/>
            <w:tcMar>
              <w:left w:w="0" w:type="dxa"/>
            </w:tcMar>
            <w:vAlign w:val="bottom"/>
            <w:hideMark/>
          </w:tcPr>
          <w:p w14:paraId="561570B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659,819</w:t>
            </w:r>
          </w:p>
        </w:tc>
        <w:tc>
          <w:tcPr>
            <w:tcW w:w="875" w:type="dxa"/>
            <w:tcBorders>
              <w:top w:val="nil"/>
              <w:left w:val="nil"/>
              <w:bottom w:val="nil"/>
              <w:right w:val="nil"/>
            </w:tcBorders>
            <w:shd w:val="clear" w:color="auto" w:fill="auto"/>
            <w:noWrap/>
            <w:tcMar>
              <w:left w:w="0" w:type="dxa"/>
            </w:tcMar>
            <w:vAlign w:val="bottom"/>
            <w:hideMark/>
          </w:tcPr>
          <w:p w14:paraId="0F923DA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659,819</w:t>
            </w:r>
          </w:p>
        </w:tc>
        <w:tc>
          <w:tcPr>
            <w:tcW w:w="875" w:type="dxa"/>
            <w:tcBorders>
              <w:top w:val="nil"/>
              <w:left w:val="nil"/>
              <w:bottom w:val="nil"/>
              <w:right w:val="nil"/>
            </w:tcBorders>
            <w:shd w:val="clear" w:color="auto" w:fill="auto"/>
            <w:noWrap/>
            <w:tcMar>
              <w:left w:w="0" w:type="dxa"/>
            </w:tcMar>
            <w:vAlign w:val="bottom"/>
            <w:hideMark/>
          </w:tcPr>
          <w:p w14:paraId="7853FE5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659,819</w:t>
            </w:r>
          </w:p>
        </w:tc>
      </w:tr>
      <w:tr w:rsidR="002B5B49" w:rsidRPr="002B5B49" w14:paraId="5C1F6F75" w14:textId="77777777" w:rsidTr="00E70AF2">
        <w:trPr>
          <w:trHeight w:val="225"/>
        </w:trPr>
        <w:tc>
          <w:tcPr>
            <w:tcW w:w="2858" w:type="dxa"/>
            <w:tcBorders>
              <w:top w:val="nil"/>
              <w:left w:val="nil"/>
              <w:bottom w:val="nil"/>
              <w:right w:val="nil"/>
            </w:tcBorders>
            <w:shd w:val="clear" w:color="auto" w:fill="auto"/>
            <w:noWrap/>
            <w:vAlign w:val="bottom"/>
            <w:hideMark/>
          </w:tcPr>
          <w:p w14:paraId="4DD75C4F" w14:textId="70F8F404" w:rsidR="002B5B49" w:rsidRPr="002B5B49" w:rsidRDefault="00AE31C4" w:rsidP="002B5B49">
            <w:pPr>
              <w:spacing w:before="0" w:after="0" w:line="240" w:lineRule="auto"/>
              <w:ind w:leftChars="175" w:left="333"/>
              <w:rPr>
                <w:rFonts w:ascii="Arial" w:hAnsi="Arial" w:cs="Arial"/>
                <w:sz w:val="16"/>
                <w:szCs w:val="16"/>
              </w:rPr>
            </w:pPr>
            <w:r w:rsidRPr="002B5B49">
              <w:rPr>
                <w:rFonts w:ascii="Arial" w:hAnsi="Arial" w:cs="Arial"/>
                <w:sz w:val="16"/>
                <w:szCs w:val="16"/>
              </w:rPr>
              <w:t>Non-cash</w:t>
            </w:r>
            <w:r w:rsidR="00043975">
              <w:rPr>
                <w:rFonts w:ascii="Arial" w:hAnsi="Arial" w:cs="Arial"/>
                <w:sz w:val="16"/>
                <w:szCs w:val="16"/>
              </w:rPr>
              <w:t xml:space="preserve"> expenses</w:t>
            </w:r>
            <w:r w:rsidR="002B5B49" w:rsidRPr="002B5B49">
              <w:rPr>
                <w:rFonts w:ascii="Arial" w:hAnsi="Arial" w:cs="Arial"/>
                <w:sz w:val="16"/>
                <w:szCs w:val="16"/>
                <w:vertAlign w:val="superscript"/>
              </w:rPr>
              <w:t>(c)</w:t>
            </w:r>
          </w:p>
        </w:tc>
        <w:tc>
          <w:tcPr>
            <w:tcW w:w="904" w:type="dxa"/>
            <w:tcBorders>
              <w:top w:val="nil"/>
              <w:left w:val="nil"/>
              <w:bottom w:val="nil"/>
              <w:right w:val="nil"/>
            </w:tcBorders>
            <w:shd w:val="clear" w:color="auto" w:fill="auto"/>
            <w:noWrap/>
            <w:tcMar>
              <w:left w:w="0" w:type="dxa"/>
            </w:tcMar>
            <w:vAlign w:val="bottom"/>
            <w:hideMark/>
          </w:tcPr>
          <w:p w14:paraId="59FD2CC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732,700</w:t>
            </w:r>
          </w:p>
        </w:tc>
        <w:tc>
          <w:tcPr>
            <w:tcW w:w="904" w:type="dxa"/>
            <w:tcBorders>
              <w:top w:val="nil"/>
              <w:left w:val="nil"/>
              <w:bottom w:val="nil"/>
              <w:right w:val="nil"/>
            </w:tcBorders>
            <w:shd w:val="clear" w:color="000000" w:fill="D9D9D9"/>
            <w:noWrap/>
            <w:tcMar>
              <w:left w:w="0" w:type="dxa"/>
            </w:tcMar>
            <w:vAlign w:val="bottom"/>
            <w:hideMark/>
          </w:tcPr>
          <w:p w14:paraId="60AC6FBD"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533,275</w:t>
            </w:r>
          </w:p>
        </w:tc>
        <w:tc>
          <w:tcPr>
            <w:tcW w:w="904" w:type="dxa"/>
            <w:tcBorders>
              <w:top w:val="nil"/>
              <w:left w:val="nil"/>
              <w:bottom w:val="nil"/>
              <w:right w:val="nil"/>
            </w:tcBorders>
            <w:shd w:val="clear" w:color="auto" w:fill="auto"/>
            <w:noWrap/>
            <w:tcMar>
              <w:left w:w="0" w:type="dxa"/>
            </w:tcMar>
            <w:vAlign w:val="bottom"/>
            <w:hideMark/>
          </w:tcPr>
          <w:p w14:paraId="5247998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17,971</w:t>
            </w:r>
          </w:p>
        </w:tc>
        <w:tc>
          <w:tcPr>
            <w:tcW w:w="875" w:type="dxa"/>
            <w:tcBorders>
              <w:top w:val="nil"/>
              <w:left w:val="nil"/>
              <w:bottom w:val="nil"/>
              <w:right w:val="nil"/>
            </w:tcBorders>
            <w:shd w:val="clear" w:color="auto" w:fill="auto"/>
            <w:noWrap/>
            <w:tcMar>
              <w:left w:w="0" w:type="dxa"/>
            </w:tcMar>
            <w:vAlign w:val="bottom"/>
            <w:hideMark/>
          </w:tcPr>
          <w:p w14:paraId="1FD8964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16,529</w:t>
            </w:r>
          </w:p>
        </w:tc>
        <w:tc>
          <w:tcPr>
            <w:tcW w:w="875" w:type="dxa"/>
            <w:tcBorders>
              <w:top w:val="nil"/>
              <w:left w:val="nil"/>
              <w:bottom w:val="nil"/>
              <w:right w:val="nil"/>
            </w:tcBorders>
            <w:shd w:val="clear" w:color="auto" w:fill="auto"/>
            <w:noWrap/>
            <w:tcMar>
              <w:left w:w="0" w:type="dxa"/>
            </w:tcMar>
            <w:vAlign w:val="bottom"/>
            <w:hideMark/>
          </w:tcPr>
          <w:p w14:paraId="530AB06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16,529</w:t>
            </w:r>
          </w:p>
        </w:tc>
      </w:tr>
      <w:tr w:rsidR="002B5B49" w:rsidRPr="002B5B49" w14:paraId="5096BB78" w14:textId="77777777" w:rsidTr="00E70AF2">
        <w:trPr>
          <w:trHeight w:val="225"/>
        </w:trPr>
        <w:tc>
          <w:tcPr>
            <w:tcW w:w="2858" w:type="dxa"/>
            <w:tcBorders>
              <w:top w:val="nil"/>
              <w:left w:val="nil"/>
              <w:bottom w:val="nil"/>
              <w:right w:val="nil"/>
            </w:tcBorders>
            <w:shd w:val="clear" w:color="auto" w:fill="auto"/>
            <w:noWrap/>
            <w:vAlign w:val="bottom"/>
            <w:hideMark/>
          </w:tcPr>
          <w:p w14:paraId="3D03D33D" w14:textId="77777777" w:rsidR="002B5B49" w:rsidRPr="002B5B49" w:rsidRDefault="002B5B49" w:rsidP="002B5B49">
            <w:pPr>
              <w:spacing w:before="0" w:after="0" w:line="240" w:lineRule="auto"/>
              <w:ind w:leftChars="175" w:left="333"/>
              <w:rPr>
                <w:rFonts w:ascii="Arial" w:hAnsi="Arial" w:cs="Arial"/>
                <w:sz w:val="16"/>
                <w:szCs w:val="16"/>
              </w:rPr>
            </w:pPr>
            <w:r w:rsidRPr="002B5B49">
              <w:rPr>
                <w:rFonts w:ascii="Arial" w:hAnsi="Arial" w:cs="Arial"/>
                <w:sz w:val="16"/>
                <w:szCs w:val="16"/>
              </w:rPr>
              <w:t>Payments to corporate entities</w:t>
            </w:r>
          </w:p>
        </w:tc>
        <w:tc>
          <w:tcPr>
            <w:tcW w:w="904" w:type="dxa"/>
            <w:tcBorders>
              <w:top w:val="nil"/>
              <w:left w:val="nil"/>
              <w:bottom w:val="nil"/>
              <w:right w:val="nil"/>
            </w:tcBorders>
            <w:shd w:val="clear" w:color="auto" w:fill="auto"/>
            <w:noWrap/>
            <w:tcMar>
              <w:left w:w="0" w:type="dxa"/>
            </w:tcMar>
            <w:vAlign w:val="bottom"/>
            <w:hideMark/>
          </w:tcPr>
          <w:p w14:paraId="56CBAF0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263,149</w:t>
            </w:r>
          </w:p>
        </w:tc>
        <w:tc>
          <w:tcPr>
            <w:tcW w:w="904" w:type="dxa"/>
            <w:tcBorders>
              <w:top w:val="nil"/>
              <w:left w:val="nil"/>
              <w:bottom w:val="nil"/>
              <w:right w:val="nil"/>
            </w:tcBorders>
            <w:shd w:val="clear" w:color="000000" w:fill="D9D9D9"/>
            <w:noWrap/>
            <w:tcMar>
              <w:left w:w="0" w:type="dxa"/>
            </w:tcMar>
            <w:vAlign w:val="bottom"/>
            <w:hideMark/>
          </w:tcPr>
          <w:p w14:paraId="5F06F15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322,206</w:t>
            </w:r>
          </w:p>
        </w:tc>
        <w:tc>
          <w:tcPr>
            <w:tcW w:w="904" w:type="dxa"/>
            <w:tcBorders>
              <w:top w:val="nil"/>
              <w:left w:val="nil"/>
              <w:bottom w:val="nil"/>
              <w:right w:val="nil"/>
            </w:tcBorders>
            <w:shd w:val="clear" w:color="auto" w:fill="auto"/>
            <w:noWrap/>
            <w:tcMar>
              <w:left w:w="0" w:type="dxa"/>
            </w:tcMar>
            <w:vAlign w:val="bottom"/>
            <w:hideMark/>
          </w:tcPr>
          <w:p w14:paraId="2865873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330,390</w:t>
            </w:r>
          </w:p>
        </w:tc>
        <w:tc>
          <w:tcPr>
            <w:tcW w:w="875" w:type="dxa"/>
            <w:tcBorders>
              <w:top w:val="nil"/>
              <w:left w:val="nil"/>
              <w:bottom w:val="nil"/>
              <w:right w:val="nil"/>
            </w:tcBorders>
            <w:shd w:val="clear" w:color="auto" w:fill="auto"/>
            <w:noWrap/>
            <w:tcMar>
              <w:left w:w="0" w:type="dxa"/>
            </w:tcMar>
            <w:vAlign w:val="bottom"/>
            <w:hideMark/>
          </w:tcPr>
          <w:p w14:paraId="5A016FC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143,202</w:t>
            </w:r>
          </w:p>
        </w:tc>
        <w:tc>
          <w:tcPr>
            <w:tcW w:w="875" w:type="dxa"/>
            <w:tcBorders>
              <w:top w:val="nil"/>
              <w:left w:val="nil"/>
              <w:bottom w:val="nil"/>
              <w:right w:val="nil"/>
            </w:tcBorders>
            <w:shd w:val="clear" w:color="auto" w:fill="auto"/>
            <w:noWrap/>
            <w:tcMar>
              <w:left w:w="0" w:type="dxa"/>
            </w:tcMar>
            <w:vAlign w:val="bottom"/>
            <w:hideMark/>
          </w:tcPr>
          <w:p w14:paraId="0429BF26"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144,890</w:t>
            </w:r>
          </w:p>
        </w:tc>
      </w:tr>
      <w:tr w:rsidR="002B5B49" w:rsidRPr="002B5B49" w14:paraId="06A45177" w14:textId="77777777" w:rsidTr="00CE69E2">
        <w:trPr>
          <w:trHeight w:val="283"/>
        </w:trPr>
        <w:tc>
          <w:tcPr>
            <w:tcW w:w="2858" w:type="dxa"/>
            <w:tcBorders>
              <w:top w:val="nil"/>
              <w:left w:val="nil"/>
              <w:bottom w:val="nil"/>
              <w:right w:val="nil"/>
            </w:tcBorders>
            <w:shd w:val="clear" w:color="auto" w:fill="auto"/>
            <w:noWrap/>
            <w:vAlign w:val="bottom"/>
            <w:hideMark/>
          </w:tcPr>
          <w:p w14:paraId="41A2B9F1" w14:textId="77777777" w:rsidR="002B5B49" w:rsidRPr="002B5B49" w:rsidRDefault="002B5B49" w:rsidP="002B5B49">
            <w:pPr>
              <w:spacing w:before="0" w:after="0" w:line="240" w:lineRule="auto"/>
              <w:ind w:firstLineChars="100" w:firstLine="160"/>
              <w:rPr>
                <w:rFonts w:ascii="Arial" w:hAnsi="Arial" w:cs="Arial"/>
                <w:sz w:val="16"/>
                <w:szCs w:val="16"/>
              </w:rPr>
            </w:pPr>
            <w:r w:rsidRPr="002B5B49">
              <w:rPr>
                <w:rFonts w:ascii="Arial" w:hAnsi="Arial" w:cs="Arial"/>
                <w:sz w:val="16"/>
                <w:szCs w:val="16"/>
              </w:rPr>
              <w:t>Departmental expenses</w:t>
            </w:r>
          </w:p>
        </w:tc>
        <w:tc>
          <w:tcPr>
            <w:tcW w:w="904" w:type="dxa"/>
            <w:tcBorders>
              <w:top w:val="nil"/>
              <w:left w:val="nil"/>
              <w:bottom w:val="nil"/>
              <w:right w:val="nil"/>
            </w:tcBorders>
            <w:shd w:val="clear" w:color="auto" w:fill="auto"/>
            <w:noWrap/>
            <w:tcMar>
              <w:left w:w="0" w:type="dxa"/>
            </w:tcMar>
            <w:vAlign w:val="bottom"/>
            <w:hideMark/>
          </w:tcPr>
          <w:p w14:paraId="1AC43A1B" w14:textId="77777777" w:rsidR="002B5B49" w:rsidRPr="002B5B49" w:rsidRDefault="002B5B49" w:rsidP="002B5B49">
            <w:pPr>
              <w:spacing w:before="0" w:after="0" w:line="240" w:lineRule="auto"/>
              <w:ind w:firstLineChars="100" w:firstLine="160"/>
              <w:rPr>
                <w:rFonts w:ascii="Arial" w:hAnsi="Arial" w:cs="Arial"/>
                <w:sz w:val="16"/>
                <w:szCs w:val="16"/>
              </w:rPr>
            </w:pPr>
          </w:p>
        </w:tc>
        <w:tc>
          <w:tcPr>
            <w:tcW w:w="904" w:type="dxa"/>
            <w:tcBorders>
              <w:top w:val="nil"/>
              <w:left w:val="nil"/>
              <w:bottom w:val="nil"/>
              <w:right w:val="nil"/>
            </w:tcBorders>
            <w:shd w:val="clear" w:color="000000" w:fill="D9D9D9"/>
            <w:noWrap/>
            <w:tcMar>
              <w:left w:w="0" w:type="dxa"/>
            </w:tcMar>
            <w:vAlign w:val="bottom"/>
            <w:hideMark/>
          </w:tcPr>
          <w:p w14:paraId="74F5D25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 </w:t>
            </w:r>
          </w:p>
        </w:tc>
        <w:tc>
          <w:tcPr>
            <w:tcW w:w="904" w:type="dxa"/>
            <w:tcBorders>
              <w:top w:val="nil"/>
              <w:left w:val="nil"/>
              <w:bottom w:val="nil"/>
              <w:right w:val="nil"/>
            </w:tcBorders>
            <w:shd w:val="clear" w:color="auto" w:fill="auto"/>
            <w:noWrap/>
            <w:tcMar>
              <w:left w:w="0" w:type="dxa"/>
            </w:tcMar>
            <w:vAlign w:val="bottom"/>
            <w:hideMark/>
          </w:tcPr>
          <w:p w14:paraId="1592ED62" w14:textId="77777777" w:rsidR="002B5B49" w:rsidRPr="002B5B49" w:rsidRDefault="002B5B49" w:rsidP="002B5B49">
            <w:pPr>
              <w:spacing w:before="0"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tcMar>
              <w:left w:w="0" w:type="dxa"/>
            </w:tcMar>
            <w:vAlign w:val="bottom"/>
            <w:hideMark/>
          </w:tcPr>
          <w:p w14:paraId="40A98EA9" w14:textId="77777777" w:rsidR="002B5B49" w:rsidRPr="002B5B49" w:rsidRDefault="002B5B49" w:rsidP="002B5B49">
            <w:pPr>
              <w:spacing w:before="0" w:after="0" w:line="240" w:lineRule="auto"/>
              <w:jc w:val="right"/>
              <w:rPr>
                <w:rFonts w:ascii="Times New Roman" w:hAnsi="Times New Roman"/>
                <w:sz w:val="20"/>
              </w:rPr>
            </w:pPr>
          </w:p>
        </w:tc>
        <w:tc>
          <w:tcPr>
            <w:tcW w:w="875" w:type="dxa"/>
            <w:tcBorders>
              <w:top w:val="nil"/>
              <w:left w:val="nil"/>
              <w:bottom w:val="nil"/>
              <w:right w:val="nil"/>
            </w:tcBorders>
            <w:shd w:val="clear" w:color="auto" w:fill="auto"/>
            <w:noWrap/>
            <w:tcMar>
              <w:left w:w="0" w:type="dxa"/>
            </w:tcMar>
            <w:vAlign w:val="bottom"/>
            <w:hideMark/>
          </w:tcPr>
          <w:p w14:paraId="43D2BCDD"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7DEE80BF" w14:textId="77777777" w:rsidTr="00E70AF2">
        <w:trPr>
          <w:trHeight w:val="225"/>
        </w:trPr>
        <w:tc>
          <w:tcPr>
            <w:tcW w:w="2858" w:type="dxa"/>
            <w:tcBorders>
              <w:top w:val="nil"/>
              <w:left w:val="nil"/>
              <w:bottom w:val="nil"/>
              <w:right w:val="nil"/>
            </w:tcBorders>
            <w:shd w:val="clear" w:color="auto" w:fill="auto"/>
            <w:noWrap/>
            <w:vAlign w:val="bottom"/>
            <w:hideMark/>
          </w:tcPr>
          <w:p w14:paraId="68D5FA46" w14:textId="2DD39A5E" w:rsidR="002B5B49" w:rsidRPr="002B5B49" w:rsidRDefault="002B5B49" w:rsidP="002B5B49">
            <w:pPr>
              <w:spacing w:before="0" w:after="0" w:line="240" w:lineRule="auto"/>
              <w:ind w:leftChars="175" w:left="333"/>
              <w:rPr>
                <w:rFonts w:ascii="Arial" w:hAnsi="Arial" w:cs="Arial"/>
                <w:sz w:val="16"/>
                <w:szCs w:val="16"/>
              </w:rPr>
            </w:pPr>
            <w:r w:rsidRPr="002B5B49">
              <w:rPr>
                <w:rFonts w:ascii="Arial" w:hAnsi="Arial" w:cs="Arial"/>
                <w:sz w:val="16"/>
                <w:szCs w:val="16"/>
              </w:rPr>
              <w:t>Departmental appropriation</w:t>
            </w:r>
            <w:r w:rsidRPr="002B5B49">
              <w:rPr>
                <w:rFonts w:ascii="Arial" w:hAnsi="Arial" w:cs="Arial"/>
                <w:sz w:val="16"/>
                <w:szCs w:val="16"/>
                <w:vertAlign w:val="superscript"/>
              </w:rPr>
              <w:t>(e)</w:t>
            </w:r>
          </w:p>
        </w:tc>
        <w:tc>
          <w:tcPr>
            <w:tcW w:w="904" w:type="dxa"/>
            <w:tcBorders>
              <w:top w:val="nil"/>
              <w:left w:val="nil"/>
              <w:bottom w:val="nil"/>
              <w:right w:val="nil"/>
            </w:tcBorders>
            <w:shd w:val="clear" w:color="auto" w:fill="auto"/>
            <w:noWrap/>
            <w:tcMar>
              <w:left w:w="0" w:type="dxa"/>
            </w:tcMar>
            <w:vAlign w:val="bottom"/>
            <w:hideMark/>
          </w:tcPr>
          <w:p w14:paraId="73EF4A8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487,398</w:t>
            </w:r>
          </w:p>
        </w:tc>
        <w:tc>
          <w:tcPr>
            <w:tcW w:w="904" w:type="dxa"/>
            <w:tcBorders>
              <w:top w:val="nil"/>
              <w:left w:val="nil"/>
              <w:bottom w:val="nil"/>
              <w:right w:val="nil"/>
            </w:tcBorders>
            <w:shd w:val="clear" w:color="000000" w:fill="D9D9D9"/>
            <w:noWrap/>
            <w:tcMar>
              <w:left w:w="0" w:type="dxa"/>
            </w:tcMar>
            <w:vAlign w:val="bottom"/>
            <w:hideMark/>
          </w:tcPr>
          <w:p w14:paraId="3E0B5451"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487,051</w:t>
            </w:r>
          </w:p>
        </w:tc>
        <w:tc>
          <w:tcPr>
            <w:tcW w:w="904" w:type="dxa"/>
            <w:tcBorders>
              <w:top w:val="nil"/>
              <w:left w:val="nil"/>
              <w:bottom w:val="nil"/>
              <w:right w:val="nil"/>
            </w:tcBorders>
            <w:shd w:val="clear" w:color="auto" w:fill="auto"/>
            <w:noWrap/>
            <w:tcMar>
              <w:left w:w="0" w:type="dxa"/>
            </w:tcMar>
            <w:vAlign w:val="bottom"/>
            <w:hideMark/>
          </w:tcPr>
          <w:p w14:paraId="53AE8CA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434,125</w:t>
            </w:r>
          </w:p>
        </w:tc>
        <w:tc>
          <w:tcPr>
            <w:tcW w:w="875" w:type="dxa"/>
            <w:tcBorders>
              <w:top w:val="nil"/>
              <w:left w:val="nil"/>
              <w:bottom w:val="nil"/>
              <w:right w:val="nil"/>
            </w:tcBorders>
            <w:shd w:val="clear" w:color="auto" w:fill="auto"/>
            <w:noWrap/>
            <w:tcMar>
              <w:left w:w="0" w:type="dxa"/>
            </w:tcMar>
            <w:vAlign w:val="bottom"/>
            <w:hideMark/>
          </w:tcPr>
          <w:p w14:paraId="6A56CBB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377,162</w:t>
            </w:r>
          </w:p>
        </w:tc>
        <w:tc>
          <w:tcPr>
            <w:tcW w:w="875" w:type="dxa"/>
            <w:tcBorders>
              <w:top w:val="nil"/>
              <w:left w:val="nil"/>
              <w:bottom w:val="nil"/>
              <w:right w:val="nil"/>
            </w:tcBorders>
            <w:shd w:val="clear" w:color="auto" w:fill="auto"/>
            <w:noWrap/>
            <w:tcMar>
              <w:left w:w="0" w:type="dxa"/>
            </w:tcMar>
            <w:vAlign w:val="bottom"/>
            <w:hideMark/>
          </w:tcPr>
          <w:p w14:paraId="1ED21EA6"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389,505</w:t>
            </w:r>
          </w:p>
        </w:tc>
      </w:tr>
      <w:tr w:rsidR="002B5B49" w:rsidRPr="002B5B49" w14:paraId="3F2CF7A4" w14:textId="77777777" w:rsidTr="00E70AF2">
        <w:trPr>
          <w:trHeight w:val="225"/>
        </w:trPr>
        <w:tc>
          <w:tcPr>
            <w:tcW w:w="2858" w:type="dxa"/>
            <w:tcBorders>
              <w:top w:val="nil"/>
              <w:left w:val="nil"/>
              <w:bottom w:val="nil"/>
              <w:right w:val="nil"/>
            </w:tcBorders>
            <w:shd w:val="clear" w:color="auto" w:fill="auto"/>
            <w:noWrap/>
            <w:vAlign w:val="bottom"/>
            <w:hideMark/>
          </w:tcPr>
          <w:p w14:paraId="41CE134D" w14:textId="77777777" w:rsidR="002B5B49" w:rsidRPr="002B5B49" w:rsidRDefault="002B5B49" w:rsidP="002B5B49">
            <w:pPr>
              <w:spacing w:before="0" w:after="0" w:line="240" w:lineRule="auto"/>
              <w:ind w:firstLineChars="300" w:firstLine="480"/>
              <w:rPr>
                <w:rFonts w:ascii="Arial" w:hAnsi="Arial" w:cs="Arial"/>
                <w:sz w:val="16"/>
                <w:szCs w:val="16"/>
              </w:rPr>
            </w:pPr>
            <w:r w:rsidRPr="002B5B49">
              <w:rPr>
                <w:rFonts w:ascii="Arial" w:hAnsi="Arial" w:cs="Arial"/>
                <w:sz w:val="16"/>
                <w:szCs w:val="16"/>
              </w:rPr>
              <w:t>to Special accounts</w:t>
            </w:r>
          </w:p>
        </w:tc>
        <w:tc>
          <w:tcPr>
            <w:tcW w:w="904" w:type="dxa"/>
            <w:tcBorders>
              <w:top w:val="nil"/>
              <w:left w:val="nil"/>
              <w:bottom w:val="nil"/>
              <w:right w:val="nil"/>
            </w:tcBorders>
            <w:shd w:val="clear" w:color="auto" w:fill="auto"/>
            <w:noWrap/>
            <w:tcMar>
              <w:left w:w="0" w:type="dxa"/>
            </w:tcMar>
            <w:vAlign w:val="bottom"/>
            <w:hideMark/>
          </w:tcPr>
          <w:p w14:paraId="19C74AD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31,136</w:t>
            </w:r>
          </w:p>
        </w:tc>
        <w:tc>
          <w:tcPr>
            <w:tcW w:w="904" w:type="dxa"/>
            <w:tcBorders>
              <w:top w:val="nil"/>
              <w:left w:val="nil"/>
              <w:bottom w:val="nil"/>
              <w:right w:val="nil"/>
            </w:tcBorders>
            <w:shd w:val="clear" w:color="000000" w:fill="D9D9D9"/>
            <w:noWrap/>
            <w:tcMar>
              <w:left w:w="0" w:type="dxa"/>
            </w:tcMar>
            <w:vAlign w:val="bottom"/>
            <w:hideMark/>
          </w:tcPr>
          <w:p w14:paraId="0D8DDF3D"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46,628</w:t>
            </w:r>
          </w:p>
        </w:tc>
        <w:tc>
          <w:tcPr>
            <w:tcW w:w="904" w:type="dxa"/>
            <w:tcBorders>
              <w:top w:val="nil"/>
              <w:left w:val="nil"/>
              <w:bottom w:val="nil"/>
              <w:right w:val="nil"/>
            </w:tcBorders>
            <w:shd w:val="clear" w:color="auto" w:fill="auto"/>
            <w:noWrap/>
            <w:tcMar>
              <w:left w:w="0" w:type="dxa"/>
            </w:tcMar>
            <w:vAlign w:val="bottom"/>
            <w:hideMark/>
          </w:tcPr>
          <w:p w14:paraId="16B9DA3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39,208</w:t>
            </w:r>
          </w:p>
        </w:tc>
        <w:tc>
          <w:tcPr>
            <w:tcW w:w="875" w:type="dxa"/>
            <w:tcBorders>
              <w:top w:val="nil"/>
              <w:left w:val="nil"/>
              <w:bottom w:val="nil"/>
              <w:right w:val="nil"/>
            </w:tcBorders>
            <w:shd w:val="clear" w:color="auto" w:fill="auto"/>
            <w:noWrap/>
            <w:tcMar>
              <w:left w:w="0" w:type="dxa"/>
            </w:tcMar>
            <w:vAlign w:val="bottom"/>
            <w:hideMark/>
          </w:tcPr>
          <w:p w14:paraId="72F431A9"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39,093</w:t>
            </w:r>
          </w:p>
        </w:tc>
        <w:tc>
          <w:tcPr>
            <w:tcW w:w="875" w:type="dxa"/>
            <w:tcBorders>
              <w:top w:val="nil"/>
              <w:left w:val="nil"/>
              <w:bottom w:val="nil"/>
              <w:right w:val="nil"/>
            </w:tcBorders>
            <w:shd w:val="clear" w:color="auto" w:fill="auto"/>
            <w:noWrap/>
            <w:tcMar>
              <w:left w:w="0" w:type="dxa"/>
            </w:tcMar>
            <w:vAlign w:val="bottom"/>
            <w:hideMark/>
          </w:tcPr>
          <w:p w14:paraId="1D221283"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39,435</w:t>
            </w:r>
          </w:p>
        </w:tc>
      </w:tr>
      <w:tr w:rsidR="002B5B49" w:rsidRPr="002B5B49" w14:paraId="50C213F1" w14:textId="77777777" w:rsidTr="00CE69E2">
        <w:trPr>
          <w:trHeight w:val="595"/>
        </w:trPr>
        <w:tc>
          <w:tcPr>
            <w:tcW w:w="2858" w:type="dxa"/>
            <w:tcBorders>
              <w:top w:val="nil"/>
              <w:left w:val="nil"/>
              <w:bottom w:val="nil"/>
              <w:right w:val="nil"/>
            </w:tcBorders>
            <w:shd w:val="clear" w:color="auto" w:fill="auto"/>
            <w:vAlign w:val="bottom"/>
            <w:hideMark/>
          </w:tcPr>
          <w:p w14:paraId="3B25366E" w14:textId="741A2ABA" w:rsidR="002B5B49" w:rsidRPr="002B5B49" w:rsidRDefault="002B5B49" w:rsidP="00043975">
            <w:pPr>
              <w:spacing w:before="0" w:after="0" w:line="240" w:lineRule="auto"/>
              <w:ind w:leftChars="175" w:left="333"/>
              <w:rPr>
                <w:rFonts w:ascii="Arial" w:hAnsi="Arial" w:cs="Arial"/>
                <w:sz w:val="16"/>
                <w:szCs w:val="16"/>
              </w:rPr>
            </w:pPr>
            <w:r w:rsidRPr="002B5B49">
              <w:rPr>
                <w:rFonts w:ascii="Arial" w:hAnsi="Arial" w:cs="Arial"/>
                <w:sz w:val="16"/>
                <w:szCs w:val="16"/>
              </w:rPr>
              <w:t>Expenses not requiring appropriation in the Budget</w:t>
            </w:r>
            <w:r w:rsidRPr="002B5B49">
              <w:rPr>
                <w:rFonts w:ascii="Arial" w:hAnsi="Arial" w:cs="Arial"/>
                <w:sz w:val="16"/>
                <w:szCs w:val="16"/>
              </w:rPr>
              <w:br/>
              <w:t>year</w:t>
            </w:r>
            <w:r w:rsidRPr="002B5B49">
              <w:rPr>
                <w:rFonts w:ascii="Arial" w:hAnsi="Arial" w:cs="Arial"/>
                <w:sz w:val="16"/>
                <w:szCs w:val="16"/>
                <w:vertAlign w:val="superscript"/>
              </w:rPr>
              <w:t>(f)</w:t>
            </w:r>
          </w:p>
        </w:tc>
        <w:tc>
          <w:tcPr>
            <w:tcW w:w="904" w:type="dxa"/>
            <w:tcBorders>
              <w:top w:val="nil"/>
              <w:left w:val="nil"/>
              <w:bottom w:val="nil"/>
              <w:right w:val="nil"/>
            </w:tcBorders>
            <w:shd w:val="clear" w:color="auto" w:fill="auto"/>
            <w:noWrap/>
            <w:tcMar>
              <w:left w:w="0" w:type="dxa"/>
            </w:tcMar>
            <w:vAlign w:val="bottom"/>
            <w:hideMark/>
          </w:tcPr>
          <w:p w14:paraId="1DA5EA5D"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26,279</w:t>
            </w:r>
          </w:p>
        </w:tc>
        <w:tc>
          <w:tcPr>
            <w:tcW w:w="904" w:type="dxa"/>
            <w:tcBorders>
              <w:top w:val="nil"/>
              <w:left w:val="nil"/>
              <w:bottom w:val="nil"/>
              <w:right w:val="nil"/>
            </w:tcBorders>
            <w:shd w:val="clear" w:color="000000" w:fill="D9D9D9"/>
            <w:noWrap/>
            <w:tcMar>
              <w:left w:w="0" w:type="dxa"/>
            </w:tcMar>
            <w:vAlign w:val="bottom"/>
            <w:hideMark/>
          </w:tcPr>
          <w:p w14:paraId="011CA17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17,416</w:t>
            </w:r>
          </w:p>
        </w:tc>
        <w:tc>
          <w:tcPr>
            <w:tcW w:w="904" w:type="dxa"/>
            <w:tcBorders>
              <w:top w:val="nil"/>
              <w:left w:val="nil"/>
              <w:bottom w:val="nil"/>
              <w:right w:val="nil"/>
            </w:tcBorders>
            <w:shd w:val="clear" w:color="auto" w:fill="auto"/>
            <w:noWrap/>
            <w:tcMar>
              <w:left w:w="0" w:type="dxa"/>
            </w:tcMar>
            <w:vAlign w:val="bottom"/>
            <w:hideMark/>
          </w:tcPr>
          <w:p w14:paraId="426A339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14,206</w:t>
            </w:r>
          </w:p>
        </w:tc>
        <w:tc>
          <w:tcPr>
            <w:tcW w:w="875" w:type="dxa"/>
            <w:tcBorders>
              <w:top w:val="nil"/>
              <w:left w:val="nil"/>
              <w:bottom w:val="nil"/>
              <w:right w:val="nil"/>
            </w:tcBorders>
            <w:shd w:val="clear" w:color="auto" w:fill="auto"/>
            <w:noWrap/>
            <w:tcMar>
              <w:left w:w="0" w:type="dxa"/>
            </w:tcMar>
            <w:vAlign w:val="bottom"/>
            <w:hideMark/>
          </w:tcPr>
          <w:p w14:paraId="7F4AAD0E"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14,206</w:t>
            </w:r>
          </w:p>
        </w:tc>
        <w:tc>
          <w:tcPr>
            <w:tcW w:w="875" w:type="dxa"/>
            <w:tcBorders>
              <w:top w:val="nil"/>
              <w:left w:val="nil"/>
              <w:bottom w:val="nil"/>
              <w:right w:val="nil"/>
            </w:tcBorders>
            <w:shd w:val="clear" w:color="auto" w:fill="auto"/>
            <w:noWrap/>
            <w:tcMar>
              <w:left w:w="0" w:type="dxa"/>
            </w:tcMar>
            <w:vAlign w:val="bottom"/>
            <w:hideMark/>
          </w:tcPr>
          <w:p w14:paraId="6EDDDF0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14,206</w:t>
            </w:r>
          </w:p>
        </w:tc>
      </w:tr>
      <w:tr w:rsidR="002B5B49" w:rsidRPr="002B5B49" w14:paraId="39B9FCEC" w14:textId="77777777" w:rsidTr="00E70AF2">
        <w:trPr>
          <w:trHeight w:val="225"/>
        </w:trPr>
        <w:tc>
          <w:tcPr>
            <w:tcW w:w="2858" w:type="dxa"/>
            <w:tcBorders>
              <w:top w:val="nil"/>
              <w:left w:val="nil"/>
              <w:bottom w:val="nil"/>
              <w:right w:val="nil"/>
            </w:tcBorders>
            <w:shd w:val="clear" w:color="auto" w:fill="auto"/>
            <w:noWrap/>
            <w:vAlign w:val="bottom"/>
            <w:hideMark/>
          </w:tcPr>
          <w:p w14:paraId="4083DCE4" w14:textId="77777777" w:rsidR="002B5B49" w:rsidRPr="002B5B49" w:rsidRDefault="002B5B49" w:rsidP="002B5B49">
            <w:pPr>
              <w:spacing w:before="0" w:after="0" w:line="240" w:lineRule="auto"/>
              <w:ind w:leftChars="175" w:left="333"/>
              <w:rPr>
                <w:rFonts w:ascii="Arial" w:hAnsi="Arial" w:cs="Arial"/>
                <w:sz w:val="16"/>
                <w:szCs w:val="16"/>
              </w:rPr>
            </w:pPr>
            <w:r w:rsidRPr="002B5B49">
              <w:rPr>
                <w:rFonts w:ascii="Arial" w:hAnsi="Arial" w:cs="Arial"/>
                <w:sz w:val="16"/>
                <w:szCs w:val="16"/>
              </w:rPr>
              <w:t>Special accounts</w:t>
            </w:r>
          </w:p>
        </w:tc>
        <w:tc>
          <w:tcPr>
            <w:tcW w:w="904" w:type="dxa"/>
            <w:tcBorders>
              <w:top w:val="nil"/>
              <w:left w:val="nil"/>
              <w:bottom w:val="nil"/>
              <w:right w:val="nil"/>
            </w:tcBorders>
            <w:shd w:val="clear" w:color="auto" w:fill="auto"/>
            <w:noWrap/>
            <w:tcMar>
              <w:left w:w="0" w:type="dxa"/>
            </w:tcMar>
            <w:vAlign w:val="bottom"/>
            <w:hideMark/>
          </w:tcPr>
          <w:p w14:paraId="1DBDF697" w14:textId="77777777" w:rsidR="002B5B49" w:rsidRPr="002B5B49" w:rsidRDefault="002B5B49" w:rsidP="002B5B49">
            <w:pPr>
              <w:spacing w:before="0" w:after="0" w:line="240" w:lineRule="auto"/>
              <w:ind w:firstLineChars="200" w:firstLine="320"/>
              <w:rPr>
                <w:rFonts w:ascii="Arial" w:hAnsi="Arial" w:cs="Arial"/>
                <w:sz w:val="16"/>
                <w:szCs w:val="16"/>
              </w:rPr>
            </w:pPr>
          </w:p>
        </w:tc>
        <w:tc>
          <w:tcPr>
            <w:tcW w:w="904" w:type="dxa"/>
            <w:tcBorders>
              <w:top w:val="nil"/>
              <w:left w:val="nil"/>
              <w:bottom w:val="nil"/>
              <w:right w:val="nil"/>
            </w:tcBorders>
            <w:shd w:val="clear" w:color="000000" w:fill="D9D9D9"/>
            <w:noWrap/>
            <w:tcMar>
              <w:left w:w="0" w:type="dxa"/>
            </w:tcMar>
            <w:vAlign w:val="bottom"/>
            <w:hideMark/>
          </w:tcPr>
          <w:p w14:paraId="1BA9B794"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 </w:t>
            </w:r>
          </w:p>
        </w:tc>
        <w:tc>
          <w:tcPr>
            <w:tcW w:w="904" w:type="dxa"/>
            <w:tcBorders>
              <w:top w:val="nil"/>
              <w:left w:val="nil"/>
              <w:bottom w:val="nil"/>
              <w:right w:val="nil"/>
            </w:tcBorders>
            <w:shd w:val="clear" w:color="auto" w:fill="auto"/>
            <w:noWrap/>
            <w:tcMar>
              <w:left w:w="0" w:type="dxa"/>
            </w:tcMar>
            <w:vAlign w:val="bottom"/>
            <w:hideMark/>
          </w:tcPr>
          <w:p w14:paraId="58F46F7F" w14:textId="77777777" w:rsidR="002B5B49" w:rsidRPr="002B5B49" w:rsidRDefault="002B5B49" w:rsidP="002B5B49">
            <w:pPr>
              <w:spacing w:before="0"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tcMar>
              <w:left w:w="0" w:type="dxa"/>
            </w:tcMar>
            <w:vAlign w:val="bottom"/>
            <w:hideMark/>
          </w:tcPr>
          <w:p w14:paraId="346646F6" w14:textId="77777777" w:rsidR="002B5B49" w:rsidRPr="002B5B49" w:rsidRDefault="002B5B49" w:rsidP="002B5B49">
            <w:pPr>
              <w:spacing w:before="0" w:after="0" w:line="240" w:lineRule="auto"/>
              <w:jc w:val="right"/>
              <w:rPr>
                <w:rFonts w:ascii="Times New Roman" w:hAnsi="Times New Roman"/>
                <w:sz w:val="20"/>
              </w:rPr>
            </w:pPr>
          </w:p>
        </w:tc>
        <w:tc>
          <w:tcPr>
            <w:tcW w:w="875" w:type="dxa"/>
            <w:tcBorders>
              <w:top w:val="nil"/>
              <w:left w:val="nil"/>
              <w:bottom w:val="nil"/>
              <w:right w:val="nil"/>
            </w:tcBorders>
            <w:shd w:val="clear" w:color="auto" w:fill="auto"/>
            <w:noWrap/>
            <w:tcMar>
              <w:left w:w="0" w:type="dxa"/>
            </w:tcMar>
            <w:vAlign w:val="bottom"/>
            <w:hideMark/>
          </w:tcPr>
          <w:p w14:paraId="52BD0D74" w14:textId="77777777" w:rsidR="002B5B49" w:rsidRPr="002B5B49" w:rsidRDefault="002B5B49" w:rsidP="002B5B49">
            <w:pPr>
              <w:spacing w:before="0" w:after="0" w:line="240" w:lineRule="auto"/>
              <w:jc w:val="right"/>
              <w:rPr>
                <w:rFonts w:ascii="Times New Roman" w:hAnsi="Times New Roman"/>
                <w:sz w:val="20"/>
              </w:rPr>
            </w:pPr>
          </w:p>
        </w:tc>
      </w:tr>
      <w:tr w:rsidR="002B5B49" w:rsidRPr="002B5B49" w14:paraId="3DC854D8" w14:textId="77777777" w:rsidTr="00E70AF2">
        <w:trPr>
          <w:trHeight w:val="225"/>
        </w:trPr>
        <w:tc>
          <w:tcPr>
            <w:tcW w:w="2858" w:type="dxa"/>
            <w:tcBorders>
              <w:top w:val="nil"/>
              <w:left w:val="nil"/>
              <w:bottom w:val="nil"/>
              <w:right w:val="nil"/>
            </w:tcBorders>
            <w:shd w:val="clear" w:color="auto" w:fill="auto"/>
            <w:noWrap/>
            <w:vAlign w:val="bottom"/>
            <w:hideMark/>
          </w:tcPr>
          <w:p w14:paraId="2F28C526" w14:textId="5E605E02" w:rsidR="002B5B49" w:rsidRPr="002B5B49" w:rsidRDefault="002B5B49" w:rsidP="00043975">
            <w:pPr>
              <w:spacing w:before="0" w:after="0" w:line="240" w:lineRule="auto"/>
              <w:ind w:firstLineChars="300" w:firstLine="480"/>
              <w:rPr>
                <w:rFonts w:ascii="Arial" w:hAnsi="Arial" w:cs="Arial"/>
                <w:sz w:val="16"/>
                <w:szCs w:val="16"/>
              </w:rPr>
            </w:pPr>
            <w:r w:rsidRPr="002B5B49">
              <w:rPr>
                <w:rFonts w:ascii="Arial" w:hAnsi="Arial" w:cs="Arial"/>
                <w:sz w:val="16"/>
                <w:szCs w:val="16"/>
              </w:rPr>
              <w:t>AICIS</w:t>
            </w:r>
            <w:r w:rsidRPr="002B5B49">
              <w:rPr>
                <w:rFonts w:ascii="Arial" w:hAnsi="Arial" w:cs="Arial"/>
                <w:sz w:val="16"/>
                <w:szCs w:val="16"/>
                <w:vertAlign w:val="superscript"/>
              </w:rPr>
              <w:t>(g)</w:t>
            </w:r>
          </w:p>
        </w:tc>
        <w:tc>
          <w:tcPr>
            <w:tcW w:w="904" w:type="dxa"/>
            <w:tcBorders>
              <w:top w:val="nil"/>
              <w:left w:val="nil"/>
              <w:bottom w:val="nil"/>
              <w:right w:val="nil"/>
            </w:tcBorders>
            <w:shd w:val="clear" w:color="auto" w:fill="auto"/>
            <w:noWrap/>
            <w:tcMar>
              <w:left w:w="0" w:type="dxa"/>
            </w:tcMar>
            <w:vAlign w:val="bottom"/>
            <w:hideMark/>
          </w:tcPr>
          <w:p w14:paraId="4A200D5C"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23,191</w:t>
            </w:r>
          </w:p>
        </w:tc>
        <w:tc>
          <w:tcPr>
            <w:tcW w:w="904" w:type="dxa"/>
            <w:tcBorders>
              <w:top w:val="nil"/>
              <w:left w:val="nil"/>
              <w:bottom w:val="nil"/>
              <w:right w:val="nil"/>
            </w:tcBorders>
            <w:shd w:val="clear" w:color="000000" w:fill="D9D9D9"/>
            <w:noWrap/>
            <w:tcMar>
              <w:left w:w="0" w:type="dxa"/>
            </w:tcMar>
            <w:vAlign w:val="bottom"/>
            <w:hideMark/>
          </w:tcPr>
          <w:p w14:paraId="4AAD51FF"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23,858</w:t>
            </w:r>
          </w:p>
        </w:tc>
        <w:tc>
          <w:tcPr>
            <w:tcW w:w="904" w:type="dxa"/>
            <w:tcBorders>
              <w:top w:val="nil"/>
              <w:left w:val="nil"/>
              <w:bottom w:val="nil"/>
              <w:right w:val="nil"/>
            </w:tcBorders>
            <w:shd w:val="clear" w:color="auto" w:fill="auto"/>
            <w:noWrap/>
            <w:tcMar>
              <w:left w:w="0" w:type="dxa"/>
            </w:tcMar>
            <w:vAlign w:val="bottom"/>
            <w:hideMark/>
          </w:tcPr>
          <w:p w14:paraId="762F79B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23,221</w:t>
            </w:r>
          </w:p>
        </w:tc>
        <w:tc>
          <w:tcPr>
            <w:tcW w:w="875" w:type="dxa"/>
            <w:tcBorders>
              <w:top w:val="nil"/>
              <w:left w:val="nil"/>
              <w:bottom w:val="nil"/>
              <w:right w:val="nil"/>
            </w:tcBorders>
            <w:shd w:val="clear" w:color="auto" w:fill="auto"/>
            <w:noWrap/>
            <w:tcMar>
              <w:left w:w="0" w:type="dxa"/>
            </w:tcMar>
            <w:vAlign w:val="bottom"/>
            <w:hideMark/>
          </w:tcPr>
          <w:p w14:paraId="165DC976"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23,221</w:t>
            </w:r>
          </w:p>
        </w:tc>
        <w:tc>
          <w:tcPr>
            <w:tcW w:w="875" w:type="dxa"/>
            <w:tcBorders>
              <w:top w:val="nil"/>
              <w:left w:val="nil"/>
              <w:bottom w:val="nil"/>
              <w:right w:val="nil"/>
            </w:tcBorders>
            <w:shd w:val="clear" w:color="auto" w:fill="auto"/>
            <w:noWrap/>
            <w:tcMar>
              <w:left w:w="0" w:type="dxa"/>
            </w:tcMar>
            <w:vAlign w:val="bottom"/>
            <w:hideMark/>
          </w:tcPr>
          <w:p w14:paraId="2706752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23,221</w:t>
            </w:r>
          </w:p>
        </w:tc>
      </w:tr>
      <w:tr w:rsidR="002B5B49" w:rsidRPr="002B5B49" w14:paraId="78A12D91" w14:textId="77777777" w:rsidTr="00E70AF2">
        <w:trPr>
          <w:trHeight w:val="225"/>
        </w:trPr>
        <w:tc>
          <w:tcPr>
            <w:tcW w:w="2858" w:type="dxa"/>
            <w:tcBorders>
              <w:top w:val="nil"/>
              <w:left w:val="nil"/>
              <w:bottom w:val="nil"/>
              <w:right w:val="nil"/>
            </w:tcBorders>
            <w:shd w:val="clear" w:color="auto" w:fill="auto"/>
            <w:noWrap/>
            <w:vAlign w:val="bottom"/>
            <w:hideMark/>
          </w:tcPr>
          <w:p w14:paraId="496BC4D9" w14:textId="3EA9CFE0" w:rsidR="002B5B49" w:rsidRPr="002B5B49" w:rsidRDefault="002B5B49" w:rsidP="00043975">
            <w:pPr>
              <w:spacing w:before="0" w:after="0" w:line="240" w:lineRule="auto"/>
              <w:ind w:firstLineChars="300" w:firstLine="480"/>
              <w:rPr>
                <w:rFonts w:ascii="Arial" w:hAnsi="Arial" w:cs="Arial"/>
                <w:sz w:val="16"/>
                <w:szCs w:val="16"/>
              </w:rPr>
            </w:pPr>
            <w:r w:rsidRPr="002B5B49">
              <w:rPr>
                <w:rFonts w:ascii="Arial" w:hAnsi="Arial" w:cs="Arial"/>
                <w:sz w:val="16"/>
                <w:szCs w:val="16"/>
              </w:rPr>
              <w:t>OGTR</w:t>
            </w:r>
            <w:r w:rsidRPr="002B5B49">
              <w:rPr>
                <w:rFonts w:ascii="Arial" w:hAnsi="Arial" w:cs="Arial"/>
                <w:sz w:val="16"/>
                <w:szCs w:val="16"/>
                <w:vertAlign w:val="superscript"/>
              </w:rPr>
              <w:t>(h)</w:t>
            </w:r>
          </w:p>
        </w:tc>
        <w:tc>
          <w:tcPr>
            <w:tcW w:w="904" w:type="dxa"/>
            <w:tcBorders>
              <w:top w:val="nil"/>
              <w:left w:val="nil"/>
              <w:bottom w:val="nil"/>
              <w:right w:val="nil"/>
            </w:tcBorders>
            <w:shd w:val="clear" w:color="auto" w:fill="auto"/>
            <w:noWrap/>
            <w:tcMar>
              <w:left w:w="0" w:type="dxa"/>
            </w:tcMar>
            <w:vAlign w:val="bottom"/>
            <w:hideMark/>
          </w:tcPr>
          <w:p w14:paraId="466BA5A1"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8,712</w:t>
            </w:r>
          </w:p>
        </w:tc>
        <w:tc>
          <w:tcPr>
            <w:tcW w:w="904" w:type="dxa"/>
            <w:tcBorders>
              <w:top w:val="nil"/>
              <w:left w:val="nil"/>
              <w:bottom w:val="nil"/>
              <w:right w:val="nil"/>
            </w:tcBorders>
            <w:shd w:val="clear" w:color="000000" w:fill="D9D9D9"/>
            <w:noWrap/>
            <w:tcMar>
              <w:left w:w="0" w:type="dxa"/>
            </w:tcMar>
            <w:vAlign w:val="bottom"/>
            <w:hideMark/>
          </w:tcPr>
          <w:p w14:paraId="2ABDE17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11,081</w:t>
            </w:r>
          </w:p>
        </w:tc>
        <w:tc>
          <w:tcPr>
            <w:tcW w:w="904" w:type="dxa"/>
            <w:tcBorders>
              <w:top w:val="nil"/>
              <w:left w:val="nil"/>
              <w:bottom w:val="nil"/>
              <w:right w:val="nil"/>
            </w:tcBorders>
            <w:shd w:val="clear" w:color="auto" w:fill="auto"/>
            <w:noWrap/>
            <w:tcMar>
              <w:left w:w="0" w:type="dxa"/>
            </w:tcMar>
            <w:vAlign w:val="bottom"/>
            <w:hideMark/>
          </w:tcPr>
          <w:p w14:paraId="517E584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7,939</w:t>
            </w:r>
          </w:p>
        </w:tc>
        <w:tc>
          <w:tcPr>
            <w:tcW w:w="875" w:type="dxa"/>
            <w:tcBorders>
              <w:top w:val="nil"/>
              <w:left w:val="nil"/>
              <w:bottom w:val="nil"/>
              <w:right w:val="nil"/>
            </w:tcBorders>
            <w:shd w:val="clear" w:color="auto" w:fill="auto"/>
            <w:noWrap/>
            <w:tcMar>
              <w:left w:w="0" w:type="dxa"/>
            </w:tcMar>
            <w:vAlign w:val="bottom"/>
            <w:hideMark/>
          </w:tcPr>
          <w:p w14:paraId="770CBC42"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8,016</w:t>
            </w:r>
          </w:p>
        </w:tc>
        <w:tc>
          <w:tcPr>
            <w:tcW w:w="875" w:type="dxa"/>
            <w:tcBorders>
              <w:top w:val="nil"/>
              <w:left w:val="nil"/>
              <w:bottom w:val="nil"/>
              <w:right w:val="nil"/>
            </w:tcBorders>
            <w:shd w:val="clear" w:color="auto" w:fill="auto"/>
            <w:noWrap/>
            <w:tcMar>
              <w:left w:w="0" w:type="dxa"/>
            </w:tcMar>
            <w:vAlign w:val="bottom"/>
            <w:hideMark/>
          </w:tcPr>
          <w:p w14:paraId="3E9F197A"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8,085</w:t>
            </w:r>
          </w:p>
        </w:tc>
      </w:tr>
      <w:tr w:rsidR="002B5B49" w:rsidRPr="002B5B49" w14:paraId="2DA56A6D" w14:textId="77777777" w:rsidTr="00E70AF2">
        <w:trPr>
          <w:trHeight w:val="225"/>
        </w:trPr>
        <w:tc>
          <w:tcPr>
            <w:tcW w:w="2858" w:type="dxa"/>
            <w:tcBorders>
              <w:top w:val="nil"/>
              <w:left w:val="nil"/>
              <w:bottom w:val="nil"/>
              <w:right w:val="nil"/>
            </w:tcBorders>
            <w:shd w:val="clear" w:color="auto" w:fill="auto"/>
            <w:noWrap/>
            <w:vAlign w:val="bottom"/>
            <w:hideMark/>
          </w:tcPr>
          <w:p w14:paraId="5A5E021E" w14:textId="61CEB658" w:rsidR="002B5B49" w:rsidRPr="002B5B49" w:rsidRDefault="002B5B49" w:rsidP="00043975">
            <w:pPr>
              <w:spacing w:before="0" w:after="0" w:line="240" w:lineRule="auto"/>
              <w:ind w:firstLineChars="300" w:firstLine="480"/>
              <w:rPr>
                <w:rFonts w:ascii="Arial" w:hAnsi="Arial" w:cs="Arial"/>
                <w:sz w:val="16"/>
                <w:szCs w:val="16"/>
              </w:rPr>
            </w:pPr>
            <w:r w:rsidRPr="002B5B49">
              <w:rPr>
                <w:rFonts w:ascii="Arial" w:hAnsi="Arial" w:cs="Arial"/>
                <w:sz w:val="16"/>
                <w:szCs w:val="16"/>
              </w:rPr>
              <w:t>TGA</w:t>
            </w:r>
            <w:r w:rsidRPr="002B5B49">
              <w:rPr>
                <w:rFonts w:ascii="Arial" w:hAnsi="Arial" w:cs="Arial"/>
                <w:sz w:val="16"/>
                <w:szCs w:val="16"/>
                <w:vertAlign w:val="superscript"/>
              </w:rPr>
              <w:t>(</w:t>
            </w:r>
            <w:proofErr w:type="spellStart"/>
            <w:r w:rsidRPr="002B5B49">
              <w:rPr>
                <w:rFonts w:ascii="Arial" w:hAnsi="Arial" w:cs="Arial"/>
                <w:sz w:val="16"/>
                <w:szCs w:val="16"/>
                <w:vertAlign w:val="superscript"/>
              </w:rPr>
              <w:t>i</w:t>
            </w:r>
            <w:proofErr w:type="spellEnd"/>
            <w:r w:rsidRPr="002B5B49">
              <w:rPr>
                <w:rFonts w:ascii="Arial" w:hAnsi="Arial" w:cs="Arial"/>
                <w:sz w:val="16"/>
                <w:szCs w:val="16"/>
                <w:vertAlign w:val="superscript"/>
              </w:rPr>
              <w:t>)</w:t>
            </w:r>
          </w:p>
        </w:tc>
        <w:tc>
          <w:tcPr>
            <w:tcW w:w="904" w:type="dxa"/>
            <w:tcBorders>
              <w:top w:val="nil"/>
              <w:left w:val="nil"/>
              <w:bottom w:val="nil"/>
              <w:right w:val="nil"/>
            </w:tcBorders>
            <w:shd w:val="clear" w:color="auto" w:fill="auto"/>
            <w:noWrap/>
            <w:tcMar>
              <w:left w:w="0" w:type="dxa"/>
            </w:tcMar>
            <w:vAlign w:val="bottom"/>
            <w:hideMark/>
          </w:tcPr>
          <w:p w14:paraId="63842F35"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234,058</w:t>
            </w:r>
          </w:p>
        </w:tc>
        <w:tc>
          <w:tcPr>
            <w:tcW w:w="904" w:type="dxa"/>
            <w:tcBorders>
              <w:top w:val="nil"/>
              <w:left w:val="nil"/>
              <w:bottom w:val="nil"/>
              <w:right w:val="nil"/>
            </w:tcBorders>
            <w:shd w:val="clear" w:color="000000" w:fill="D9D9D9"/>
            <w:noWrap/>
            <w:tcMar>
              <w:left w:w="0" w:type="dxa"/>
            </w:tcMar>
            <w:vAlign w:val="bottom"/>
            <w:hideMark/>
          </w:tcPr>
          <w:p w14:paraId="6113FD3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228,983</w:t>
            </w:r>
          </w:p>
        </w:tc>
        <w:tc>
          <w:tcPr>
            <w:tcW w:w="904" w:type="dxa"/>
            <w:tcBorders>
              <w:top w:val="nil"/>
              <w:left w:val="nil"/>
              <w:bottom w:val="nil"/>
              <w:right w:val="nil"/>
            </w:tcBorders>
            <w:shd w:val="clear" w:color="auto" w:fill="auto"/>
            <w:noWrap/>
            <w:tcMar>
              <w:left w:w="0" w:type="dxa"/>
            </w:tcMar>
            <w:vAlign w:val="bottom"/>
            <w:hideMark/>
          </w:tcPr>
          <w:p w14:paraId="56E4FAB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227,160</w:t>
            </w:r>
          </w:p>
        </w:tc>
        <w:tc>
          <w:tcPr>
            <w:tcW w:w="875" w:type="dxa"/>
            <w:tcBorders>
              <w:top w:val="nil"/>
              <w:left w:val="nil"/>
              <w:bottom w:val="nil"/>
              <w:right w:val="nil"/>
            </w:tcBorders>
            <w:shd w:val="clear" w:color="auto" w:fill="auto"/>
            <w:noWrap/>
            <w:tcMar>
              <w:left w:w="0" w:type="dxa"/>
            </w:tcMar>
            <w:vAlign w:val="bottom"/>
            <w:hideMark/>
          </w:tcPr>
          <w:p w14:paraId="29734E5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228,713</w:t>
            </w:r>
          </w:p>
        </w:tc>
        <w:tc>
          <w:tcPr>
            <w:tcW w:w="875" w:type="dxa"/>
            <w:tcBorders>
              <w:top w:val="nil"/>
              <w:left w:val="nil"/>
              <w:bottom w:val="nil"/>
              <w:right w:val="nil"/>
            </w:tcBorders>
            <w:shd w:val="clear" w:color="auto" w:fill="auto"/>
            <w:noWrap/>
            <w:tcMar>
              <w:left w:w="0" w:type="dxa"/>
            </w:tcMar>
            <w:vAlign w:val="bottom"/>
            <w:hideMark/>
          </w:tcPr>
          <w:p w14:paraId="47915638"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233,795</w:t>
            </w:r>
          </w:p>
        </w:tc>
      </w:tr>
      <w:tr w:rsidR="002B5B49" w:rsidRPr="002B5B49" w14:paraId="4AD2C77C" w14:textId="77777777" w:rsidTr="00E70AF2">
        <w:trPr>
          <w:trHeight w:val="225"/>
        </w:trPr>
        <w:tc>
          <w:tcPr>
            <w:tcW w:w="2858" w:type="dxa"/>
            <w:tcBorders>
              <w:top w:val="nil"/>
              <w:left w:val="nil"/>
              <w:bottom w:val="nil"/>
              <w:right w:val="nil"/>
            </w:tcBorders>
            <w:shd w:val="clear" w:color="auto" w:fill="auto"/>
            <w:noWrap/>
            <w:vAlign w:val="bottom"/>
            <w:hideMark/>
          </w:tcPr>
          <w:p w14:paraId="3DF0A766" w14:textId="45830028" w:rsidR="002B5B49" w:rsidRPr="002B5B49" w:rsidRDefault="002B5B49" w:rsidP="00043975">
            <w:pPr>
              <w:spacing w:before="0" w:after="0" w:line="240" w:lineRule="auto"/>
              <w:ind w:firstLineChars="300" w:firstLine="480"/>
              <w:rPr>
                <w:rFonts w:ascii="Arial" w:hAnsi="Arial" w:cs="Arial"/>
                <w:sz w:val="16"/>
                <w:szCs w:val="16"/>
              </w:rPr>
            </w:pPr>
            <w:r w:rsidRPr="002B5B49">
              <w:rPr>
                <w:rFonts w:ascii="Arial" w:hAnsi="Arial" w:cs="Arial"/>
                <w:sz w:val="16"/>
                <w:szCs w:val="16"/>
              </w:rPr>
              <w:t>Expense adjustment</w:t>
            </w:r>
            <w:r w:rsidRPr="002B5B49">
              <w:rPr>
                <w:rFonts w:ascii="Arial" w:hAnsi="Arial" w:cs="Arial"/>
                <w:sz w:val="16"/>
                <w:szCs w:val="16"/>
                <w:vertAlign w:val="superscript"/>
              </w:rPr>
              <w:t>(f)</w:t>
            </w:r>
          </w:p>
        </w:tc>
        <w:tc>
          <w:tcPr>
            <w:tcW w:w="904" w:type="dxa"/>
            <w:tcBorders>
              <w:top w:val="nil"/>
              <w:left w:val="nil"/>
              <w:bottom w:val="nil"/>
              <w:right w:val="nil"/>
            </w:tcBorders>
            <w:shd w:val="clear" w:color="auto" w:fill="auto"/>
            <w:noWrap/>
            <w:tcMar>
              <w:left w:w="0" w:type="dxa"/>
            </w:tcMar>
            <w:vAlign w:val="bottom"/>
            <w:hideMark/>
          </w:tcPr>
          <w:p w14:paraId="5452B8B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(13,037)</w:t>
            </w:r>
          </w:p>
        </w:tc>
        <w:tc>
          <w:tcPr>
            <w:tcW w:w="904" w:type="dxa"/>
            <w:tcBorders>
              <w:top w:val="nil"/>
              <w:left w:val="nil"/>
              <w:bottom w:val="nil"/>
              <w:right w:val="nil"/>
            </w:tcBorders>
            <w:shd w:val="clear" w:color="000000" w:fill="D9D9D9"/>
            <w:noWrap/>
            <w:tcMar>
              <w:left w:w="0" w:type="dxa"/>
            </w:tcMar>
            <w:vAlign w:val="bottom"/>
            <w:hideMark/>
          </w:tcPr>
          <w:p w14:paraId="04842077"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(502)</w:t>
            </w:r>
          </w:p>
        </w:tc>
        <w:tc>
          <w:tcPr>
            <w:tcW w:w="904" w:type="dxa"/>
            <w:tcBorders>
              <w:top w:val="nil"/>
              <w:left w:val="nil"/>
              <w:bottom w:val="nil"/>
              <w:right w:val="nil"/>
            </w:tcBorders>
            <w:shd w:val="clear" w:color="auto" w:fill="auto"/>
            <w:noWrap/>
            <w:tcMar>
              <w:left w:w="0" w:type="dxa"/>
            </w:tcMar>
            <w:vAlign w:val="bottom"/>
            <w:hideMark/>
          </w:tcPr>
          <w:p w14:paraId="5BDE379E"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3,973</w:t>
            </w:r>
          </w:p>
        </w:tc>
        <w:tc>
          <w:tcPr>
            <w:tcW w:w="875" w:type="dxa"/>
            <w:tcBorders>
              <w:top w:val="nil"/>
              <w:left w:val="nil"/>
              <w:bottom w:val="nil"/>
              <w:right w:val="nil"/>
            </w:tcBorders>
            <w:shd w:val="clear" w:color="auto" w:fill="auto"/>
            <w:noWrap/>
            <w:tcMar>
              <w:left w:w="0" w:type="dxa"/>
            </w:tcMar>
            <w:vAlign w:val="bottom"/>
            <w:hideMark/>
          </w:tcPr>
          <w:p w14:paraId="77087FB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5,542</w:t>
            </w:r>
          </w:p>
        </w:tc>
        <w:tc>
          <w:tcPr>
            <w:tcW w:w="875" w:type="dxa"/>
            <w:tcBorders>
              <w:top w:val="nil"/>
              <w:left w:val="nil"/>
              <w:bottom w:val="nil"/>
              <w:right w:val="nil"/>
            </w:tcBorders>
            <w:shd w:val="clear" w:color="auto" w:fill="auto"/>
            <w:noWrap/>
            <w:tcMar>
              <w:left w:w="0" w:type="dxa"/>
            </w:tcMar>
            <w:vAlign w:val="bottom"/>
            <w:hideMark/>
          </w:tcPr>
          <w:p w14:paraId="1C17743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4,635</w:t>
            </w:r>
          </w:p>
        </w:tc>
      </w:tr>
      <w:tr w:rsidR="002B5B49" w:rsidRPr="002B5B49" w14:paraId="72C7FC4B" w14:textId="77777777" w:rsidTr="00CE69E2">
        <w:trPr>
          <w:trHeight w:val="283"/>
        </w:trPr>
        <w:tc>
          <w:tcPr>
            <w:tcW w:w="2858" w:type="dxa"/>
            <w:tcBorders>
              <w:top w:val="nil"/>
              <w:left w:val="nil"/>
              <w:bottom w:val="single" w:sz="4" w:space="0" w:color="auto"/>
              <w:right w:val="nil"/>
            </w:tcBorders>
            <w:shd w:val="clear" w:color="auto" w:fill="auto"/>
            <w:noWrap/>
            <w:vAlign w:val="bottom"/>
            <w:hideMark/>
          </w:tcPr>
          <w:p w14:paraId="133BC7E7" w14:textId="77777777" w:rsidR="002B5B49" w:rsidRPr="002B5B49" w:rsidRDefault="002B5B49" w:rsidP="002B5B49">
            <w:pPr>
              <w:spacing w:before="0" w:after="0" w:line="240" w:lineRule="auto"/>
              <w:rPr>
                <w:rFonts w:ascii="Arial" w:hAnsi="Arial" w:cs="Arial"/>
                <w:b/>
                <w:bCs/>
                <w:sz w:val="16"/>
                <w:szCs w:val="16"/>
              </w:rPr>
            </w:pPr>
            <w:r w:rsidRPr="002B5B49">
              <w:rPr>
                <w:rFonts w:ascii="Arial" w:hAnsi="Arial" w:cs="Arial"/>
                <w:b/>
                <w:bCs/>
                <w:sz w:val="16"/>
                <w:szCs w:val="16"/>
              </w:rPr>
              <w:t>Total expenses for Outcome 1</w:t>
            </w:r>
          </w:p>
        </w:tc>
        <w:tc>
          <w:tcPr>
            <w:tcW w:w="904"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777092F3"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15,168,085</w:t>
            </w:r>
          </w:p>
        </w:tc>
        <w:tc>
          <w:tcPr>
            <w:tcW w:w="904" w:type="dxa"/>
            <w:tcBorders>
              <w:top w:val="single" w:sz="4" w:space="0" w:color="auto"/>
              <w:left w:val="nil"/>
              <w:bottom w:val="single" w:sz="4" w:space="0" w:color="auto"/>
              <w:right w:val="nil"/>
            </w:tcBorders>
            <w:shd w:val="clear" w:color="000000" w:fill="D9D9D9"/>
            <w:noWrap/>
            <w:tcMar>
              <w:left w:w="0" w:type="dxa"/>
              <w:right w:w="0" w:type="dxa"/>
            </w:tcMar>
            <w:vAlign w:val="bottom"/>
            <w:hideMark/>
          </w:tcPr>
          <w:p w14:paraId="34C270A9"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11,906,646</w:t>
            </w:r>
          </w:p>
        </w:tc>
        <w:tc>
          <w:tcPr>
            <w:tcW w:w="904"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2268CAF4"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10,322,619</w:t>
            </w:r>
          </w:p>
        </w:tc>
        <w:tc>
          <w:tcPr>
            <w:tcW w:w="875"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293EB807"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9,969,059</w:t>
            </w:r>
          </w:p>
        </w:tc>
        <w:tc>
          <w:tcPr>
            <w:tcW w:w="875" w:type="dxa"/>
            <w:tcBorders>
              <w:top w:val="single" w:sz="4" w:space="0" w:color="auto"/>
              <w:left w:val="nil"/>
              <w:bottom w:val="single" w:sz="4" w:space="0" w:color="auto"/>
              <w:right w:val="nil"/>
            </w:tcBorders>
            <w:shd w:val="clear" w:color="auto" w:fill="auto"/>
            <w:noWrap/>
            <w:tcMar>
              <w:left w:w="0" w:type="dxa"/>
            </w:tcMar>
            <w:vAlign w:val="bottom"/>
            <w:hideMark/>
          </w:tcPr>
          <w:p w14:paraId="66269FA9"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9,925,307</w:t>
            </w:r>
          </w:p>
        </w:tc>
      </w:tr>
      <w:tr w:rsidR="002B5B49" w:rsidRPr="002B5B49" w14:paraId="355C4139" w14:textId="77777777" w:rsidTr="00E70AF2">
        <w:trPr>
          <w:trHeight w:val="225"/>
        </w:trPr>
        <w:tc>
          <w:tcPr>
            <w:tcW w:w="2858" w:type="dxa"/>
            <w:tcBorders>
              <w:top w:val="nil"/>
              <w:left w:val="nil"/>
              <w:bottom w:val="nil"/>
              <w:right w:val="nil"/>
            </w:tcBorders>
            <w:shd w:val="clear" w:color="auto" w:fill="auto"/>
            <w:noWrap/>
            <w:vAlign w:val="bottom"/>
            <w:hideMark/>
          </w:tcPr>
          <w:p w14:paraId="7D26CAA5" w14:textId="77777777" w:rsidR="002B5B49" w:rsidRPr="002B5B49" w:rsidRDefault="002B5B49" w:rsidP="002B5B49">
            <w:pPr>
              <w:spacing w:before="0" w:after="0" w:line="240" w:lineRule="auto"/>
              <w:jc w:val="right"/>
              <w:rPr>
                <w:rFonts w:ascii="Arial" w:hAnsi="Arial" w:cs="Arial"/>
                <w:b/>
                <w:bCs/>
                <w:sz w:val="16"/>
                <w:szCs w:val="16"/>
              </w:rPr>
            </w:pPr>
          </w:p>
        </w:tc>
        <w:tc>
          <w:tcPr>
            <w:tcW w:w="904" w:type="dxa"/>
            <w:tcBorders>
              <w:top w:val="nil"/>
              <w:left w:val="nil"/>
              <w:bottom w:val="single" w:sz="4" w:space="0" w:color="auto"/>
              <w:right w:val="nil"/>
            </w:tcBorders>
            <w:shd w:val="clear" w:color="auto" w:fill="auto"/>
            <w:noWrap/>
            <w:vAlign w:val="bottom"/>
            <w:hideMark/>
          </w:tcPr>
          <w:p w14:paraId="54391074"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04" w:type="dxa"/>
            <w:tcBorders>
              <w:top w:val="nil"/>
              <w:left w:val="nil"/>
              <w:bottom w:val="single" w:sz="4" w:space="0" w:color="auto"/>
              <w:right w:val="nil"/>
            </w:tcBorders>
            <w:shd w:val="clear" w:color="auto" w:fill="auto"/>
            <w:noWrap/>
            <w:vAlign w:val="bottom"/>
            <w:hideMark/>
          </w:tcPr>
          <w:p w14:paraId="2C391D5D"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904" w:type="dxa"/>
            <w:tcBorders>
              <w:top w:val="nil"/>
              <w:left w:val="nil"/>
              <w:bottom w:val="nil"/>
              <w:right w:val="nil"/>
            </w:tcBorders>
            <w:shd w:val="clear" w:color="auto" w:fill="auto"/>
            <w:noWrap/>
            <w:vAlign w:val="bottom"/>
            <w:hideMark/>
          </w:tcPr>
          <w:p w14:paraId="26284FDB"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875" w:type="dxa"/>
            <w:tcBorders>
              <w:top w:val="nil"/>
              <w:left w:val="nil"/>
              <w:bottom w:val="nil"/>
              <w:right w:val="nil"/>
            </w:tcBorders>
            <w:shd w:val="clear" w:color="auto" w:fill="auto"/>
            <w:noWrap/>
            <w:vAlign w:val="bottom"/>
            <w:hideMark/>
          </w:tcPr>
          <w:p w14:paraId="738C3A94"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c>
          <w:tcPr>
            <w:tcW w:w="875" w:type="dxa"/>
            <w:tcBorders>
              <w:top w:val="nil"/>
              <w:left w:val="nil"/>
              <w:bottom w:val="nil"/>
              <w:right w:val="nil"/>
            </w:tcBorders>
            <w:shd w:val="clear" w:color="auto" w:fill="auto"/>
            <w:noWrap/>
            <w:vAlign w:val="bottom"/>
            <w:hideMark/>
          </w:tcPr>
          <w:p w14:paraId="65B03E8B" w14:textId="77777777" w:rsidR="002B5B49" w:rsidRPr="002B5B49" w:rsidRDefault="002B5B49" w:rsidP="002B5B49">
            <w:pPr>
              <w:spacing w:before="0" w:after="0" w:line="240" w:lineRule="auto"/>
              <w:jc w:val="right"/>
              <w:rPr>
                <w:rFonts w:ascii="Arial" w:hAnsi="Arial" w:cs="Arial"/>
                <w:b/>
                <w:bCs/>
                <w:sz w:val="16"/>
                <w:szCs w:val="16"/>
              </w:rPr>
            </w:pPr>
            <w:r w:rsidRPr="002B5B49">
              <w:rPr>
                <w:rFonts w:ascii="Arial" w:hAnsi="Arial" w:cs="Arial"/>
                <w:b/>
                <w:bCs/>
                <w:sz w:val="16"/>
                <w:szCs w:val="16"/>
              </w:rPr>
              <w:t> </w:t>
            </w:r>
          </w:p>
        </w:tc>
      </w:tr>
      <w:tr w:rsidR="002B5B49" w:rsidRPr="002B5B49" w14:paraId="0E2F313D" w14:textId="77777777" w:rsidTr="00E70AF2">
        <w:trPr>
          <w:trHeight w:val="57"/>
        </w:trPr>
        <w:tc>
          <w:tcPr>
            <w:tcW w:w="2858" w:type="dxa"/>
            <w:tcBorders>
              <w:top w:val="single" w:sz="4" w:space="0" w:color="auto"/>
              <w:left w:val="nil"/>
              <w:bottom w:val="nil"/>
              <w:right w:val="nil"/>
            </w:tcBorders>
            <w:shd w:val="clear" w:color="auto" w:fill="auto"/>
            <w:noWrap/>
            <w:vAlign w:val="center"/>
            <w:hideMark/>
          </w:tcPr>
          <w:p w14:paraId="2F3F02AC" w14:textId="77777777" w:rsidR="002B5B49" w:rsidRPr="002B5B49" w:rsidRDefault="002B5B49" w:rsidP="002B5B49">
            <w:pPr>
              <w:spacing w:before="24" w:after="0" w:line="240" w:lineRule="auto"/>
              <w:ind w:firstLineChars="100" w:firstLine="160"/>
              <w:rPr>
                <w:rFonts w:ascii="Arial" w:hAnsi="Arial" w:cs="Arial"/>
                <w:sz w:val="16"/>
                <w:szCs w:val="16"/>
              </w:rPr>
            </w:pPr>
            <w:r w:rsidRPr="002B5B4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hideMark/>
          </w:tcPr>
          <w:p w14:paraId="1F564798"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2022–23</w:t>
            </w:r>
          </w:p>
        </w:tc>
        <w:tc>
          <w:tcPr>
            <w:tcW w:w="904" w:type="dxa"/>
            <w:tcBorders>
              <w:top w:val="nil"/>
              <w:left w:val="nil"/>
              <w:bottom w:val="single" w:sz="4" w:space="0" w:color="auto"/>
              <w:right w:val="nil"/>
            </w:tcBorders>
            <w:shd w:val="clear" w:color="000000" w:fill="D9D9D9"/>
            <w:noWrap/>
            <w:vAlign w:val="bottom"/>
            <w:hideMark/>
          </w:tcPr>
          <w:p w14:paraId="4C055428" w14:textId="77777777" w:rsidR="002B5B49" w:rsidRPr="002B5B49" w:rsidRDefault="002B5B49" w:rsidP="002B5B49">
            <w:pPr>
              <w:spacing w:before="24" w:after="0" w:line="240" w:lineRule="auto"/>
              <w:jc w:val="right"/>
              <w:rPr>
                <w:rFonts w:ascii="Arial" w:hAnsi="Arial" w:cs="Arial"/>
                <w:b/>
                <w:bCs/>
                <w:sz w:val="16"/>
                <w:szCs w:val="16"/>
              </w:rPr>
            </w:pPr>
            <w:r w:rsidRPr="002B5B49">
              <w:rPr>
                <w:rFonts w:ascii="Arial" w:hAnsi="Arial" w:cs="Arial"/>
                <w:b/>
                <w:bCs/>
                <w:sz w:val="16"/>
                <w:szCs w:val="16"/>
              </w:rPr>
              <w:t>2023–24</w:t>
            </w:r>
          </w:p>
        </w:tc>
        <w:tc>
          <w:tcPr>
            <w:tcW w:w="904" w:type="dxa"/>
            <w:tcBorders>
              <w:top w:val="nil"/>
              <w:left w:val="nil"/>
              <w:bottom w:val="nil"/>
              <w:right w:val="nil"/>
            </w:tcBorders>
            <w:shd w:val="clear" w:color="auto" w:fill="auto"/>
            <w:vAlign w:val="bottom"/>
            <w:hideMark/>
          </w:tcPr>
          <w:p w14:paraId="037A5661" w14:textId="77777777" w:rsidR="002B5B49" w:rsidRPr="002B5B49" w:rsidRDefault="002B5B49" w:rsidP="002B5B49">
            <w:pPr>
              <w:spacing w:before="24" w:after="0" w:line="240" w:lineRule="auto"/>
              <w:jc w:val="right"/>
              <w:rPr>
                <w:rFonts w:ascii="Arial" w:hAnsi="Arial" w:cs="Arial"/>
                <w:b/>
                <w:bCs/>
                <w:sz w:val="16"/>
                <w:szCs w:val="16"/>
              </w:rPr>
            </w:pPr>
          </w:p>
        </w:tc>
        <w:tc>
          <w:tcPr>
            <w:tcW w:w="875" w:type="dxa"/>
            <w:tcBorders>
              <w:top w:val="nil"/>
              <w:left w:val="nil"/>
              <w:bottom w:val="nil"/>
              <w:right w:val="nil"/>
            </w:tcBorders>
            <w:shd w:val="clear" w:color="auto" w:fill="auto"/>
            <w:vAlign w:val="bottom"/>
            <w:hideMark/>
          </w:tcPr>
          <w:p w14:paraId="07508489" w14:textId="77777777" w:rsidR="002B5B49" w:rsidRPr="002B5B49" w:rsidRDefault="002B5B49" w:rsidP="002B5B49">
            <w:pPr>
              <w:spacing w:before="24" w:after="0" w:line="240" w:lineRule="auto"/>
              <w:jc w:val="right"/>
              <w:rPr>
                <w:rFonts w:ascii="Times New Roman" w:hAnsi="Times New Roman"/>
                <w:sz w:val="20"/>
              </w:rPr>
            </w:pPr>
          </w:p>
        </w:tc>
        <w:tc>
          <w:tcPr>
            <w:tcW w:w="875" w:type="dxa"/>
            <w:tcBorders>
              <w:top w:val="nil"/>
              <w:left w:val="nil"/>
              <w:bottom w:val="nil"/>
              <w:right w:val="nil"/>
            </w:tcBorders>
            <w:shd w:val="clear" w:color="auto" w:fill="auto"/>
            <w:vAlign w:val="bottom"/>
            <w:hideMark/>
          </w:tcPr>
          <w:p w14:paraId="36F91F36" w14:textId="77777777" w:rsidR="002B5B49" w:rsidRPr="002B5B49" w:rsidRDefault="002B5B49" w:rsidP="002B5B49">
            <w:pPr>
              <w:spacing w:before="24" w:after="0" w:line="240" w:lineRule="auto"/>
              <w:jc w:val="right"/>
              <w:rPr>
                <w:rFonts w:ascii="Times New Roman" w:hAnsi="Times New Roman"/>
                <w:sz w:val="20"/>
              </w:rPr>
            </w:pPr>
          </w:p>
        </w:tc>
      </w:tr>
      <w:tr w:rsidR="002B5B49" w:rsidRPr="002B5B49" w14:paraId="70DD8A4F" w14:textId="77777777" w:rsidTr="00E70AF2">
        <w:trPr>
          <w:trHeight w:val="225"/>
        </w:trPr>
        <w:tc>
          <w:tcPr>
            <w:tcW w:w="2858" w:type="dxa"/>
            <w:tcBorders>
              <w:top w:val="nil"/>
              <w:left w:val="nil"/>
              <w:bottom w:val="single" w:sz="4" w:space="0" w:color="auto"/>
              <w:right w:val="nil"/>
            </w:tcBorders>
            <w:shd w:val="clear" w:color="auto" w:fill="auto"/>
            <w:noWrap/>
            <w:vAlign w:val="bottom"/>
            <w:hideMark/>
          </w:tcPr>
          <w:p w14:paraId="4380A3BD" w14:textId="77777777" w:rsidR="002B5B49" w:rsidRPr="002B5B49" w:rsidRDefault="002B5B49" w:rsidP="002B5B49">
            <w:pPr>
              <w:spacing w:before="0" w:after="0" w:line="240" w:lineRule="auto"/>
              <w:rPr>
                <w:rFonts w:ascii="Arial" w:hAnsi="Arial" w:cs="Arial"/>
                <w:b/>
                <w:bCs/>
                <w:color w:val="000000"/>
                <w:sz w:val="16"/>
                <w:szCs w:val="16"/>
              </w:rPr>
            </w:pPr>
            <w:r w:rsidRPr="002B5B49">
              <w:rPr>
                <w:rFonts w:ascii="Arial" w:hAnsi="Arial" w:cs="Arial"/>
                <w:b/>
                <w:bCs/>
                <w:color w:val="000000"/>
                <w:sz w:val="16"/>
                <w:szCs w:val="16"/>
              </w:rPr>
              <w:t xml:space="preserve">Average </w:t>
            </w:r>
            <w:r w:rsidRPr="002B5B49">
              <w:rPr>
                <w:rFonts w:ascii="Arial" w:hAnsi="Arial" w:cs="Arial"/>
                <w:b/>
                <w:bCs/>
                <w:sz w:val="16"/>
                <w:szCs w:val="16"/>
              </w:rPr>
              <w:t>s</w:t>
            </w:r>
            <w:r w:rsidRPr="002B5B49">
              <w:rPr>
                <w:rFonts w:ascii="Arial" w:hAnsi="Arial" w:cs="Arial"/>
                <w:b/>
                <w:bCs/>
                <w:color w:val="000000"/>
                <w:sz w:val="16"/>
                <w:szCs w:val="16"/>
              </w:rPr>
              <w:t xml:space="preserve">taffing </w:t>
            </w:r>
            <w:r w:rsidRPr="002B5B49">
              <w:rPr>
                <w:rFonts w:ascii="Arial" w:hAnsi="Arial" w:cs="Arial"/>
                <w:b/>
                <w:bCs/>
                <w:sz w:val="16"/>
                <w:szCs w:val="16"/>
              </w:rPr>
              <w:t>l</w:t>
            </w:r>
            <w:r w:rsidRPr="002B5B49">
              <w:rPr>
                <w:rFonts w:ascii="Arial" w:hAnsi="Arial" w:cs="Arial"/>
                <w:b/>
                <w:bCs/>
                <w:color w:val="000000"/>
                <w:sz w:val="16"/>
                <w:szCs w:val="16"/>
              </w:rPr>
              <w:t>evel (number)</w:t>
            </w:r>
          </w:p>
        </w:tc>
        <w:tc>
          <w:tcPr>
            <w:tcW w:w="904" w:type="dxa"/>
            <w:tcBorders>
              <w:top w:val="nil"/>
              <w:left w:val="nil"/>
              <w:bottom w:val="single" w:sz="4" w:space="0" w:color="auto"/>
              <w:right w:val="nil"/>
            </w:tcBorders>
            <w:shd w:val="clear" w:color="auto" w:fill="auto"/>
            <w:noWrap/>
            <w:vAlign w:val="bottom"/>
            <w:hideMark/>
          </w:tcPr>
          <w:p w14:paraId="39165470"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2,909</w:t>
            </w:r>
          </w:p>
        </w:tc>
        <w:tc>
          <w:tcPr>
            <w:tcW w:w="904" w:type="dxa"/>
            <w:tcBorders>
              <w:top w:val="nil"/>
              <w:left w:val="nil"/>
              <w:bottom w:val="single" w:sz="4" w:space="0" w:color="auto"/>
              <w:right w:val="nil"/>
            </w:tcBorders>
            <w:shd w:val="clear" w:color="000000" w:fill="D9D9D9"/>
            <w:noWrap/>
            <w:vAlign w:val="bottom"/>
            <w:hideMark/>
          </w:tcPr>
          <w:p w14:paraId="28B2312B" w14:textId="77777777" w:rsidR="002B5B49" w:rsidRPr="002B5B49" w:rsidRDefault="002B5B49" w:rsidP="002B5B49">
            <w:pPr>
              <w:spacing w:before="0" w:after="0" w:line="240" w:lineRule="auto"/>
              <w:jc w:val="right"/>
              <w:rPr>
                <w:rFonts w:ascii="Arial" w:hAnsi="Arial" w:cs="Arial"/>
                <w:sz w:val="16"/>
                <w:szCs w:val="16"/>
              </w:rPr>
            </w:pPr>
            <w:r w:rsidRPr="002B5B49">
              <w:rPr>
                <w:rFonts w:ascii="Arial" w:hAnsi="Arial" w:cs="Arial"/>
                <w:sz w:val="16"/>
                <w:szCs w:val="16"/>
              </w:rPr>
              <w:t>2,909</w:t>
            </w:r>
          </w:p>
        </w:tc>
        <w:tc>
          <w:tcPr>
            <w:tcW w:w="904" w:type="dxa"/>
            <w:tcBorders>
              <w:top w:val="nil"/>
              <w:left w:val="nil"/>
              <w:bottom w:val="nil"/>
              <w:right w:val="nil"/>
            </w:tcBorders>
            <w:shd w:val="clear" w:color="auto" w:fill="auto"/>
            <w:vAlign w:val="bottom"/>
            <w:hideMark/>
          </w:tcPr>
          <w:p w14:paraId="57150859" w14:textId="77777777" w:rsidR="002B5B49" w:rsidRPr="002B5B49" w:rsidRDefault="002B5B49" w:rsidP="002B5B49">
            <w:pPr>
              <w:spacing w:before="0"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vAlign w:val="bottom"/>
            <w:hideMark/>
          </w:tcPr>
          <w:p w14:paraId="5CEE3458" w14:textId="77777777" w:rsidR="002B5B49" w:rsidRPr="002B5B49" w:rsidRDefault="002B5B49" w:rsidP="002B5B49">
            <w:pPr>
              <w:spacing w:before="0" w:after="0" w:line="240" w:lineRule="auto"/>
              <w:rPr>
                <w:rFonts w:ascii="Times New Roman" w:hAnsi="Times New Roman"/>
                <w:sz w:val="20"/>
              </w:rPr>
            </w:pPr>
          </w:p>
        </w:tc>
        <w:tc>
          <w:tcPr>
            <w:tcW w:w="875" w:type="dxa"/>
            <w:tcBorders>
              <w:top w:val="nil"/>
              <w:left w:val="nil"/>
              <w:bottom w:val="nil"/>
              <w:right w:val="nil"/>
            </w:tcBorders>
            <w:shd w:val="clear" w:color="auto" w:fill="auto"/>
            <w:vAlign w:val="bottom"/>
            <w:hideMark/>
          </w:tcPr>
          <w:p w14:paraId="395AF108" w14:textId="77777777" w:rsidR="002B5B49" w:rsidRPr="002B5B49" w:rsidRDefault="002B5B49" w:rsidP="002B5B49">
            <w:pPr>
              <w:spacing w:before="0" w:after="0" w:line="240" w:lineRule="auto"/>
              <w:rPr>
                <w:rFonts w:ascii="Times New Roman" w:hAnsi="Times New Roman"/>
                <w:sz w:val="20"/>
              </w:rPr>
            </w:pPr>
          </w:p>
        </w:tc>
      </w:tr>
    </w:tbl>
    <w:p w14:paraId="7E0FE0B2" w14:textId="77777777" w:rsidR="002B5B49" w:rsidRPr="001C01D0" w:rsidRDefault="002B5B49" w:rsidP="002B5B49">
      <w:pPr>
        <w:tabs>
          <w:tab w:val="left" w:pos="284"/>
        </w:tabs>
        <w:spacing w:before="120" w:after="40" w:line="240" w:lineRule="auto"/>
        <w:ind w:left="284" w:hanging="284"/>
        <w:rPr>
          <w:rFonts w:ascii="Arial" w:hAnsi="Arial"/>
          <w:color w:val="000000"/>
          <w:sz w:val="16"/>
          <w:szCs w:val="16"/>
        </w:rPr>
      </w:pPr>
      <w:r w:rsidRPr="001C01D0">
        <w:rPr>
          <w:rFonts w:ascii="Arial" w:hAnsi="Arial"/>
          <w:color w:val="000000"/>
          <w:sz w:val="16"/>
          <w:szCs w:val="16"/>
        </w:rPr>
        <w:t>Table has been prepared inclusive of 2022–23 Additional Estimates figures.</w:t>
      </w:r>
    </w:p>
    <w:p w14:paraId="422C115D"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(a)</w:t>
      </w:r>
      <w:r w:rsidRPr="001C01D0">
        <w:rPr>
          <w:rFonts w:ascii="Arial" w:hAnsi="Arial"/>
          <w:color w:val="000000"/>
          <w:sz w:val="16"/>
          <w:szCs w:val="16"/>
        </w:rPr>
        <w:tab/>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Portfolio Budget Statements.</w:t>
      </w:r>
    </w:p>
    <w:p w14:paraId="2FA2EAA3"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(b)</w:t>
      </w:r>
      <w:r w:rsidRPr="001C01D0">
        <w:rPr>
          <w:rFonts w:ascii="Arial" w:hAnsi="Arial"/>
          <w:color w:val="000000"/>
          <w:sz w:val="16"/>
          <w:szCs w:val="16"/>
        </w:rPr>
        <w:tab/>
        <w:t>Appropriation Bill (No. 1) 2023–24.</w:t>
      </w:r>
    </w:p>
    <w:p w14:paraId="18103E7E"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(c)</w:t>
      </w:r>
      <w:r w:rsidRPr="001C01D0">
        <w:rPr>
          <w:rFonts w:ascii="Arial" w:hAnsi="Arial"/>
          <w:color w:val="000000"/>
          <w:sz w:val="16"/>
          <w:szCs w:val="16"/>
        </w:rPr>
        <w:tab/>
        <w:t>'</w:t>
      </w:r>
      <w:proofErr w:type="gramStart"/>
      <w:r w:rsidRPr="001C01D0">
        <w:rPr>
          <w:rFonts w:ascii="Arial" w:hAnsi="Arial"/>
          <w:color w:val="000000"/>
          <w:sz w:val="16"/>
          <w:szCs w:val="16"/>
        </w:rPr>
        <w:t>Non cash</w:t>
      </w:r>
      <w:proofErr w:type="gramEnd"/>
      <w:r w:rsidRPr="001C01D0">
        <w:rPr>
          <w:rFonts w:ascii="Arial" w:hAnsi="Arial"/>
          <w:color w:val="000000"/>
          <w:sz w:val="16"/>
          <w:szCs w:val="16"/>
        </w:rPr>
        <w:t xml:space="preserve"> expenses' relate to the write down of drug stockpile inventory due to expiration, consumption and distribution.</w:t>
      </w:r>
    </w:p>
    <w:p w14:paraId="423A21FE"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(d)</w:t>
      </w:r>
      <w:r w:rsidRPr="001C01D0">
        <w:rPr>
          <w:rFonts w:ascii="Arial" w:hAnsi="Arial"/>
          <w:color w:val="000000"/>
          <w:sz w:val="16"/>
          <w:szCs w:val="16"/>
        </w:rPr>
        <w:tab/>
        <w:t>Special accounts are reported on a cash basis. This adjustment reflects the differences between expense and cash.</w:t>
      </w:r>
    </w:p>
    <w:p w14:paraId="4B36EC48"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(e)</w:t>
      </w:r>
      <w:r w:rsidRPr="001C01D0">
        <w:rPr>
          <w:rFonts w:ascii="Arial" w:hAnsi="Arial"/>
          <w:color w:val="000000"/>
          <w:sz w:val="16"/>
          <w:szCs w:val="16"/>
        </w:rPr>
        <w:tab/>
        <w:t>Departmental appropriation combines 'Ordinary annual services Appropriation Bill (No. 1)' and 'Revenue from independent sources (s74)'.</w:t>
      </w:r>
    </w:p>
    <w:p w14:paraId="15136C49"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(f)</w:t>
      </w:r>
      <w:r w:rsidRPr="001C01D0">
        <w:rPr>
          <w:rFonts w:ascii="Arial" w:hAnsi="Arial"/>
          <w:color w:val="000000"/>
          <w:sz w:val="16"/>
          <w:szCs w:val="16"/>
        </w:rPr>
        <w:tab/>
        <w:t>Expenses not requiring appropriation in the Budget year are made up of depreciation expense, amortisation expense, makegood expense and audit fees.</w:t>
      </w:r>
    </w:p>
    <w:p w14:paraId="252DF61A"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(g)</w:t>
      </w:r>
      <w:r w:rsidRPr="001C01D0">
        <w:rPr>
          <w:rFonts w:ascii="Arial" w:hAnsi="Arial"/>
          <w:color w:val="000000"/>
          <w:sz w:val="16"/>
          <w:szCs w:val="16"/>
        </w:rPr>
        <w:tab/>
        <w:t xml:space="preserve">Industrial Chemicals Special Account. </w:t>
      </w:r>
    </w:p>
    <w:p w14:paraId="6F470528"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(h)</w:t>
      </w:r>
      <w:r w:rsidRPr="001C01D0">
        <w:rPr>
          <w:rFonts w:ascii="Arial" w:hAnsi="Arial"/>
          <w:color w:val="000000"/>
          <w:sz w:val="16"/>
          <w:szCs w:val="16"/>
        </w:rPr>
        <w:tab/>
        <w:t>Office of the Gene Technology Regulator (OGTR) Special Account.</w:t>
      </w:r>
    </w:p>
    <w:p w14:paraId="129DB4D6" w14:textId="77777777" w:rsidR="002B5B49" w:rsidRPr="001C01D0" w:rsidRDefault="002B5B49" w:rsidP="002B5B49">
      <w:pPr>
        <w:tabs>
          <w:tab w:val="left" w:pos="284"/>
        </w:tabs>
        <w:spacing w:before="0" w:after="0" w:line="240" w:lineRule="auto"/>
        <w:ind w:left="284" w:hanging="284"/>
        <w:rPr>
          <w:rFonts w:ascii="Arial" w:hAnsi="Arial"/>
          <w:color w:val="000000"/>
          <w:sz w:val="16"/>
          <w:szCs w:val="16"/>
        </w:rPr>
      </w:pPr>
      <w:r w:rsidRPr="001C01D0">
        <w:rPr>
          <w:rFonts w:ascii="Arial" w:hAnsi="Arial"/>
          <w:color w:val="000000"/>
          <w:sz w:val="16"/>
          <w:szCs w:val="16"/>
          <w:vertAlign w:val="superscript"/>
        </w:rPr>
        <w:t>(</w:t>
      </w:r>
      <w:proofErr w:type="spellStart"/>
      <w:r w:rsidRPr="001C01D0">
        <w:rPr>
          <w:rFonts w:ascii="Arial" w:hAnsi="Arial"/>
          <w:color w:val="000000"/>
          <w:sz w:val="16"/>
          <w:szCs w:val="16"/>
          <w:vertAlign w:val="superscript"/>
        </w:rPr>
        <w:t>i</w:t>
      </w:r>
      <w:proofErr w:type="spellEnd"/>
      <w:r w:rsidRPr="001C01D0">
        <w:rPr>
          <w:rFonts w:ascii="Arial" w:hAnsi="Arial"/>
          <w:color w:val="000000"/>
          <w:sz w:val="16"/>
          <w:szCs w:val="16"/>
          <w:vertAlign w:val="superscript"/>
        </w:rPr>
        <w:t>)</w:t>
      </w:r>
      <w:r w:rsidRPr="001C01D0">
        <w:rPr>
          <w:rFonts w:ascii="Arial" w:hAnsi="Arial"/>
          <w:color w:val="000000"/>
          <w:sz w:val="16"/>
          <w:szCs w:val="16"/>
        </w:rPr>
        <w:tab/>
        <w:t>Therapeutic Goods Administration (TGA) Special Account.</w:t>
      </w:r>
    </w:p>
    <w:p w14:paraId="4513C43C" w14:textId="49CA8BF0" w:rsidR="002B5B49" w:rsidRPr="002B5B49" w:rsidRDefault="002B5B49" w:rsidP="000C45FD"/>
    <w:p w14:paraId="1F36FB3A" w14:textId="77777777" w:rsidR="000C519A" w:rsidRDefault="000C519A">
      <w:pPr>
        <w:spacing w:before="0" w:after="0" w:line="240" w:lineRule="auto"/>
        <w:rPr>
          <w:rFonts w:ascii="Arial" w:hAnsi="Arial"/>
          <w:b/>
          <w:sz w:val="20"/>
        </w:rPr>
      </w:pPr>
      <w:r>
        <w:br w:type="page"/>
      </w:r>
    </w:p>
    <w:p w14:paraId="77E45EE7" w14:textId="7ACCD5E7" w:rsidR="00736DD8" w:rsidRPr="00AC6239" w:rsidRDefault="00736DD8" w:rsidP="007B67BB">
      <w:pPr>
        <w:pStyle w:val="TableHeading"/>
      </w:pPr>
      <w:r w:rsidRPr="00AC6239">
        <w:lastRenderedPageBreak/>
        <w:t>Table 2.</w:t>
      </w:r>
      <w:r w:rsidR="009203D5">
        <w:t>1.2</w:t>
      </w:r>
      <w:r w:rsidR="000C519A">
        <w:t>: Program Expense Table – Outcome 1</w:t>
      </w:r>
    </w:p>
    <w:tbl>
      <w:tblPr>
        <w:tblW w:w="7711" w:type="dxa"/>
        <w:jc w:val="center"/>
        <w:tblLayout w:type="fixed"/>
        <w:tblLook w:val="04A0" w:firstRow="1" w:lastRow="0" w:firstColumn="1" w:lastColumn="0" w:noHBand="0" w:noVBand="1"/>
      </w:tblPr>
      <w:tblGrid>
        <w:gridCol w:w="2776"/>
        <w:gridCol w:w="67"/>
        <w:gridCol w:w="920"/>
        <w:gridCol w:w="48"/>
        <w:gridCol w:w="939"/>
        <w:gridCol w:w="29"/>
        <w:gridCol w:w="958"/>
        <w:gridCol w:w="9"/>
        <w:gridCol w:w="967"/>
        <w:gridCol w:w="11"/>
        <w:gridCol w:w="956"/>
        <w:gridCol w:w="31"/>
      </w:tblGrid>
      <w:tr w:rsidR="000C519A" w:rsidRPr="000C519A" w14:paraId="49E97298" w14:textId="77777777" w:rsidTr="000C519A">
        <w:trPr>
          <w:gridAfter w:val="1"/>
          <w:wAfter w:w="31" w:type="dxa"/>
          <w:trHeight w:val="680"/>
          <w:jc w:val="center"/>
        </w:trPr>
        <w:tc>
          <w:tcPr>
            <w:tcW w:w="2843" w:type="dxa"/>
            <w:gridSpan w:val="2"/>
            <w:tcBorders>
              <w:top w:val="single" w:sz="4" w:space="0" w:color="auto"/>
              <w:left w:val="nil"/>
              <w:bottom w:val="nil"/>
              <w:right w:val="nil"/>
            </w:tcBorders>
            <w:shd w:val="clear" w:color="auto" w:fill="auto"/>
            <w:vAlign w:val="bottom"/>
            <w:hideMark/>
          </w:tcPr>
          <w:p w14:paraId="1BCB83AC" w14:textId="77777777"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 </w:t>
            </w:r>
          </w:p>
        </w:tc>
        <w:tc>
          <w:tcPr>
            <w:tcW w:w="968" w:type="dxa"/>
            <w:gridSpan w:val="2"/>
            <w:tcBorders>
              <w:top w:val="single" w:sz="4" w:space="0" w:color="auto"/>
              <w:left w:val="nil"/>
              <w:bottom w:val="single" w:sz="4" w:space="0" w:color="auto"/>
              <w:right w:val="nil"/>
            </w:tcBorders>
            <w:shd w:val="clear" w:color="auto" w:fill="auto"/>
            <w:vAlign w:val="bottom"/>
            <w:hideMark/>
          </w:tcPr>
          <w:p w14:paraId="69871E85" w14:textId="6C884C4C"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2022–</w:t>
            </w:r>
            <w:r w:rsidRPr="000C519A">
              <w:rPr>
                <w:rFonts w:ascii="Arial" w:hAnsi="Arial" w:cs="Arial"/>
                <w:b/>
                <w:bCs/>
                <w:sz w:val="16"/>
                <w:szCs w:val="16"/>
              </w:rPr>
              <w:t>23 Actual</w:t>
            </w:r>
            <w:r w:rsidRPr="000C519A">
              <w:rPr>
                <w:rFonts w:ascii="Arial" w:hAnsi="Arial" w:cs="Arial"/>
                <w:b/>
                <w:bCs/>
                <w:sz w:val="16"/>
                <w:szCs w:val="16"/>
              </w:rPr>
              <w:br/>
            </w:r>
            <w:r w:rsidRPr="000C519A">
              <w:rPr>
                <w:rFonts w:ascii="Arial" w:hAnsi="Arial" w:cs="Arial"/>
                <w:b/>
                <w:bCs/>
                <w:sz w:val="16"/>
                <w:szCs w:val="16"/>
              </w:rPr>
              <w:br/>
            </w:r>
            <w:r w:rsidRPr="000C519A">
              <w:rPr>
                <w:rFonts w:ascii="Arial" w:hAnsi="Arial" w:cs="Arial"/>
                <w:sz w:val="16"/>
                <w:szCs w:val="16"/>
              </w:rPr>
              <w:t>$'000</w:t>
            </w:r>
          </w:p>
        </w:tc>
        <w:tc>
          <w:tcPr>
            <w:tcW w:w="968" w:type="dxa"/>
            <w:gridSpan w:val="2"/>
            <w:tcBorders>
              <w:top w:val="single" w:sz="4" w:space="0" w:color="auto"/>
              <w:left w:val="nil"/>
              <w:bottom w:val="single" w:sz="4" w:space="0" w:color="auto"/>
              <w:right w:val="nil"/>
            </w:tcBorders>
            <w:shd w:val="clear" w:color="000000" w:fill="D9D9D9"/>
            <w:vAlign w:val="bottom"/>
            <w:hideMark/>
          </w:tcPr>
          <w:p w14:paraId="7FAAC7A1" w14:textId="7A6B36B6"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2023–</w:t>
            </w:r>
            <w:r w:rsidRPr="000C519A">
              <w:rPr>
                <w:rFonts w:ascii="Arial" w:hAnsi="Arial" w:cs="Arial"/>
                <w:b/>
                <w:bCs/>
                <w:sz w:val="16"/>
                <w:szCs w:val="16"/>
              </w:rPr>
              <w:t>24 Revised Budget</w:t>
            </w:r>
            <w:r w:rsidRPr="000C519A">
              <w:rPr>
                <w:rFonts w:ascii="Arial" w:hAnsi="Arial" w:cs="Arial"/>
                <w:b/>
                <w:bCs/>
                <w:sz w:val="16"/>
                <w:szCs w:val="16"/>
              </w:rPr>
              <w:br/>
            </w:r>
            <w:r w:rsidRPr="000C519A">
              <w:rPr>
                <w:rFonts w:ascii="Arial" w:hAnsi="Arial" w:cs="Arial"/>
                <w:sz w:val="16"/>
                <w:szCs w:val="16"/>
              </w:rPr>
              <w:t>$'000</w:t>
            </w:r>
          </w:p>
        </w:tc>
        <w:tc>
          <w:tcPr>
            <w:tcW w:w="967" w:type="dxa"/>
            <w:gridSpan w:val="2"/>
            <w:tcBorders>
              <w:top w:val="single" w:sz="4" w:space="0" w:color="auto"/>
              <w:left w:val="nil"/>
              <w:bottom w:val="single" w:sz="4" w:space="0" w:color="auto"/>
              <w:right w:val="nil"/>
            </w:tcBorders>
            <w:shd w:val="clear" w:color="auto" w:fill="auto"/>
            <w:vAlign w:val="bottom"/>
            <w:hideMark/>
          </w:tcPr>
          <w:p w14:paraId="55B95A3B" w14:textId="56E7906E"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2024–</w:t>
            </w:r>
            <w:r w:rsidRPr="000C519A">
              <w:rPr>
                <w:rFonts w:ascii="Arial" w:hAnsi="Arial" w:cs="Arial"/>
                <w:b/>
                <w:bCs/>
                <w:sz w:val="16"/>
                <w:szCs w:val="16"/>
              </w:rPr>
              <w:t>25 Forward Estimate</w:t>
            </w:r>
            <w:r w:rsidRPr="000C519A">
              <w:rPr>
                <w:rFonts w:ascii="Arial" w:hAnsi="Arial" w:cs="Arial"/>
                <w:b/>
                <w:bCs/>
                <w:sz w:val="16"/>
                <w:szCs w:val="16"/>
              </w:rPr>
              <w:br/>
            </w:r>
            <w:r w:rsidRPr="000C519A">
              <w:rPr>
                <w:rFonts w:ascii="Arial" w:hAnsi="Arial" w:cs="Arial"/>
                <w:sz w:val="16"/>
                <w:szCs w:val="16"/>
              </w:rPr>
              <w:t>$'000</w:t>
            </w:r>
          </w:p>
        </w:tc>
        <w:tc>
          <w:tcPr>
            <w:tcW w:w="967" w:type="dxa"/>
            <w:tcBorders>
              <w:top w:val="single" w:sz="4" w:space="0" w:color="auto"/>
              <w:left w:val="nil"/>
              <w:bottom w:val="single" w:sz="4" w:space="0" w:color="auto"/>
              <w:right w:val="nil"/>
            </w:tcBorders>
            <w:shd w:val="clear" w:color="auto" w:fill="auto"/>
            <w:vAlign w:val="bottom"/>
            <w:hideMark/>
          </w:tcPr>
          <w:p w14:paraId="42C77541" w14:textId="235DFD3A"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2025–</w:t>
            </w:r>
            <w:r w:rsidRPr="000C519A">
              <w:rPr>
                <w:rFonts w:ascii="Arial" w:hAnsi="Arial" w:cs="Arial"/>
                <w:b/>
                <w:bCs/>
                <w:sz w:val="16"/>
                <w:szCs w:val="16"/>
              </w:rPr>
              <w:t>26 Forward Estimate</w:t>
            </w:r>
            <w:r w:rsidRPr="000C519A">
              <w:rPr>
                <w:rFonts w:ascii="Arial" w:hAnsi="Arial" w:cs="Arial"/>
                <w:b/>
                <w:bCs/>
                <w:sz w:val="16"/>
                <w:szCs w:val="16"/>
              </w:rPr>
              <w:br/>
            </w:r>
            <w:r w:rsidRPr="000C519A">
              <w:rPr>
                <w:rFonts w:ascii="Arial" w:hAnsi="Arial" w:cs="Arial"/>
                <w:sz w:val="16"/>
                <w:szCs w:val="16"/>
              </w:rPr>
              <w:t>$'000</w:t>
            </w:r>
          </w:p>
        </w:tc>
        <w:tc>
          <w:tcPr>
            <w:tcW w:w="967" w:type="dxa"/>
            <w:gridSpan w:val="2"/>
            <w:tcBorders>
              <w:top w:val="single" w:sz="4" w:space="0" w:color="auto"/>
              <w:left w:val="nil"/>
              <w:bottom w:val="single" w:sz="4" w:space="0" w:color="auto"/>
              <w:right w:val="nil"/>
            </w:tcBorders>
            <w:shd w:val="clear" w:color="auto" w:fill="auto"/>
            <w:vAlign w:val="bottom"/>
            <w:hideMark/>
          </w:tcPr>
          <w:p w14:paraId="78EA270F" w14:textId="3B2A933C"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2026–</w:t>
            </w:r>
            <w:r w:rsidRPr="000C519A">
              <w:rPr>
                <w:rFonts w:ascii="Arial" w:hAnsi="Arial" w:cs="Arial"/>
                <w:b/>
                <w:bCs/>
                <w:sz w:val="16"/>
                <w:szCs w:val="16"/>
              </w:rPr>
              <w:t>27 Forward Estimate</w:t>
            </w:r>
            <w:r w:rsidRPr="000C519A">
              <w:rPr>
                <w:rFonts w:ascii="Arial" w:hAnsi="Arial" w:cs="Arial"/>
                <w:b/>
                <w:bCs/>
                <w:sz w:val="16"/>
                <w:szCs w:val="16"/>
              </w:rPr>
              <w:br/>
            </w:r>
            <w:r w:rsidRPr="000C519A">
              <w:rPr>
                <w:rFonts w:ascii="Arial" w:hAnsi="Arial" w:cs="Arial"/>
                <w:sz w:val="16"/>
                <w:szCs w:val="16"/>
              </w:rPr>
              <w:t>$'000</w:t>
            </w:r>
          </w:p>
        </w:tc>
      </w:tr>
      <w:tr w:rsidR="000C519A" w:rsidRPr="000C519A" w14:paraId="1A40E110" w14:textId="77777777" w:rsidTr="00D376BC">
        <w:trPr>
          <w:gridAfter w:val="1"/>
          <w:wAfter w:w="31" w:type="dxa"/>
          <w:trHeight w:val="283"/>
          <w:jc w:val="center"/>
        </w:trPr>
        <w:tc>
          <w:tcPr>
            <w:tcW w:w="4779" w:type="dxa"/>
            <w:gridSpan w:val="6"/>
            <w:tcBorders>
              <w:top w:val="nil"/>
              <w:left w:val="nil"/>
              <w:bottom w:val="nil"/>
              <w:right w:val="nil"/>
            </w:tcBorders>
            <w:shd w:val="clear" w:color="auto" w:fill="auto"/>
            <w:noWrap/>
            <w:vAlign w:val="bottom"/>
            <w:hideMark/>
          </w:tcPr>
          <w:p w14:paraId="1BDE0CB5"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1.1: Health Research, Coordination and Access</w:t>
            </w:r>
          </w:p>
        </w:tc>
        <w:tc>
          <w:tcPr>
            <w:tcW w:w="967" w:type="dxa"/>
            <w:gridSpan w:val="2"/>
            <w:tcBorders>
              <w:top w:val="nil"/>
              <w:left w:val="nil"/>
              <w:bottom w:val="nil"/>
              <w:right w:val="nil"/>
            </w:tcBorders>
            <w:shd w:val="clear" w:color="auto" w:fill="auto"/>
            <w:noWrap/>
            <w:vAlign w:val="bottom"/>
            <w:hideMark/>
          </w:tcPr>
          <w:p w14:paraId="309A4D47" w14:textId="77777777" w:rsidR="000C519A" w:rsidRPr="000C519A" w:rsidRDefault="000C519A" w:rsidP="000C519A">
            <w:pPr>
              <w:spacing w:before="0" w:after="0" w:line="240" w:lineRule="auto"/>
              <w:rPr>
                <w:rFonts w:ascii="Arial" w:hAnsi="Arial" w:cs="Arial"/>
                <w:b/>
                <w:bCs/>
                <w:sz w:val="16"/>
                <w:szCs w:val="16"/>
              </w:rPr>
            </w:pPr>
          </w:p>
        </w:tc>
        <w:tc>
          <w:tcPr>
            <w:tcW w:w="967" w:type="dxa"/>
            <w:tcBorders>
              <w:top w:val="nil"/>
              <w:left w:val="nil"/>
              <w:bottom w:val="nil"/>
              <w:right w:val="nil"/>
            </w:tcBorders>
            <w:shd w:val="clear" w:color="auto" w:fill="auto"/>
            <w:noWrap/>
            <w:vAlign w:val="bottom"/>
            <w:hideMark/>
          </w:tcPr>
          <w:p w14:paraId="2A93683F" w14:textId="77777777" w:rsidR="000C519A" w:rsidRPr="000C519A" w:rsidRDefault="000C519A" w:rsidP="000C519A">
            <w:pPr>
              <w:spacing w:before="0" w:after="0" w:line="240" w:lineRule="auto"/>
              <w:jc w:val="right"/>
              <w:rPr>
                <w:rFonts w:ascii="Times New Roman" w:hAnsi="Times New Roman"/>
                <w:sz w:val="20"/>
              </w:rPr>
            </w:pPr>
          </w:p>
        </w:tc>
        <w:tc>
          <w:tcPr>
            <w:tcW w:w="967" w:type="dxa"/>
            <w:gridSpan w:val="2"/>
            <w:tcBorders>
              <w:top w:val="nil"/>
              <w:left w:val="nil"/>
              <w:bottom w:val="nil"/>
              <w:right w:val="nil"/>
            </w:tcBorders>
            <w:shd w:val="clear" w:color="auto" w:fill="auto"/>
            <w:noWrap/>
            <w:vAlign w:val="bottom"/>
            <w:hideMark/>
          </w:tcPr>
          <w:p w14:paraId="74130F5A"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DCDAA70"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4606F5E8"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68" w:type="dxa"/>
            <w:gridSpan w:val="2"/>
            <w:tcBorders>
              <w:top w:val="nil"/>
              <w:left w:val="nil"/>
              <w:bottom w:val="nil"/>
              <w:right w:val="nil"/>
            </w:tcBorders>
            <w:shd w:val="clear" w:color="auto" w:fill="auto"/>
            <w:noWrap/>
            <w:vAlign w:val="bottom"/>
            <w:hideMark/>
          </w:tcPr>
          <w:p w14:paraId="1414AFFB"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68" w:type="dxa"/>
            <w:gridSpan w:val="2"/>
            <w:tcBorders>
              <w:top w:val="nil"/>
              <w:left w:val="nil"/>
              <w:bottom w:val="nil"/>
              <w:right w:val="nil"/>
            </w:tcBorders>
            <w:shd w:val="clear" w:color="000000" w:fill="D9D9D9"/>
            <w:noWrap/>
            <w:vAlign w:val="bottom"/>
            <w:hideMark/>
          </w:tcPr>
          <w:p w14:paraId="78AFFCD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7" w:type="dxa"/>
            <w:gridSpan w:val="2"/>
            <w:tcBorders>
              <w:top w:val="nil"/>
              <w:left w:val="nil"/>
              <w:bottom w:val="nil"/>
              <w:right w:val="nil"/>
            </w:tcBorders>
            <w:shd w:val="clear" w:color="auto" w:fill="auto"/>
            <w:noWrap/>
            <w:vAlign w:val="bottom"/>
            <w:hideMark/>
          </w:tcPr>
          <w:p w14:paraId="1283709E" w14:textId="77777777" w:rsidR="000C519A" w:rsidRPr="000C519A" w:rsidRDefault="000C519A" w:rsidP="000C519A">
            <w:pPr>
              <w:spacing w:before="0" w:after="0" w:line="240" w:lineRule="auto"/>
              <w:jc w:val="right"/>
              <w:rPr>
                <w:rFonts w:ascii="Arial" w:hAnsi="Arial" w:cs="Arial"/>
                <w:sz w:val="16"/>
                <w:szCs w:val="16"/>
              </w:rPr>
            </w:pPr>
          </w:p>
        </w:tc>
        <w:tc>
          <w:tcPr>
            <w:tcW w:w="967" w:type="dxa"/>
            <w:tcBorders>
              <w:top w:val="nil"/>
              <w:left w:val="nil"/>
              <w:bottom w:val="nil"/>
              <w:right w:val="nil"/>
            </w:tcBorders>
            <w:shd w:val="clear" w:color="auto" w:fill="auto"/>
            <w:noWrap/>
            <w:vAlign w:val="bottom"/>
            <w:hideMark/>
          </w:tcPr>
          <w:p w14:paraId="57840CFA" w14:textId="77777777" w:rsidR="000C519A" w:rsidRPr="000C519A" w:rsidRDefault="000C519A" w:rsidP="000C519A">
            <w:pPr>
              <w:spacing w:before="0" w:after="0" w:line="240" w:lineRule="auto"/>
              <w:jc w:val="right"/>
              <w:rPr>
                <w:rFonts w:ascii="Times New Roman" w:hAnsi="Times New Roman"/>
                <w:sz w:val="20"/>
              </w:rPr>
            </w:pPr>
          </w:p>
        </w:tc>
        <w:tc>
          <w:tcPr>
            <w:tcW w:w="967" w:type="dxa"/>
            <w:gridSpan w:val="2"/>
            <w:tcBorders>
              <w:top w:val="nil"/>
              <w:left w:val="nil"/>
              <w:bottom w:val="nil"/>
              <w:right w:val="nil"/>
            </w:tcBorders>
            <w:shd w:val="clear" w:color="auto" w:fill="auto"/>
            <w:noWrap/>
            <w:vAlign w:val="bottom"/>
            <w:hideMark/>
          </w:tcPr>
          <w:p w14:paraId="7FF2B9C5"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243B9D44" w14:textId="77777777" w:rsidTr="000C519A">
        <w:trPr>
          <w:gridAfter w:val="1"/>
          <w:wAfter w:w="31" w:type="dxa"/>
          <w:trHeight w:val="225"/>
          <w:jc w:val="center"/>
        </w:trPr>
        <w:tc>
          <w:tcPr>
            <w:tcW w:w="2843" w:type="dxa"/>
            <w:gridSpan w:val="2"/>
            <w:tcBorders>
              <w:top w:val="nil"/>
              <w:left w:val="nil"/>
              <w:bottom w:val="nil"/>
              <w:right w:val="nil"/>
            </w:tcBorders>
            <w:shd w:val="clear" w:color="auto" w:fill="auto"/>
            <w:noWrap/>
            <w:vAlign w:val="bottom"/>
            <w:hideMark/>
          </w:tcPr>
          <w:p w14:paraId="76104581"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Ordinary annual services</w:t>
            </w:r>
          </w:p>
        </w:tc>
        <w:tc>
          <w:tcPr>
            <w:tcW w:w="968" w:type="dxa"/>
            <w:gridSpan w:val="2"/>
            <w:tcBorders>
              <w:top w:val="nil"/>
              <w:left w:val="nil"/>
              <w:bottom w:val="nil"/>
              <w:right w:val="nil"/>
            </w:tcBorders>
            <w:shd w:val="clear" w:color="auto" w:fill="auto"/>
            <w:noWrap/>
            <w:vAlign w:val="bottom"/>
            <w:hideMark/>
          </w:tcPr>
          <w:p w14:paraId="6947564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301,564</w:t>
            </w:r>
          </w:p>
        </w:tc>
        <w:tc>
          <w:tcPr>
            <w:tcW w:w="968" w:type="dxa"/>
            <w:gridSpan w:val="2"/>
            <w:tcBorders>
              <w:top w:val="nil"/>
              <w:left w:val="nil"/>
              <w:bottom w:val="nil"/>
              <w:right w:val="nil"/>
            </w:tcBorders>
            <w:shd w:val="clear" w:color="000000" w:fill="D9D9D9"/>
            <w:noWrap/>
            <w:vAlign w:val="bottom"/>
            <w:hideMark/>
          </w:tcPr>
          <w:p w14:paraId="70C4E72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226,897</w:t>
            </w:r>
          </w:p>
        </w:tc>
        <w:tc>
          <w:tcPr>
            <w:tcW w:w="967" w:type="dxa"/>
            <w:gridSpan w:val="2"/>
            <w:tcBorders>
              <w:top w:val="nil"/>
              <w:left w:val="nil"/>
              <w:bottom w:val="nil"/>
              <w:right w:val="nil"/>
            </w:tcBorders>
            <w:shd w:val="clear" w:color="auto" w:fill="auto"/>
            <w:noWrap/>
            <w:vAlign w:val="bottom"/>
            <w:hideMark/>
          </w:tcPr>
          <w:p w14:paraId="4CE3F64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153,732</w:t>
            </w:r>
          </w:p>
        </w:tc>
        <w:tc>
          <w:tcPr>
            <w:tcW w:w="967" w:type="dxa"/>
            <w:tcBorders>
              <w:top w:val="nil"/>
              <w:left w:val="nil"/>
              <w:bottom w:val="nil"/>
              <w:right w:val="nil"/>
            </w:tcBorders>
            <w:shd w:val="clear" w:color="auto" w:fill="auto"/>
            <w:noWrap/>
            <w:vAlign w:val="bottom"/>
            <w:hideMark/>
          </w:tcPr>
          <w:p w14:paraId="606C674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120,606</w:t>
            </w:r>
          </w:p>
        </w:tc>
        <w:tc>
          <w:tcPr>
            <w:tcW w:w="967" w:type="dxa"/>
            <w:gridSpan w:val="2"/>
            <w:tcBorders>
              <w:top w:val="nil"/>
              <w:left w:val="nil"/>
              <w:bottom w:val="nil"/>
              <w:right w:val="nil"/>
            </w:tcBorders>
            <w:shd w:val="clear" w:color="auto" w:fill="auto"/>
            <w:noWrap/>
            <w:vAlign w:val="bottom"/>
            <w:hideMark/>
          </w:tcPr>
          <w:p w14:paraId="39C3B67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118,359</w:t>
            </w:r>
          </w:p>
        </w:tc>
      </w:tr>
      <w:tr w:rsidR="000C519A" w:rsidRPr="000C519A" w14:paraId="27A8395A" w14:textId="77777777" w:rsidTr="00D376BC">
        <w:trPr>
          <w:gridAfter w:val="1"/>
          <w:wAfter w:w="31" w:type="dxa"/>
          <w:trHeight w:val="595"/>
          <w:jc w:val="center"/>
        </w:trPr>
        <w:tc>
          <w:tcPr>
            <w:tcW w:w="2843" w:type="dxa"/>
            <w:gridSpan w:val="2"/>
            <w:tcBorders>
              <w:top w:val="nil"/>
              <w:left w:val="nil"/>
              <w:bottom w:val="nil"/>
              <w:right w:val="nil"/>
            </w:tcBorders>
            <w:shd w:val="clear" w:color="auto" w:fill="auto"/>
            <w:vAlign w:val="bottom"/>
            <w:hideMark/>
          </w:tcPr>
          <w:p w14:paraId="1E0D0FB9"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to Services for Other Entities and Trust Moneys Special Account</w:t>
            </w:r>
          </w:p>
        </w:tc>
        <w:tc>
          <w:tcPr>
            <w:tcW w:w="968" w:type="dxa"/>
            <w:gridSpan w:val="2"/>
            <w:tcBorders>
              <w:top w:val="nil"/>
              <w:left w:val="nil"/>
              <w:bottom w:val="nil"/>
              <w:right w:val="nil"/>
            </w:tcBorders>
            <w:shd w:val="clear" w:color="auto" w:fill="auto"/>
            <w:noWrap/>
            <w:vAlign w:val="bottom"/>
            <w:hideMark/>
          </w:tcPr>
          <w:p w14:paraId="7620F3C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(9,896)</w:t>
            </w:r>
          </w:p>
        </w:tc>
        <w:tc>
          <w:tcPr>
            <w:tcW w:w="968" w:type="dxa"/>
            <w:gridSpan w:val="2"/>
            <w:tcBorders>
              <w:top w:val="nil"/>
              <w:left w:val="nil"/>
              <w:bottom w:val="nil"/>
              <w:right w:val="nil"/>
            </w:tcBorders>
            <w:shd w:val="clear" w:color="000000" w:fill="D9D9D9"/>
            <w:noWrap/>
            <w:vAlign w:val="bottom"/>
            <w:hideMark/>
          </w:tcPr>
          <w:p w14:paraId="69346B9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(10,931)</w:t>
            </w:r>
          </w:p>
        </w:tc>
        <w:tc>
          <w:tcPr>
            <w:tcW w:w="967" w:type="dxa"/>
            <w:gridSpan w:val="2"/>
            <w:tcBorders>
              <w:top w:val="nil"/>
              <w:left w:val="nil"/>
              <w:bottom w:val="nil"/>
              <w:right w:val="nil"/>
            </w:tcBorders>
            <w:shd w:val="clear" w:color="auto" w:fill="auto"/>
            <w:noWrap/>
            <w:vAlign w:val="bottom"/>
            <w:hideMark/>
          </w:tcPr>
          <w:p w14:paraId="1B103B2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(11,478)</w:t>
            </w:r>
          </w:p>
        </w:tc>
        <w:tc>
          <w:tcPr>
            <w:tcW w:w="967" w:type="dxa"/>
            <w:tcBorders>
              <w:top w:val="nil"/>
              <w:left w:val="nil"/>
              <w:bottom w:val="nil"/>
              <w:right w:val="nil"/>
            </w:tcBorders>
            <w:shd w:val="clear" w:color="auto" w:fill="auto"/>
            <w:noWrap/>
            <w:vAlign w:val="bottom"/>
            <w:hideMark/>
          </w:tcPr>
          <w:p w14:paraId="58B9081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(12,052)</w:t>
            </w:r>
          </w:p>
        </w:tc>
        <w:tc>
          <w:tcPr>
            <w:tcW w:w="967" w:type="dxa"/>
            <w:gridSpan w:val="2"/>
            <w:tcBorders>
              <w:top w:val="nil"/>
              <w:left w:val="nil"/>
              <w:bottom w:val="nil"/>
              <w:right w:val="nil"/>
            </w:tcBorders>
            <w:shd w:val="clear" w:color="auto" w:fill="auto"/>
            <w:noWrap/>
            <w:vAlign w:val="bottom"/>
            <w:hideMark/>
          </w:tcPr>
          <w:p w14:paraId="4D78A03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(12,655)</w:t>
            </w:r>
          </w:p>
        </w:tc>
      </w:tr>
      <w:tr w:rsidR="000C519A" w:rsidRPr="000C519A" w14:paraId="0E97DF14"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7BACE87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accounts</w:t>
            </w:r>
          </w:p>
        </w:tc>
        <w:tc>
          <w:tcPr>
            <w:tcW w:w="968" w:type="dxa"/>
            <w:gridSpan w:val="2"/>
            <w:tcBorders>
              <w:top w:val="nil"/>
              <w:left w:val="nil"/>
              <w:bottom w:val="nil"/>
              <w:right w:val="nil"/>
            </w:tcBorders>
            <w:shd w:val="clear" w:color="auto" w:fill="auto"/>
            <w:noWrap/>
            <w:vAlign w:val="bottom"/>
            <w:hideMark/>
          </w:tcPr>
          <w:p w14:paraId="335F14F8"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68" w:type="dxa"/>
            <w:gridSpan w:val="2"/>
            <w:tcBorders>
              <w:top w:val="nil"/>
              <w:left w:val="nil"/>
              <w:bottom w:val="nil"/>
              <w:right w:val="nil"/>
            </w:tcBorders>
            <w:shd w:val="clear" w:color="000000" w:fill="D9D9D9"/>
            <w:noWrap/>
            <w:vAlign w:val="bottom"/>
            <w:hideMark/>
          </w:tcPr>
          <w:p w14:paraId="61B42BC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7" w:type="dxa"/>
            <w:gridSpan w:val="2"/>
            <w:tcBorders>
              <w:top w:val="nil"/>
              <w:left w:val="nil"/>
              <w:bottom w:val="nil"/>
              <w:right w:val="nil"/>
            </w:tcBorders>
            <w:shd w:val="clear" w:color="auto" w:fill="auto"/>
            <w:noWrap/>
            <w:vAlign w:val="bottom"/>
            <w:hideMark/>
          </w:tcPr>
          <w:p w14:paraId="57FF9E1F" w14:textId="77777777" w:rsidR="000C519A" w:rsidRPr="000C519A" w:rsidRDefault="000C519A" w:rsidP="000C519A">
            <w:pPr>
              <w:spacing w:before="0" w:after="0" w:line="240" w:lineRule="auto"/>
              <w:jc w:val="right"/>
              <w:rPr>
                <w:rFonts w:ascii="Arial" w:hAnsi="Arial" w:cs="Arial"/>
                <w:sz w:val="16"/>
                <w:szCs w:val="16"/>
              </w:rPr>
            </w:pPr>
          </w:p>
        </w:tc>
        <w:tc>
          <w:tcPr>
            <w:tcW w:w="967" w:type="dxa"/>
            <w:tcBorders>
              <w:top w:val="nil"/>
              <w:left w:val="nil"/>
              <w:bottom w:val="nil"/>
              <w:right w:val="nil"/>
            </w:tcBorders>
            <w:shd w:val="clear" w:color="auto" w:fill="auto"/>
            <w:noWrap/>
            <w:vAlign w:val="bottom"/>
            <w:hideMark/>
          </w:tcPr>
          <w:p w14:paraId="0461F3A4" w14:textId="77777777" w:rsidR="000C519A" w:rsidRPr="000C519A" w:rsidRDefault="000C519A" w:rsidP="000C519A">
            <w:pPr>
              <w:spacing w:before="0" w:after="0" w:line="240" w:lineRule="auto"/>
              <w:jc w:val="right"/>
              <w:rPr>
                <w:rFonts w:ascii="Times New Roman" w:hAnsi="Times New Roman"/>
                <w:sz w:val="20"/>
              </w:rPr>
            </w:pPr>
          </w:p>
        </w:tc>
        <w:tc>
          <w:tcPr>
            <w:tcW w:w="967" w:type="dxa"/>
            <w:gridSpan w:val="2"/>
            <w:tcBorders>
              <w:top w:val="nil"/>
              <w:left w:val="nil"/>
              <w:bottom w:val="nil"/>
              <w:right w:val="nil"/>
            </w:tcBorders>
            <w:shd w:val="clear" w:color="auto" w:fill="auto"/>
            <w:noWrap/>
            <w:vAlign w:val="bottom"/>
            <w:hideMark/>
          </w:tcPr>
          <w:p w14:paraId="3CCC8F07"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AC26E1F" w14:textId="77777777" w:rsidTr="00D376BC">
        <w:trPr>
          <w:gridAfter w:val="1"/>
          <w:wAfter w:w="31" w:type="dxa"/>
          <w:trHeight w:val="454"/>
          <w:jc w:val="center"/>
        </w:trPr>
        <w:tc>
          <w:tcPr>
            <w:tcW w:w="2843" w:type="dxa"/>
            <w:gridSpan w:val="2"/>
            <w:tcBorders>
              <w:top w:val="nil"/>
              <w:left w:val="nil"/>
              <w:bottom w:val="nil"/>
              <w:right w:val="nil"/>
            </w:tcBorders>
            <w:shd w:val="clear" w:color="auto" w:fill="auto"/>
            <w:vAlign w:val="bottom"/>
            <w:hideMark/>
          </w:tcPr>
          <w:p w14:paraId="7355CC71"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Services for Other Entities and Trust Moneys Special Account</w:t>
            </w:r>
          </w:p>
        </w:tc>
        <w:tc>
          <w:tcPr>
            <w:tcW w:w="968" w:type="dxa"/>
            <w:gridSpan w:val="2"/>
            <w:tcBorders>
              <w:top w:val="nil"/>
              <w:left w:val="nil"/>
              <w:bottom w:val="nil"/>
              <w:right w:val="nil"/>
            </w:tcBorders>
            <w:shd w:val="clear" w:color="auto" w:fill="auto"/>
            <w:noWrap/>
            <w:vAlign w:val="bottom"/>
            <w:hideMark/>
          </w:tcPr>
          <w:p w14:paraId="3D91048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12,815</w:t>
            </w:r>
          </w:p>
        </w:tc>
        <w:tc>
          <w:tcPr>
            <w:tcW w:w="968" w:type="dxa"/>
            <w:gridSpan w:val="2"/>
            <w:tcBorders>
              <w:top w:val="nil"/>
              <w:left w:val="nil"/>
              <w:bottom w:val="nil"/>
              <w:right w:val="nil"/>
            </w:tcBorders>
            <w:shd w:val="clear" w:color="000000" w:fill="D9D9D9"/>
            <w:noWrap/>
            <w:vAlign w:val="bottom"/>
            <w:hideMark/>
          </w:tcPr>
          <w:p w14:paraId="7F66D9F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(10,931)</w:t>
            </w:r>
          </w:p>
        </w:tc>
        <w:tc>
          <w:tcPr>
            <w:tcW w:w="967" w:type="dxa"/>
            <w:gridSpan w:val="2"/>
            <w:tcBorders>
              <w:top w:val="nil"/>
              <w:left w:val="nil"/>
              <w:bottom w:val="nil"/>
              <w:right w:val="nil"/>
            </w:tcBorders>
            <w:shd w:val="clear" w:color="auto" w:fill="auto"/>
            <w:noWrap/>
            <w:vAlign w:val="bottom"/>
            <w:hideMark/>
          </w:tcPr>
          <w:p w14:paraId="27C6059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(11,478)</w:t>
            </w:r>
          </w:p>
        </w:tc>
        <w:tc>
          <w:tcPr>
            <w:tcW w:w="967" w:type="dxa"/>
            <w:tcBorders>
              <w:top w:val="nil"/>
              <w:left w:val="nil"/>
              <w:bottom w:val="nil"/>
              <w:right w:val="nil"/>
            </w:tcBorders>
            <w:shd w:val="clear" w:color="auto" w:fill="auto"/>
            <w:noWrap/>
            <w:vAlign w:val="bottom"/>
            <w:hideMark/>
          </w:tcPr>
          <w:p w14:paraId="72D2738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(12,052)</w:t>
            </w:r>
          </w:p>
        </w:tc>
        <w:tc>
          <w:tcPr>
            <w:tcW w:w="967" w:type="dxa"/>
            <w:gridSpan w:val="2"/>
            <w:tcBorders>
              <w:top w:val="nil"/>
              <w:left w:val="nil"/>
              <w:bottom w:val="nil"/>
              <w:right w:val="nil"/>
            </w:tcBorders>
            <w:shd w:val="clear" w:color="auto" w:fill="auto"/>
            <w:noWrap/>
            <w:vAlign w:val="bottom"/>
            <w:hideMark/>
          </w:tcPr>
          <w:p w14:paraId="0EA63EC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(12,655)</w:t>
            </w:r>
          </w:p>
        </w:tc>
      </w:tr>
      <w:tr w:rsidR="000C519A" w:rsidRPr="000C519A" w14:paraId="433CB95B"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30076657"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Expense adjustment </w:t>
            </w:r>
            <w:r w:rsidRPr="000C519A">
              <w:rPr>
                <w:rFonts w:ascii="Arial" w:hAnsi="Arial" w:cs="Arial"/>
                <w:sz w:val="16"/>
                <w:szCs w:val="16"/>
                <w:vertAlign w:val="superscript"/>
              </w:rPr>
              <w:t>(a)</w:t>
            </w:r>
          </w:p>
        </w:tc>
        <w:tc>
          <w:tcPr>
            <w:tcW w:w="968" w:type="dxa"/>
            <w:gridSpan w:val="2"/>
            <w:tcBorders>
              <w:top w:val="nil"/>
              <w:left w:val="nil"/>
              <w:bottom w:val="nil"/>
              <w:right w:val="nil"/>
            </w:tcBorders>
            <w:shd w:val="clear" w:color="auto" w:fill="auto"/>
            <w:noWrap/>
            <w:vAlign w:val="bottom"/>
            <w:hideMark/>
          </w:tcPr>
          <w:p w14:paraId="26EDF19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(2,919)</w:t>
            </w:r>
          </w:p>
        </w:tc>
        <w:tc>
          <w:tcPr>
            <w:tcW w:w="968" w:type="dxa"/>
            <w:gridSpan w:val="2"/>
            <w:tcBorders>
              <w:top w:val="nil"/>
              <w:left w:val="nil"/>
              <w:bottom w:val="nil"/>
              <w:right w:val="nil"/>
            </w:tcBorders>
            <w:shd w:val="clear" w:color="000000" w:fill="D9D9D9"/>
            <w:noWrap/>
            <w:vAlign w:val="bottom"/>
            <w:hideMark/>
          </w:tcPr>
          <w:p w14:paraId="115A33D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gridSpan w:val="2"/>
            <w:tcBorders>
              <w:top w:val="nil"/>
              <w:left w:val="nil"/>
              <w:bottom w:val="nil"/>
              <w:right w:val="nil"/>
            </w:tcBorders>
            <w:shd w:val="clear" w:color="auto" w:fill="auto"/>
            <w:noWrap/>
            <w:vAlign w:val="bottom"/>
            <w:hideMark/>
          </w:tcPr>
          <w:p w14:paraId="4C831D2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tcBorders>
              <w:top w:val="nil"/>
              <w:left w:val="nil"/>
              <w:bottom w:val="nil"/>
              <w:right w:val="nil"/>
            </w:tcBorders>
            <w:shd w:val="clear" w:color="auto" w:fill="auto"/>
            <w:noWrap/>
            <w:vAlign w:val="bottom"/>
            <w:hideMark/>
          </w:tcPr>
          <w:p w14:paraId="5D02A33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gridSpan w:val="2"/>
            <w:tcBorders>
              <w:top w:val="nil"/>
              <w:left w:val="nil"/>
              <w:bottom w:val="nil"/>
              <w:right w:val="nil"/>
            </w:tcBorders>
            <w:shd w:val="clear" w:color="auto" w:fill="auto"/>
            <w:noWrap/>
            <w:vAlign w:val="bottom"/>
            <w:hideMark/>
          </w:tcPr>
          <w:p w14:paraId="493CF98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r>
      <w:tr w:rsidR="000C519A" w:rsidRPr="000C519A" w14:paraId="7F205DF2" w14:textId="77777777" w:rsidTr="00D376BC">
        <w:trPr>
          <w:gridAfter w:val="1"/>
          <w:wAfter w:w="31" w:type="dxa"/>
          <w:trHeight w:val="425"/>
          <w:jc w:val="center"/>
        </w:trPr>
        <w:tc>
          <w:tcPr>
            <w:tcW w:w="2843" w:type="dxa"/>
            <w:gridSpan w:val="2"/>
            <w:tcBorders>
              <w:top w:val="nil"/>
              <w:left w:val="nil"/>
              <w:bottom w:val="nil"/>
              <w:right w:val="nil"/>
            </w:tcBorders>
            <w:shd w:val="clear" w:color="auto" w:fill="auto"/>
            <w:vAlign w:val="bottom"/>
            <w:hideMark/>
          </w:tcPr>
          <w:p w14:paraId="0B9FBCB1"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Medical Research Future Fund</w:t>
            </w:r>
          </w:p>
        </w:tc>
        <w:tc>
          <w:tcPr>
            <w:tcW w:w="968" w:type="dxa"/>
            <w:gridSpan w:val="2"/>
            <w:tcBorders>
              <w:top w:val="nil"/>
              <w:left w:val="nil"/>
              <w:bottom w:val="nil"/>
              <w:right w:val="nil"/>
            </w:tcBorders>
            <w:shd w:val="clear" w:color="auto" w:fill="auto"/>
            <w:noWrap/>
            <w:vAlign w:val="bottom"/>
            <w:hideMark/>
          </w:tcPr>
          <w:p w14:paraId="0A16839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598,000</w:t>
            </w:r>
          </w:p>
        </w:tc>
        <w:tc>
          <w:tcPr>
            <w:tcW w:w="968" w:type="dxa"/>
            <w:gridSpan w:val="2"/>
            <w:tcBorders>
              <w:top w:val="nil"/>
              <w:left w:val="nil"/>
              <w:bottom w:val="nil"/>
              <w:right w:val="nil"/>
            </w:tcBorders>
            <w:shd w:val="clear" w:color="000000" w:fill="D9D9D9"/>
            <w:noWrap/>
            <w:vAlign w:val="bottom"/>
            <w:hideMark/>
          </w:tcPr>
          <w:p w14:paraId="1CC398B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650,000</w:t>
            </w:r>
          </w:p>
        </w:tc>
        <w:tc>
          <w:tcPr>
            <w:tcW w:w="967" w:type="dxa"/>
            <w:gridSpan w:val="2"/>
            <w:tcBorders>
              <w:top w:val="nil"/>
              <w:left w:val="nil"/>
              <w:bottom w:val="nil"/>
              <w:right w:val="nil"/>
            </w:tcBorders>
            <w:shd w:val="clear" w:color="auto" w:fill="auto"/>
            <w:noWrap/>
            <w:vAlign w:val="bottom"/>
            <w:hideMark/>
          </w:tcPr>
          <w:p w14:paraId="16C6824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650,000</w:t>
            </w:r>
          </w:p>
        </w:tc>
        <w:tc>
          <w:tcPr>
            <w:tcW w:w="967" w:type="dxa"/>
            <w:tcBorders>
              <w:top w:val="nil"/>
              <w:left w:val="nil"/>
              <w:bottom w:val="nil"/>
              <w:right w:val="nil"/>
            </w:tcBorders>
            <w:shd w:val="clear" w:color="auto" w:fill="auto"/>
            <w:noWrap/>
            <w:vAlign w:val="bottom"/>
            <w:hideMark/>
          </w:tcPr>
          <w:p w14:paraId="58813A9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650,000</w:t>
            </w:r>
          </w:p>
        </w:tc>
        <w:tc>
          <w:tcPr>
            <w:tcW w:w="967" w:type="dxa"/>
            <w:gridSpan w:val="2"/>
            <w:tcBorders>
              <w:top w:val="nil"/>
              <w:left w:val="nil"/>
              <w:bottom w:val="nil"/>
              <w:right w:val="nil"/>
            </w:tcBorders>
            <w:shd w:val="clear" w:color="auto" w:fill="auto"/>
            <w:noWrap/>
            <w:vAlign w:val="bottom"/>
            <w:hideMark/>
          </w:tcPr>
          <w:p w14:paraId="70B2317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650,000</w:t>
            </w:r>
          </w:p>
        </w:tc>
      </w:tr>
      <w:tr w:rsidR="000C519A" w:rsidRPr="000C519A" w14:paraId="1DC160DC"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17C1044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appropriations</w:t>
            </w:r>
          </w:p>
        </w:tc>
        <w:tc>
          <w:tcPr>
            <w:tcW w:w="968" w:type="dxa"/>
            <w:gridSpan w:val="2"/>
            <w:tcBorders>
              <w:top w:val="nil"/>
              <w:left w:val="nil"/>
              <w:bottom w:val="nil"/>
              <w:right w:val="nil"/>
            </w:tcBorders>
            <w:shd w:val="clear" w:color="auto" w:fill="auto"/>
            <w:noWrap/>
            <w:vAlign w:val="bottom"/>
            <w:hideMark/>
          </w:tcPr>
          <w:p w14:paraId="62CDD8E7"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68" w:type="dxa"/>
            <w:gridSpan w:val="2"/>
            <w:tcBorders>
              <w:top w:val="nil"/>
              <w:left w:val="nil"/>
              <w:bottom w:val="nil"/>
              <w:right w:val="nil"/>
            </w:tcBorders>
            <w:shd w:val="clear" w:color="000000" w:fill="D9D9D9"/>
            <w:noWrap/>
            <w:vAlign w:val="bottom"/>
            <w:hideMark/>
          </w:tcPr>
          <w:p w14:paraId="0E07103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7" w:type="dxa"/>
            <w:gridSpan w:val="2"/>
            <w:tcBorders>
              <w:top w:val="nil"/>
              <w:left w:val="nil"/>
              <w:bottom w:val="nil"/>
              <w:right w:val="nil"/>
            </w:tcBorders>
            <w:shd w:val="clear" w:color="auto" w:fill="auto"/>
            <w:noWrap/>
            <w:vAlign w:val="bottom"/>
            <w:hideMark/>
          </w:tcPr>
          <w:p w14:paraId="40055F27" w14:textId="77777777" w:rsidR="000C519A" w:rsidRPr="000C519A" w:rsidRDefault="000C519A" w:rsidP="000C519A">
            <w:pPr>
              <w:spacing w:before="0" w:after="0" w:line="240" w:lineRule="auto"/>
              <w:jc w:val="right"/>
              <w:rPr>
                <w:rFonts w:ascii="Arial" w:hAnsi="Arial" w:cs="Arial"/>
                <w:sz w:val="16"/>
                <w:szCs w:val="16"/>
              </w:rPr>
            </w:pPr>
          </w:p>
        </w:tc>
        <w:tc>
          <w:tcPr>
            <w:tcW w:w="967" w:type="dxa"/>
            <w:tcBorders>
              <w:top w:val="nil"/>
              <w:left w:val="nil"/>
              <w:bottom w:val="nil"/>
              <w:right w:val="nil"/>
            </w:tcBorders>
            <w:shd w:val="clear" w:color="auto" w:fill="auto"/>
            <w:noWrap/>
            <w:vAlign w:val="bottom"/>
            <w:hideMark/>
          </w:tcPr>
          <w:p w14:paraId="292020DA" w14:textId="77777777" w:rsidR="000C519A" w:rsidRPr="000C519A" w:rsidRDefault="000C519A" w:rsidP="000C519A">
            <w:pPr>
              <w:spacing w:before="0" w:after="0" w:line="240" w:lineRule="auto"/>
              <w:jc w:val="right"/>
              <w:rPr>
                <w:rFonts w:ascii="Times New Roman" w:hAnsi="Times New Roman"/>
                <w:sz w:val="20"/>
              </w:rPr>
            </w:pPr>
          </w:p>
        </w:tc>
        <w:tc>
          <w:tcPr>
            <w:tcW w:w="967" w:type="dxa"/>
            <w:gridSpan w:val="2"/>
            <w:tcBorders>
              <w:top w:val="nil"/>
              <w:left w:val="nil"/>
              <w:bottom w:val="nil"/>
              <w:right w:val="nil"/>
            </w:tcBorders>
            <w:shd w:val="clear" w:color="auto" w:fill="auto"/>
            <w:noWrap/>
            <w:vAlign w:val="bottom"/>
            <w:hideMark/>
          </w:tcPr>
          <w:p w14:paraId="50992230"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5F9A15F2" w14:textId="77777777" w:rsidTr="00D376BC">
        <w:trPr>
          <w:gridAfter w:val="1"/>
          <w:wAfter w:w="31" w:type="dxa"/>
          <w:trHeight w:val="794"/>
          <w:jc w:val="center"/>
        </w:trPr>
        <w:tc>
          <w:tcPr>
            <w:tcW w:w="2843" w:type="dxa"/>
            <w:gridSpan w:val="2"/>
            <w:tcBorders>
              <w:top w:val="nil"/>
              <w:left w:val="nil"/>
              <w:bottom w:val="nil"/>
              <w:right w:val="nil"/>
            </w:tcBorders>
            <w:shd w:val="clear" w:color="auto" w:fill="auto"/>
            <w:vAlign w:val="bottom"/>
            <w:hideMark/>
          </w:tcPr>
          <w:p w14:paraId="1EAD8E19"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i/>
                <w:iCs/>
                <w:sz w:val="16"/>
                <w:szCs w:val="16"/>
              </w:rPr>
              <w:t>National Health Act 1953</w:t>
            </w:r>
            <w:r w:rsidRPr="000C519A">
              <w:rPr>
                <w:rFonts w:ascii="Arial" w:hAnsi="Arial" w:cs="Arial"/>
                <w:sz w:val="16"/>
                <w:szCs w:val="16"/>
              </w:rPr>
              <w:t xml:space="preserve"> - blood fractionation products and blood related products to National Blood Authority</w:t>
            </w:r>
          </w:p>
        </w:tc>
        <w:tc>
          <w:tcPr>
            <w:tcW w:w="968" w:type="dxa"/>
            <w:gridSpan w:val="2"/>
            <w:tcBorders>
              <w:top w:val="nil"/>
              <w:left w:val="nil"/>
              <w:bottom w:val="nil"/>
              <w:right w:val="nil"/>
            </w:tcBorders>
            <w:shd w:val="clear" w:color="auto" w:fill="auto"/>
            <w:noWrap/>
            <w:vAlign w:val="bottom"/>
            <w:hideMark/>
          </w:tcPr>
          <w:p w14:paraId="0331151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985,046</w:t>
            </w:r>
          </w:p>
        </w:tc>
        <w:tc>
          <w:tcPr>
            <w:tcW w:w="968" w:type="dxa"/>
            <w:gridSpan w:val="2"/>
            <w:tcBorders>
              <w:top w:val="nil"/>
              <w:left w:val="nil"/>
              <w:bottom w:val="nil"/>
              <w:right w:val="nil"/>
            </w:tcBorders>
            <w:shd w:val="clear" w:color="000000" w:fill="D9D9D9"/>
            <w:noWrap/>
            <w:vAlign w:val="bottom"/>
            <w:hideMark/>
          </w:tcPr>
          <w:p w14:paraId="0D02320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1,067,215</w:t>
            </w:r>
          </w:p>
        </w:tc>
        <w:tc>
          <w:tcPr>
            <w:tcW w:w="967" w:type="dxa"/>
            <w:gridSpan w:val="2"/>
            <w:tcBorders>
              <w:top w:val="nil"/>
              <w:left w:val="nil"/>
              <w:bottom w:val="nil"/>
              <w:right w:val="nil"/>
            </w:tcBorders>
            <w:shd w:val="clear" w:color="auto" w:fill="auto"/>
            <w:noWrap/>
            <w:vAlign w:val="bottom"/>
            <w:hideMark/>
          </w:tcPr>
          <w:p w14:paraId="2845EBE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1,140,796</w:t>
            </w:r>
          </w:p>
        </w:tc>
        <w:tc>
          <w:tcPr>
            <w:tcW w:w="967" w:type="dxa"/>
            <w:tcBorders>
              <w:top w:val="nil"/>
              <w:left w:val="nil"/>
              <w:bottom w:val="nil"/>
              <w:right w:val="nil"/>
            </w:tcBorders>
            <w:shd w:val="clear" w:color="auto" w:fill="auto"/>
            <w:noWrap/>
            <w:vAlign w:val="bottom"/>
            <w:hideMark/>
          </w:tcPr>
          <w:p w14:paraId="1D77874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1,218,600</w:t>
            </w:r>
          </w:p>
        </w:tc>
        <w:tc>
          <w:tcPr>
            <w:tcW w:w="967" w:type="dxa"/>
            <w:gridSpan w:val="2"/>
            <w:tcBorders>
              <w:top w:val="nil"/>
              <w:left w:val="nil"/>
              <w:bottom w:val="nil"/>
              <w:right w:val="nil"/>
            </w:tcBorders>
            <w:shd w:val="clear" w:color="auto" w:fill="auto"/>
            <w:noWrap/>
            <w:vAlign w:val="bottom"/>
            <w:hideMark/>
          </w:tcPr>
          <w:p w14:paraId="0D8C6F6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1,272,065</w:t>
            </w:r>
          </w:p>
        </w:tc>
      </w:tr>
      <w:tr w:rsidR="000C519A" w:rsidRPr="000C519A" w14:paraId="2361EEB5" w14:textId="77777777" w:rsidTr="00D376BC">
        <w:trPr>
          <w:gridAfter w:val="1"/>
          <w:wAfter w:w="31" w:type="dxa"/>
          <w:trHeight w:val="794"/>
          <w:jc w:val="center"/>
        </w:trPr>
        <w:tc>
          <w:tcPr>
            <w:tcW w:w="2843" w:type="dxa"/>
            <w:gridSpan w:val="2"/>
            <w:tcBorders>
              <w:top w:val="nil"/>
              <w:left w:val="nil"/>
              <w:bottom w:val="nil"/>
              <w:right w:val="nil"/>
            </w:tcBorders>
            <w:shd w:val="clear" w:color="auto" w:fill="auto"/>
            <w:vAlign w:val="bottom"/>
            <w:hideMark/>
          </w:tcPr>
          <w:p w14:paraId="3548D977"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i/>
                <w:iCs/>
                <w:sz w:val="16"/>
                <w:szCs w:val="16"/>
              </w:rPr>
              <w:t>Public Governance, Performance and Accountability Act 2013 -</w:t>
            </w:r>
            <w:r w:rsidRPr="000C519A">
              <w:rPr>
                <w:rFonts w:ascii="Arial" w:hAnsi="Arial" w:cs="Arial"/>
                <w:sz w:val="16"/>
                <w:szCs w:val="16"/>
              </w:rPr>
              <w:t xml:space="preserve"> s77 - repayments</w:t>
            </w:r>
          </w:p>
        </w:tc>
        <w:tc>
          <w:tcPr>
            <w:tcW w:w="968" w:type="dxa"/>
            <w:gridSpan w:val="2"/>
            <w:tcBorders>
              <w:top w:val="nil"/>
              <w:left w:val="nil"/>
              <w:bottom w:val="nil"/>
              <w:right w:val="nil"/>
            </w:tcBorders>
            <w:shd w:val="clear" w:color="auto" w:fill="auto"/>
            <w:noWrap/>
            <w:vAlign w:val="bottom"/>
            <w:hideMark/>
          </w:tcPr>
          <w:p w14:paraId="46CB85A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1,953</w:t>
            </w:r>
          </w:p>
        </w:tc>
        <w:tc>
          <w:tcPr>
            <w:tcW w:w="968" w:type="dxa"/>
            <w:gridSpan w:val="2"/>
            <w:tcBorders>
              <w:top w:val="nil"/>
              <w:left w:val="nil"/>
              <w:bottom w:val="nil"/>
              <w:right w:val="nil"/>
            </w:tcBorders>
            <w:shd w:val="clear" w:color="000000" w:fill="D9D9D9"/>
            <w:noWrap/>
            <w:vAlign w:val="bottom"/>
            <w:hideMark/>
          </w:tcPr>
          <w:p w14:paraId="08D2D58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2,000</w:t>
            </w:r>
          </w:p>
        </w:tc>
        <w:tc>
          <w:tcPr>
            <w:tcW w:w="967" w:type="dxa"/>
            <w:gridSpan w:val="2"/>
            <w:tcBorders>
              <w:top w:val="nil"/>
              <w:left w:val="nil"/>
              <w:bottom w:val="nil"/>
              <w:right w:val="nil"/>
            </w:tcBorders>
            <w:shd w:val="clear" w:color="auto" w:fill="auto"/>
            <w:noWrap/>
            <w:vAlign w:val="bottom"/>
            <w:hideMark/>
          </w:tcPr>
          <w:p w14:paraId="1B5538B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2,000</w:t>
            </w:r>
          </w:p>
        </w:tc>
        <w:tc>
          <w:tcPr>
            <w:tcW w:w="967" w:type="dxa"/>
            <w:tcBorders>
              <w:top w:val="nil"/>
              <w:left w:val="nil"/>
              <w:bottom w:val="nil"/>
              <w:right w:val="nil"/>
            </w:tcBorders>
            <w:shd w:val="clear" w:color="auto" w:fill="auto"/>
            <w:noWrap/>
            <w:vAlign w:val="bottom"/>
            <w:hideMark/>
          </w:tcPr>
          <w:p w14:paraId="2F6D743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2,000</w:t>
            </w:r>
          </w:p>
        </w:tc>
        <w:tc>
          <w:tcPr>
            <w:tcW w:w="967" w:type="dxa"/>
            <w:gridSpan w:val="2"/>
            <w:tcBorders>
              <w:top w:val="nil"/>
              <w:left w:val="nil"/>
              <w:bottom w:val="nil"/>
              <w:right w:val="nil"/>
            </w:tcBorders>
            <w:shd w:val="clear" w:color="auto" w:fill="auto"/>
            <w:noWrap/>
            <w:vAlign w:val="bottom"/>
            <w:hideMark/>
          </w:tcPr>
          <w:p w14:paraId="15100A2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2,000</w:t>
            </w:r>
          </w:p>
        </w:tc>
      </w:tr>
      <w:tr w:rsidR="000C519A" w:rsidRPr="000C519A" w14:paraId="07C546E9"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7F0F513E"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Other services </w:t>
            </w:r>
          </w:p>
        </w:tc>
        <w:tc>
          <w:tcPr>
            <w:tcW w:w="968" w:type="dxa"/>
            <w:gridSpan w:val="2"/>
            <w:tcBorders>
              <w:top w:val="nil"/>
              <w:left w:val="nil"/>
              <w:bottom w:val="nil"/>
              <w:right w:val="nil"/>
            </w:tcBorders>
            <w:shd w:val="clear" w:color="auto" w:fill="auto"/>
            <w:noWrap/>
            <w:vAlign w:val="bottom"/>
            <w:hideMark/>
          </w:tcPr>
          <w:p w14:paraId="09ACC04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3,626</w:t>
            </w:r>
          </w:p>
        </w:tc>
        <w:tc>
          <w:tcPr>
            <w:tcW w:w="968" w:type="dxa"/>
            <w:gridSpan w:val="2"/>
            <w:tcBorders>
              <w:top w:val="nil"/>
              <w:left w:val="nil"/>
              <w:bottom w:val="nil"/>
              <w:right w:val="nil"/>
            </w:tcBorders>
            <w:shd w:val="clear" w:color="000000" w:fill="D9D9D9"/>
            <w:noWrap/>
            <w:vAlign w:val="bottom"/>
            <w:hideMark/>
          </w:tcPr>
          <w:p w14:paraId="4358DD9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gridSpan w:val="2"/>
            <w:tcBorders>
              <w:top w:val="nil"/>
              <w:left w:val="nil"/>
              <w:bottom w:val="nil"/>
              <w:right w:val="nil"/>
            </w:tcBorders>
            <w:shd w:val="clear" w:color="auto" w:fill="auto"/>
            <w:noWrap/>
            <w:vAlign w:val="bottom"/>
            <w:hideMark/>
          </w:tcPr>
          <w:p w14:paraId="4339275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tcBorders>
              <w:top w:val="nil"/>
              <w:left w:val="nil"/>
              <w:bottom w:val="nil"/>
              <w:right w:val="nil"/>
            </w:tcBorders>
            <w:shd w:val="clear" w:color="auto" w:fill="auto"/>
            <w:noWrap/>
            <w:vAlign w:val="bottom"/>
            <w:hideMark/>
          </w:tcPr>
          <w:p w14:paraId="02A6433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gridSpan w:val="2"/>
            <w:tcBorders>
              <w:top w:val="nil"/>
              <w:left w:val="nil"/>
              <w:bottom w:val="nil"/>
              <w:right w:val="nil"/>
            </w:tcBorders>
            <w:shd w:val="clear" w:color="auto" w:fill="auto"/>
            <w:noWrap/>
            <w:vAlign w:val="bottom"/>
            <w:hideMark/>
          </w:tcPr>
          <w:p w14:paraId="3F6E5BD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r>
      <w:tr w:rsidR="000C519A" w:rsidRPr="000C519A" w14:paraId="3A0E5872"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363E04EE"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Payments to corporate entities</w:t>
            </w:r>
          </w:p>
        </w:tc>
        <w:tc>
          <w:tcPr>
            <w:tcW w:w="968" w:type="dxa"/>
            <w:gridSpan w:val="2"/>
            <w:tcBorders>
              <w:top w:val="nil"/>
              <w:left w:val="nil"/>
              <w:bottom w:val="nil"/>
              <w:right w:val="nil"/>
            </w:tcBorders>
            <w:shd w:val="clear" w:color="auto" w:fill="auto"/>
            <w:noWrap/>
            <w:vAlign w:val="bottom"/>
            <w:hideMark/>
          </w:tcPr>
          <w:p w14:paraId="044FDF5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263,646</w:t>
            </w:r>
          </w:p>
        </w:tc>
        <w:tc>
          <w:tcPr>
            <w:tcW w:w="968" w:type="dxa"/>
            <w:gridSpan w:val="2"/>
            <w:tcBorders>
              <w:top w:val="nil"/>
              <w:left w:val="nil"/>
              <w:bottom w:val="nil"/>
              <w:right w:val="nil"/>
            </w:tcBorders>
            <w:shd w:val="clear" w:color="000000" w:fill="D9D9D9"/>
            <w:noWrap/>
            <w:vAlign w:val="bottom"/>
            <w:hideMark/>
          </w:tcPr>
          <w:p w14:paraId="07383EB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322,306</w:t>
            </w:r>
          </w:p>
        </w:tc>
        <w:tc>
          <w:tcPr>
            <w:tcW w:w="967" w:type="dxa"/>
            <w:gridSpan w:val="2"/>
            <w:tcBorders>
              <w:top w:val="nil"/>
              <w:left w:val="nil"/>
              <w:bottom w:val="nil"/>
              <w:right w:val="nil"/>
            </w:tcBorders>
            <w:shd w:val="clear" w:color="auto" w:fill="auto"/>
            <w:noWrap/>
            <w:vAlign w:val="bottom"/>
            <w:hideMark/>
          </w:tcPr>
          <w:p w14:paraId="13CA9CB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330,390</w:t>
            </w:r>
          </w:p>
        </w:tc>
        <w:tc>
          <w:tcPr>
            <w:tcW w:w="967" w:type="dxa"/>
            <w:tcBorders>
              <w:top w:val="nil"/>
              <w:left w:val="nil"/>
              <w:bottom w:val="nil"/>
              <w:right w:val="nil"/>
            </w:tcBorders>
            <w:shd w:val="clear" w:color="auto" w:fill="auto"/>
            <w:noWrap/>
            <w:vAlign w:val="bottom"/>
            <w:hideMark/>
          </w:tcPr>
          <w:p w14:paraId="5EEBE99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143,202</w:t>
            </w:r>
          </w:p>
        </w:tc>
        <w:tc>
          <w:tcPr>
            <w:tcW w:w="967" w:type="dxa"/>
            <w:gridSpan w:val="2"/>
            <w:tcBorders>
              <w:top w:val="nil"/>
              <w:left w:val="nil"/>
              <w:bottom w:val="nil"/>
              <w:right w:val="nil"/>
            </w:tcBorders>
            <w:shd w:val="clear" w:color="auto" w:fill="auto"/>
            <w:noWrap/>
            <w:vAlign w:val="bottom"/>
            <w:hideMark/>
          </w:tcPr>
          <w:p w14:paraId="1B6CDAB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145,695</w:t>
            </w:r>
          </w:p>
        </w:tc>
      </w:tr>
      <w:tr w:rsidR="000C519A" w:rsidRPr="000C519A" w14:paraId="2D152792" w14:textId="77777777" w:rsidTr="00D376BC">
        <w:trPr>
          <w:gridAfter w:val="1"/>
          <w:wAfter w:w="31" w:type="dxa"/>
          <w:trHeight w:val="283"/>
          <w:jc w:val="center"/>
        </w:trPr>
        <w:tc>
          <w:tcPr>
            <w:tcW w:w="2843" w:type="dxa"/>
            <w:gridSpan w:val="2"/>
            <w:tcBorders>
              <w:top w:val="nil"/>
              <w:left w:val="nil"/>
              <w:bottom w:val="nil"/>
              <w:right w:val="nil"/>
            </w:tcBorders>
            <w:shd w:val="clear" w:color="auto" w:fill="auto"/>
            <w:noWrap/>
            <w:vAlign w:val="bottom"/>
            <w:hideMark/>
          </w:tcPr>
          <w:p w14:paraId="5363E454" w14:textId="77777777" w:rsidR="000C519A" w:rsidRPr="000C519A" w:rsidRDefault="000C519A" w:rsidP="000C519A">
            <w:pPr>
              <w:spacing w:before="0" w:after="0" w:line="240" w:lineRule="auto"/>
              <w:ind w:firstLineChars="100" w:firstLine="161"/>
              <w:rPr>
                <w:rFonts w:ascii="Arial" w:hAnsi="Arial" w:cs="Arial"/>
                <w:b/>
                <w:bCs/>
                <w:sz w:val="16"/>
                <w:szCs w:val="16"/>
              </w:rPr>
            </w:pPr>
            <w:r w:rsidRPr="000C519A">
              <w:rPr>
                <w:rFonts w:ascii="Arial" w:hAnsi="Arial" w:cs="Arial"/>
                <w:b/>
                <w:bCs/>
                <w:sz w:val="16"/>
                <w:szCs w:val="16"/>
              </w:rPr>
              <w:t>Total for Program 1.1</w:t>
            </w:r>
          </w:p>
        </w:tc>
        <w:tc>
          <w:tcPr>
            <w:tcW w:w="968" w:type="dxa"/>
            <w:gridSpan w:val="2"/>
            <w:tcBorders>
              <w:top w:val="single" w:sz="4" w:space="0" w:color="auto"/>
              <w:left w:val="nil"/>
              <w:bottom w:val="single" w:sz="4" w:space="0" w:color="auto"/>
              <w:right w:val="nil"/>
            </w:tcBorders>
            <w:shd w:val="clear" w:color="auto" w:fill="auto"/>
            <w:noWrap/>
            <w:vAlign w:val="bottom"/>
            <w:hideMark/>
          </w:tcPr>
          <w:p w14:paraId="3A3B5F54"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2,153,835</w:t>
            </w:r>
          </w:p>
        </w:tc>
        <w:tc>
          <w:tcPr>
            <w:tcW w:w="968" w:type="dxa"/>
            <w:gridSpan w:val="2"/>
            <w:tcBorders>
              <w:top w:val="single" w:sz="4" w:space="0" w:color="auto"/>
              <w:left w:val="nil"/>
              <w:bottom w:val="single" w:sz="4" w:space="0" w:color="auto"/>
              <w:right w:val="nil"/>
            </w:tcBorders>
            <w:shd w:val="clear" w:color="000000" w:fill="D9D9D9"/>
            <w:noWrap/>
            <w:vAlign w:val="bottom"/>
            <w:hideMark/>
          </w:tcPr>
          <w:p w14:paraId="12C4FA2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2,246,556</w:t>
            </w:r>
          </w:p>
        </w:tc>
        <w:tc>
          <w:tcPr>
            <w:tcW w:w="967" w:type="dxa"/>
            <w:gridSpan w:val="2"/>
            <w:tcBorders>
              <w:top w:val="single" w:sz="4" w:space="0" w:color="auto"/>
              <w:left w:val="nil"/>
              <w:bottom w:val="single" w:sz="4" w:space="0" w:color="auto"/>
              <w:right w:val="nil"/>
            </w:tcBorders>
            <w:shd w:val="clear" w:color="auto" w:fill="auto"/>
            <w:noWrap/>
            <w:vAlign w:val="bottom"/>
            <w:hideMark/>
          </w:tcPr>
          <w:p w14:paraId="29BE4FF7"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2,253,962</w:t>
            </w:r>
          </w:p>
        </w:tc>
        <w:tc>
          <w:tcPr>
            <w:tcW w:w="967" w:type="dxa"/>
            <w:tcBorders>
              <w:top w:val="single" w:sz="4" w:space="0" w:color="auto"/>
              <w:left w:val="nil"/>
              <w:bottom w:val="single" w:sz="4" w:space="0" w:color="auto"/>
              <w:right w:val="nil"/>
            </w:tcBorders>
            <w:shd w:val="clear" w:color="auto" w:fill="auto"/>
            <w:noWrap/>
            <w:vAlign w:val="bottom"/>
            <w:hideMark/>
          </w:tcPr>
          <w:p w14:paraId="050E7261"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2,110,304</w:t>
            </w:r>
          </w:p>
        </w:tc>
        <w:tc>
          <w:tcPr>
            <w:tcW w:w="967" w:type="dxa"/>
            <w:gridSpan w:val="2"/>
            <w:tcBorders>
              <w:top w:val="single" w:sz="4" w:space="0" w:color="auto"/>
              <w:left w:val="nil"/>
              <w:bottom w:val="single" w:sz="4" w:space="0" w:color="auto"/>
              <w:right w:val="nil"/>
            </w:tcBorders>
            <w:shd w:val="clear" w:color="auto" w:fill="auto"/>
            <w:noWrap/>
            <w:vAlign w:val="bottom"/>
            <w:hideMark/>
          </w:tcPr>
          <w:p w14:paraId="164696D5"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2,162,809</w:t>
            </w:r>
          </w:p>
        </w:tc>
      </w:tr>
      <w:tr w:rsidR="000C519A" w:rsidRPr="000C519A" w14:paraId="7751FA5B" w14:textId="77777777" w:rsidTr="00D376BC">
        <w:tblPrEx>
          <w:jc w:val="left"/>
        </w:tblPrEx>
        <w:trPr>
          <w:trHeight w:val="283"/>
        </w:trPr>
        <w:tc>
          <w:tcPr>
            <w:tcW w:w="2776" w:type="dxa"/>
            <w:tcBorders>
              <w:top w:val="nil"/>
              <w:left w:val="nil"/>
              <w:bottom w:val="nil"/>
              <w:right w:val="nil"/>
            </w:tcBorders>
            <w:shd w:val="clear" w:color="auto" w:fill="auto"/>
            <w:noWrap/>
            <w:vAlign w:val="bottom"/>
            <w:hideMark/>
          </w:tcPr>
          <w:p w14:paraId="2EDA33E4"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1.2: Mental Health</w:t>
            </w:r>
          </w:p>
        </w:tc>
        <w:tc>
          <w:tcPr>
            <w:tcW w:w="987" w:type="dxa"/>
            <w:gridSpan w:val="2"/>
            <w:tcBorders>
              <w:top w:val="nil"/>
              <w:left w:val="nil"/>
              <w:bottom w:val="nil"/>
              <w:right w:val="nil"/>
            </w:tcBorders>
            <w:shd w:val="clear" w:color="auto" w:fill="auto"/>
            <w:noWrap/>
            <w:vAlign w:val="bottom"/>
            <w:hideMark/>
          </w:tcPr>
          <w:p w14:paraId="04056B9A" w14:textId="77777777" w:rsidR="000C519A" w:rsidRPr="000C519A" w:rsidRDefault="000C519A" w:rsidP="000C519A">
            <w:pPr>
              <w:spacing w:before="0" w:after="0" w:line="240" w:lineRule="auto"/>
              <w:rPr>
                <w:rFonts w:ascii="Arial" w:hAnsi="Arial" w:cs="Arial"/>
                <w:b/>
                <w:bCs/>
                <w:sz w:val="16"/>
                <w:szCs w:val="16"/>
              </w:rPr>
            </w:pPr>
          </w:p>
        </w:tc>
        <w:tc>
          <w:tcPr>
            <w:tcW w:w="987" w:type="dxa"/>
            <w:gridSpan w:val="2"/>
            <w:tcBorders>
              <w:top w:val="nil"/>
              <w:left w:val="nil"/>
              <w:bottom w:val="nil"/>
              <w:right w:val="nil"/>
            </w:tcBorders>
            <w:shd w:val="clear" w:color="auto" w:fill="auto"/>
            <w:noWrap/>
            <w:vAlign w:val="bottom"/>
            <w:hideMark/>
          </w:tcPr>
          <w:p w14:paraId="5EFDA825" w14:textId="77777777" w:rsidR="000C519A" w:rsidRPr="000C519A" w:rsidRDefault="000C519A" w:rsidP="000C519A">
            <w:pPr>
              <w:spacing w:before="0" w:after="0" w:line="240" w:lineRule="auto"/>
              <w:jc w:val="right"/>
              <w:rPr>
                <w:rFonts w:ascii="Times New Roman" w:hAnsi="Times New Roman"/>
                <w:sz w:val="20"/>
              </w:rPr>
            </w:pPr>
          </w:p>
        </w:tc>
        <w:tc>
          <w:tcPr>
            <w:tcW w:w="987" w:type="dxa"/>
            <w:gridSpan w:val="2"/>
            <w:tcBorders>
              <w:top w:val="nil"/>
              <w:left w:val="nil"/>
              <w:bottom w:val="nil"/>
              <w:right w:val="nil"/>
            </w:tcBorders>
            <w:shd w:val="clear" w:color="auto" w:fill="auto"/>
            <w:noWrap/>
            <w:vAlign w:val="bottom"/>
            <w:hideMark/>
          </w:tcPr>
          <w:p w14:paraId="44286BEF" w14:textId="77777777" w:rsidR="000C519A" w:rsidRPr="000C519A" w:rsidRDefault="000C519A" w:rsidP="000C519A">
            <w:pPr>
              <w:spacing w:before="0" w:after="0" w:line="240" w:lineRule="auto"/>
              <w:jc w:val="right"/>
              <w:rPr>
                <w:rFonts w:ascii="Times New Roman" w:hAnsi="Times New Roman"/>
                <w:sz w:val="20"/>
              </w:rPr>
            </w:pPr>
          </w:p>
        </w:tc>
        <w:tc>
          <w:tcPr>
            <w:tcW w:w="987" w:type="dxa"/>
            <w:gridSpan w:val="3"/>
            <w:tcBorders>
              <w:top w:val="nil"/>
              <w:left w:val="nil"/>
              <w:bottom w:val="nil"/>
              <w:right w:val="nil"/>
            </w:tcBorders>
            <w:shd w:val="clear" w:color="auto" w:fill="auto"/>
            <w:noWrap/>
            <w:vAlign w:val="bottom"/>
            <w:hideMark/>
          </w:tcPr>
          <w:p w14:paraId="5DC17728" w14:textId="77777777" w:rsidR="000C519A" w:rsidRPr="000C519A" w:rsidRDefault="000C519A" w:rsidP="000C519A">
            <w:pPr>
              <w:spacing w:before="0" w:after="0" w:line="240" w:lineRule="auto"/>
              <w:jc w:val="right"/>
              <w:rPr>
                <w:rFonts w:ascii="Times New Roman" w:hAnsi="Times New Roman"/>
                <w:sz w:val="20"/>
              </w:rPr>
            </w:pPr>
          </w:p>
        </w:tc>
        <w:tc>
          <w:tcPr>
            <w:tcW w:w="987" w:type="dxa"/>
            <w:gridSpan w:val="2"/>
            <w:tcBorders>
              <w:top w:val="nil"/>
              <w:left w:val="nil"/>
              <w:bottom w:val="nil"/>
              <w:right w:val="nil"/>
            </w:tcBorders>
            <w:shd w:val="clear" w:color="auto" w:fill="auto"/>
            <w:noWrap/>
            <w:vAlign w:val="bottom"/>
            <w:hideMark/>
          </w:tcPr>
          <w:p w14:paraId="6205105F"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27D762B" w14:textId="77777777" w:rsidTr="00D376BC">
        <w:tblPrEx>
          <w:jc w:val="left"/>
        </w:tblPrEx>
        <w:trPr>
          <w:trHeight w:val="283"/>
        </w:trPr>
        <w:tc>
          <w:tcPr>
            <w:tcW w:w="2776" w:type="dxa"/>
            <w:tcBorders>
              <w:top w:val="nil"/>
              <w:left w:val="nil"/>
              <w:bottom w:val="nil"/>
              <w:right w:val="nil"/>
            </w:tcBorders>
            <w:shd w:val="clear" w:color="auto" w:fill="auto"/>
            <w:noWrap/>
            <w:vAlign w:val="bottom"/>
            <w:hideMark/>
          </w:tcPr>
          <w:p w14:paraId="1EFE59D7"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87" w:type="dxa"/>
            <w:gridSpan w:val="2"/>
            <w:tcBorders>
              <w:top w:val="nil"/>
              <w:left w:val="nil"/>
              <w:bottom w:val="nil"/>
              <w:right w:val="nil"/>
            </w:tcBorders>
            <w:shd w:val="clear" w:color="auto" w:fill="auto"/>
            <w:noWrap/>
            <w:vAlign w:val="bottom"/>
            <w:hideMark/>
          </w:tcPr>
          <w:p w14:paraId="1EC94C6C"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87" w:type="dxa"/>
            <w:gridSpan w:val="2"/>
            <w:tcBorders>
              <w:top w:val="nil"/>
              <w:left w:val="nil"/>
              <w:bottom w:val="nil"/>
              <w:right w:val="nil"/>
            </w:tcBorders>
            <w:shd w:val="clear" w:color="000000" w:fill="D9D9D9"/>
            <w:noWrap/>
            <w:vAlign w:val="bottom"/>
            <w:hideMark/>
          </w:tcPr>
          <w:p w14:paraId="2B85915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87" w:type="dxa"/>
            <w:gridSpan w:val="2"/>
            <w:tcBorders>
              <w:top w:val="nil"/>
              <w:left w:val="nil"/>
              <w:bottom w:val="nil"/>
              <w:right w:val="nil"/>
            </w:tcBorders>
            <w:shd w:val="clear" w:color="auto" w:fill="auto"/>
            <w:noWrap/>
            <w:vAlign w:val="bottom"/>
            <w:hideMark/>
          </w:tcPr>
          <w:p w14:paraId="3E269D96" w14:textId="77777777" w:rsidR="000C519A" w:rsidRPr="000C519A" w:rsidRDefault="000C519A" w:rsidP="000C519A">
            <w:pPr>
              <w:spacing w:before="0" w:after="0" w:line="240" w:lineRule="auto"/>
              <w:jc w:val="right"/>
              <w:rPr>
                <w:rFonts w:ascii="Arial" w:hAnsi="Arial" w:cs="Arial"/>
                <w:sz w:val="16"/>
                <w:szCs w:val="16"/>
              </w:rPr>
            </w:pPr>
          </w:p>
        </w:tc>
        <w:tc>
          <w:tcPr>
            <w:tcW w:w="987" w:type="dxa"/>
            <w:gridSpan w:val="3"/>
            <w:tcBorders>
              <w:top w:val="nil"/>
              <w:left w:val="nil"/>
              <w:bottom w:val="nil"/>
              <w:right w:val="nil"/>
            </w:tcBorders>
            <w:shd w:val="clear" w:color="auto" w:fill="auto"/>
            <w:noWrap/>
            <w:vAlign w:val="bottom"/>
            <w:hideMark/>
          </w:tcPr>
          <w:p w14:paraId="6A78668C" w14:textId="77777777" w:rsidR="000C519A" w:rsidRPr="000C519A" w:rsidRDefault="000C519A" w:rsidP="000C519A">
            <w:pPr>
              <w:spacing w:before="0" w:after="0" w:line="240" w:lineRule="auto"/>
              <w:jc w:val="right"/>
              <w:rPr>
                <w:rFonts w:ascii="Times New Roman" w:hAnsi="Times New Roman"/>
                <w:sz w:val="20"/>
              </w:rPr>
            </w:pPr>
          </w:p>
        </w:tc>
        <w:tc>
          <w:tcPr>
            <w:tcW w:w="987" w:type="dxa"/>
            <w:gridSpan w:val="2"/>
            <w:tcBorders>
              <w:top w:val="nil"/>
              <w:left w:val="nil"/>
              <w:bottom w:val="nil"/>
              <w:right w:val="nil"/>
            </w:tcBorders>
            <w:shd w:val="clear" w:color="auto" w:fill="auto"/>
            <w:noWrap/>
            <w:vAlign w:val="bottom"/>
            <w:hideMark/>
          </w:tcPr>
          <w:p w14:paraId="2802E7A5"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5CDE9CAB" w14:textId="77777777" w:rsidTr="000C519A">
        <w:tblPrEx>
          <w:jc w:val="left"/>
        </w:tblPrEx>
        <w:trPr>
          <w:trHeight w:val="225"/>
        </w:trPr>
        <w:tc>
          <w:tcPr>
            <w:tcW w:w="2776" w:type="dxa"/>
            <w:tcBorders>
              <w:top w:val="nil"/>
              <w:left w:val="nil"/>
              <w:bottom w:val="nil"/>
              <w:right w:val="nil"/>
            </w:tcBorders>
            <w:shd w:val="clear" w:color="auto" w:fill="auto"/>
            <w:noWrap/>
            <w:vAlign w:val="bottom"/>
            <w:hideMark/>
          </w:tcPr>
          <w:p w14:paraId="722AFF33"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87" w:type="dxa"/>
            <w:gridSpan w:val="2"/>
            <w:tcBorders>
              <w:top w:val="nil"/>
              <w:left w:val="nil"/>
              <w:bottom w:val="nil"/>
              <w:right w:val="nil"/>
            </w:tcBorders>
            <w:shd w:val="clear" w:color="auto" w:fill="auto"/>
            <w:noWrap/>
            <w:vAlign w:val="bottom"/>
            <w:hideMark/>
          </w:tcPr>
          <w:p w14:paraId="768D2E7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1,354,720</w:t>
            </w:r>
          </w:p>
        </w:tc>
        <w:tc>
          <w:tcPr>
            <w:tcW w:w="987" w:type="dxa"/>
            <w:gridSpan w:val="2"/>
            <w:tcBorders>
              <w:top w:val="nil"/>
              <w:left w:val="nil"/>
              <w:bottom w:val="nil"/>
              <w:right w:val="nil"/>
            </w:tcBorders>
            <w:shd w:val="clear" w:color="000000" w:fill="D9D9D9"/>
            <w:noWrap/>
            <w:vAlign w:val="bottom"/>
            <w:hideMark/>
          </w:tcPr>
          <w:p w14:paraId="213CEE5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1,557,803</w:t>
            </w:r>
          </w:p>
        </w:tc>
        <w:tc>
          <w:tcPr>
            <w:tcW w:w="987" w:type="dxa"/>
            <w:gridSpan w:val="2"/>
            <w:tcBorders>
              <w:top w:val="nil"/>
              <w:left w:val="nil"/>
              <w:bottom w:val="nil"/>
              <w:right w:val="nil"/>
            </w:tcBorders>
            <w:shd w:val="clear" w:color="auto" w:fill="auto"/>
            <w:noWrap/>
            <w:vAlign w:val="bottom"/>
            <w:hideMark/>
          </w:tcPr>
          <w:p w14:paraId="3990485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1,505,902</w:t>
            </w:r>
          </w:p>
        </w:tc>
        <w:tc>
          <w:tcPr>
            <w:tcW w:w="987" w:type="dxa"/>
            <w:gridSpan w:val="3"/>
            <w:tcBorders>
              <w:top w:val="nil"/>
              <w:left w:val="nil"/>
              <w:bottom w:val="nil"/>
              <w:right w:val="nil"/>
            </w:tcBorders>
            <w:shd w:val="clear" w:color="auto" w:fill="auto"/>
            <w:noWrap/>
            <w:vAlign w:val="bottom"/>
            <w:hideMark/>
          </w:tcPr>
          <w:p w14:paraId="6F34D99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1,205,813</w:t>
            </w:r>
          </w:p>
        </w:tc>
        <w:tc>
          <w:tcPr>
            <w:tcW w:w="987" w:type="dxa"/>
            <w:gridSpan w:val="2"/>
            <w:tcBorders>
              <w:top w:val="nil"/>
              <w:left w:val="nil"/>
              <w:bottom w:val="nil"/>
              <w:right w:val="nil"/>
            </w:tcBorders>
            <w:shd w:val="clear" w:color="auto" w:fill="auto"/>
            <w:noWrap/>
            <w:vAlign w:val="bottom"/>
            <w:hideMark/>
          </w:tcPr>
          <w:p w14:paraId="598BA24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1,195,897</w:t>
            </w:r>
          </w:p>
        </w:tc>
      </w:tr>
      <w:tr w:rsidR="000C519A" w:rsidRPr="000C519A" w14:paraId="78C3981D" w14:textId="77777777" w:rsidTr="00D376BC">
        <w:tblPrEx>
          <w:jc w:val="left"/>
        </w:tblPrEx>
        <w:trPr>
          <w:trHeight w:val="283"/>
        </w:trPr>
        <w:tc>
          <w:tcPr>
            <w:tcW w:w="2776" w:type="dxa"/>
            <w:tcBorders>
              <w:top w:val="nil"/>
              <w:left w:val="nil"/>
              <w:bottom w:val="nil"/>
              <w:right w:val="nil"/>
            </w:tcBorders>
            <w:shd w:val="clear" w:color="auto" w:fill="auto"/>
            <w:noWrap/>
            <w:vAlign w:val="bottom"/>
            <w:hideMark/>
          </w:tcPr>
          <w:p w14:paraId="632D4282"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1.2</w:t>
            </w:r>
          </w:p>
        </w:tc>
        <w:tc>
          <w:tcPr>
            <w:tcW w:w="987" w:type="dxa"/>
            <w:gridSpan w:val="2"/>
            <w:tcBorders>
              <w:top w:val="single" w:sz="4" w:space="0" w:color="auto"/>
              <w:left w:val="nil"/>
              <w:bottom w:val="single" w:sz="4" w:space="0" w:color="auto"/>
              <w:right w:val="nil"/>
            </w:tcBorders>
            <w:shd w:val="clear" w:color="auto" w:fill="auto"/>
            <w:noWrap/>
            <w:vAlign w:val="bottom"/>
            <w:hideMark/>
          </w:tcPr>
          <w:p w14:paraId="5A5D4EC4"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1,354,720</w:t>
            </w:r>
          </w:p>
        </w:tc>
        <w:tc>
          <w:tcPr>
            <w:tcW w:w="987" w:type="dxa"/>
            <w:gridSpan w:val="2"/>
            <w:tcBorders>
              <w:top w:val="single" w:sz="4" w:space="0" w:color="auto"/>
              <w:left w:val="nil"/>
              <w:bottom w:val="single" w:sz="4" w:space="0" w:color="auto"/>
              <w:right w:val="nil"/>
            </w:tcBorders>
            <w:shd w:val="clear" w:color="000000" w:fill="D9D9D9"/>
            <w:noWrap/>
            <w:vAlign w:val="bottom"/>
            <w:hideMark/>
          </w:tcPr>
          <w:p w14:paraId="48A3915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1,557,803</w:t>
            </w:r>
          </w:p>
        </w:tc>
        <w:tc>
          <w:tcPr>
            <w:tcW w:w="987" w:type="dxa"/>
            <w:gridSpan w:val="2"/>
            <w:tcBorders>
              <w:top w:val="single" w:sz="4" w:space="0" w:color="auto"/>
              <w:left w:val="nil"/>
              <w:bottom w:val="single" w:sz="4" w:space="0" w:color="auto"/>
              <w:right w:val="nil"/>
            </w:tcBorders>
            <w:shd w:val="clear" w:color="auto" w:fill="auto"/>
            <w:noWrap/>
            <w:vAlign w:val="bottom"/>
            <w:hideMark/>
          </w:tcPr>
          <w:p w14:paraId="460C86A9"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1,505,902</w:t>
            </w:r>
          </w:p>
        </w:tc>
        <w:tc>
          <w:tcPr>
            <w:tcW w:w="987" w:type="dxa"/>
            <w:gridSpan w:val="3"/>
            <w:tcBorders>
              <w:top w:val="single" w:sz="4" w:space="0" w:color="auto"/>
              <w:left w:val="nil"/>
              <w:bottom w:val="single" w:sz="4" w:space="0" w:color="auto"/>
              <w:right w:val="nil"/>
            </w:tcBorders>
            <w:shd w:val="clear" w:color="auto" w:fill="auto"/>
            <w:noWrap/>
            <w:vAlign w:val="bottom"/>
            <w:hideMark/>
          </w:tcPr>
          <w:p w14:paraId="6996CE1E"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1,205,813</w:t>
            </w:r>
          </w:p>
        </w:tc>
        <w:tc>
          <w:tcPr>
            <w:tcW w:w="987" w:type="dxa"/>
            <w:gridSpan w:val="2"/>
            <w:tcBorders>
              <w:top w:val="single" w:sz="4" w:space="0" w:color="auto"/>
              <w:left w:val="nil"/>
              <w:bottom w:val="single" w:sz="4" w:space="0" w:color="auto"/>
              <w:right w:val="nil"/>
            </w:tcBorders>
            <w:shd w:val="clear" w:color="auto" w:fill="auto"/>
            <w:noWrap/>
            <w:vAlign w:val="bottom"/>
            <w:hideMark/>
          </w:tcPr>
          <w:p w14:paraId="596E5519"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1,195,897</w:t>
            </w:r>
          </w:p>
        </w:tc>
      </w:tr>
    </w:tbl>
    <w:p w14:paraId="1A70EA62" w14:textId="77777777" w:rsidR="000C519A" w:rsidRPr="000C519A" w:rsidRDefault="000C519A" w:rsidP="000C519A"/>
    <w:p w14:paraId="471D8625" w14:textId="7ACF1C9C" w:rsidR="000C519A" w:rsidRDefault="000C519A">
      <w:pPr>
        <w:spacing w:before="0" w:after="0" w:line="240" w:lineRule="auto"/>
      </w:pPr>
      <w:r>
        <w:br w:type="page"/>
      </w:r>
    </w:p>
    <w:p w14:paraId="76899929" w14:textId="7B8ABD9E" w:rsidR="000C519A" w:rsidRPr="000C519A" w:rsidRDefault="000C519A" w:rsidP="00D17870">
      <w:pPr>
        <w:spacing w:after="20"/>
        <w:rPr>
          <w:rFonts w:ascii="Arial" w:hAnsi="Arial" w:cs="Arial"/>
          <w:b/>
          <w:sz w:val="20"/>
        </w:rPr>
      </w:pPr>
      <w:r w:rsidRPr="000C519A">
        <w:rPr>
          <w:rFonts w:ascii="Arial" w:hAnsi="Arial" w:cs="Arial"/>
          <w:b/>
          <w:sz w:val="20"/>
        </w:rPr>
        <w:lastRenderedPageBreak/>
        <w:t>Table 2.1.2: Program Expense Table – Outcome 1 (continued)</w:t>
      </w:r>
    </w:p>
    <w:tbl>
      <w:tblPr>
        <w:tblW w:w="7680" w:type="dxa"/>
        <w:jc w:val="center"/>
        <w:tblLayout w:type="fixed"/>
        <w:tblLook w:val="04A0" w:firstRow="1" w:lastRow="0" w:firstColumn="1" w:lastColumn="0" w:noHBand="0" w:noVBand="1"/>
      </w:tblPr>
      <w:tblGrid>
        <w:gridCol w:w="2986"/>
        <w:gridCol w:w="938"/>
        <w:gridCol w:w="939"/>
        <w:gridCol w:w="939"/>
        <w:gridCol w:w="939"/>
        <w:gridCol w:w="939"/>
      </w:tblGrid>
      <w:tr w:rsidR="000C519A" w:rsidRPr="000C519A" w14:paraId="2DE017BA" w14:textId="77777777" w:rsidTr="00D376BC">
        <w:trPr>
          <w:trHeight w:val="737"/>
          <w:jc w:val="center"/>
        </w:trPr>
        <w:tc>
          <w:tcPr>
            <w:tcW w:w="2986" w:type="dxa"/>
            <w:tcBorders>
              <w:top w:val="single" w:sz="4" w:space="0" w:color="auto"/>
              <w:left w:val="nil"/>
              <w:bottom w:val="nil"/>
              <w:right w:val="nil"/>
            </w:tcBorders>
            <w:shd w:val="clear" w:color="auto" w:fill="auto"/>
            <w:vAlign w:val="bottom"/>
            <w:hideMark/>
          </w:tcPr>
          <w:p w14:paraId="194BB0DE" w14:textId="77777777"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 </w:t>
            </w:r>
          </w:p>
        </w:tc>
        <w:tc>
          <w:tcPr>
            <w:tcW w:w="938" w:type="dxa"/>
            <w:tcBorders>
              <w:top w:val="single" w:sz="4" w:space="0" w:color="auto"/>
              <w:left w:val="nil"/>
              <w:bottom w:val="single" w:sz="4" w:space="0" w:color="auto"/>
              <w:right w:val="nil"/>
            </w:tcBorders>
            <w:shd w:val="clear" w:color="auto" w:fill="auto"/>
            <w:vAlign w:val="bottom"/>
            <w:hideMark/>
          </w:tcPr>
          <w:p w14:paraId="07CCE80E" w14:textId="4F3B9016"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2022</w:t>
            </w:r>
            <w:r>
              <w:rPr>
                <w:rFonts w:ascii="Arial" w:hAnsi="Arial" w:cs="Arial"/>
                <w:b/>
                <w:bCs/>
                <w:sz w:val="16"/>
                <w:szCs w:val="16"/>
              </w:rPr>
              <w:t>–</w:t>
            </w:r>
            <w:r w:rsidRPr="000C519A">
              <w:rPr>
                <w:rFonts w:ascii="Arial" w:hAnsi="Arial" w:cs="Arial"/>
                <w:b/>
                <w:bCs/>
                <w:sz w:val="16"/>
                <w:szCs w:val="16"/>
              </w:rPr>
              <w:t>23 Actual</w:t>
            </w:r>
            <w:r w:rsidRPr="000C519A">
              <w:rPr>
                <w:rFonts w:ascii="Arial" w:hAnsi="Arial" w:cs="Arial"/>
                <w:b/>
                <w:bCs/>
                <w:sz w:val="16"/>
                <w:szCs w:val="16"/>
              </w:rPr>
              <w:br/>
            </w:r>
            <w:r w:rsidRPr="000C519A">
              <w:rPr>
                <w:rFonts w:ascii="Arial" w:hAnsi="Arial" w:cs="Arial"/>
                <w:b/>
                <w:bCs/>
                <w:sz w:val="16"/>
                <w:szCs w:val="16"/>
              </w:rPr>
              <w:br/>
            </w:r>
            <w:r w:rsidRPr="000C519A">
              <w:rPr>
                <w:rFonts w:ascii="Arial" w:hAnsi="Arial" w:cs="Arial"/>
                <w:sz w:val="16"/>
                <w:szCs w:val="16"/>
              </w:rPr>
              <w:t>$'000</w:t>
            </w:r>
          </w:p>
        </w:tc>
        <w:tc>
          <w:tcPr>
            <w:tcW w:w="939" w:type="dxa"/>
            <w:tcBorders>
              <w:top w:val="single" w:sz="4" w:space="0" w:color="auto"/>
              <w:left w:val="nil"/>
              <w:bottom w:val="single" w:sz="4" w:space="0" w:color="auto"/>
              <w:right w:val="nil"/>
            </w:tcBorders>
            <w:shd w:val="clear" w:color="000000" w:fill="D9D9D9"/>
            <w:vAlign w:val="bottom"/>
            <w:hideMark/>
          </w:tcPr>
          <w:p w14:paraId="5AEF056D" w14:textId="7724015F"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2023</w:t>
            </w:r>
            <w:r>
              <w:rPr>
                <w:rFonts w:ascii="Arial" w:hAnsi="Arial" w:cs="Arial"/>
                <w:b/>
                <w:bCs/>
                <w:sz w:val="16"/>
                <w:szCs w:val="16"/>
              </w:rPr>
              <w:t>–</w:t>
            </w:r>
            <w:r w:rsidRPr="000C519A">
              <w:rPr>
                <w:rFonts w:ascii="Arial" w:hAnsi="Arial" w:cs="Arial"/>
                <w:b/>
                <w:bCs/>
                <w:sz w:val="16"/>
                <w:szCs w:val="16"/>
              </w:rPr>
              <w:t>24 Revised Budget</w:t>
            </w:r>
            <w:r w:rsidRPr="000C519A">
              <w:rPr>
                <w:rFonts w:ascii="Arial" w:hAnsi="Arial" w:cs="Arial"/>
                <w:b/>
                <w:bCs/>
                <w:sz w:val="16"/>
                <w:szCs w:val="16"/>
              </w:rPr>
              <w:br/>
            </w:r>
            <w:r w:rsidRPr="000C519A">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1EB0041C" w14:textId="5A113C91"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2024–</w:t>
            </w:r>
            <w:r w:rsidRPr="000C519A">
              <w:rPr>
                <w:rFonts w:ascii="Arial" w:hAnsi="Arial" w:cs="Arial"/>
                <w:b/>
                <w:bCs/>
                <w:sz w:val="16"/>
                <w:szCs w:val="16"/>
              </w:rPr>
              <w:t>25 Forward Estimate</w:t>
            </w:r>
            <w:r w:rsidRPr="000C519A">
              <w:rPr>
                <w:rFonts w:ascii="Arial" w:hAnsi="Arial" w:cs="Arial"/>
                <w:b/>
                <w:bCs/>
                <w:sz w:val="16"/>
                <w:szCs w:val="16"/>
              </w:rPr>
              <w:br/>
            </w:r>
            <w:r w:rsidRPr="000C519A">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619A7405" w14:textId="30E402C9"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2025</w:t>
            </w:r>
            <w:r>
              <w:rPr>
                <w:rFonts w:ascii="Arial" w:hAnsi="Arial" w:cs="Arial"/>
                <w:b/>
                <w:bCs/>
                <w:sz w:val="16"/>
                <w:szCs w:val="16"/>
              </w:rPr>
              <w:t>–</w:t>
            </w:r>
            <w:r w:rsidRPr="000C519A">
              <w:rPr>
                <w:rFonts w:ascii="Arial" w:hAnsi="Arial" w:cs="Arial"/>
                <w:b/>
                <w:bCs/>
                <w:sz w:val="16"/>
                <w:szCs w:val="16"/>
              </w:rPr>
              <w:t>26 Forward Estimate</w:t>
            </w:r>
            <w:r w:rsidRPr="000C519A">
              <w:rPr>
                <w:rFonts w:ascii="Arial" w:hAnsi="Arial" w:cs="Arial"/>
                <w:b/>
                <w:bCs/>
                <w:sz w:val="16"/>
                <w:szCs w:val="16"/>
              </w:rPr>
              <w:br/>
            </w:r>
            <w:r w:rsidRPr="000C519A">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vAlign w:val="bottom"/>
            <w:hideMark/>
          </w:tcPr>
          <w:p w14:paraId="7D61D973" w14:textId="45025A8A"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2026–</w:t>
            </w:r>
            <w:r w:rsidRPr="000C519A">
              <w:rPr>
                <w:rFonts w:ascii="Arial" w:hAnsi="Arial" w:cs="Arial"/>
                <w:b/>
                <w:bCs/>
                <w:sz w:val="16"/>
                <w:szCs w:val="16"/>
              </w:rPr>
              <w:t>27 Forward Estimate</w:t>
            </w:r>
            <w:r w:rsidRPr="000C519A">
              <w:rPr>
                <w:rFonts w:ascii="Arial" w:hAnsi="Arial" w:cs="Arial"/>
                <w:b/>
                <w:bCs/>
                <w:sz w:val="16"/>
                <w:szCs w:val="16"/>
              </w:rPr>
              <w:br/>
            </w:r>
            <w:r w:rsidRPr="000C519A">
              <w:rPr>
                <w:rFonts w:ascii="Arial" w:hAnsi="Arial" w:cs="Arial"/>
                <w:sz w:val="16"/>
                <w:szCs w:val="16"/>
              </w:rPr>
              <w:t>$'000</w:t>
            </w:r>
          </w:p>
        </w:tc>
      </w:tr>
      <w:tr w:rsidR="000C519A" w:rsidRPr="000C519A" w14:paraId="51A6923B"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08FAF34B"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1.3: First Nations Health</w:t>
            </w:r>
          </w:p>
        </w:tc>
        <w:tc>
          <w:tcPr>
            <w:tcW w:w="938" w:type="dxa"/>
            <w:tcBorders>
              <w:top w:val="nil"/>
              <w:left w:val="nil"/>
              <w:bottom w:val="nil"/>
              <w:right w:val="nil"/>
            </w:tcBorders>
            <w:shd w:val="clear" w:color="auto" w:fill="auto"/>
            <w:noWrap/>
            <w:vAlign w:val="bottom"/>
            <w:hideMark/>
          </w:tcPr>
          <w:p w14:paraId="1E544AFB" w14:textId="77777777" w:rsidR="000C519A" w:rsidRPr="000C519A" w:rsidRDefault="000C519A" w:rsidP="000C519A">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22CD44A5"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7CF3007"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22725E54"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8997191"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496344B"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7E44B101"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38" w:type="dxa"/>
            <w:tcBorders>
              <w:top w:val="nil"/>
              <w:left w:val="nil"/>
              <w:bottom w:val="nil"/>
              <w:right w:val="nil"/>
            </w:tcBorders>
            <w:shd w:val="clear" w:color="auto" w:fill="auto"/>
            <w:noWrap/>
            <w:vAlign w:val="bottom"/>
            <w:hideMark/>
          </w:tcPr>
          <w:p w14:paraId="2C476FD2"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4B9999E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5EB1880F"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5BBD852F"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0AB3ED5"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46BDEE88" w14:textId="77777777" w:rsidTr="000C519A">
        <w:trPr>
          <w:trHeight w:val="225"/>
          <w:jc w:val="center"/>
        </w:trPr>
        <w:tc>
          <w:tcPr>
            <w:tcW w:w="2986" w:type="dxa"/>
            <w:tcBorders>
              <w:top w:val="nil"/>
              <w:left w:val="nil"/>
              <w:bottom w:val="nil"/>
              <w:right w:val="nil"/>
            </w:tcBorders>
            <w:shd w:val="clear" w:color="auto" w:fill="auto"/>
            <w:noWrap/>
            <w:vAlign w:val="bottom"/>
            <w:hideMark/>
          </w:tcPr>
          <w:p w14:paraId="6160DC96"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38" w:type="dxa"/>
            <w:tcBorders>
              <w:top w:val="nil"/>
              <w:left w:val="nil"/>
              <w:bottom w:val="nil"/>
              <w:right w:val="nil"/>
            </w:tcBorders>
            <w:shd w:val="clear" w:color="auto" w:fill="auto"/>
            <w:noWrap/>
            <w:vAlign w:val="bottom"/>
            <w:hideMark/>
          </w:tcPr>
          <w:p w14:paraId="5BFB614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1,110,496</w:t>
            </w:r>
          </w:p>
        </w:tc>
        <w:tc>
          <w:tcPr>
            <w:tcW w:w="939" w:type="dxa"/>
            <w:tcBorders>
              <w:top w:val="nil"/>
              <w:left w:val="nil"/>
              <w:bottom w:val="nil"/>
              <w:right w:val="nil"/>
            </w:tcBorders>
            <w:shd w:val="clear" w:color="000000" w:fill="D9D9D9"/>
            <w:noWrap/>
            <w:vAlign w:val="bottom"/>
            <w:hideMark/>
          </w:tcPr>
          <w:p w14:paraId="55D095A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1,218,357</w:t>
            </w:r>
          </w:p>
        </w:tc>
        <w:tc>
          <w:tcPr>
            <w:tcW w:w="939" w:type="dxa"/>
            <w:tcBorders>
              <w:top w:val="nil"/>
              <w:left w:val="nil"/>
              <w:bottom w:val="nil"/>
              <w:right w:val="nil"/>
            </w:tcBorders>
            <w:shd w:val="clear" w:color="auto" w:fill="auto"/>
            <w:noWrap/>
            <w:vAlign w:val="bottom"/>
            <w:hideMark/>
          </w:tcPr>
          <w:p w14:paraId="3E09D08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1,321,534</w:t>
            </w:r>
          </w:p>
        </w:tc>
        <w:tc>
          <w:tcPr>
            <w:tcW w:w="939" w:type="dxa"/>
            <w:tcBorders>
              <w:top w:val="nil"/>
              <w:left w:val="nil"/>
              <w:bottom w:val="nil"/>
              <w:right w:val="nil"/>
            </w:tcBorders>
            <w:shd w:val="clear" w:color="auto" w:fill="auto"/>
            <w:noWrap/>
            <w:vAlign w:val="bottom"/>
            <w:hideMark/>
          </w:tcPr>
          <w:p w14:paraId="1990BE7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1,303,785</w:t>
            </w:r>
          </w:p>
        </w:tc>
        <w:tc>
          <w:tcPr>
            <w:tcW w:w="939" w:type="dxa"/>
            <w:tcBorders>
              <w:top w:val="nil"/>
              <w:left w:val="nil"/>
              <w:bottom w:val="nil"/>
              <w:right w:val="nil"/>
            </w:tcBorders>
            <w:shd w:val="clear" w:color="auto" w:fill="auto"/>
            <w:noWrap/>
            <w:vAlign w:val="bottom"/>
            <w:hideMark/>
          </w:tcPr>
          <w:p w14:paraId="60E8317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1,287,613</w:t>
            </w:r>
          </w:p>
        </w:tc>
      </w:tr>
      <w:tr w:rsidR="000C519A" w:rsidRPr="000C519A" w14:paraId="7C2EED23"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7F74A481"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1.3</w:t>
            </w:r>
          </w:p>
        </w:tc>
        <w:tc>
          <w:tcPr>
            <w:tcW w:w="938" w:type="dxa"/>
            <w:tcBorders>
              <w:top w:val="single" w:sz="4" w:space="0" w:color="auto"/>
              <w:left w:val="nil"/>
              <w:bottom w:val="single" w:sz="4" w:space="0" w:color="auto"/>
              <w:right w:val="nil"/>
            </w:tcBorders>
            <w:shd w:val="clear" w:color="auto" w:fill="auto"/>
            <w:noWrap/>
            <w:vAlign w:val="bottom"/>
            <w:hideMark/>
          </w:tcPr>
          <w:p w14:paraId="38D7E58B"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1,110,496</w:t>
            </w:r>
          </w:p>
        </w:tc>
        <w:tc>
          <w:tcPr>
            <w:tcW w:w="939" w:type="dxa"/>
            <w:tcBorders>
              <w:top w:val="single" w:sz="4" w:space="0" w:color="auto"/>
              <w:left w:val="nil"/>
              <w:bottom w:val="single" w:sz="4" w:space="0" w:color="auto"/>
              <w:right w:val="nil"/>
            </w:tcBorders>
            <w:shd w:val="clear" w:color="000000" w:fill="D9D9D9"/>
            <w:noWrap/>
            <w:vAlign w:val="bottom"/>
            <w:hideMark/>
          </w:tcPr>
          <w:p w14:paraId="4D8DE8E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1,218,357</w:t>
            </w:r>
          </w:p>
        </w:tc>
        <w:tc>
          <w:tcPr>
            <w:tcW w:w="939" w:type="dxa"/>
            <w:tcBorders>
              <w:top w:val="single" w:sz="4" w:space="0" w:color="auto"/>
              <w:left w:val="nil"/>
              <w:bottom w:val="single" w:sz="4" w:space="0" w:color="auto"/>
              <w:right w:val="nil"/>
            </w:tcBorders>
            <w:shd w:val="clear" w:color="auto" w:fill="auto"/>
            <w:noWrap/>
            <w:vAlign w:val="bottom"/>
            <w:hideMark/>
          </w:tcPr>
          <w:p w14:paraId="582DA75C"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1,321,534</w:t>
            </w:r>
          </w:p>
        </w:tc>
        <w:tc>
          <w:tcPr>
            <w:tcW w:w="939" w:type="dxa"/>
            <w:tcBorders>
              <w:top w:val="single" w:sz="4" w:space="0" w:color="auto"/>
              <w:left w:val="nil"/>
              <w:bottom w:val="single" w:sz="4" w:space="0" w:color="auto"/>
              <w:right w:val="nil"/>
            </w:tcBorders>
            <w:shd w:val="clear" w:color="auto" w:fill="auto"/>
            <w:noWrap/>
            <w:vAlign w:val="bottom"/>
            <w:hideMark/>
          </w:tcPr>
          <w:p w14:paraId="6A7A5766"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1,303,785</w:t>
            </w:r>
          </w:p>
        </w:tc>
        <w:tc>
          <w:tcPr>
            <w:tcW w:w="939" w:type="dxa"/>
            <w:tcBorders>
              <w:top w:val="single" w:sz="4" w:space="0" w:color="auto"/>
              <w:left w:val="nil"/>
              <w:bottom w:val="single" w:sz="4" w:space="0" w:color="auto"/>
              <w:right w:val="nil"/>
            </w:tcBorders>
            <w:shd w:val="clear" w:color="auto" w:fill="auto"/>
            <w:noWrap/>
            <w:vAlign w:val="bottom"/>
            <w:hideMark/>
          </w:tcPr>
          <w:p w14:paraId="7277E23B"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1,287,613</w:t>
            </w:r>
          </w:p>
        </w:tc>
      </w:tr>
      <w:tr w:rsidR="000C519A" w:rsidRPr="000C519A" w14:paraId="1EA9C875"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2F4C53B9"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1.4: Health Workforce</w:t>
            </w:r>
          </w:p>
        </w:tc>
        <w:tc>
          <w:tcPr>
            <w:tcW w:w="938" w:type="dxa"/>
            <w:tcBorders>
              <w:top w:val="nil"/>
              <w:left w:val="nil"/>
              <w:bottom w:val="nil"/>
              <w:right w:val="nil"/>
            </w:tcBorders>
            <w:shd w:val="clear" w:color="auto" w:fill="auto"/>
            <w:noWrap/>
            <w:vAlign w:val="bottom"/>
            <w:hideMark/>
          </w:tcPr>
          <w:p w14:paraId="1E34AB5D" w14:textId="77777777" w:rsidR="000C519A" w:rsidRPr="000C519A" w:rsidRDefault="000C519A" w:rsidP="000C519A">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659EC961"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7A069BA"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0004D619"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496222C"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3F22511E"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727BE301"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38" w:type="dxa"/>
            <w:tcBorders>
              <w:top w:val="nil"/>
              <w:left w:val="nil"/>
              <w:bottom w:val="nil"/>
              <w:right w:val="nil"/>
            </w:tcBorders>
            <w:shd w:val="clear" w:color="auto" w:fill="auto"/>
            <w:noWrap/>
            <w:vAlign w:val="bottom"/>
            <w:hideMark/>
          </w:tcPr>
          <w:p w14:paraId="15C0878A"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161C7B7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5DB894BC"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0D2EE5B7"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B2F42CB"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06B2BECC" w14:textId="77777777" w:rsidTr="000C519A">
        <w:trPr>
          <w:trHeight w:val="225"/>
          <w:jc w:val="center"/>
        </w:trPr>
        <w:tc>
          <w:tcPr>
            <w:tcW w:w="2986" w:type="dxa"/>
            <w:tcBorders>
              <w:top w:val="nil"/>
              <w:left w:val="nil"/>
              <w:bottom w:val="nil"/>
              <w:right w:val="nil"/>
            </w:tcBorders>
            <w:shd w:val="clear" w:color="auto" w:fill="auto"/>
            <w:noWrap/>
            <w:vAlign w:val="bottom"/>
            <w:hideMark/>
          </w:tcPr>
          <w:p w14:paraId="228ED0E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38" w:type="dxa"/>
            <w:tcBorders>
              <w:top w:val="nil"/>
              <w:left w:val="nil"/>
              <w:bottom w:val="nil"/>
              <w:right w:val="nil"/>
            </w:tcBorders>
            <w:shd w:val="clear" w:color="auto" w:fill="auto"/>
            <w:noWrap/>
            <w:vAlign w:val="bottom"/>
            <w:hideMark/>
          </w:tcPr>
          <w:p w14:paraId="5BF1021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1,629,405</w:t>
            </w:r>
          </w:p>
        </w:tc>
        <w:tc>
          <w:tcPr>
            <w:tcW w:w="939" w:type="dxa"/>
            <w:tcBorders>
              <w:top w:val="nil"/>
              <w:left w:val="nil"/>
              <w:bottom w:val="nil"/>
              <w:right w:val="nil"/>
            </w:tcBorders>
            <w:shd w:val="clear" w:color="000000" w:fill="D9D9D9"/>
            <w:noWrap/>
            <w:vAlign w:val="bottom"/>
            <w:hideMark/>
          </w:tcPr>
          <w:p w14:paraId="47E8F8F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1,812,506</w:t>
            </w:r>
          </w:p>
        </w:tc>
        <w:tc>
          <w:tcPr>
            <w:tcW w:w="939" w:type="dxa"/>
            <w:tcBorders>
              <w:top w:val="nil"/>
              <w:left w:val="nil"/>
              <w:bottom w:val="nil"/>
              <w:right w:val="nil"/>
            </w:tcBorders>
            <w:shd w:val="clear" w:color="auto" w:fill="auto"/>
            <w:noWrap/>
            <w:vAlign w:val="bottom"/>
            <w:hideMark/>
          </w:tcPr>
          <w:p w14:paraId="4FA46E8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1,829,297</w:t>
            </w:r>
          </w:p>
        </w:tc>
        <w:tc>
          <w:tcPr>
            <w:tcW w:w="939" w:type="dxa"/>
            <w:tcBorders>
              <w:top w:val="nil"/>
              <w:left w:val="nil"/>
              <w:bottom w:val="nil"/>
              <w:right w:val="nil"/>
            </w:tcBorders>
            <w:shd w:val="clear" w:color="auto" w:fill="auto"/>
            <w:noWrap/>
            <w:vAlign w:val="bottom"/>
            <w:hideMark/>
          </w:tcPr>
          <w:p w14:paraId="723022F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1,823,164</w:t>
            </w:r>
          </w:p>
        </w:tc>
        <w:tc>
          <w:tcPr>
            <w:tcW w:w="939" w:type="dxa"/>
            <w:tcBorders>
              <w:top w:val="nil"/>
              <w:left w:val="nil"/>
              <w:bottom w:val="nil"/>
              <w:right w:val="nil"/>
            </w:tcBorders>
            <w:shd w:val="clear" w:color="auto" w:fill="auto"/>
            <w:noWrap/>
            <w:vAlign w:val="bottom"/>
            <w:hideMark/>
          </w:tcPr>
          <w:p w14:paraId="3BBAC20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1,800,949</w:t>
            </w:r>
          </w:p>
        </w:tc>
      </w:tr>
      <w:tr w:rsidR="000C519A" w:rsidRPr="000C519A" w14:paraId="46776E8E"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124E3E53"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1.4</w:t>
            </w:r>
          </w:p>
        </w:tc>
        <w:tc>
          <w:tcPr>
            <w:tcW w:w="938" w:type="dxa"/>
            <w:tcBorders>
              <w:top w:val="single" w:sz="4" w:space="0" w:color="auto"/>
              <w:left w:val="nil"/>
              <w:bottom w:val="single" w:sz="4" w:space="0" w:color="auto"/>
              <w:right w:val="nil"/>
            </w:tcBorders>
            <w:shd w:val="clear" w:color="auto" w:fill="auto"/>
            <w:noWrap/>
            <w:vAlign w:val="bottom"/>
            <w:hideMark/>
          </w:tcPr>
          <w:p w14:paraId="5EB9C20E"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1,629,405</w:t>
            </w:r>
          </w:p>
        </w:tc>
        <w:tc>
          <w:tcPr>
            <w:tcW w:w="939" w:type="dxa"/>
            <w:tcBorders>
              <w:top w:val="single" w:sz="4" w:space="0" w:color="auto"/>
              <w:left w:val="nil"/>
              <w:bottom w:val="single" w:sz="4" w:space="0" w:color="auto"/>
              <w:right w:val="nil"/>
            </w:tcBorders>
            <w:shd w:val="clear" w:color="000000" w:fill="D9D9D9"/>
            <w:noWrap/>
            <w:vAlign w:val="bottom"/>
            <w:hideMark/>
          </w:tcPr>
          <w:p w14:paraId="17566D01"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1,812,506</w:t>
            </w:r>
          </w:p>
        </w:tc>
        <w:tc>
          <w:tcPr>
            <w:tcW w:w="939" w:type="dxa"/>
            <w:tcBorders>
              <w:top w:val="single" w:sz="4" w:space="0" w:color="auto"/>
              <w:left w:val="nil"/>
              <w:bottom w:val="single" w:sz="4" w:space="0" w:color="auto"/>
              <w:right w:val="nil"/>
            </w:tcBorders>
            <w:shd w:val="clear" w:color="auto" w:fill="auto"/>
            <w:noWrap/>
            <w:vAlign w:val="bottom"/>
            <w:hideMark/>
          </w:tcPr>
          <w:p w14:paraId="69A071A3"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1,829,297</w:t>
            </w:r>
          </w:p>
        </w:tc>
        <w:tc>
          <w:tcPr>
            <w:tcW w:w="939" w:type="dxa"/>
            <w:tcBorders>
              <w:top w:val="single" w:sz="4" w:space="0" w:color="auto"/>
              <w:left w:val="nil"/>
              <w:bottom w:val="single" w:sz="4" w:space="0" w:color="auto"/>
              <w:right w:val="nil"/>
            </w:tcBorders>
            <w:shd w:val="clear" w:color="auto" w:fill="auto"/>
            <w:noWrap/>
            <w:vAlign w:val="bottom"/>
            <w:hideMark/>
          </w:tcPr>
          <w:p w14:paraId="4B3475D9"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1,823,164</w:t>
            </w:r>
          </w:p>
        </w:tc>
        <w:tc>
          <w:tcPr>
            <w:tcW w:w="939" w:type="dxa"/>
            <w:tcBorders>
              <w:top w:val="single" w:sz="4" w:space="0" w:color="auto"/>
              <w:left w:val="nil"/>
              <w:bottom w:val="single" w:sz="4" w:space="0" w:color="auto"/>
              <w:right w:val="nil"/>
            </w:tcBorders>
            <w:shd w:val="clear" w:color="auto" w:fill="auto"/>
            <w:noWrap/>
            <w:vAlign w:val="bottom"/>
            <w:hideMark/>
          </w:tcPr>
          <w:p w14:paraId="3699D46F"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1,800,949</w:t>
            </w:r>
          </w:p>
        </w:tc>
      </w:tr>
      <w:tr w:rsidR="000C519A" w:rsidRPr="000C519A" w14:paraId="3114E304" w14:textId="77777777" w:rsidTr="00D376BC">
        <w:trPr>
          <w:trHeight w:val="283"/>
          <w:jc w:val="center"/>
        </w:trPr>
        <w:tc>
          <w:tcPr>
            <w:tcW w:w="5802" w:type="dxa"/>
            <w:gridSpan w:val="4"/>
            <w:tcBorders>
              <w:top w:val="nil"/>
              <w:left w:val="nil"/>
              <w:bottom w:val="nil"/>
              <w:right w:val="nil"/>
            </w:tcBorders>
            <w:shd w:val="clear" w:color="auto" w:fill="auto"/>
            <w:noWrap/>
            <w:vAlign w:val="bottom"/>
            <w:hideMark/>
          </w:tcPr>
          <w:p w14:paraId="6ED91B52"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 xml:space="preserve">Program 1.5: Preventive Health and Chronic Disease Support </w:t>
            </w:r>
          </w:p>
        </w:tc>
        <w:tc>
          <w:tcPr>
            <w:tcW w:w="939" w:type="dxa"/>
            <w:tcBorders>
              <w:top w:val="nil"/>
              <w:left w:val="nil"/>
              <w:bottom w:val="nil"/>
              <w:right w:val="nil"/>
            </w:tcBorders>
            <w:shd w:val="clear" w:color="auto" w:fill="auto"/>
            <w:noWrap/>
            <w:vAlign w:val="bottom"/>
            <w:hideMark/>
          </w:tcPr>
          <w:p w14:paraId="19F9FB8C" w14:textId="77777777" w:rsidR="000C519A" w:rsidRPr="000C519A" w:rsidRDefault="000C519A" w:rsidP="000C519A">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2633ECEC"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3C59F11C"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0955DCA9"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38" w:type="dxa"/>
            <w:tcBorders>
              <w:top w:val="nil"/>
              <w:left w:val="nil"/>
              <w:bottom w:val="nil"/>
              <w:right w:val="nil"/>
            </w:tcBorders>
            <w:shd w:val="clear" w:color="auto" w:fill="auto"/>
            <w:noWrap/>
            <w:vAlign w:val="bottom"/>
            <w:hideMark/>
          </w:tcPr>
          <w:p w14:paraId="3DFEE875"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772898A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6B756229"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1143A5ED"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6B411F48"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6D868240" w14:textId="77777777" w:rsidTr="000C519A">
        <w:trPr>
          <w:trHeight w:val="225"/>
          <w:jc w:val="center"/>
        </w:trPr>
        <w:tc>
          <w:tcPr>
            <w:tcW w:w="2986" w:type="dxa"/>
            <w:tcBorders>
              <w:top w:val="nil"/>
              <w:left w:val="nil"/>
              <w:bottom w:val="nil"/>
              <w:right w:val="nil"/>
            </w:tcBorders>
            <w:shd w:val="clear" w:color="auto" w:fill="auto"/>
            <w:noWrap/>
            <w:vAlign w:val="bottom"/>
            <w:hideMark/>
          </w:tcPr>
          <w:p w14:paraId="6183A4FF"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38" w:type="dxa"/>
            <w:tcBorders>
              <w:top w:val="nil"/>
              <w:left w:val="nil"/>
              <w:bottom w:val="nil"/>
              <w:right w:val="nil"/>
            </w:tcBorders>
            <w:shd w:val="clear" w:color="auto" w:fill="auto"/>
            <w:noWrap/>
            <w:vAlign w:val="bottom"/>
            <w:hideMark/>
          </w:tcPr>
          <w:p w14:paraId="125DC51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479,375</w:t>
            </w:r>
          </w:p>
        </w:tc>
        <w:tc>
          <w:tcPr>
            <w:tcW w:w="939" w:type="dxa"/>
            <w:tcBorders>
              <w:top w:val="nil"/>
              <w:left w:val="nil"/>
              <w:bottom w:val="nil"/>
              <w:right w:val="nil"/>
            </w:tcBorders>
            <w:shd w:val="clear" w:color="000000" w:fill="D9D9D9"/>
            <w:noWrap/>
            <w:vAlign w:val="bottom"/>
            <w:hideMark/>
          </w:tcPr>
          <w:p w14:paraId="325E15B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647,806</w:t>
            </w:r>
          </w:p>
        </w:tc>
        <w:tc>
          <w:tcPr>
            <w:tcW w:w="939" w:type="dxa"/>
            <w:tcBorders>
              <w:top w:val="nil"/>
              <w:left w:val="nil"/>
              <w:bottom w:val="nil"/>
              <w:right w:val="nil"/>
            </w:tcBorders>
            <w:shd w:val="clear" w:color="auto" w:fill="auto"/>
            <w:noWrap/>
            <w:vAlign w:val="bottom"/>
            <w:hideMark/>
          </w:tcPr>
          <w:p w14:paraId="5E74B11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610,362</w:t>
            </w:r>
          </w:p>
        </w:tc>
        <w:tc>
          <w:tcPr>
            <w:tcW w:w="939" w:type="dxa"/>
            <w:tcBorders>
              <w:top w:val="nil"/>
              <w:left w:val="nil"/>
              <w:bottom w:val="nil"/>
              <w:right w:val="nil"/>
            </w:tcBorders>
            <w:shd w:val="clear" w:color="auto" w:fill="auto"/>
            <w:noWrap/>
            <w:vAlign w:val="bottom"/>
            <w:hideMark/>
          </w:tcPr>
          <w:p w14:paraId="3DBB0A3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626,468</w:t>
            </w:r>
          </w:p>
        </w:tc>
        <w:tc>
          <w:tcPr>
            <w:tcW w:w="939" w:type="dxa"/>
            <w:tcBorders>
              <w:top w:val="nil"/>
              <w:left w:val="nil"/>
              <w:bottom w:val="nil"/>
              <w:right w:val="nil"/>
            </w:tcBorders>
            <w:shd w:val="clear" w:color="auto" w:fill="auto"/>
            <w:noWrap/>
            <w:vAlign w:val="bottom"/>
            <w:hideMark/>
          </w:tcPr>
          <w:p w14:paraId="4B82A1D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608,445</w:t>
            </w:r>
          </w:p>
        </w:tc>
      </w:tr>
      <w:tr w:rsidR="000C519A" w:rsidRPr="000C519A" w14:paraId="74974F02"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5C3FBB59"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1.5</w:t>
            </w:r>
          </w:p>
        </w:tc>
        <w:tc>
          <w:tcPr>
            <w:tcW w:w="938" w:type="dxa"/>
            <w:tcBorders>
              <w:top w:val="single" w:sz="4" w:space="0" w:color="auto"/>
              <w:left w:val="nil"/>
              <w:bottom w:val="single" w:sz="4" w:space="0" w:color="auto"/>
              <w:right w:val="nil"/>
            </w:tcBorders>
            <w:shd w:val="clear" w:color="auto" w:fill="auto"/>
            <w:noWrap/>
            <w:vAlign w:val="bottom"/>
            <w:hideMark/>
          </w:tcPr>
          <w:p w14:paraId="140326F7"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479,375</w:t>
            </w:r>
          </w:p>
        </w:tc>
        <w:tc>
          <w:tcPr>
            <w:tcW w:w="939" w:type="dxa"/>
            <w:tcBorders>
              <w:top w:val="single" w:sz="4" w:space="0" w:color="auto"/>
              <w:left w:val="nil"/>
              <w:bottom w:val="single" w:sz="4" w:space="0" w:color="auto"/>
              <w:right w:val="nil"/>
            </w:tcBorders>
            <w:shd w:val="clear" w:color="000000" w:fill="D9D9D9"/>
            <w:noWrap/>
            <w:vAlign w:val="bottom"/>
            <w:hideMark/>
          </w:tcPr>
          <w:p w14:paraId="57FA9F35"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647,806</w:t>
            </w:r>
          </w:p>
        </w:tc>
        <w:tc>
          <w:tcPr>
            <w:tcW w:w="939" w:type="dxa"/>
            <w:tcBorders>
              <w:top w:val="single" w:sz="4" w:space="0" w:color="auto"/>
              <w:left w:val="nil"/>
              <w:bottom w:val="single" w:sz="4" w:space="0" w:color="auto"/>
              <w:right w:val="nil"/>
            </w:tcBorders>
            <w:shd w:val="clear" w:color="auto" w:fill="auto"/>
            <w:noWrap/>
            <w:vAlign w:val="bottom"/>
            <w:hideMark/>
          </w:tcPr>
          <w:p w14:paraId="44BA870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610,362</w:t>
            </w:r>
          </w:p>
        </w:tc>
        <w:tc>
          <w:tcPr>
            <w:tcW w:w="939" w:type="dxa"/>
            <w:tcBorders>
              <w:top w:val="single" w:sz="4" w:space="0" w:color="auto"/>
              <w:left w:val="nil"/>
              <w:bottom w:val="single" w:sz="4" w:space="0" w:color="auto"/>
              <w:right w:val="nil"/>
            </w:tcBorders>
            <w:shd w:val="clear" w:color="auto" w:fill="auto"/>
            <w:noWrap/>
            <w:vAlign w:val="bottom"/>
            <w:hideMark/>
          </w:tcPr>
          <w:p w14:paraId="42DBCC8C"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626,468</w:t>
            </w:r>
          </w:p>
        </w:tc>
        <w:tc>
          <w:tcPr>
            <w:tcW w:w="939" w:type="dxa"/>
            <w:tcBorders>
              <w:top w:val="single" w:sz="4" w:space="0" w:color="auto"/>
              <w:left w:val="nil"/>
              <w:bottom w:val="single" w:sz="4" w:space="0" w:color="auto"/>
              <w:right w:val="nil"/>
            </w:tcBorders>
            <w:shd w:val="clear" w:color="auto" w:fill="auto"/>
            <w:noWrap/>
            <w:vAlign w:val="bottom"/>
            <w:hideMark/>
          </w:tcPr>
          <w:p w14:paraId="0542F400"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608,445</w:t>
            </w:r>
          </w:p>
        </w:tc>
      </w:tr>
      <w:tr w:rsidR="000C519A" w:rsidRPr="000C519A" w14:paraId="519F085D" w14:textId="77777777" w:rsidTr="00D376BC">
        <w:trPr>
          <w:trHeight w:val="283"/>
          <w:jc w:val="center"/>
        </w:trPr>
        <w:tc>
          <w:tcPr>
            <w:tcW w:w="5802" w:type="dxa"/>
            <w:gridSpan w:val="4"/>
            <w:tcBorders>
              <w:top w:val="nil"/>
              <w:left w:val="nil"/>
              <w:bottom w:val="nil"/>
              <w:right w:val="nil"/>
            </w:tcBorders>
            <w:shd w:val="clear" w:color="auto" w:fill="auto"/>
            <w:noWrap/>
            <w:vAlign w:val="bottom"/>
            <w:hideMark/>
          </w:tcPr>
          <w:p w14:paraId="6BBEE39B"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1.6: Primary Health Care Quality and Coordination</w:t>
            </w:r>
          </w:p>
        </w:tc>
        <w:tc>
          <w:tcPr>
            <w:tcW w:w="939" w:type="dxa"/>
            <w:tcBorders>
              <w:top w:val="nil"/>
              <w:left w:val="nil"/>
              <w:bottom w:val="nil"/>
              <w:right w:val="nil"/>
            </w:tcBorders>
            <w:shd w:val="clear" w:color="auto" w:fill="auto"/>
            <w:noWrap/>
            <w:vAlign w:val="bottom"/>
            <w:hideMark/>
          </w:tcPr>
          <w:p w14:paraId="152E9019" w14:textId="77777777" w:rsidR="000C519A" w:rsidRPr="000C519A" w:rsidRDefault="000C519A" w:rsidP="000C519A">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365ABA04"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4CA0738E"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5D10BA9D"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38" w:type="dxa"/>
            <w:tcBorders>
              <w:top w:val="nil"/>
              <w:left w:val="nil"/>
              <w:bottom w:val="nil"/>
              <w:right w:val="nil"/>
            </w:tcBorders>
            <w:shd w:val="clear" w:color="auto" w:fill="auto"/>
            <w:noWrap/>
            <w:vAlign w:val="bottom"/>
            <w:hideMark/>
          </w:tcPr>
          <w:p w14:paraId="65D40947"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1274C66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24EB4C0F"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71D1A699"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2F142E8"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22AC968D" w14:textId="77777777" w:rsidTr="000C519A">
        <w:trPr>
          <w:trHeight w:val="225"/>
          <w:jc w:val="center"/>
        </w:trPr>
        <w:tc>
          <w:tcPr>
            <w:tcW w:w="2986" w:type="dxa"/>
            <w:tcBorders>
              <w:top w:val="nil"/>
              <w:left w:val="nil"/>
              <w:bottom w:val="nil"/>
              <w:right w:val="nil"/>
            </w:tcBorders>
            <w:shd w:val="clear" w:color="auto" w:fill="auto"/>
            <w:vAlign w:val="bottom"/>
            <w:hideMark/>
          </w:tcPr>
          <w:p w14:paraId="427DEE0B"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Ordinary annual services</w:t>
            </w:r>
          </w:p>
        </w:tc>
        <w:tc>
          <w:tcPr>
            <w:tcW w:w="938" w:type="dxa"/>
            <w:tcBorders>
              <w:top w:val="nil"/>
              <w:left w:val="nil"/>
              <w:bottom w:val="nil"/>
              <w:right w:val="nil"/>
            </w:tcBorders>
            <w:shd w:val="clear" w:color="auto" w:fill="auto"/>
            <w:noWrap/>
            <w:vAlign w:val="bottom"/>
            <w:hideMark/>
          </w:tcPr>
          <w:p w14:paraId="7422059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993,505</w:t>
            </w:r>
          </w:p>
        </w:tc>
        <w:tc>
          <w:tcPr>
            <w:tcW w:w="939" w:type="dxa"/>
            <w:tcBorders>
              <w:top w:val="nil"/>
              <w:left w:val="nil"/>
              <w:bottom w:val="nil"/>
              <w:right w:val="nil"/>
            </w:tcBorders>
            <w:shd w:val="clear" w:color="000000" w:fill="D9D9D9"/>
            <w:noWrap/>
            <w:vAlign w:val="bottom"/>
            <w:hideMark/>
          </w:tcPr>
          <w:p w14:paraId="583C894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710,135</w:t>
            </w:r>
          </w:p>
        </w:tc>
        <w:tc>
          <w:tcPr>
            <w:tcW w:w="939" w:type="dxa"/>
            <w:tcBorders>
              <w:top w:val="nil"/>
              <w:left w:val="nil"/>
              <w:bottom w:val="nil"/>
              <w:right w:val="nil"/>
            </w:tcBorders>
            <w:shd w:val="clear" w:color="auto" w:fill="auto"/>
            <w:noWrap/>
            <w:vAlign w:val="bottom"/>
            <w:hideMark/>
          </w:tcPr>
          <w:p w14:paraId="256A6CF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637,039</w:t>
            </w:r>
          </w:p>
        </w:tc>
        <w:tc>
          <w:tcPr>
            <w:tcW w:w="939" w:type="dxa"/>
            <w:tcBorders>
              <w:top w:val="nil"/>
              <w:left w:val="nil"/>
              <w:bottom w:val="nil"/>
              <w:right w:val="nil"/>
            </w:tcBorders>
            <w:shd w:val="clear" w:color="auto" w:fill="auto"/>
            <w:noWrap/>
            <w:vAlign w:val="bottom"/>
            <w:hideMark/>
          </w:tcPr>
          <w:p w14:paraId="7EE2035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572,124</w:t>
            </w:r>
          </w:p>
        </w:tc>
        <w:tc>
          <w:tcPr>
            <w:tcW w:w="939" w:type="dxa"/>
            <w:tcBorders>
              <w:top w:val="nil"/>
              <w:left w:val="nil"/>
              <w:bottom w:val="nil"/>
              <w:right w:val="nil"/>
            </w:tcBorders>
            <w:shd w:val="clear" w:color="auto" w:fill="auto"/>
            <w:noWrap/>
            <w:vAlign w:val="bottom"/>
            <w:hideMark/>
          </w:tcPr>
          <w:p w14:paraId="3FA7C7E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500,123</w:t>
            </w:r>
          </w:p>
        </w:tc>
      </w:tr>
      <w:tr w:rsidR="000C519A" w:rsidRPr="000C519A" w14:paraId="655BE694"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52186A73"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1.6</w:t>
            </w:r>
          </w:p>
        </w:tc>
        <w:tc>
          <w:tcPr>
            <w:tcW w:w="938" w:type="dxa"/>
            <w:tcBorders>
              <w:top w:val="single" w:sz="4" w:space="0" w:color="auto"/>
              <w:left w:val="nil"/>
              <w:bottom w:val="single" w:sz="4" w:space="0" w:color="auto"/>
              <w:right w:val="nil"/>
            </w:tcBorders>
            <w:shd w:val="clear" w:color="auto" w:fill="auto"/>
            <w:noWrap/>
            <w:vAlign w:val="bottom"/>
            <w:hideMark/>
          </w:tcPr>
          <w:p w14:paraId="0DB8A5B5"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993,505</w:t>
            </w:r>
          </w:p>
        </w:tc>
        <w:tc>
          <w:tcPr>
            <w:tcW w:w="939" w:type="dxa"/>
            <w:tcBorders>
              <w:top w:val="single" w:sz="4" w:space="0" w:color="auto"/>
              <w:left w:val="nil"/>
              <w:bottom w:val="single" w:sz="4" w:space="0" w:color="auto"/>
              <w:right w:val="nil"/>
            </w:tcBorders>
            <w:shd w:val="clear" w:color="000000" w:fill="D9D9D9"/>
            <w:noWrap/>
            <w:vAlign w:val="bottom"/>
            <w:hideMark/>
          </w:tcPr>
          <w:p w14:paraId="7FB9C1C1"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710,135</w:t>
            </w:r>
          </w:p>
        </w:tc>
        <w:tc>
          <w:tcPr>
            <w:tcW w:w="939" w:type="dxa"/>
            <w:tcBorders>
              <w:top w:val="single" w:sz="4" w:space="0" w:color="auto"/>
              <w:left w:val="nil"/>
              <w:bottom w:val="single" w:sz="4" w:space="0" w:color="auto"/>
              <w:right w:val="nil"/>
            </w:tcBorders>
            <w:shd w:val="clear" w:color="auto" w:fill="auto"/>
            <w:noWrap/>
            <w:vAlign w:val="bottom"/>
            <w:hideMark/>
          </w:tcPr>
          <w:p w14:paraId="144B0160"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637,039</w:t>
            </w:r>
          </w:p>
        </w:tc>
        <w:tc>
          <w:tcPr>
            <w:tcW w:w="939" w:type="dxa"/>
            <w:tcBorders>
              <w:top w:val="single" w:sz="4" w:space="0" w:color="auto"/>
              <w:left w:val="nil"/>
              <w:bottom w:val="single" w:sz="4" w:space="0" w:color="auto"/>
              <w:right w:val="nil"/>
            </w:tcBorders>
            <w:shd w:val="clear" w:color="auto" w:fill="auto"/>
            <w:noWrap/>
            <w:vAlign w:val="bottom"/>
            <w:hideMark/>
          </w:tcPr>
          <w:p w14:paraId="1C8087E2"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572,124</w:t>
            </w:r>
          </w:p>
        </w:tc>
        <w:tc>
          <w:tcPr>
            <w:tcW w:w="939" w:type="dxa"/>
            <w:tcBorders>
              <w:top w:val="single" w:sz="4" w:space="0" w:color="auto"/>
              <w:left w:val="nil"/>
              <w:bottom w:val="single" w:sz="4" w:space="0" w:color="auto"/>
              <w:right w:val="nil"/>
            </w:tcBorders>
            <w:shd w:val="clear" w:color="auto" w:fill="auto"/>
            <w:noWrap/>
            <w:vAlign w:val="bottom"/>
            <w:hideMark/>
          </w:tcPr>
          <w:p w14:paraId="09E9B1EF"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500,123</w:t>
            </w:r>
          </w:p>
        </w:tc>
      </w:tr>
      <w:tr w:rsidR="000C519A" w:rsidRPr="000C519A" w14:paraId="539C73B0" w14:textId="77777777" w:rsidTr="00D376BC">
        <w:trPr>
          <w:trHeight w:val="283"/>
          <w:jc w:val="center"/>
        </w:trPr>
        <w:tc>
          <w:tcPr>
            <w:tcW w:w="6741" w:type="dxa"/>
            <w:gridSpan w:val="5"/>
            <w:tcBorders>
              <w:top w:val="nil"/>
              <w:left w:val="nil"/>
              <w:bottom w:val="nil"/>
              <w:right w:val="nil"/>
            </w:tcBorders>
            <w:shd w:val="clear" w:color="auto" w:fill="auto"/>
            <w:noWrap/>
            <w:vAlign w:val="bottom"/>
            <w:hideMark/>
          </w:tcPr>
          <w:p w14:paraId="11A9A3EB"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1.7: Primary Care Practice Incentives and Medical Indemnity</w:t>
            </w:r>
          </w:p>
        </w:tc>
        <w:tc>
          <w:tcPr>
            <w:tcW w:w="939" w:type="dxa"/>
            <w:tcBorders>
              <w:top w:val="nil"/>
              <w:left w:val="nil"/>
              <w:bottom w:val="nil"/>
              <w:right w:val="nil"/>
            </w:tcBorders>
            <w:shd w:val="clear" w:color="auto" w:fill="auto"/>
            <w:noWrap/>
            <w:vAlign w:val="bottom"/>
            <w:hideMark/>
          </w:tcPr>
          <w:p w14:paraId="34023448" w14:textId="77777777" w:rsidR="000C519A" w:rsidRPr="000C519A" w:rsidRDefault="000C519A" w:rsidP="000C519A">
            <w:pPr>
              <w:spacing w:before="0" w:after="0" w:line="240" w:lineRule="auto"/>
              <w:rPr>
                <w:rFonts w:ascii="Arial" w:hAnsi="Arial" w:cs="Arial"/>
                <w:b/>
                <w:bCs/>
                <w:sz w:val="16"/>
                <w:szCs w:val="16"/>
              </w:rPr>
            </w:pPr>
          </w:p>
        </w:tc>
      </w:tr>
      <w:tr w:rsidR="000C519A" w:rsidRPr="000C519A" w14:paraId="64A6F829"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340F165B"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38" w:type="dxa"/>
            <w:tcBorders>
              <w:top w:val="nil"/>
              <w:left w:val="nil"/>
              <w:bottom w:val="nil"/>
              <w:right w:val="nil"/>
            </w:tcBorders>
            <w:shd w:val="clear" w:color="auto" w:fill="auto"/>
            <w:noWrap/>
            <w:vAlign w:val="bottom"/>
            <w:hideMark/>
          </w:tcPr>
          <w:p w14:paraId="41D97EB8"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4FDF34A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40F2F1E2"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43364C6F"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51F164B"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524CD44" w14:textId="77777777" w:rsidTr="000C519A">
        <w:trPr>
          <w:trHeight w:val="225"/>
          <w:jc w:val="center"/>
        </w:trPr>
        <w:tc>
          <w:tcPr>
            <w:tcW w:w="2986" w:type="dxa"/>
            <w:tcBorders>
              <w:top w:val="nil"/>
              <w:left w:val="nil"/>
              <w:bottom w:val="nil"/>
              <w:right w:val="nil"/>
            </w:tcBorders>
            <w:shd w:val="clear" w:color="auto" w:fill="auto"/>
            <w:noWrap/>
            <w:vAlign w:val="bottom"/>
            <w:hideMark/>
          </w:tcPr>
          <w:p w14:paraId="748B3095"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38" w:type="dxa"/>
            <w:tcBorders>
              <w:top w:val="nil"/>
              <w:left w:val="nil"/>
              <w:bottom w:val="nil"/>
              <w:right w:val="nil"/>
            </w:tcBorders>
            <w:shd w:val="clear" w:color="auto" w:fill="auto"/>
            <w:noWrap/>
            <w:vAlign w:val="bottom"/>
            <w:hideMark/>
          </w:tcPr>
          <w:p w14:paraId="1AD3AF5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444,689</w:t>
            </w:r>
          </w:p>
        </w:tc>
        <w:tc>
          <w:tcPr>
            <w:tcW w:w="939" w:type="dxa"/>
            <w:tcBorders>
              <w:top w:val="nil"/>
              <w:left w:val="nil"/>
              <w:bottom w:val="nil"/>
              <w:right w:val="nil"/>
            </w:tcBorders>
            <w:shd w:val="clear" w:color="000000" w:fill="D9D9D9"/>
            <w:noWrap/>
            <w:vAlign w:val="bottom"/>
            <w:hideMark/>
          </w:tcPr>
          <w:p w14:paraId="45FAE6D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508,777</w:t>
            </w:r>
          </w:p>
        </w:tc>
        <w:tc>
          <w:tcPr>
            <w:tcW w:w="939" w:type="dxa"/>
            <w:tcBorders>
              <w:top w:val="nil"/>
              <w:left w:val="nil"/>
              <w:bottom w:val="nil"/>
              <w:right w:val="nil"/>
            </w:tcBorders>
            <w:shd w:val="clear" w:color="auto" w:fill="auto"/>
            <w:noWrap/>
            <w:vAlign w:val="bottom"/>
            <w:hideMark/>
          </w:tcPr>
          <w:p w14:paraId="4576831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453,634</w:t>
            </w:r>
          </w:p>
        </w:tc>
        <w:tc>
          <w:tcPr>
            <w:tcW w:w="939" w:type="dxa"/>
            <w:tcBorders>
              <w:top w:val="nil"/>
              <w:left w:val="nil"/>
              <w:bottom w:val="nil"/>
              <w:right w:val="nil"/>
            </w:tcBorders>
            <w:shd w:val="clear" w:color="auto" w:fill="auto"/>
            <w:noWrap/>
            <w:vAlign w:val="bottom"/>
            <w:hideMark/>
          </w:tcPr>
          <w:p w14:paraId="6E902A6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473,065</w:t>
            </w:r>
          </w:p>
        </w:tc>
        <w:tc>
          <w:tcPr>
            <w:tcW w:w="939" w:type="dxa"/>
            <w:tcBorders>
              <w:top w:val="nil"/>
              <w:left w:val="nil"/>
              <w:bottom w:val="nil"/>
              <w:right w:val="nil"/>
            </w:tcBorders>
            <w:shd w:val="clear" w:color="auto" w:fill="auto"/>
            <w:noWrap/>
            <w:vAlign w:val="bottom"/>
            <w:hideMark/>
          </w:tcPr>
          <w:p w14:paraId="2BB68BF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493,586</w:t>
            </w:r>
          </w:p>
        </w:tc>
      </w:tr>
      <w:tr w:rsidR="000C519A" w:rsidRPr="000C519A" w14:paraId="7594CB57" w14:textId="77777777" w:rsidTr="000C519A">
        <w:trPr>
          <w:trHeight w:val="225"/>
          <w:jc w:val="center"/>
        </w:trPr>
        <w:tc>
          <w:tcPr>
            <w:tcW w:w="2986" w:type="dxa"/>
            <w:tcBorders>
              <w:top w:val="nil"/>
              <w:left w:val="nil"/>
              <w:bottom w:val="nil"/>
              <w:right w:val="nil"/>
            </w:tcBorders>
            <w:shd w:val="clear" w:color="auto" w:fill="auto"/>
            <w:noWrap/>
            <w:vAlign w:val="bottom"/>
            <w:hideMark/>
          </w:tcPr>
          <w:p w14:paraId="3FE35C35"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appropriations</w:t>
            </w:r>
          </w:p>
        </w:tc>
        <w:tc>
          <w:tcPr>
            <w:tcW w:w="938" w:type="dxa"/>
            <w:tcBorders>
              <w:top w:val="nil"/>
              <w:left w:val="nil"/>
              <w:bottom w:val="nil"/>
              <w:right w:val="nil"/>
            </w:tcBorders>
            <w:shd w:val="clear" w:color="auto" w:fill="auto"/>
            <w:noWrap/>
            <w:vAlign w:val="bottom"/>
            <w:hideMark/>
          </w:tcPr>
          <w:p w14:paraId="10552111"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2CE24B6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0073EADE" w14:textId="77777777" w:rsidR="000C519A" w:rsidRPr="000C519A" w:rsidRDefault="000C519A" w:rsidP="000C519A">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7A05F374" w14:textId="77777777" w:rsidR="000C519A" w:rsidRPr="000C519A" w:rsidRDefault="000C519A" w:rsidP="000C519A">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1599ACF"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596AF907" w14:textId="77777777" w:rsidTr="00D376BC">
        <w:trPr>
          <w:trHeight w:val="227"/>
          <w:jc w:val="center"/>
        </w:trPr>
        <w:tc>
          <w:tcPr>
            <w:tcW w:w="2986" w:type="dxa"/>
            <w:tcBorders>
              <w:top w:val="nil"/>
              <w:left w:val="nil"/>
              <w:bottom w:val="nil"/>
              <w:right w:val="nil"/>
            </w:tcBorders>
            <w:shd w:val="clear" w:color="auto" w:fill="auto"/>
            <w:noWrap/>
            <w:vAlign w:val="bottom"/>
            <w:hideMark/>
          </w:tcPr>
          <w:p w14:paraId="6849C822" w14:textId="77777777" w:rsidR="000C519A" w:rsidRPr="000C519A" w:rsidRDefault="000C519A" w:rsidP="000C519A">
            <w:pPr>
              <w:spacing w:before="0" w:after="0" w:line="240" w:lineRule="auto"/>
              <w:ind w:leftChars="225" w:left="428"/>
              <w:rPr>
                <w:rFonts w:ascii="Arial" w:hAnsi="Arial" w:cs="Arial"/>
                <w:i/>
                <w:iCs/>
                <w:sz w:val="16"/>
                <w:szCs w:val="16"/>
              </w:rPr>
            </w:pPr>
            <w:r w:rsidRPr="000C519A">
              <w:rPr>
                <w:rFonts w:ascii="Arial" w:hAnsi="Arial" w:cs="Arial"/>
                <w:i/>
                <w:iCs/>
                <w:sz w:val="16"/>
                <w:szCs w:val="16"/>
              </w:rPr>
              <w:t xml:space="preserve">Medical Indemnity Act 2002 </w:t>
            </w:r>
          </w:p>
        </w:tc>
        <w:tc>
          <w:tcPr>
            <w:tcW w:w="938" w:type="dxa"/>
            <w:tcBorders>
              <w:top w:val="nil"/>
              <w:left w:val="nil"/>
              <w:bottom w:val="nil"/>
              <w:right w:val="nil"/>
            </w:tcBorders>
            <w:shd w:val="clear" w:color="auto" w:fill="auto"/>
            <w:noWrap/>
            <w:vAlign w:val="bottom"/>
            <w:hideMark/>
          </w:tcPr>
          <w:p w14:paraId="718FA02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143,729</w:t>
            </w:r>
          </w:p>
        </w:tc>
        <w:tc>
          <w:tcPr>
            <w:tcW w:w="939" w:type="dxa"/>
            <w:tcBorders>
              <w:top w:val="nil"/>
              <w:left w:val="nil"/>
              <w:bottom w:val="nil"/>
              <w:right w:val="nil"/>
            </w:tcBorders>
            <w:shd w:val="clear" w:color="000000" w:fill="D9D9D9"/>
            <w:noWrap/>
            <w:vAlign w:val="bottom"/>
            <w:hideMark/>
          </w:tcPr>
          <w:p w14:paraId="2E01112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132,664</w:t>
            </w:r>
          </w:p>
        </w:tc>
        <w:tc>
          <w:tcPr>
            <w:tcW w:w="939" w:type="dxa"/>
            <w:tcBorders>
              <w:top w:val="nil"/>
              <w:left w:val="nil"/>
              <w:bottom w:val="nil"/>
              <w:right w:val="nil"/>
            </w:tcBorders>
            <w:shd w:val="clear" w:color="auto" w:fill="auto"/>
            <w:noWrap/>
            <w:vAlign w:val="bottom"/>
            <w:hideMark/>
          </w:tcPr>
          <w:p w14:paraId="79FAE1B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137,464</w:t>
            </w:r>
          </w:p>
        </w:tc>
        <w:tc>
          <w:tcPr>
            <w:tcW w:w="939" w:type="dxa"/>
            <w:tcBorders>
              <w:top w:val="nil"/>
              <w:left w:val="nil"/>
              <w:bottom w:val="nil"/>
              <w:right w:val="nil"/>
            </w:tcBorders>
            <w:shd w:val="clear" w:color="auto" w:fill="auto"/>
            <w:noWrap/>
            <w:vAlign w:val="bottom"/>
            <w:hideMark/>
          </w:tcPr>
          <w:p w14:paraId="28B3568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145,564</w:t>
            </w:r>
          </w:p>
        </w:tc>
        <w:tc>
          <w:tcPr>
            <w:tcW w:w="939" w:type="dxa"/>
            <w:tcBorders>
              <w:top w:val="nil"/>
              <w:left w:val="nil"/>
              <w:bottom w:val="nil"/>
              <w:right w:val="nil"/>
            </w:tcBorders>
            <w:shd w:val="clear" w:color="auto" w:fill="auto"/>
            <w:noWrap/>
            <w:vAlign w:val="bottom"/>
            <w:hideMark/>
          </w:tcPr>
          <w:p w14:paraId="030B092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154,264</w:t>
            </w:r>
          </w:p>
        </w:tc>
      </w:tr>
      <w:tr w:rsidR="000C519A" w:rsidRPr="000C519A" w14:paraId="4C26AF58" w14:textId="77777777" w:rsidTr="00D376BC">
        <w:trPr>
          <w:trHeight w:val="624"/>
          <w:jc w:val="center"/>
        </w:trPr>
        <w:tc>
          <w:tcPr>
            <w:tcW w:w="2986" w:type="dxa"/>
            <w:tcBorders>
              <w:top w:val="nil"/>
              <w:left w:val="nil"/>
              <w:bottom w:val="nil"/>
              <w:right w:val="nil"/>
            </w:tcBorders>
            <w:shd w:val="clear" w:color="auto" w:fill="auto"/>
            <w:vAlign w:val="bottom"/>
            <w:hideMark/>
          </w:tcPr>
          <w:p w14:paraId="77E075E8" w14:textId="77777777" w:rsidR="000C519A" w:rsidRPr="000C519A" w:rsidRDefault="000C519A" w:rsidP="000C519A">
            <w:pPr>
              <w:spacing w:before="0" w:after="0" w:line="240" w:lineRule="auto"/>
              <w:ind w:leftChars="225" w:left="428"/>
              <w:rPr>
                <w:rFonts w:ascii="Arial" w:hAnsi="Arial" w:cs="Arial"/>
                <w:i/>
                <w:iCs/>
                <w:sz w:val="16"/>
                <w:szCs w:val="16"/>
              </w:rPr>
            </w:pPr>
            <w:r w:rsidRPr="000C519A">
              <w:rPr>
                <w:rFonts w:ascii="Arial" w:hAnsi="Arial" w:cs="Arial"/>
                <w:i/>
                <w:iCs/>
                <w:sz w:val="16"/>
                <w:szCs w:val="16"/>
              </w:rPr>
              <w:t>Midwife Professional Indemnity (Commonwealth Contribution) Scheme Act 2010</w:t>
            </w:r>
          </w:p>
        </w:tc>
        <w:tc>
          <w:tcPr>
            <w:tcW w:w="938" w:type="dxa"/>
            <w:tcBorders>
              <w:top w:val="nil"/>
              <w:left w:val="nil"/>
              <w:bottom w:val="nil"/>
              <w:right w:val="nil"/>
            </w:tcBorders>
            <w:shd w:val="clear" w:color="auto" w:fill="auto"/>
            <w:noWrap/>
            <w:vAlign w:val="bottom"/>
            <w:hideMark/>
          </w:tcPr>
          <w:p w14:paraId="7918397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39" w:type="dxa"/>
            <w:tcBorders>
              <w:top w:val="nil"/>
              <w:left w:val="nil"/>
              <w:bottom w:val="nil"/>
              <w:right w:val="nil"/>
            </w:tcBorders>
            <w:shd w:val="clear" w:color="000000" w:fill="D9D9D9"/>
            <w:noWrap/>
            <w:vAlign w:val="bottom"/>
            <w:hideMark/>
          </w:tcPr>
          <w:p w14:paraId="31628C7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4,737</w:t>
            </w:r>
          </w:p>
        </w:tc>
        <w:tc>
          <w:tcPr>
            <w:tcW w:w="939" w:type="dxa"/>
            <w:tcBorders>
              <w:top w:val="nil"/>
              <w:left w:val="nil"/>
              <w:bottom w:val="nil"/>
              <w:right w:val="nil"/>
            </w:tcBorders>
            <w:shd w:val="clear" w:color="auto" w:fill="auto"/>
            <w:noWrap/>
            <w:vAlign w:val="bottom"/>
            <w:hideMark/>
          </w:tcPr>
          <w:p w14:paraId="2CB458A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5,858</w:t>
            </w:r>
          </w:p>
        </w:tc>
        <w:tc>
          <w:tcPr>
            <w:tcW w:w="939" w:type="dxa"/>
            <w:tcBorders>
              <w:top w:val="nil"/>
              <w:left w:val="nil"/>
              <w:bottom w:val="nil"/>
              <w:right w:val="nil"/>
            </w:tcBorders>
            <w:shd w:val="clear" w:color="auto" w:fill="auto"/>
            <w:noWrap/>
            <w:vAlign w:val="bottom"/>
            <w:hideMark/>
          </w:tcPr>
          <w:p w14:paraId="1DBAA05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7,223</w:t>
            </w:r>
          </w:p>
        </w:tc>
        <w:tc>
          <w:tcPr>
            <w:tcW w:w="939" w:type="dxa"/>
            <w:tcBorders>
              <w:top w:val="nil"/>
              <w:left w:val="nil"/>
              <w:bottom w:val="nil"/>
              <w:right w:val="nil"/>
            </w:tcBorders>
            <w:shd w:val="clear" w:color="auto" w:fill="auto"/>
            <w:noWrap/>
            <w:vAlign w:val="bottom"/>
            <w:hideMark/>
          </w:tcPr>
          <w:p w14:paraId="1BA60BF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8,843</w:t>
            </w:r>
          </w:p>
        </w:tc>
      </w:tr>
      <w:tr w:rsidR="000C519A" w:rsidRPr="000C519A" w14:paraId="32DFA253" w14:textId="77777777" w:rsidTr="00D376BC">
        <w:trPr>
          <w:trHeight w:val="283"/>
          <w:jc w:val="center"/>
        </w:trPr>
        <w:tc>
          <w:tcPr>
            <w:tcW w:w="2986" w:type="dxa"/>
            <w:tcBorders>
              <w:top w:val="nil"/>
              <w:left w:val="nil"/>
              <w:bottom w:val="nil"/>
              <w:right w:val="nil"/>
            </w:tcBorders>
            <w:shd w:val="clear" w:color="auto" w:fill="auto"/>
            <w:noWrap/>
            <w:vAlign w:val="bottom"/>
            <w:hideMark/>
          </w:tcPr>
          <w:p w14:paraId="032192EC"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1.7</w:t>
            </w:r>
          </w:p>
        </w:tc>
        <w:tc>
          <w:tcPr>
            <w:tcW w:w="938" w:type="dxa"/>
            <w:tcBorders>
              <w:top w:val="single" w:sz="4" w:space="0" w:color="auto"/>
              <w:left w:val="nil"/>
              <w:bottom w:val="single" w:sz="4" w:space="0" w:color="auto"/>
              <w:right w:val="nil"/>
            </w:tcBorders>
            <w:shd w:val="clear" w:color="auto" w:fill="auto"/>
            <w:noWrap/>
            <w:vAlign w:val="bottom"/>
            <w:hideMark/>
          </w:tcPr>
          <w:p w14:paraId="3A0E13F1"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588,418</w:t>
            </w:r>
          </w:p>
        </w:tc>
        <w:tc>
          <w:tcPr>
            <w:tcW w:w="939" w:type="dxa"/>
            <w:tcBorders>
              <w:top w:val="single" w:sz="4" w:space="0" w:color="auto"/>
              <w:left w:val="nil"/>
              <w:bottom w:val="single" w:sz="4" w:space="0" w:color="auto"/>
              <w:right w:val="nil"/>
            </w:tcBorders>
            <w:shd w:val="clear" w:color="000000" w:fill="D9D9D9"/>
            <w:noWrap/>
            <w:vAlign w:val="bottom"/>
            <w:hideMark/>
          </w:tcPr>
          <w:p w14:paraId="491FE4D6"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646,178</w:t>
            </w:r>
          </w:p>
        </w:tc>
        <w:tc>
          <w:tcPr>
            <w:tcW w:w="939" w:type="dxa"/>
            <w:tcBorders>
              <w:top w:val="single" w:sz="4" w:space="0" w:color="auto"/>
              <w:left w:val="nil"/>
              <w:bottom w:val="single" w:sz="4" w:space="0" w:color="auto"/>
              <w:right w:val="nil"/>
            </w:tcBorders>
            <w:shd w:val="clear" w:color="auto" w:fill="auto"/>
            <w:noWrap/>
            <w:vAlign w:val="bottom"/>
            <w:hideMark/>
          </w:tcPr>
          <w:p w14:paraId="679ABFE1"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596,956</w:t>
            </w:r>
          </w:p>
        </w:tc>
        <w:tc>
          <w:tcPr>
            <w:tcW w:w="939" w:type="dxa"/>
            <w:tcBorders>
              <w:top w:val="single" w:sz="4" w:space="0" w:color="auto"/>
              <w:left w:val="nil"/>
              <w:bottom w:val="single" w:sz="4" w:space="0" w:color="auto"/>
              <w:right w:val="nil"/>
            </w:tcBorders>
            <w:shd w:val="clear" w:color="auto" w:fill="auto"/>
            <w:noWrap/>
            <w:vAlign w:val="bottom"/>
            <w:hideMark/>
          </w:tcPr>
          <w:p w14:paraId="36C00849"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625,852</w:t>
            </w:r>
          </w:p>
        </w:tc>
        <w:tc>
          <w:tcPr>
            <w:tcW w:w="939" w:type="dxa"/>
            <w:tcBorders>
              <w:top w:val="single" w:sz="4" w:space="0" w:color="auto"/>
              <w:left w:val="nil"/>
              <w:bottom w:val="single" w:sz="4" w:space="0" w:color="auto"/>
              <w:right w:val="nil"/>
            </w:tcBorders>
            <w:shd w:val="clear" w:color="auto" w:fill="auto"/>
            <w:noWrap/>
            <w:vAlign w:val="bottom"/>
            <w:hideMark/>
          </w:tcPr>
          <w:p w14:paraId="000AA16E"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656,693</w:t>
            </w:r>
          </w:p>
        </w:tc>
      </w:tr>
    </w:tbl>
    <w:p w14:paraId="6B4C0202" w14:textId="77777777" w:rsidR="00736DD8" w:rsidRDefault="00736DD8" w:rsidP="00736DD8">
      <w:pPr>
        <w:pStyle w:val="TableGraphic"/>
        <w:rPr>
          <w:b/>
          <w:bCs/>
          <w:color w:val="0000FF"/>
        </w:rPr>
      </w:pPr>
    </w:p>
    <w:p w14:paraId="21F4A890" w14:textId="6A493746" w:rsidR="000C519A" w:rsidRDefault="000C519A">
      <w:pPr>
        <w:spacing w:before="0" w:after="0" w:line="240" w:lineRule="auto"/>
      </w:pPr>
      <w:r>
        <w:br w:type="page"/>
      </w:r>
    </w:p>
    <w:p w14:paraId="12DD6A91" w14:textId="77777777" w:rsidR="000C519A" w:rsidRPr="000C519A" w:rsidRDefault="000C519A" w:rsidP="00D17870">
      <w:pPr>
        <w:spacing w:after="20"/>
        <w:rPr>
          <w:rFonts w:ascii="Arial" w:hAnsi="Arial" w:cs="Arial"/>
          <w:b/>
          <w:sz w:val="20"/>
        </w:rPr>
      </w:pPr>
      <w:r w:rsidRPr="000C519A">
        <w:rPr>
          <w:rFonts w:ascii="Arial" w:hAnsi="Arial" w:cs="Arial"/>
          <w:b/>
          <w:sz w:val="20"/>
        </w:rPr>
        <w:lastRenderedPageBreak/>
        <w:t>Table 2.1.2: Program Expense Table – Outcome 1 (continued)</w:t>
      </w:r>
    </w:p>
    <w:tbl>
      <w:tblPr>
        <w:tblW w:w="7680" w:type="dxa"/>
        <w:jc w:val="center"/>
        <w:tblLayout w:type="fixed"/>
        <w:tblLook w:val="04A0" w:firstRow="1" w:lastRow="0" w:firstColumn="1" w:lastColumn="0" w:noHBand="0" w:noVBand="1"/>
      </w:tblPr>
      <w:tblGrid>
        <w:gridCol w:w="2842"/>
        <w:gridCol w:w="967"/>
        <w:gridCol w:w="967"/>
        <w:gridCol w:w="968"/>
        <w:gridCol w:w="968"/>
        <w:gridCol w:w="968"/>
      </w:tblGrid>
      <w:tr w:rsidR="000C519A" w:rsidRPr="000C519A" w14:paraId="7930141A" w14:textId="77777777" w:rsidTr="000C519A">
        <w:trPr>
          <w:trHeight w:val="737"/>
          <w:jc w:val="center"/>
        </w:trPr>
        <w:tc>
          <w:tcPr>
            <w:tcW w:w="2842" w:type="dxa"/>
            <w:tcBorders>
              <w:top w:val="single" w:sz="4" w:space="0" w:color="auto"/>
              <w:left w:val="nil"/>
              <w:bottom w:val="nil"/>
              <w:right w:val="nil"/>
            </w:tcBorders>
            <w:shd w:val="clear" w:color="auto" w:fill="auto"/>
            <w:vAlign w:val="bottom"/>
            <w:hideMark/>
          </w:tcPr>
          <w:p w14:paraId="0E65155A" w14:textId="77777777"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 </w:t>
            </w:r>
          </w:p>
        </w:tc>
        <w:tc>
          <w:tcPr>
            <w:tcW w:w="967" w:type="dxa"/>
            <w:tcBorders>
              <w:top w:val="single" w:sz="4" w:space="0" w:color="auto"/>
              <w:left w:val="nil"/>
              <w:bottom w:val="single" w:sz="4" w:space="0" w:color="auto"/>
              <w:right w:val="nil"/>
            </w:tcBorders>
            <w:shd w:val="clear" w:color="auto" w:fill="auto"/>
            <w:vAlign w:val="bottom"/>
            <w:hideMark/>
          </w:tcPr>
          <w:p w14:paraId="56F0E001" w14:textId="6A172F90"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2022–</w:t>
            </w:r>
            <w:r w:rsidRPr="000C519A">
              <w:rPr>
                <w:rFonts w:ascii="Arial" w:hAnsi="Arial" w:cs="Arial"/>
                <w:b/>
                <w:bCs/>
                <w:sz w:val="16"/>
                <w:szCs w:val="16"/>
              </w:rPr>
              <w:t>23 Actual</w:t>
            </w:r>
            <w:r w:rsidRPr="000C519A">
              <w:rPr>
                <w:rFonts w:ascii="Arial" w:hAnsi="Arial" w:cs="Arial"/>
                <w:b/>
                <w:bCs/>
                <w:sz w:val="16"/>
                <w:szCs w:val="16"/>
              </w:rPr>
              <w:br/>
            </w:r>
            <w:r w:rsidRPr="000C519A">
              <w:rPr>
                <w:rFonts w:ascii="Arial" w:hAnsi="Arial" w:cs="Arial"/>
                <w:b/>
                <w:bCs/>
                <w:sz w:val="16"/>
                <w:szCs w:val="16"/>
              </w:rPr>
              <w:br/>
            </w:r>
            <w:r w:rsidRPr="000C519A">
              <w:rPr>
                <w:rFonts w:ascii="Arial" w:hAnsi="Arial" w:cs="Arial"/>
                <w:sz w:val="16"/>
                <w:szCs w:val="16"/>
              </w:rPr>
              <w:t>$'000</w:t>
            </w:r>
          </w:p>
        </w:tc>
        <w:tc>
          <w:tcPr>
            <w:tcW w:w="967" w:type="dxa"/>
            <w:tcBorders>
              <w:top w:val="single" w:sz="4" w:space="0" w:color="auto"/>
              <w:left w:val="nil"/>
              <w:bottom w:val="single" w:sz="4" w:space="0" w:color="auto"/>
              <w:right w:val="nil"/>
            </w:tcBorders>
            <w:shd w:val="clear" w:color="000000" w:fill="D9D9D9"/>
            <w:vAlign w:val="bottom"/>
            <w:hideMark/>
          </w:tcPr>
          <w:p w14:paraId="71CE7D0C" w14:textId="0D0261EA"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2023–</w:t>
            </w:r>
            <w:r w:rsidRPr="000C519A">
              <w:rPr>
                <w:rFonts w:ascii="Arial" w:hAnsi="Arial" w:cs="Arial"/>
                <w:b/>
                <w:bCs/>
                <w:sz w:val="16"/>
                <w:szCs w:val="16"/>
              </w:rPr>
              <w:t>24 Revised Budget</w:t>
            </w:r>
            <w:r w:rsidRPr="000C519A">
              <w:rPr>
                <w:rFonts w:ascii="Arial" w:hAnsi="Arial" w:cs="Arial"/>
                <w:b/>
                <w:bCs/>
                <w:sz w:val="16"/>
                <w:szCs w:val="16"/>
              </w:rPr>
              <w:br/>
            </w:r>
            <w:r w:rsidRPr="000C519A">
              <w:rPr>
                <w:rFonts w:ascii="Arial" w:hAnsi="Arial"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14:paraId="19A02AC6" w14:textId="315C5C0E"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2024–</w:t>
            </w:r>
            <w:r w:rsidRPr="000C519A">
              <w:rPr>
                <w:rFonts w:ascii="Arial" w:hAnsi="Arial" w:cs="Arial"/>
                <w:b/>
                <w:bCs/>
                <w:sz w:val="16"/>
                <w:szCs w:val="16"/>
              </w:rPr>
              <w:t>25 Forward Estimate</w:t>
            </w:r>
            <w:r w:rsidRPr="000C519A">
              <w:rPr>
                <w:rFonts w:ascii="Arial" w:hAnsi="Arial" w:cs="Arial"/>
                <w:b/>
                <w:bCs/>
                <w:sz w:val="16"/>
                <w:szCs w:val="16"/>
              </w:rPr>
              <w:br/>
            </w:r>
            <w:r w:rsidRPr="000C519A">
              <w:rPr>
                <w:rFonts w:ascii="Arial" w:hAnsi="Arial"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14:paraId="3095B9AF" w14:textId="378758E4" w:rsidR="000C519A" w:rsidRPr="000C519A" w:rsidRDefault="000C519A" w:rsidP="000C519A">
            <w:pPr>
              <w:spacing w:before="24" w:after="0" w:line="240" w:lineRule="auto"/>
              <w:jc w:val="right"/>
              <w:rPr>
                <w:rFonts w:ascii="Arial" w:hAnsi="Arial" w:cs="Arial"/>
                <w:b/>
                <w:bCs/>
                <w:sz w:val="16"/>
                <w:szCs w:val="16"/>
              </w:rPr>
            </w:pPr>
            <w:r w:rsidRPr="000C519A">
              <w:rPr>
                <w:rFonts w:ascii="Arial" w:hAnsi="Arial" w:cs="Arial"/>
                <w:b/>
                <w:bCs/>
                <w:sz w:val="16"/>
                <w:szCs w:val="16"/>
              </w:rPr>
              <w:t>2025</w:t>
            </w:r>
            <w:r>
              <w:rPr>
                <w:rFonts w:ascii="Arial" w:hAnsi="Arial" w:cs="Arial"/>
                <w:b/>
                <w:bCs/>
                <w:sz w:val="16"/>
                <w:szCs w:val="16"/>
              </w:rPr>
              <w:t>–</w:t>
            </w:r>
            <w:r w:rsidRPr="000C519A">
              <w:rPr>
                <w:rFonts w:ascii="Arial" w:hAnsi="Arial" w:cs="Arial"/>
                <w:b/>
                <w:bCs/>
                <w:sz w:val="16"/>
                <w:szCs w:val="16"/>
              </w:rPr>
              <w:t>26 Forward Estimate</w:t>
            </w:r>
            <w:r w:rsidRPr="000C519A">
              <w:rPr>
                <w:rFonts w:ascii="Arial" w:hAnsi="Arial" w:cs="Arial"/>
                <w:b/>
                <w:bCs/>
                <w:sz w:val="16"/>
                <w:szCs w:val="16"/>
              </w:rPr>
              <w:br/>
            </w:r>
            <w:r w:rsidRPr="000C519A">
              <w:rPr>
                <w:rFonts w:ascii="Arial" w:hAnsi="Arial"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14:paraId="7B013A8C" w14:textId="1128BF64" w:rsidR="000C519A" w:rsidRPr="000C519A" w:rsidRDefault="000C519A" w:rsidP="000C519A">
            <w:pPr>
              <w:spacing w:before="24" w:after="0" w:line="240" w:lineRule="auto"/>
              <w:jc w:val="right"/>
              <w:rPr>
                <w:rFonts w:ascii="Arial" w:hAnsi="Arial" w:cs="Arial"/>
                <w:b/>
                <w:bCs/>
                <w:sz w:val="16"/>
                <w:szCs w:val="16"/>
              </w:rPr>
            </w:pPr>
            <w:r>
              <w:rPr>
                <w:rFonts w:ascii="Arial" w:hAnsi="Arial" w:cs="Arial"/>
                <w:b/>
                <w:bCs/>
                <w:sz w:val="16"/>
                <w:szCs w:val="16"/>
              </w:rPr>
              <w:t>2026–</w:t>
            </w:r>
            <w:r w:rsidRPr="000C519A">
              <w:rPr>
                <w:rFonts w:ascii="Arial" w:hAnsi="Arial" w:cs="Arial"/>
                <w:b/>
                <w:bCs/>
                <w:sz w:val="16"/>
                <w:szCs w:val="16"/>
              </w:rPr>
              <w:t>27 Forward Estimate</w:t>
            </w:r>
            <w:r w:rsidRPr="000C519A">
              <w:rPr>
                <w:rFonts w:ascii="Arial" w:hAnsi="Arial" w:cs="Arial"/>
                <w:b/>
                <w:bCs/>
                <w:sz w:val="16"/>
                <w:szCs w:val="16"/>
              </w:rPr>
              <w:br/>
            </w:r>
            <w:r w:rsidRPr="000C519A">
              <w:rPr>
                <w:rFonts w:ascii="Arial" w:hAnsi="Arial" w:cs="Arial"/>
                <w:sz w:val="16"/>
                <w:szCs w:val="16"/>
              </w:rPr>
              <w:t>$'000</w:t>
            </w:r>
          </w:p>
        </w:tc>
      </w:tr>
      <w:tr w:rsidR="000C519A" w:rsidRPr="000C519A" w14:paraId="66D0B9BB" w14:textId="77777777" w:rsidTr="00D376BC">
        <w:trPr>
          <w:trHeight w:val="283"/>
          <w:jc w:val="center"/>
        </w:trPr>
        <w:tc>
          <w:tcPr>
            <w:tcW w:w="6712" w:type="dxa"/>
            <w:gridSpan w:val="5"/>
            <w:tcBorders>
              <w:top w:val="nil"/>
              <w:left w:val="nil"/>
              <w:bottom w:val="nil"/>
              <w:right w:val="nil"/>
            </w:tcBorders>
            <w:shd w:val="clear" w:color="auto" w:fill="auto"/>
            <w:noWrap/>
            <w:vAlign w:val="bottom"/>
            <w:hideMark/>
          </w:tcPr>
          <w:p w14:paraId="44802467"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1.8: Health Protection, Emergency Response and Regulation</w:t>
            </w:r>
          </w:p>
        </w:tc>
        <w:tc>
          <w:tcPr>
            <w:tcW w:w="968" w:type="dxa"/>
            <w:tcBorders>
              <w:top w:val="nil"/>
              <w:left w:val="nil"/>
              <w:bottom w:val="nil"/>
              <w:right w:val="nil"/>
            </w:tcBorders>
            <w:shd w:val="clear" w:color="auto" w:fill="auto"/>
            <w:noWrap/>
            <w:vAlign w:val="bottom"/>
            <w:hideMark/>
          </w:tcPr>
          <w:p w14:paraId="0301601C" w14:textId="77777777" w:rsidR="000C519A" w:rsidRPr="000C519A" w:rsidRDefault="000C519A" w:rsidP="000C519A">
            <w:pPr>
              <w:spacing w:before="0" w:after="0" w:line="240" w:lineRule="auto"/>
              <w:rPr>
                <w:rFonts w:ascii="Arial" w:hAnsi="Arial" w:cs="Arial"/>
                <w:b/>
                <w:bCs/>
                <w:sz w:val="16"/>
                <w:szCs w:val="16"/>
              </w:rPr>
            </w:pPr>
          </w:p>
        </w:tc>
      </w:tr>
      <w:tr w:rsidR="000C519A" w:rsidRPr="000C519A" w14:paraId="59954AE5" w14:textId="77777777" w:rsidTr="00D376BC">
        <w:trPr>
          <w:trHeight w:val="283"/>
          <w:jc w:val="center"/>
        </w:trPr>
        <w:tc>
          <w:tcPr>
            <w:tcW w:w="2842" w:type="dxa"/>
            <w:tcBorders>
              <w:top w:val="nil"/>
              <w:left w:val="nil"/>
              <w:bottom w:val="nil"/>
              <w:right w:val="nil"/>
            </w:tcBorders>
            <w:shd w:val="clear" w:color="auto" w:fill="auto"/>
            <w:noWrap/>
            <w:vAlign w:val="bottom"/>
            <w:hideMark/>
          </w:tcPr>
          <w:p w14:paraId="7072378A"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67" w:type="dxa"/>
            <w:tcBorders>
              <w:top w:val="nil"/>
              <w:left w:val="nil"/>
              <w:bottom w:val="nil"/>
              <w:right w:val="nil"/>
            </w:tcBorders>
            <w:shd w:val="clear" w:color="auto" w:fill="auto"/>
            <w:noWrap/>
            <w:vAlign w:val="bottom"/>
            <w:hideMark/>
          </w:tcPr>
          <w:p w14:paraId="68C99C98"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67" w:type="dxa"/>
            <w:tcBorders>
              <w:top w:val="nil"/>
              <w:left w:val="nil"/>
              <w:bottom w:val="nil"/>
              <w:right w:val="nil"/>
            </w:tcBorders>
            <w:shd w:val="clear" w:color="000000" w:fill="D9D9D9"/>
            <w:noWrap/>
            <w:vAlign w:val="bottom"/>
            <w:hideMark/>
          </w:tcPr>
          <w:p w14:paraId="19896FF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bottom"/>
            <w:hideMark/>
          </w:tcPr>
          <w:p w14:paraId="48998DDB"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45E3E1B3"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52567362"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65FAA95D" w14:textId="77777777" w:rsidTr="000C519A">
        <w:trPr>
          <w:trHeight w:val="225"/>
          <w:jc w:val="center"/>
        </w:trPr>
        <w:tc>
          <w:tcPr>
            <w:tcW w:w="2842" w:type="dxa"/>
            <w:tcBorders>
              <w:top w:val="nil"/>
              <w:left w:val="nil"/>
              <w:bottom w:val="nil"/>
              <w:right w:val="nil"/>
            </w:tcBorders>
            <w:shd w:val="clear" w:color="auto" w:fill="auto"/>
            <w:vAlign w:val="bottom"/>
            <w:hideMark/>
          </w:tcPr>
          <w:p w14:paraId="4F671A4B"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Ordinary annual services</w:t>
            </w:r>
          </w:p>
        </w:tc>
        <w:tc>
          <w:tcPr>
            <w:tcW w:w="967" w:type="dxa"/>
            <w:tcBorders>
              <w:top w:val="nil"/>
              <w:left w:val="nil"/>
              <w:bottom w:val="nil"/>
              <w:right w:val="nil"/>
            </w:tcBorders>
            <w:shd w:val="clear" w:color="auto" w:fill="auto"/>
            <w:noWrap/>
            <w:vAlign w:val="bottom"/>
            <w:hideMark/>
          </w:tcPr>
          <w:p w14:paraId="416886B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2,877,510</w:t>
            </w:r>
          </w:p>
        </w:tc>
        <w:tc>
          <w:tcPr>
            <w:tcW w:w="967" w:type="dxa"/>
            <w:tcBorders>
              <w:top w:val="nil"/>
              <w:left w:val="nil"/>
              <w:bottom w:val="nil"/>
              <w:right w:val="nil"/>
            </w:tcBorders>
            <w:shd w:val="clear" w:color="000000" w:fill="D9D9D9"/>
            <w:noWrap/>
            <w:vAlign w:val="bottom"/>
            <w:hideMark/>
          </w:tcPr>
          <w:p w14:paraId="6203E6C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2,237,072</w:t>
            </w:r>
          </w:p>
        </w:tc>
        <w:tc>
          <w:tcPr>
            <w:tcW w:w="968" w:type="dxa"/>
            <w:tcBorders>
              <w:top w:val="nil"/>
              <w:left w:val="nil"/>
              <w:bottom w:val="nil"/>
              <w:right w:val="nil"/>
            </w:tcBorders>
            <w:shd w:val="clear" w:color="auto" w:fill="auto"/>
            <w:noWrap/>
            <w:vAlign w:val="bottom"/>
            <w:hideMark/>
          </w:tcPr>
          <w:p w14:paraId="4ABA30A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534,550</w:t>
            </w:r>
          </w:p>
        </w:tc>
        <w:tc>
          <w:tcPr>
            <w:tcW w:w="968" w:type="dxa"/>
            <w:tcBorders>
              <w:top w:val="nil"/>
              <w:left w:val="nil"/>
              <w:bottom w:val="nil"/>
              <w:right w:val="nil"/>
            </w:tcBorders>
            <w:shd w:val="clear" w:color="auto" w:fill="auto"/>
            <w:noWrap/>
            <w:vAlign w:val="bottom"/>
            <w:hideMark/>
          </w:tcPr>
          <w:p w14:paraId="63E9128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557,471</w:t>
            </w:r>
          </w:p>
        </w:tc>
        <w:tc>
          <w:tcPr>
            <w:tcW w:w="968" w:type="dxa"/>
            <w:tcBorders>
              <w:top w:val="nil"/>
              <w:left w:val="nil"/>
              <w:bottom w:val="nil"/>
              <w:right w:val="nil"/>
            </w:tcBorders>
            <w:shd w:val="clear" w:color="auto" w:fill="auto"/>
            <w:noWrap/>
            <w:vAlign w:val="bottom"/>
            <w:hideMark/>
          </w:tcPr>
          <w:p w14:paraId="7F7927D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526,458</w:t>
            </w:r>
          </w:p>
        </w:tc>
      </w:tr>
      <w:tr w:rsidR="000C519A" w:rsidRPr="000C519A" w14:paraId="6709C74B"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5C40469A" w14:textId="6948D5D7" w:rsidR="000C519A" w:rsidRPr="000C519A" w:rsidRDefault="009D6B5D" w:rsidP="000C519A">
            <w:pPr>
              <w:spacing w:before="0" w:after="0" w:line="240" w:lineRule="auto"/>
              <w:ind w:leftChars="150" w:left="285"/>
              <w:rPr>
                <w:rFonts w:ascii="Arial" w:hAnsi="Arial" w:cs="Arial"/>
                <w:sz w:val="16"/>
                <w:szCs w:val="16"/>
              </w:rPr>
            </w:pPr>
            <w:r w:rsidRPr="000C519A">
              <w:rPr>
                <w:rFonts w:ascii="Arial" w:hAnsi="Arial" w:cs="Arial"/>
                <w:sz w:val="16"/>
                <w:szCs w:val="16"/>
              </w:rPr>
              <w:t>Non-cash</w:t>
            </w:r>
            <w:r w:rsidR="000C519A" w:rsidRPr="000C519A">
              <w:rPr>
                <w:rFonts w:ascii="Arial" w:hAnsi="Arial" w:cs="Arial"/>
                <w:sz w:val="16"/>
                <w:szCs w:val="16"/>
              </w:rPr>
              <w:t xml:space="preserve"> expenses </w:t>
            </w:r>
          </w:p>
        </w:tc>
        <w:tc>
          <w:tcPr>
            <w:tcW w:w="967" w:type="dxa"/>
            <w:tcBorders>
              <w:top w:val="nil"/>
              <w:left w:val="nil"/>
              <w:bottom w:val="nil"/>
              <w:right w:val="nil"/>
            </w:tcBorders>
            <w:shd w:val="clear" w:color="auto" w:fill="auto"/>
            <w:noWrap/>
            <w:vAlign w:val="bottom"/>
            <w:hideMark/>
          </w:tcPr>
          <w:p w14:paraId="28E1586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460,820</w:t>
            </w:r>
          </w:p>
        </w:tc>
        <w:tc>
          <w:tcPr>
            <w:tcW w:w="967" w:type="dxa"/>
            <w:tcBorders>
              <w:top w:val="nil"/>
              <w:left w:val="nil"/>
              <w:bottom w:val="nil"/>
              <w:right w:val="nil"/>
            </w:tcBorders>
            <w:shd w:val="clear" w:color="000000" w:fill="D9D9D9"/>
            <w:noWrap/>
            <w:vAlign w:val="bottom"/>
            <w:hideMark/>
          </w:tcPr>
          <w:p w14:paraId="6809A58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362,121</w:t>
            </w:r>
          </w:p>
        </w:tc>
        <w:tc>
          <w:tcPr>
            <w:tcW w:w="968" w:type="dxa"/>
            <w:tcBorders>
              <w:top w:val="nil"/>
              <w:left w:val="nil"/>
              <w:bottom w:val="nil"/>
              <w:right w:val="nil"/>
            </w:tcBorders>
            <w:shd w:val="clear" w:color="auto" w:fill="auto"/>
            <w:noWrap/>
            <w:vAlign w:val="bottom"/>
            <w:hideMark/>
          </w:tcPr>
          <w:p w14:paraId="551F659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17,971</w:t>
            </w:r>
          </w:p>
        </w:tc>
        <w:tc>
          <w:tcPr>
            <w:tcW w:w="968" w:type="dxa"/>
            <w:tcBorders>
              <w:top w:val="nil"/>
              <w:left w:val="nil"/>
              <w:bottom w:val="nil"/>
              <w:right w:val="nil"/>
            </w:tcBorders>
            <w:shd w:val="clear" w:color="auto" w:fill="auto"/>
            <w:noWrap/>
            <w:vAlign w:val="bottom"/>
            <w:hideMark/>
          </w:tcPr>
          <w:p w14:paraId="3089F56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16,529</w:t>
            </w:r>
          </w:p>
        </w:tc>
        <w:tc>
          <w:tcPr>
            <w:tcW w:w="968" w:type="dxa"/>
            <w:tcBorders>
              <w:top w:val="nil"/>
              <w:left w:val="nil"/>
              <w:bottom w:val="nil"/>
              <w:right w:val="nil"/>
            </w:tcBorders>
            <w:shd w:val="clear" w:color="auto" w:fill="auto"/>
            <w:noWrap/>
            <w:vAlign w:val="bottom"/>
            <w:hideMark/>
          </w:tcPr>
          <w:p w14:paraId="3798413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16,529</w:t>
            </w:r>
          </w:p>
        </w:tc>
      </w:tr>
      <w:tr w:rsidR="000C519A" w:rsidRPr="000C519A" w14:paraId="352361C4" w14:textId="77777777" w:rsidTr="00D376BC">
        <w:trPr>
          <w:trHeight w:val="283"/>
          <w:jc w:val="center"/>
        </w:trPr>
        <w:tc>
          <w:tcPr>
            <w:tcW w:w="2842" w:type="dxa"/>
            <w:tcBorders>
              <w:top w:val="nil"/>
              <w:left w:val="nil"/>
              <w:bottom w:val="nil"/>
              <w:right w:val="nil"/>
            </w:tcBorders>
            <w:shd w:val="clear" w:color="auto" w:fill="auto"/>
            <w:noWrap/>
            <w:vAlign w:val="bottom"/>
            <w:hideMark/>
          </w:tcPr>
          <w:p w14:paraId="7D2F87EC"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1.8</w:t>
            </w:r>
          </w:p>
        </w:tc>
        <w:tc>
          <w:tcPr>
            <w:tcW w:w="967" w:type="dxa"/>
            <w:tcBorders>
              <w:top w:val="single" w:sz="4" w:space="0" w:color="auto"/>
              <w:left w:val="nil"/>
              <w:bottom w:val="single" w:sz="4" w:space="0" w:color="auto"/>
              <w:right w:val="nil"/>
            </w:tcBorders>
            <w:shd w:val="clear" w:color="auto" w:fill="auto"/>
            <w:noWrap/>
            <w:vAlign w:val="bottom"/>
            <w:hideMark/>
          </w:tcPr>
          <w:p w14:paraId="237E565B"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3,338,330</w:t>
            </w:r>
          </w:p>
        </w:tc>
        <w:tc>
          <w:tcPr>
            <w:tcW w:w="967" w:type="dxa"/>
            <w:tcBorders>
              <w:top w:val="single" w:sz="4" w:space="0" w:color="auto"/>
              <w:left w:val="nil"/>
              <w:bottom w:val="single" w:sz="4" w:space="0" w:color="auto"/>
              <w:right w:val="nil"/>
            </w:tcBorders>
            <w:shd w:val="clear" w:color="000000" w:fill="D9D9D9"/>
            <w:noWrap/>
            <w:vAlign w:val="bottom"/>
            <w:hideMark/>
          </w:tcPr>
          <w:p w14:paraId="40C3B102"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2,599,193</w:t>
            </w:r>
          </w:p>
        </w:tc>
        <w:tc>
          <w:tcPr>
            <w:tcW w:w="968" w:type="dxa"/>
            <w:tcBorders>
              <w:top w:val="single" w:sz="4" w:space="0" w:color="auto"/>
              <w:left w:val="nil"/>
              <w:bottom w:val="single" w:sz="4" w:space="0" w:color="auto"/>
              <w:right w:val="nil"/>
            </w:tcBorders>
            <w:shd w:val="clear" w:color="auto" w:fill="auto"/>
            <w:noWrap/>
            <w:vAlign w:val="bottom"/>
            <w:hideMark/>
          </w:tcPr>
          <w:p w14:paraId="2E6A6C4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552,521</w:t>
            </w:r>
          </w:p>
        </w:tc>
        <w:tc>
          <w:tcPr>
            <w:tcW w:w="968" w:type="dxa"/>
            <w:tcBorders>
              <w:top w:val="single" w:sz="4" w:space="0" w:color="auto"/>
              <w:left w:val="nil"/>
              <w:bottom w:val="single" w:sz="4" w:space="0" w:color="auto"/>
              <w:right w:val="nil"/>
            </w:tcBorders>
            <w:shd w:val="clear" w:color="auto" w:fill="auto"/>
            <w:noWrap/>
            <w:vAlign w:val="bottom"/>
            <w:hideMark/>
          </w:tcPr>
          <w:p w14:paraId="43C97FE4"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574,000</w:t>
            </w:r>
          </w:p>
        </w:tc>
        <w:tc>
          <w:tcPr>
            <w:tcW w:w="968" w:type="dxa"/>
            <w:tcBorders>
              <w:top w:val="single" w:sz="4" w:space="0" w:color="auto"/>
              <w:left w:val="nil"/>
              <w:bottom w:val="single" w:sz="4" w:space="0" w:color="auto"/>
              <w:right w:val="nil"/>
            </w:tcBorders>
            <w:shd w:val="clear" w:color="auto" w:fill="auto"/>
            <w:noWrap/>
            <w:vAlign w:val="bottom"/>
            <w:hideMark/>
          </w:tcPr>
          <w:p w14:paraId="243C3754"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542,987</w:t>
            </w:r>
          </w:p>
        </w:tc>
      </w:tr>
      <w:tr w:rsidR="000C519A" w:rsidRPr="000C519A" w14:paraId="5CA29AC9" w14:textId="77777777" w:rsidTr="00EE7055">
        <w:trPr>
          <w:trHeight w:val="228"/>
          <w:jc w:val="center"/>
        </w:trPr>
        <w:tc>
          <w:tcPr>
            <w:tcW w:w="2842" w:type="dxa"/>
            <w:tcBorders>
              <w:top w:val="nil"/>
              <w:left w:val="nil"/>
              <w:bottom w:val="nil"/>
              <w:right w:val="nil"/>
            </w:tcBorders>
            <w:shd w:val="clear" w:color="auto" w:fill="auto"/>
            <w:noWrap/>
            <w:vAlign w:val="bottom"/>
            <w:hideMark/>
          </w:tcPr>
          <w:p w14:paraId="296A6449"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Program 1.9: Immunisation</w:t>
            </w:r>
          </w:p>
        </w:tc>
        <w:tc>
          <w:tcPr>
            <w:tcW w:w="967" w:type="dxa"/>
            <w:tcBorders>
              <w:top w:val="nil"/>
              <w:left w:val="nil"/>
              <w:bottom w:val="nil"/>
              <w:right w:val="nil"/>
            </w:tcBorders>
            <w:shd w:val="clear" w:color="auto" w:fill="auto"/>
            <w:noWrap/>
            <w:vAlign w:val="bottom"/>
            <w:hideMark/>
          </w:tcPr>
          <w:p w14:paraId="71961451" w14:textId="77777777" w:rsidR="000C519A" w:rsidRPr="000C519A" w:rsidRDefault="000C519A" w:rsidP="000C519A">
            <w:pPr>
              <w:spacing w:before="0" w:after="0" w:line="240" w:lineRule="auto"/>
              <w:rPr>
                <w:rFonts w:ascii="Arial" w:hAnsi="Arial" w:cs="Arial"/>
                <w:b/>
                <w:bCs/>
                <w:sz w:val="16"/>
                <w:szCs w:val="16"/>
              </w:rPr>
            </w:pPr>
          </w:p>
        </w:tc>
        <w:tc>
          <w:tcPr>
            <w:tcW w:w="967" w:type="dxa"/>
            <w:tcBorders>
              <w:top w:val="nil"/>
              <w:left w:val="nil"/>
              <w:bottom w:val="nil"/>
              <w:right w:val="nil"/>
            </w:tcBorders>
            <w:shd w:val="clear" w:color="auto" w:fill="auto"/>
            <w:noWrap/>
            <w:vAlign w:val="bottom"/>
            <w:hideMark/>
          </w:tcPr>
          <w:p w14:paraId="2596526D"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12E4E1C3"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71B5B839"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6369605C"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75C722A5" w14:textId="77777777" w:rsidTr="00D376BC">
        <w:trPr>
          <w:trHeight w:val="283"/>
          <w:jc w:val="center"/>
        </w:trPr>
        <w:tc>
          <w:tcPr>
            <w:tcW w:w="2842" w:type="dxa"/>
            <w:tcBorders>
              <w:top w:val="nil"/>
              <w:left w:val="nil"/>
              <w:bottom w:val="nil"/>
              <w:right w:val="nil"/>
            </w:tcBorders>
            <w:shd w:val="clear" w:color="auto" w:fill="auto"/>
            <w:noWrap/>
            <w:vAlign w:val="bottom"/>
            <w:hideMark/>
          </w:tcPr>
          <w:p w14:paraId="65190A67"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67" w:type="dxa"/>
            <w:tcBorders>
              <w:top w:val="nil"/>
              <w:left w:val="nil"/>
              <w:bottom w:val="nil"/>
              <w:right w:val="nil"/>
            </w:tcBorders>
            <w:shd w:val="clear" w:color="auto" w:fill="auto"/>
            <w:noWrap/>
            <w:vAlign w:val="bottom"/>
            <w:hideMark/>
          </w:tcPr>
          <w:p w14:paraId="0CB0F527"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67" w:type="dxa"/>
            <w:tcBorders>
              <w:top w:val="nil"/>
              <w:left w:val="nil"/>
              <w:bottom w:val="nil"/>
              <w:right w:val="nil"/>
            </w:tcBorders>
            <w:shd w:val="clear" w:color="000000" w:fill="D9D9D9"/>
            <w:noWrap/>
            <w:vAlign w:val="bottom"/>
            <w:hideMark/>
          </w:tcPr>
          <w:p w14:paraId="7BB9839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bottom"/>
            <w:hideMark/>
          </w:tcPr>
          <w:p w14:paraId="16F99744"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002CBEBC"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4F9DDA28"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401DBE11"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738914AA"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Ordinary annual services </w:t>
            </w:r>
          </w:p>
        </w:tc>
        <w:tc>
          <w:tcPr>
            <w:tcW w:w="967" w:type="dxa"/>
            <w:tcBorders>
              <w:top w:val="nil"/>
              <w:left w:val="nil"/>
              <w:bottom w:val="nil"/>
              <w:right w:val="nil"/>
            </w:tcBorders>
            <w:shd w:val="clear" w:color="auto" w:fill="auto"/>
            <w:noWrap/>
            <w:vAlign w:val="bottom"/>
            <w:hideMark/>
          </w:tcPr>
          <w:p w14:paraId="6CEAC05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30,272</w:t>
            </w:r>
          </w:p>
        </w:tc>
        <w:tc>
          <w:tcPr>
            <w:tcW w:w="967" w:type="dxa"/>
            <w:tcBorders>
              <w:top w:val="nil"/>
              <w:left w:val="nil"/>
              <w:bottom w:val="nil"/>
              <w:right w:val="nil"/>
            </w:tcBorders>
            <w:shd w:val="clear" w:color="000000" w:fill="D9D9D9"/>
            <w:noWrap/>
            <w:vAlign w:val="bottom"/>
            <w:hideMark/>
          </w:tcPr>
          <w:p w14:paraId="04E253F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31,575</w:t>
            </w:r>
          </w:p>
        </w:tc>
        <w:tc>
          <w:tcPr>
            <w:tcW w:w="968" w:type="dxa"/>
            <w:tcBorders>
              <w:top w:val="nil"/>
              <w:left w:val="nil"/>
              <w:bottom w:val="nil"/>
              <w:right w:val="nil"/>
            </w:tcBorders>
            <w:shd w:val="clear" w:color="auto" w:fill="auto"/>
            <w:noWrap/>
            <w:vAlign w:val="bottom"/>
            <w:hideMark/>
          </w:tcPr>
          <w:p w14:paraId="79BC6D7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32,219</w:t>
            </w:r>
          </w:p>
        </w:tc>
        <w:tc>
          <w:tcPr>
            <w:tcW w:w="968" w:type="dxa"/>
            <w:tcBorders>
              <w:top w:val="nil"/>
              <w:left w:val="nil"/>
              <w:bottom w:val="nil"/>
              <w:right w:val="nil"/>
            </w:tcBorders>
            <w:shd w:val="clear" w:color="auto" w:fill="auto"/>
            <w:noWrap/>
            <w:vAlign w:val="bottom"/>
            <w:hideMark/>
          </w:tcPr>
          <w:p w14:paraId="4CC071A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31,343</w:t>
            </w:r>
          </w:p>
        </w:tc>
        <w:tc>
          <w:tcPr>
            <w:tcW w:w="968" w:type="dxa"/>
            <w:tcBorders>
              <w:top w:val="nil"/>
              <w:left w:val="nil"/>
              <w:bottom w:val="nil"/>
              <w:right w:val="nil"/>
            </w:tcBorders>
            <w:shd w:val="clear" w:color="auto" w:fill="auto"/>
            <w:noWrap/>
            <w:vAlign w:val="bottom"/>
            <w:hideMark/>
          </w:tcPr>
          <w:p w14:paraId="0DD5049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31,850</w:t>
            </w:r>
          </w:p>
        </w:tc>
      </w:tr>
      <w:tr w:rsidR="000C519A" w:rsidRPr="000C519A" w14:paraId="69504CE9" w14:textId="77777777" w:rsidTr="00D376BC">
        <w:trPr>
          <w:trHeight w:val="425"/>
          <w:jc w:val="center"/>
        </w:trPr>
        <w:tc>
          <w:tcPr>
            <w:tcW w:w="2842" w:type="dxa"/>
            <w:tcBorders>
              <w:top w:val="nil"/>
              <w:left w:val="nil"/>
              <w:bottom w:val="nil"/>
              <w:right w:val="nil"/>
            </w:tcBorders>
            <w:shd w:val="clear" w:color="auto" w:fill="auto"/>
            <w:vAlign w:val="bottom"/>
            <w:hideMark/>
          </w:tcPr>
          <w:p w14:paraId="50116845"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to Australian Immunisation Register Special Account</w:t>
            </w:r>
          </w:p>
        </w:tc>
        <w:tc>
          <w:tcPr>
            <w:tcW w:w="967" w:type="dxa"/>
            <w:tcBorders>
              <w:top w:val="nil"/>
              <w:left w:val="nil"/>
              <w:bottom w:val="nil"/>
              <w:right w:val="nil"/>
            </w:tcBorders>
            <w:shd w:val="clear" w:color="auto" w:fill="auto"/>
            <w:noWrap/>
            <w:vAlign w:val="bottom"/>
            <w:hideMark/>
          </w:tcPr>
          <w:p w14:paraId="46D9ED9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(5,044)</w:t>
            </w:r>
          </w:p>
        </w:tc>
        <w:tc>
          <w:tcPr>
            <w:tcW w:w="967" w:type="dxa"/>
            <w:tcBorders>
              <w:top w:val="nil"/>
              <w:left w:val="nil"/>
              <w:bottom w:val="nil"/>
              <w:right w:val="nil"/>
            </w:tcBorders>
            <w:shd w:val="clear" w:color="000000" w:fill="D9D9D9"/>
            <w:noWrap/>
            <w:vAlign w:val="bottom"/>
            <w:hideMark/>
          </w:tcPr>
          <w:p w14:paraId="317CA17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(7,133)</w:t>
            </w:r>
          </w:p>
        </w:tc>
        <w:tc>
          <w:tcPr>
            <w:tcW w:w="968" w:type="dxa"/>
            <w:tcBorders>
              <w:top w:val="nil"/>
              <w:left w:val="nil"/>
              <w:bottom w:val="nil"/>
              <w:right w:val="nil"/>
            </w:tcBorders>
            <w:shd w:val="clear" w:color="auto" w:fill="auto"/>
            <w:noWrap/>
            <w:vAlign w:val="bottom"/>
            <w:hideMark/>
          </w:tcPr>
          <w:p w14:paraId="154BCD8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(7,133)</w:t>
            </w:r>
          </w:p>
        </w:tc>
        <w:tc>
          <w:tcPr>
            <w:tcW w:w="968" w:type="dxa"/>
            <w:tcBorders>
              <w:top w:val="nil"/>
              <w:left w:val="nil"/>
              <w:bottom w:val="nil"/>
              <w:right w:val="nil"/>
            </w:tcBorders>
            <w:shd w:val="clear" w:color="auto" w:fill="auto"/>
            <w:noWrap/>
            <w:vAlign w:val="bottom"/>
            <w:hideMark/>
          </w:tcPr>
          <w:p w14:paraId="1819098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(7,133)</w:t>
            </w:r>
          </w:p>
        </w:tc>
        <w:tc>
          <w:tcPr>
            <w:tcW w:w="968" w:type="dxa"/>
            <w:tcBorders>
              <w:top w:val="nil"/>
              <w:left w:val="nil"/>
              <w:bottom w:val="nil"/>
              <w:right w:val="nil"/>
            </w:tcBorders>
            <w:shd w:val="clear" w:color="auto" w:fill="auto"/>
            <w:noWrap/>
            <w:vAlign w:val="bottom"/>
            <w:hideMark/>
          </w:tcPr>
          <w:p w14:paraId="138ED36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(7,133)</w:t>
            </w:r>
          </w:p>
        </w:tc>
      </w:tr>
      <w:tr w:rsidR="000C519A" w:rsidRPr="000C519A" w14:paraId="793BB474" w14:textId="77777777" w:rsidTr="00D376BC">
        <w:trPr>
          <w:trHeight w:val="283"/>
          <w:jc w:val="center"/>
        </w:trPr>
        <w:tc>
          <w:tcPr>
            <w:tcW w:w="2842" w:type="dxa"/>
            <w:tcBorders>
              <w:top w:val="nil"/>
              <w:left w:val="nil"/>
              <w:bottom w:val="nil"/>
              <w:right w:val="nil"/>
            </w:tcBorders>
            <w:shd w:val="clear" w:color="auto" w:fill="auto"/>
            <w:noWrap/>
            <w:vAlign w:val="bottom"/>
            <w:hideMark/>
          </w:tcPr>
          <w:p w14:paraId="48A37F94"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accounts</w:t>
            </w:r>
          </w:p>
        </w:tc>
        <w:tc>
          <w:tcPr>
            <w:tcW w:w="967" w:type="dxa"/>
            <w:tcBorders>
              <w:top w:val="nil"/>
              <w:left w:val="nil"/>
              <w:bottom w:val="nil"/>
              <w:right w:val="nil"/>
            </w:tcBorders>
            <w:shd w:val="clear" w:color="auto" w:fill="auto"/>
            <w:noWrap/>
            <w:vAlign w:val="bottom"/>
            <w:hideMark/>
          </w:tcPr>
          <w:p w14:paraId="4362310C"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67" w:type="dxa"/>
            <w:tcBorders>
              <w:top w:val="nil"/>
              <w:left w:val="nil"/>
              <w:bottom w:val="nil"/>
              <w:right w:val="nil"/>
            </w:tcBorders>
            <w:shd w:val="clear" w:color="000000" w:fill="D9D9D9"/>
            <w:noWrap/>
            <w:vAlign w:val="bottom"/>
            <w:hideMark/>
          </w:tcPr>
          <w:p w14:paraId="290082D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bottom"/>
            <w:hideMark/>
          </w:tcPr>
          <w:p w14:paraId="13A9022C"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5C51A10"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0585CDFA"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6D65359A" w14:textId="77777777" w:rsidTr="00D376BC">
        <w:trPr>
          <w:trHeight w:val="595"/>
          <w:jc w:val="center"/>
        </w:trPr>
        <w:tc>
          <w:tcPr>
            <w:tcW w:w="2842" w:type="dxa"/>
            <w:tcBorders>
              <w:top w:val="nil"/>
              <w:left w:val="nil"/>
              <w:bottom w:val="nil"/>
              <w:right w:val="nil"/>
            </w:tcBorders>
            <w:shd w:val="clear" w:color="auto" w:fill="auto"/>
            <w:vAlign w:val="bottom"/>
            <w:hideMark/>
          </w:tcPr>
          <w:p w14:paraId="0286AEAB"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Australian Immunisation Register Special Account - s78 PGPA Act</w:t>
            </w:r>
          </w:p>
        </w:tc>
        <w:tc>
          <w:tcPr>
            <w:tcW w:w="967" w:type="dxa"/>
            <w:tcBorders>
              <w:top w:val="nil"/>
              <w:left w:val="nil"/>
              <w:bottom w:val="nil"/>
              <w:right w:val="nil"/>
            </w:tcBorders>
            <w:shd w:val="clear" w:color="auto" w:fill="auto"/>
            <w:noWrap/>
            <w:vAlign w:val="bottom"/>
            <w:hideMark/>
          </w:tcPr>
          <w:p w14:paraId="03E7989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7,754</w:t>
            </w:r>
          </w:p>
        </w:tc>
        <w:tc>
          <w:tcPr>
            <w:tcW w:w="967" w:type="dxa"/>
            <w:tcBorders>
              <w:top w:val="nil"/>
              <w:left w:val="nil"/>
              <w:bottom w:val="nil"/>
              <w:right w:val="nil"/>
            </w:tcBorders>
            <w:shd w:val="clear" w:color="000000" w:fill="D9D9D9"/>
            <w:noWrap/>
            <w:vAlign w:val="bottom"/>
            <w:hideMark/>
          </w:tcPr>
          <w:p w14:paraId="66D56A6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9,819</w:t>
            </w:r>
          </w:p>
        </w:tc>
        <w:tc>
          <w:tcPr>
            <w:tcW w:w="968" w:type="dxa"/>
            <w:tcBorders>
              <w:top w:val="nil"/>
              <w:left w:val="nil"/>
              <w:bottom w:val="nil"/>
              <w:right w:val="nil"/>
            </w:tcBorders>
            <w:shd w:val="clear" w:color="auto" w:fill="auto"/>
            <w:noWrap/>
            <w:vAlign w:val="bottom"/>
            <w:hideMark/>
          </w:tcPr>
          <w:p w14:paraId="245F5C2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9,819</w:t>
            </w:r>
          </w:p>
        </w:tc>
        <w:tc>
          <w:tcPr>
            <w:tcW w:w="968" w:type="dxa"/>
            <w:tcBorders>
              <w:top w:val="nil"/>
              <w:left w:val="nil"/>
              <w:bottom w:val="nil"/>
              <w:right w:val="nil"/>
            </w:tcBorders>
            <w:shd w:val="clear" w:color="auto" w:fill="auto"/>
            <w:noWrap/>
            <w:vAlign w:val="bottom"/>
            <w:hideMark/>
          </w:tcPr>
          <w:p w14:paraId="795E386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9,819</w:t>
            </w:r>
          </w:p>
        </w:tc>
        <w:tc>
          <w:tcPr>
            <w:tcW w:w="968" w:type="dxa"/>
            <w:tcBorders>
              <w:top w:val="nil"/>
              <w:left w:val="nil"/>
              <w:bottom w:val="nil"/>
              <w:right w:val="nil"/>
            </w:tcBorders>
            <w:shd w:val="clear" w:color="auto" w:fill="auto"/>
            <w:noWrap/>
            <w:vAlign w:val="bottom"/>
            <w:hideMark/>
          </w:tcPr>
          <w:p w14:paraId="2EA790A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9,819</w:t>
            </w:r>
          </w:p>
        </w:tc>
      </w:tr>
      <w:tr w:rsidR="000C519A" w:rsidRPr="000C519A" w14:paraId="160AC4F4" w14:textId="77777777" w:rsidTr="000C519A">
        <w:trPr>
          <w:trHeight w:val="225"/>
          <w:jc w:val="center"/>
        </w:trPr>
        <w:tc>
          <w:tcPr>
            <w:tcW w:w="2842" w:type="dxa"/>
            <w:tcBorders>
              <w:top w:val="nil"/>
              <w:left w:val="nil"/>
              <w:bottom w:val="nil"/>
              <w:right w:val="nil"/>
            </w:tcBorders>
            <w:shd w:val="clear" w:color="auto" w:fill="auto"/>
            <w:vAlign w:val="bottom"/>
            <w:hideMark/>
          </w:tcPr>
          <w:p w14:paraId="5EC6341A"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Expense adjustment </w:t>
            </w:r>
            <w:r w:rsidRPr="000C519A">
              <w:rPr>
                <w:rFonts w:ascii="Arial" w:hAnsi="Arial" w:cs="Arial"/>
                <w:sz w:val="16"/>
                <w:szCs w:val="16"/>
                <w:vertAlign w:val="superscript"/>
              </w:rPr>
              <w:t>(a)</w:t>
            </w:r>
          </w:p>
        </w:tc>
        <w:tc>
          <w:tcPr>
            <w:tcW w:w="967" w:type="dxa"/>
            <w:tcBorders>
              <w:top w:val="nil"/>
              <w:left w:val="nil"/>
              <w:bottom w:val="nil"/>
              <w:right w:val="nil"/>
            </w:tcBorders>
            <w:shd w:val="clear" w:color="auto" w:fill="auto"/>
            <w:vAlign w:val="bottom"/>
            <w:hideMark/>
          </w:tcPr>
          <w:p w14:paraId="74C9BDA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7" w:type="dxa"/>
            <w:tcBorders>
              <w:top w:val="nil"/>
              <w:left w:val="nil"/>
              <w:bottom w:val="nil"/>
              <w:right w:val="nil"/>
            </w:tcBorders>
            <w:shd w:val="clear" w:color="000000" w:fill="D9D9D9"/>
            <w:noWrap/>
            <w:vAlign w:val="bottom"/>
            <w:hideMark/>
          </w:tcPr>
          <w:p w14:paraId="7A7DCBA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1,167</w:t>
            </w:r>
          </w:p>
        </w:tc>
        <w:tc>
          <w:tcPr>
            <w:tcW w:w="968" w:type="dxa"/>
            <w:tcBorders>
              <w:top w:val="nil"/>
              <w:left w:val="nil"/>
              <w:bottom w:val="nil"/>
              <w:right w:val="nil"/>
            </w:tcBorders>
            <w:shd w:val="clear" w:color="auto" w:fill="auto"/>
            <w:vAlign w:val="bottom"/>
            <w:hideMark/>
          </w:tcPr>
          <w:p w14:paraId="46FB3FD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1,167</w:t>
            </w:r>
          </w:p>
        </w:tc>
        <w:tc>
          <w:tcPr>
            <w:tcW w:w="968" w:type="dxa"/>
            <w:tcBorders>
              <w:top w:val="nil"/>
              <w:left w:val="nil"/>
              <w:bottom w:val="nil"/>
              <w:right w:val="nil"/>
            </w:tcBorders>
            <w:shd w:val="clear" w:color="auto" w:fill="auto"/>
            <w:vAlign w:val="bottom"/>
            <w:hideMark/>
          </w:tcPr>
          <w:p w14:paraId="2FCD7B3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1,167</w:t>
            </w:r>
          </w:p>
        </w:tc>
        <w:tc>
          <w:tcPr>
            <w:tcW w:w="968" w:type="dxa"/>
            <w:tcBorders>
              <w:top w:val="nil"/>
              <w:left w:val="nil"/>
              <w:bottom w:val="nil"/>
              <w:right w:val="nil"/>
            </w:tcBorders>
            <w:shd w:val="clear" w:color="auto" w:fill="auto"/>
            <w:vAlign w:val="bottom"/>
            <w:hideMark/>
          </w:tcPr>
          <w:p w14:paraId="78FCD1D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1,167</w:t>
            </w:r>
          </w:p>
        </w:tc>
      </w:tr>
      <w:tr w:rsidR="000C519A" w:rsidRPr="000C519A" w14:paraId="5233B2EE" w14:textId="77777777" w:rsidTr="00D376BC">
        <w:trPr>
          <w:trHeight w:val="283"/>
          <w:jc w:val="center"/>
        </w:trPr>
        <w:tc>
          <w:tcPr>
            <w:tcW w:w="2842" w:type="dxa"/>
            <w:tcBorders>
              <w:top w:val="nil"/>
              <w:left w:val="nil"/>
              <w:bottom w:val="nil"/>
              <w:right w:val="nil"/>
            </w:tcBorders>
            <w:shd w:val="clear" w:color="auto" w:fill="auto"/>
            <w:noWrap/>
            <w:vAlign w:val="bottom"/>
            <w:hideMark/>
          </w:tcPr>
          <w:p w14:paraId="36327FC3"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appropriations</w:t>
            </w:r>
          </w:p>
        </w:tc>
        <w:tc>
          <w:tcPr>
            <w:tcW w:w="967" w:type="dxa"/>
            <w:tcBorders>
              <w:top w:val="nil"/>
              <w:left w:val="nil"/>
              <w:bottom w:val="nil"/>
              <w:right w:val="nil"/>
            </w:tcBorders>
            <w:shd w:val="clear" w:color="auto" w:fill="auto"/>
            <w:noWrap/>
            <w:vAlign w:val="bottom"/>
            <w:hideMark/>
          </w:tcPr>
          <w:p w14:paraId="4A5C1B61"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67" w:type="dxa"/>
            <w:tcBorders>
              <w:top w:val="nil"/>
              <w:left w:val="nil"/>
              <w:bottom w:val="nil"/>
              <w:right w:val="nil"/>
            </w:tcBorders>
            <w:shd w:val="clear" w:color="000000" w:fill="D9D9D9"/>
            <w:noWrap/>
            <w:vAlign w:val="bottom"/>
            <w:hideMark/>
          </w:tcPr>
          <w:p w14:paraId="4A93334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bottom"/>
            <w:hideMark/>
          </w:tcPr>
          <w:p w14:paraId="0C22F8DF"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34B240D4"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bottom"/>
            <w:hideMark/>
          </w:tcPr>
          <w:p w14:paraId="356DD93C"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8186152" w14:textId="77777777" w:rsidTr="00D376BC">
        <w:trPr>
          <w:trHeight w:val="425"/>
          <w:jc w:val="center"/>
        </w:trPr>
        <w:tc>
          <w:tcPr>
            <w:tcW w:w="2842" w:type="dxa"/>
            <w:tcBorders>
              <w:top w:val="nil"/>
              <w:left w:val="nil"/>
              <w:bottom w:val="nil"/>
              <w:right w:val="nil"/>
            </w:tcBorders>
            <w:shd w:val="clear" w:color="auto" w:fill="auto"/>
            <w:vAlign w:val="bottom"/>
            <w:hideMark/>
          </w:tcPr>
          <w:p w14:paraId="24643006"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i/>
                <w:iCs/>
                <w:sz w:val="16"/>
                <w:szCs w:val="16"/>
              </w:rPr>
              <w:t>National Health Act 1953</w:t>
            </w:r>
            <w:r w:rsidRPr="000C519A">
              <w:rPr>
                <w:rFonts w:ascii="Arial" w:hAnsi="Arial" w:cs="Arial"/>
                <w:sz w:val="16"/>
                <w:szCs w:val="16"/>
              </w:rPr>
              <w:t xml:space="preserve"> </w:t>
            </w:r>
            <w:r w:rsidRPr="000C519A">
              <w:rPr>
                <w:rFonts w:ascii="Arial" w:hAnsi="Arial" w:cs="Arial"/>
                <w:sz w:val="16"/>
                <w:szCs w:val="16"/>
              </w:rPr>
              <w:br/>
              <w:t>- essential vaccines</w:t>
            </w:r>
          </w:p>
        </w:tc>
        <w:tc>
          <w:tcPr>
            <w:tcW w:w="967" w:type="dxa"/>
            <w:tcBorders>
              <w:top w:val="nil"/>
              <w:left w:val="nil"/>
              <w:bottom w:val="nil"/>
              <w:right w:val="nil"/>
            </w:tcBorders>
            <w:shd w:val="clear" w:color="auto" w:fill="auto"/>
            <w:noWrap/>
            <w:vAlign w:val="bottom"/>
            <w:hideMark/>
          </w:tcPr>
          <w:p w14:paraId="32932EA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383,222</w:t>
            </w:r>
          </w:p>
        </w:tc>
        <w:tc>
          <w:tcPr>
            <w:tcW w:w="967" w:type="dxa"/>
            <w:tcBorders>
              <w:top w:val="nil"/>
              <w:left w:val="nil"/>
              <w:bottom w:val="nil"/>
              <w:right w:val="nil"/>
            </w:tcBorders>
            <w:shd w:val="clear" w:color="000000" w:fill="D9D9D9"/>
            <w:noWrap/>
            <w:vAlign w:val="bottom"/>
            <w:hideMark/>
          </w:tcPr>
          <w:p w14:paraId="537243D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641,443</w:t>
            </w:r>
          </w:p>
        </w:tc>
        <w:tc>
          <w:tcPr>
            <w:tcW w:w="968" w:type="dxa"/>
            <w:tcBorders>
              <w:top w:val="nil"/>
              <w:left w:val="nil"/>
              <w:bottom w:val="nil"/>
              <w:right w:val="nil"/>
            </w:tcBorders>
            <w:shd w:val="clear" w:color="auto" w:fill="auto"/>
            <w:noWrap/>
            <w:vAlign w:val="bottom"/>
            <w:hideMark/>
          </w:tcPr>
          <w:p w14:paraId="61A07FC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594,696</w:t>
            </w:r>
          </w:p>
        </w:tc>
        <w:tc>
          <w:tcPr>
            <w:tcW w:w="968" w:type="dxa"/>
            <w:tcBorders>
              <w:top w:val="nil"/>
              <w:left w:val="nil"/>
              <w:bottom w:val="nil"/>
              <w:right w:val="nil"/>
            </w:tcBorders>
            <w:shd w:val="clear" w:color="auto" w:fill="auto"/>
            <w:noWrap/>
            <w:vAlign w:val="bottom"/>
            <w:hideMark/>
          </w:tcPr>
          <w:p w14:paraId="6552700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589,250</w:t>
            </w:r>
          </w:p>
        </w:tc>
        <w:tc>
          <w:tcPr>
            <w:tcW w:w="968" w:type="dxa"/>
            <w:tcBorders>
              <w:top w:val="nil"/>
              <w:left w:val="nil"/>
              <w:bottom w:val="nil"/>
              <w:right w:val="nil"/>
            </w:tcBorders>
            <w:shd w:val="clear" w:color="auto" w:fill="auto"/>
            <w:noWrap/>
            <w:vAlign w:val="bottom"/>
            <w:hideMark/>
          </w:tcPr>
          <w:p w14:paraId="26A1612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597,217</w:t>
            </w:r>
          </w:p>
        </w:tc>
      </w:tr>
      <w:tr w:rsidR="000C519A" w:rsidRPr="000C519A" w14:paraId="77F66817" w14:textId="77777777" w:rsidTr="00D376BC">
        <w:trPr>
          <w:trHeight w:val="283"/>
          <w:jc w:val="center"/>
        </w:trPr>
        <w:tc>
          <w:tcPr>
            <w:tcW w:w="2842" w:type="dxa"/>
            <w:tcBorders>
              <w:top w:val="nil"/>
              <w:left w:val="nil"/>
              <w:bottom w:val="single" w:sz="4" w:space="0" w:color="auto"/>
              <w:right w:val="nil"/>
            </w:tcBorders>
            <w:shd w:val="clear" w:color="auto" w:fill="auto"/>
            <w:noWrap/>
            <w:vAlign w:val="bottom"/>
            <w:hideMark/>
          </w:tcPr>
          <w:p w14:paraId="7A5A45F3" w14:textId="77777777" w:rsidR="000C519A" w:rsidRPr="000C519A" w:rsidRDefault="000C519A" w:rsidP="000C519A">
            <w:pPr>
              <w:spacing w:before="0" w:after="0" w:line="240" w:lineRule="auto"/>
              <w:ind w:leftChars="75" w:left="143"/>
              <w:rPr>
                <w:rFonts w:ascii="Arial" w:hAnsi="Arial" w:cs="Arial"/>
                <w:b/>
                <w:bCs/>
                <w:sz w:val="16"/>
                <w:szCs w:val="16"/>
              </w:rPr>
            </w:pPr>
            <w:r w:rsidRPr="000C519A">
              <w:rPr>
                <w:rFonts w:ascii="Arial" w:hAnsi="Arial" w:cs="Arial"/>
                <w:b/>
                <w:bCs/>
                <w:sz w:val="16"/>
                <w:szCs w:val="16"/>
              </w:rPr>
              <w:t>Total for Program 1.9</w:t>
            </w:r>
          </w:p>
        </w:tc>
        <w:tc>
          <w:tcPr>
            <w:tcW w:w="967" w:type="dxa"/>
            <w:tcBorders>
              <w:top w:val="single" w:sz="4" w:space="0" w:color="auto"/>
              <w:left w:val="nil"/>
              <w:bottom w:val="single" w:sz="4" w:space="0" w:color="auto"/>
              <w:right w:val="nil"/>
            </w:tcBorders>
            <w:shd w:val="clear" w:color="auto" w:fill="auto"/>
            <w:noWrap/>
            <w:vAlign w:val="bottom"/>
            <w:hideMark/>
          </w:tcPr>
          <w:p w14:paraId="743A8033"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416,204</w:t>
            </w:r>
          </w:p>
        </w:tc>
        <w:tc>
          <w:tcPr>
            <w:tcW w:w="967" w:type="dxa"/>
            <w:tcBorders>
              <w:top w:val="single" w:sz="4" w:space="0" w:color="auto"/>
              <w:left w:val="nil"/>
              <w:bottom w:val="single" w:sz="4" w:space="0" w:color="auto"/>
              <w:right w:val="nil"/>
            </w:tcBorders>
            <w:shd w:val="clear" w:color="000000" w:fill="D9D9D9"/>
            <w:noWrap/>
            <w:vAlign w:val="bottom"/>
            <w:hideMark/>
          </w:tcPr>
          <w:p w14:paraId="0355075D"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676,871</w:t>
            </w:r>
          </w:p>
        </w:tc>
        <w:tc>
          <w:tcPr>
            <w:tcW w:w="968" w:type="dxa"/>
            <w:tcBorders>
              <w:top w:val="single" w:sz="4" w:space="0" w:color="auto"/>
              <w:left w:val="nil"/>
              <w:bottom w:val="single" w:sz="4" w:space="0" w:color="auto"/>
              <w:right w:val="nil"/>
            </w:tcBorders>
            <w:shd w:val="clear" w:color="auto" w:fill="auto"/>
            <w:noWrap/>
            <w:vAlign w:val="bottom"/>
            <w:hideMark/>
          </w:tcPr>
          <w:p w14:paraId="70081E60"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630,768</w:t>
            </w:r>
          </w:p>
        </w:tc>
        <w:tc>
          <w:tcPr>
            <w:tcW w:w="968" w:type="dxa"/>
            <w:tcBorders>
              <w:top w:val="single" w:sz="4" w:space="0" w:color="auto"/>
              <w:left w:val="nil"/>
              <w:bottom w:val="single" w:sz="4" w:space="0" w:color="auto"/>
              <w:right w:val="nil"/>
            </w:tcBorders>
            <w:shd w:val="clear" w:color="auto" w:fill="auto"/>
            <w:noWrap/>
            <w:vAlign w:val="bottom"/>
            <w:hideMark/>
          </w:tcPr>
          <w:p w14:paraId="02822D6F"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624,446</w:t>
            </w:r>
          </w:p>
        </w:tc>
        <w:tc>
          <w:tcPr>
            <w:tcW w:w="968" w:type="dxa"/>
            <w:tcBorders>
              <w:top w:val="single" w:sz="4" w:space="0" w:color="auto"/>
              <w:left w:val="nil"/>
              <w:bottom w:val="single" w:sz="4" w:space="0" w:color="auto"/>
              <w:right w:val="nil"/>
            </w:tcBorders>
            <w:shd w:val="clear" w:color="auto" w:fill="auto"/>
            <w:noWrap/>
            <w:vAlign w:val="bottom"/>
            <w:hideMark/>
          </w:tcPr>
          <w:p w14:paraId="5715BCBC"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632,920</w:t>
            </w:r>
          </w:p>
        </w:tc>
      </w:tr>
      <w:tr w:rsidR="000C519A" w:rsidRPr="000C519A" w14:paraId="547335CE" w14:textId="77777777" w:rsidTr="00D376BC">
        <w:trPr>
          <w:trHeight w:val="283"/>
          <w:jc w:val="center"/>
        </w:trPr>
        <w:tc>
          <w:tcPr>
            <w:tcW w:w="3809" w:type="dxa"/>
            <w:gridSpan w:val="2"/>
            <w:tcBorders>
              <w:top w:val="nil"/>
              <w:left w:val="nil"/>
              <w:bottom w:val="nil"/>
              <w:right w:val="nil"/>
            </w:tcBorders>
            <w:shd w:val="clear" w:color="auto" w:fill="auto"/>
            <w:noWrap/>
            <w:vAlign w:val="center"/>
            <w:hideMark/>
          </w:tcPr>
          <w:p w14:paraId="43042B7F"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Outcome 1 totals by appropriation type</w:t>
            </w:r>
          </w:p>
        </w:tc>
        <w:tc>
          <w:tcPr>
            <w:tcW w:w="967" w:type="dxa"/>
            <w:tcBorders>
              <w:top w:val="nil"/>
              <w:left w:val="nil"/>
              <w:bottom w:val="nil"/>
              <w:right w:val="nil"/>
            </w:tcBorders>
            <w:shd w:val="clear" w:color="000000" w:fill="D9D9D9"/>
            <w:noWrap/>
            <w:vAlign w:val="center"/>
            <w:hideMark/>
          </w:tcPr>
          <w:p w14:paraId="12058BC5"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 </w:t>
            </w:r>
          </w:p>
        </w:tc>
        <w:tc>
          <w:tcPr>
            <w:tcW w:w="968" w:type="dxa"/>
            <w:tcBorders>
              <w:top w:val="nil"/>
              <w:left w:val="nil"/>
              <w:bottom w:val="nil"/>
              <w:right w:val="nil"/>
            </w:tcBorders>
            <w:shd w:val="clear" w:color="auto" w:fill="auto"/>
            <w:noWrap/>
            <w:vAlign w:val="center"/>
            <w:hideMark/>
          </w:tcPr>
          <w:p w14:paraId="79CFB5DE" w14:textId="77777777" w:rsidR="000C519A" w:rsidRPr="000C519A" w:rsidRDefault="000C519A" w:rsidP="000C519A">
            <w:pPr>
              <w:spacing w:before="0" w:after="0" w:line="240" w:lineRule="auto"/>
              <w:jc w:val="right"/>
              <w:rPr>
                <w:rFonts w:ascii="Arial" w:hAnsi="Arial" w:cs="Arial"/>
                <w:b/>
                <w:bCs/>
                <w:sz w:val="16"/>
                <w:szCs w:val="16"/>
              </w:rPr>
            </w:pPr>
          </w:p>
        </w:tc>
        <w:tc>
          <w:tcPr>
            <w:tcW w:w="968" w:type="dxa"/>
            <w:tcBorders>
              <w:top w:val="nil"/>
              <w:left w:val="nil"/>
              <w:bottom w:val="nil"/>
              <w:right w:val="nil"/>
            </w:tcBorders>
            <w:shd w:val="clear" w:color="auto" w:fill="auto"/>
            <w:noWrap/>
            <w:vAlign w:val="center"/>
            <w:hideMark/>
          </w:tcPr>
          <w:p w14:paraId="3080F36B"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center"/>
            <w:hideMark/>
          </w:tcPr>
          <w:p w14:paraId="5E072DC1"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499C1FF8" w14:textId="77777777" w:rsidTr="00D376BC">
        <w:trPr>
          <w:trHeight w:val="283"/>
          <w:jc w:val="center"/>
        </w:trPr>
        <w:tc>
          <w:tcPr>
            <w:tcW w:w="2842" w:type="dxa"/>
            <w:tcBorders>
              <w:top w:val="nil"/>
              <w:left w:val="nil"/>
              <w:bottom w:val="nil"/>
              <w:right w:val="nil"/>
            </w:tcBorders>
            <w:shd w:val="clear" w:color="auto" w:fill="auto"/>
            <w:noWrap/>
            <w:vAlign w:val="center"/>
            <w:hideMark/>
          </w:tcPr>
          <w:p w14:paraId="62E400DE"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Administered expenses</w:t>
            </w:r>
          </w:p>
        </w:tc>
        <w:tc>
          <w:tcPr>
            <w:tcW w:w="967" w:type="dxa"/>
            <w:tcBorders>
              <w:top w:val="nil"/>
              <w:left w:val="nil"/>
              <w:bottom w:val="nil"/>
              <w:right w:val="nil"/>
            </w:tcBorders>
            <w:shd w:val="clear" w:color="auto" w:fill="auto"/>
            <w:noWrap/>
            <w:vAlign w:val="center"/>
            <w:hideMark/>
          </w:tcPr>
          <w:p w14:paraId="6002271A"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67" w:type="dxa"/>
            <w:tcBorders>
              <w:top w:val="nil"/>
              <w:left w:val="nil"/>
              <w:bottom w:val="nil"/>
              <w:right w:val="nil"/>
            </w:tcBorders>
            <w:shd w:val="clear" w:color="000000" w:fill="D9D9D9"/>
            <w:noWrap/>
            <w:vAlign w:val="center"/>
            <w:hideMark/>
          </w:tcPr>
          <w:p w14:paraId="4DA30436"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 </w:t>
            </w:r>
          </w:p>
        </w:tc>
        <w:tc>
          <w:tcPr>
            <w:tcW w:w="968" w:type="dxa"/>
            <w:tcBorders>
              <w:top w:val="nil"/>
              <w:left w:val="nil"/>
              <w:bottom w:val="nil"/>
              <w:right w:val="nil"/>
            </w:tcBorders>
            <w:shd w:val="clear" w:color="auto" w:fill="auto"/>
            <w:noWrap/>
            <w:vAlign w:val="center"/>
            <w:hideMark/>
          </w:tcPr>
          <w:p w14:paraId="01E55773" w14:textId="77777777" w:rsidR="000C519A" w:rsidRPr="000C519A" w:rsidRDefault="000C519A" w:rsidP="000C519A">
            <w:pPr>
              <w:spacing w:before="0" w:after="0" w:line="240" w:lineRule="auto"/>
              <w:jc w:val="right"/>
              <w:rPr>
                <w:rFonts w:ascii="Arial" w:hAnsi="Arial" w:cs="Arial"/>
                <w:b/>
                <w:bCs/>
                <w:sz w:val="16"/>
                <w:szCs w:val="16"/>
              </w:rPr>
            </w:pPr>
          </w:p>
        </w:tc>
        <w:tc>
          <w:tcPr>
            <w:tcW w:w="968" w:type="dxa"/>
            <w:tcBorders>
              <w:top w:val="nil"/>
              <w:left w:val="nil"/>
              <w:bottom w:val="nil"/>
              <w:right w:val="nil"/>
            </w:tcBorders>
            <w:shd w:val="clear" w:color="auto" w:fill="auto"/>
            <w:noWrap/>
            <w:vAlign w:val="center"/>
            <w:hideMark/>
          </w:tcPr>
          <w:p w14:paraId="5658835C"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center"/>
            <w:hideMark/>
          </w:tcPr>
          <w:p w14:paraId="1CB43D30"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24CA5212"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05835C84"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Ordinary annual services</w:t>
            </w:r>
            <w:r w:rsidRPr="000C519A">
              <w:rPr>
                <w:rFonts w:ascii="Arial" w:hAnsi="Arial" w:cs="Arial"/>
                <w:sz w:val="16"/>
                <w:szCs w:val="16"/>
                <w:vertAlign w:val="superscript"/>
              </w:rPr>
              <w:t xml:space="preserve"> </w:t>
            </w:r>
          </w:p>
        </w:tc>
        <w:tc>
          <w:tcPr>
            <w:tcW w:w="967" w:type="dxa"/>
            <w:tcBorders>
              <w:top w:val="nil"/>
              <w:left w:val="nil"/>
              <w:bottom w:val="nil"/>
              <w:right w:val="nil"/>
            </w:tcBorders>
            <w:shd w:val="clear" w:color="auto" w:fill="auto"/>
            <w:noWrap/>
            <w:vAlign w:val="center"/>
            <w:hideMark/>
          </w:tcPr>
          <w:p w14:paraId="1B80EB4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9,221,536</w:t>
            </w:r>
          </w:p>
        </w:tc>
        <w:tc>
          <w:tcPr>
            <w:tcW w:w="967" w:type="dxa"/>
            <w:tcBorders>
              <w:top w:val="nil"/>
              <w:left w:val="nil"/>
              <w:bottom w:val="nil"/>
              <w:right w:val="nil"/>
            </w:tcBorders>
            <w:shd w:val="clear" w:color="000000" w:fill="D9D9D9"/>
            <w:noWrap/>
            <w:vAlign w:val="center"/>
            <w:hideMark/>
          </w:tcPr>
          <w:p w14:paraId="3BCDD20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8,950,928</w:t>
            </w:r>
          </w:p>
        </w:tc>
        <w:tc>
          <w:tcPr>
            <w:tcW w:w="968" w:type="dxa"/>
            <w:tcBorders>
              <w:top w:val="nil"/>
              <w:left w:val="nil"/>
              <w:bottom w:val="nil"/>
              <w:right w:val="nil"/>
            </w:tcBorders>
            <w:shd w:val="clear" w:color="auto" w:fill="auto"/>
            <w:noWrap/>
            <w:vAlign w:val="center"/>
            <w:hideMark/>
          </w:tcPr>
          <w:p w14:paraId="61FF90A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7,078,269</w:t>
            </w:r>
          </w:p>
        </w:tc>
        <w:tc>
          <w:tcPr>
            <w:tcW w:w="968" w:type="dxa"/>
            <w:tcBorders>
              <w:top w:val="nil"/>
              <w:left w:val="nil"/>
              <w:bottom w:val="nil"/>
              <w:right w:val="nil"/>
            </w:tcBorders>
            <w:shd w:val="clear" w:color="auto" w:fill="auto"/>
            <w:noWrap/>
            <w:vAlign w:val="center"/>
            <w:hideMark/>
          </w:tcPr>
          <w:p w14:paraId="245DAB1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6,713,839</w:t>
            </w:r>
          </w:p>
        </w:tc>
        <w:tc>
          <w:tcPr>
            <w:tcW w:w="968" w:type="dxa"/>
            <w:tcBorders>
              <w:top w:val="nil"/>
              <w:left w:val="nil"/>
              <w:bottom w:val="nil"/>
              <w:right w:val="nil"/>
            </w:tcBorders>
            <w:shd w:val="clear" w:color="auto" w:fill="auto"/>
            <w:noWrap/>
            <w:vAlign w:val="center"/>
            <w:hideMark/>
          </w:tcPr>
          <w:p w14:paraId="3879695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6,563,280</w:t>
            </w:r>
          </w:p>
        </w:tc>
      </w:tr>
      <w:tr w:rsidR="000C519A" w:rsidRPr="000C519A" w14:paraId="1069951E"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00BB49DF"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to Special accounts</w:t>
            </w:r>
          </w:p>
        </w:tc>
        <w:tc>
          <w:tcPr>
            <w:tcW w:w="967" w:type="dxa"/>
            <w:tcBorders>
              <w:top w:val="nil"/>
              <w:left w:val="nil"/>
              <w:bottom w:val="nil"/>
              <w:right w:val="nil"/>
            </w:tcBorders>
            <w:shd w:val="clear" w:color="auto" w:fill="auto"/>
            <w:noWrap/>
            <w:vAlign w:val="center"/>
            <w:hideMark/>
          </w:tcPr>
          <w:p w14:paraId="2C0D8E8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(14,940)</w:t>
            </w:r>
          </w:p>
        </w:tc>
        <w:tc>
          <w:tcPr>
            <w:tcW w:w="967" w:type="dxa"/>
            <w:tcBorders>
              <w:top w:val="nil"/>
              <w:left w:val="nil"/>
              <w:bottom w:val="nil"/>
              <w:right w:val="nil"/>
            </w:tcBorders>
            <w:shd w:val="clear" w:color="000000" w:fill="D9D9D9"/>
            <w:noWrap/>
            <w:vAlign w:val="center"/>
            <w:hideMark/>
          </w:tcPr>
          <w:p w14:paraId="1F20E84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(18,064)</w:t>
            </w:r>
          </w:p>
        </w:tc>
        <w:tc>
          <w:tcPr>
            <w:tcW w:w="968" w:type="dxa"/>
            <w:tcBorders>
              <w:top w:val="nil"/>
              <w:left w:val="nil"/>
              <w:bottom w:val="nil"/>
              <w:right w:val="nil"/>
            </w:tcBorders>
            <w:shd w:val="clear" w:color="auto" w:fill="auto"/>
            <w:noWrap/>
            <w:vAlign w:val="center"/>
            <w:hideMark/>
          </w:tcPr>
          <w:p w14:paraId="4C7C6D2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(18,611)</w:t>
            </w:r>
          </w:p>
        </w:tc>
        <w:tc>
          <w:tcPr>
            <w:tcW w:w="968" w:type="dxa"/>
            <w:tcBorders>
              <w:top w:val="nil"/>
              <w:left w:val="nil"/>
              <w:bottom w:val="nil"/>
              <w:right w:val="nil"/>
            </w:tcBorders>
            <w:shd w:val="clear" w:color="auto" w:fill="auto"/>
            <w:noWrap/>
            <w:vAlign w:val="center"/>
            <w:hideMark/>
          </w:tcPr>
          <w:p w14:paraId="5C73986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(19,185)</w:t>
            </w:r>
          </w:p>
        </w:tc>
        <w:tc>
          <w:tcPr>
            <w:tcW w:w="968" w:type="dxa"/>
            <w:tcBorders>
              <w:top w:val="nil"/>
              <w:left w:val="nil"/>
              <w:bottom w:val="nil"/>
              <w:right w:val="nil"/>
            </w:tcBorders>
            <w:shd w:val="clear" w:color="auto" w:fill="auto"/>
            <w:noWrap/>
            <w:vAlign w:val="center"/>
            <w:hideMark/>
          </w:tcPr>
          <w:p w14:paraId="59AB019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(19,788)</w:t>
            </w:r>
          </w:p>
        </w:tc>
      </w:tr>
      <w:tr w:rsidR="000C519A" w:rsidRPr="000C519A" w14:paraId="22E56A9D"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3D8A526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appropriations</w:t>
            </w:r>
          </w:p>
        </w:tc>
        <w:tc>
          <w:tcPr>
            <w:tcW w:w="967" w:type="dxa"/>
            <w:tcBorders>
              <w:top w:val="nil"/>
              <w:left w:val="nil"/>
              <w:bottom w:val="nil"/>
              <w:right w:val="nil"/>
            </w:tcBorders>
            <w:shd w:val="clear" w:color="auto" w:fill="auto"/>
            <w:noWrap/>
            <w:vAlign w:val="center"/>
            <w:hideMark/>
          </w:tcPr>
          <w:p w14:paraId="7E87FD3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1,513,950</w:t>
            </w:r>
          </w:p>
        </w:tc>
        <w:tc>
          <w:tcPr>
            <w:tcW w:w="967" w:type="dxa"/>
            <w:tcBorders>
              <w:top w:val="nil"/>
              <w:left w:val="nil"/>
              <w:bottom w:val="nil"/>
              <w:right w:val="nil"/>
            </w:tcBorders>
            <w:shd w:val="clear" w:color="000000" w:fill="D9D9D9"/>
            <w:noWrap/>
            <w:vAlign w:val="center"/>
            <w:hideMark/>
          </w:tcPr>
          <w:p w14:paraId="420A82A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1,848,059</w:t>
            </w:r>
          </w:p>
        </w:tc>
        <w:tc>
          <w:tcPr>
            <w:tcW w:w="968" w:type="dxa"/>
            <w:tcBorders>
              <w:top w:val="nil"/>
              <w:left w:val="nil"/>
              <w:bottom w:val="nil"/>
              <w:right w:val="nil"/>
            </w:tcBorders>
            <w:shd w:val="clear" w:color="auto" w:fill="auto"/>
            <w:noWrap/>
            <w:vAlign w:val="center"/>
            <w:hideMark/>
          </w:tcPr>
          <w:p w14:paraId="2843C9D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1,880,814</w:t>
            </w:r>
          </w:p>
        </w:tc>
        <w:tc>
          <w:tcPr>
            <w:tcW w:w="968" w:type="dxa"/>
            <w:tcBorders>
              <w:top w:val="nil"/>
              <w:left w:val="nil"/>
              <w:bottom w:val="nil"/>
              <w:right w:val="nil"/>
            </w:tcBorders>
            <w:shd w:val="clear" w:color="auto" w:fill="auto"/>
            <w:noWrap/>
            <w:vAlign w:val="center"/>
            <w:hideMark/>
          </w:tcPr>
          <w:p w14:paraId="4BA3104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1,962,637</w:t>
            </w:r>
          </w:p>
        </w:tc>
        <w:tc>
          <w:tcPr>
            <w:tcW w:w="968" w:type="dxa"/>
            <w:tcBorders>
              <w:top w:val="nil"/>
              <w:left w:val="nil"/>
              <w:bottom w:val="nil"/>
              <w:right w:val="nil"/>
            </w:tcBorders>
            <w:shd w:val="clear" w:color="auto" w:fill="auto"/>
            <w:noWrap/>
            <w:vAlign w:val="center"/>
            <w:hideMark/>
          </w:tcPr>
          <w:p w14:paraId="49B43F1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2,034,389</w:t>
            </w:r>
          </w:p>
        </w:tc>
      </w:tr>
      <w:tr w:rsidR="000C519A" w:rsidRPr="000C519A" w14:paraId="0EDC2288"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5637DC48"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accounts</w:t>
            </w:r>
          </w:p>
        </w:tc>
        <w:tc>
          <w:tcPr>
            <w:tcW w:w="967" w:type="dxa"/>
            <w:tcBorders>
              <w:top w:val="nil"/>
              <w:left w:val="nil"/>
              <w:bottom w:val="nil"/>
              <w:right w:val="nil"/>
            </w:tcBorders>
            <w:shd w:val="clear" w:color="auto" w:fill="auto"/>
            <w:noWrap/>
            <w:vAlign w:val="center"/>
            <w:hideMark/>
          </w:tcPr>
          <w:p w14:paraId="380A886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615,650</w:t>
            </w:r>
          </w:p>
        </w:tc>
        <w:tc>
          <w:tcPr>
            <w:tcW w:w="967" w:type="dxa"/>
            <w:tcBorders>
              <w:top w:val="nil"/>
              <w:left w:val="nil"/>
              <w:bottom w:val="nil"/>
              <w:right w:val="nil"/>
            </w:tcBorders>
            <w:shd w:val="clear" w:color="000000" w:fill="D9D9D9"/>
            <w:noWrap/>
            <w:vAlign w:val="center"/>
            <w:hideMark/>
          </w:tcPr>
          <w:p w14:paraId="0720A86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660,986</w:t>
            </w:r>
          </w:p>
        </w:tc>
        <w:tc>
          <w:tcPr>
            <w:tcW w:w="968" w:type="dxa"/>
            <w:tcBorders>
              <w:top w:val="nil"/>
              <w:left w:val="nil"/>
              <w:bottom w:val="nil"/>
              <w:right w:val="nil"/>
            </w:tcBorders>
            <w:shd w:val="clear" w:color="auto" w:fill="auto"/>
            <w:noWrap/>
            <w:vAlign w:val="center"/>
            <w:hideMark/>
          </w:tcPr>
          <w:p w14:paraId="0AE8182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660,986</w:t>
            </w:r>
          </w:p>
        </w:tc>
        <w:tc>
          <w:tcPr>
            <w:tcW w:w="968" w:type="dxa"/>
            <w:tcBorders>
              <w:top w:val="nil"/>
              <w:left w:val="nil"/>
              <w:bottom w:val="nil"/>
              <w:right w:val="nil"/>
            </w:tcBorders>
            <w:shd w:val="clear" w:color="auto" w:fill="auto"/>
            <w:noWrap/>
            <w:vAlign w:val="center"/>
            <w:hideMark/>
          </w:tcPr>
          <w:p w14:paraId="04F29F1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660,986</w:t>
            </w:r>
          </w:p>
        </w:tc>
        <w:tc>
          <w:tcPr>
            <w:tcW w:w="968" w:type="dxa"/>
            <w:tcBorders>
              <w:top w:val="nil"/>
              <w:left w:val="nil"/>
              <w:bottom w:val="nil"/>
              <w:right w:val="nil"/>
            </w:tcBorders>
            <w:shd w:val="clear" w:color="auto" w:fill="auto"/>
            <w:noWrap/>
            <w:vAlign w:val="center"/>
            <w:hideMark/>
          </w:tcPr>
          <w:p w14:paraId="6ACE7E9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660,986</w:t>
            </w:r>
          </w:p>
        </w:tc>
      </w:tr>
      <w:tr w:rsidR="000C519A" w:rsidRPr="000C519A" w14:paraId="4ED26099" w14:textId="77777777" w:rsidTr="000C519A">
        <w:trPr>
          <w:trHeight w:val="225"/>
          <w:jc w:val="center"/>
        </w:trPr>
        <w:tc>
          <w:tcPr>
            <w:tcW w:w="2842" w:type="dxa"/>
            <w:tcBorders>
              <w:top w:val="nil"/>
              <w:left w:val="nil"/>
              <w:bottom w:val="nil"/>
              <w:right w:val="nil"/>
            </w:tcBorders>
            <w:shd w:val="clear" w:color="auto" w:fill="auto"/>
            <w:noWrap/>
            <w:vAlign w:val="bottom"/>
            <w:hideMark/>
          </w:tcPr>
          <w:p w14:paraId="2E2578A0" w14:textId="7F1A38C1" w:rsidR="000C519A" w:rsidRPr="000C519A" w:rsidRDefault="009D6B5D" w:rsidP="000C519A">
            <w:pPr>
              <w:spacing w:before="0" w:after="0" w:line="240" w:lineRule="auto"/>
              <w:ind w:leftChars="150" w:left="285"/>
              <w:rPr>
                <w:rFonts w:ascii="Arial" w:hAnsi="Arial" w:cs="Arial"/>
                <w:sz w:val="16"/>
                <w:szCs w:val="16"/>
              </w:rPr>
            </w:pPr>
            <w:r w:rsidRPr="000C519A">
              <w:rPr>
                <w:rFonts w:ascii="Arial" w:hAnsi="Arial" w:cs="Arial"/>
                <w:sz w:val="16"/>
                <w:szCs w:val="16"/>
              </w:rPr>
              <w:t>Non-cash</w:t>
            </w:r>
            <w:r w:rsidR="000C519A" w:rsidRPr="000C519A">
              <w:rPr>
                <w:rFonts w:ascii="Arial" w:hAnsi="Arial" w:cs="Arial"/>
                <w:sz w:val="16"/>
                <w:szCs w:val="16"/>
              </w:rPr>
              <w:t xml:space="preserve"> expenses </w:t>
            </w:r>
          </w:p>
        </w:tc>
        <w:tc>
          <w:tcPr>
            <w:tcW w:w="967" w:type="dxa"/>
            <w:tcBorders>
              <w:top w:val="nil"/>
              <w:left w:val="nil"/>
              <w:bottom w:val="nil"/>
              <w:right w:val="nil"/>
            </w:tcBorders>
            <w:shd w:val="clear" w:color="auto" w:fill="auto"/>
            <w:noWrap/>
            <w:vAlign w:val="center"/>
            <w:hideMark/>
          </w:tcPr>
          <w:p w14:paraId="6E9154F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460,820</w:t>
            </w:r>
          </w:p>
        </w:tc>
        <w:tc>
          <w:tcPr>
            <w:tcW w:w="967" w:type="dxa"/>
            <w:tcBorders>
              <w:top w:val="nil"/>
              <w:left w:val="nil"/>
              <w:bottom w:val="nil"/>
              <w:right w:val="nil"/>
            </w:tcBorders>
            <w:shd w:val="clear" w:color="000000" w:fill="D9D9D9"/>
            <w:noWrap/>
            <w:vAlign w:val="center"/>
            <w:hideMark/>
          </w:tcPr>
          <w:p w14:paraId="58753C1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362,121</w:t>
            </w:r>
          </w:p>
        </w:tc>
        <w:tc>
          <w:tcPr>
            <w:tcW w:w="968" w:type="dxa"/>
            <w:tcBorders>
              <w:top w:val="nil"/>
              <w:left w:val="nil"/>
              <w:bottom w:val="nil"/>
              <w:right w:val="nil"/>
            </w:tcBorders>
            <w:shd w:val="clear" w:color="auto" w:fill="auto"/>
            <w:noWrap/>
            <w:vAlign w:val="center"/>
            <w:hideMark/>
          </w:tcPr>
          <w:p w14:paraId="248FB073"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17,971</w:t>
            </w:r>
          </w:p>
        </w:tc>
        <w:tc>
          <w:tcPr>
            <w:tcW w:w="968" w:type="dxa"/>
            <w:tcBorders>
              <w:top w:val="nil"/>
              <w:left w:val="nil"/>
              <w:bottom w:val="nil"/>
              <w:right w:val="nil"/>
            </w:tcBorders>
            <w:shd w:val="clear" w:color="auto" w:fill="auto"/>
            <w:noWrap/>
            <w:vAlign w:val="center"/>
            <w:hideMark/>
          </w:tcPr>
          <w:p w14:paraId="3771010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16,529</w:t>
            </w:r>
          </w:p>
        </w:tc>
        <w:tc>
          <w:tcPr>
            <w:tcW w:w="968" w:type="dxa"/>
            <w:tcBorders>
              <w:top w:val="nil"/>
              <w:left w:val="nil"/>
              <w:bottom w:val="nil"/>
              <w:right w:val="nil"/>
            </w:tcBorders>
            <w:shd w:val="clear" w:color="auto" w:fill="auto"/>
            <w:noWrap/>
            <w:vAlign w:val="center"/>
            <w:hideMark/>
          </w:tcPr>
          <w:p w14:paraId="0541F7F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16,529</w:t>
            </w:r>
          </w:p>
        </w:tc>
      </w:tr>
      <w:tr w:rsidR="000C519A" w:rsidRPr="000C519A" w14:paraId="7FCFD88F"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77D0AB50"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Other services </w:t>
            </w:r>
          </w:p>
        </w:tc>
        <w:tc>
          <w:tcPr>
            <w:tcW w:w="967" w:type="dxa"/>
            <w:tcBorders>
              <w:top w:val="nil"/>
              <w:left w:val="nil"/>
              <w:bottom w:val="nil"/>
              <w:right w:val="nil"/>
            </w:tcBorders>
            <w:shd w:val="clear" w:color="auto" w:fill="auto"/>
            <w:noWrap/>
            <w:vAlign w:val="center"/>
            <w:hideMark/>
          </w:tcPr>
          <w:p w14:paraId="1B49252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3,626</w:t>
            </w:r>
          </w:p>
        </w:tc>
        <w:tc>
          <w:tcPr>
            <w:tcW w:w="967" w:type="dxa"/>
            <w:tcBorders>
              <w:top w:val="nil"/>
              <w:left w:val="nil"/>
              <w:bottom w:val="nil"/>
              <w:right w:val="nil"/>
            </w:tcBorders>
            <w:shd w:val="clear" w:color="000000" w:fill="D9D9D9"/>
            <w:noWrap/>
            <w:vAlign w:val="center"/>
            <w:hideMark/>
          </w:tcPr>
          <w:p w14:paraId="60243F2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8" w:type="dxa"/>
            <w:tcBorders>
              <w:top w:val="nil"/>
              <w:left w:val="nil"/>
              <w:bottom w:val="nil"/>
              <w:right w:val="nil"/>
            </w:tcBorders>
            <w:shd w:val="clear" w:color="auto" w:fill="auto"/>
            <w:noWrap/>
            <w:vAlign w:val="center"/>
            <w:hideMark/>
          </w:tcPr>
          <w:p w14:paraId="6996EAF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8" w:type="dxa"/>
            <w:tcBorders>
              <w:top w:val="nil"/>
              <w:left w:val="nil"/>
              <w:bottom w:val="nil"/>
              <w:right w:val="nil"/>
            </w:tcBorders>
            <w:shd w:val="clear" w:color="auto" w:fill="auto"/>
            <w:noWrap/>
            <w:vAlign w:val="center"/>
            <w:hideMark/>
          </w:tcPr>
          <w:p w14:paraId="5DC204D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c>
          <w:tcPr>
            <w:tcW w:w="968" w:type="dxa"/>
            <w:tcBorders>
              <w:top w:val="nil"/>
              <w:left w:val="nil"/>
              <w:bottom w:val="nil"/>
              <w:right w:val="nil"/>
            </w:tcBorders>
            <w:shd w:val="clear" w:color="auto" w:fill="auto"/>
            <w:noWrap/>
            <w:vAlign w:val="center"/>
            <w:hideMark/>
          </w:tcPr>
          <w:p w14:paraId="77407B8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w:t>
            </w:r>
          </w:p>
        </w:tc>
      </w:tr>
      <w:tr w:rsidR="000C519A" w:rsidRPr="000C519A" w14:paraId="46CF6EC8"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63B3E32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Payments to corporate entities</w:t>
            </w:r>
          </w:p>
        </w:tc>
        <w:tc>
          <w:tcPr>
            <w:tcW w:w="967" w:type="dxa"/>
            <w:tcBorders>
              <w:top w:val="nil"/>
              <w:left w:val="nil"/>
              <w:bottom w:val="nil"/>
              <w:right w:val="nil"/>
            </w:tcBorders>
            <w:shd w:val="clear" w:color="auto" w:fill="auto"/>
            <w:noWrap/>
            <w:vAlign w:val="center"/>
            <w:hideMark/>
          </w:tcPr>
          <w:p w14:paraId="071E3D1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263,646</w:t>
            </w:r>
          </w:p>
        </w:tc>
        <w:tc>
          <w:tcPr>
            <w:tcW w:w="967" w:type="dxa"/>
            <w:tcBorders>
              <w:top w:val="nil"/>
              <w:left w:val="nil"/>
              <w:bottom w:val="nil"/>
              <w:right w:val="nil"/>
            </w:tcBorders>
            <w:shd w:val="clear" w:color="000000" w:fill="D9D9D9"/>
            <w:noWrap/>
            <w:vAlign w:val="center"/>
            <w:hideMark/>
          </w:tcPr>
          <w:p w14:paraId="2E1A60B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322,306</w:t>
            </w:r>
          </w:p>
        </w:tc>
        <w:tc>
          <w:tcPr>
            <w:tcW w:w="968" w:type="dxa"/>
            <w:tcBorders>
              <w:top w:val="nil"/>
              <w:left w:val="nil"/>
              <w:bottom w:val="nil"/>
              <w:right w:val="nil"/>
            </w:tcBorders>
            <w:shd w:val="clear" w:color="auto" w:fill="auto"/>
            <w:noWrap/>
            <w:vAlign w:val="center"/>
            <w:hideMark/>
          </w:tcPr>
          <w:p w14:paraId="44FE142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330,390</w:t>
            </w:r>
          </w:p>
        </w:tc>
        <w:tc>
          <w:tcPr>
            <w:tcW w:w="968" w:type="dxa"/>
            <w:tcBorders>
              <w:top w:val="nil"/>
              <w:left w:val="nil"/>
              <w:bottom w:val="nil"/>
              <w:right w:val="nil"/>
            </w:tcBorders>
            <w:shd w:val="clear" w:color="auto" w:fill="auto"/>
            <w:noWrap/>
            <w:vAlign w:val="center"/>
            <w:hideMark/>
          </w:tcPr>
          <w:p w14:paraId="62578EF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143,202</w:t>
            </w:r>
          </w:p>
        </w:tc>
        <w:tc>
          <w:tcPr>
            <w:tcW w:w="968" w:type="dxa"/>
            <w:tcBorders>
              <w:top w:val="nil"/>
              <w:left w:val="nil"/>
              <w:bottom w:val="nil"/>
              <w:right w:val="nil"/>
            </w:tcBorders>
            <w:shd w:val="clear" w:color="auto" w:fill="auto"/>
            <w:noWrap/>
            <w:vAlign w:val="center"/>
            <w:hideMark/>
          </w:tcPr>
          <w:p w14:paraId="54150E3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145,695</w:t>
            </w:r>
          </w:p>
        </w:tc>
      </w:tr>
      <w:tr w:rsidR="000C519A" w:rsidRPr="000C519A" w14:paraId="592961F6" w14:textId="77777777" w:rsidTr="00D376BC">
        <w:trPr>
          <w:trHeight w:val="283"/>
          <w:jc w:val="center"/>
        </w:trPr>
        <w:tc>
          <w:tcPr>
            <w:tcW w:w="2842" w:type="dxa"/>
            <w:tcBorders>
              <w:top w:val="nil"/>
              <w:left w:val="nil"/>
              <w:bottom w:val="nil"/>
              <w:right w:val="nil"/>
            </w:tcBorders>
            <w:shd w:val="clear" w:color="auto" w:fill="auto"/>
            <w:noWrap/>
            <w:vAlign w:val="center"/>
            <w:hideMark/>
          </w:tcPr>
          <w:p w14:paraId="1ED9D2D6" w14:textId="77777777" w:rsidR="000C519A" w:rsidRPr="000C519A" w:rsidRDefault="000C519A" w:rsidP="000C519A">
            <w:pPr>
              <w:spacing w:before="0" w:after="0" w:line="240" w:lineRule="auto"/>
              <w:ind w:leftChars="75" w:left="143"/>
              <w:rPr>
                <w:rFonts w:ascii="Arial" w:hAnsi="Arial" w:cs="Arial"/>
                <w:sz w:val="16"/>
                <w:szCs w:val="16"/>
              </w:rPr>
            </w:pPr>
            <w:r w:rsidRPr="000C519A">
              <w:rPr>
                <w:rFonts w:ascii="Arial" w:hAnsi="Arial" w:cs="Arial"/>
                <w:sz w:val="16"/>
                <w:szCs w:val="16"/>
              </w:rPr>
              <w:t>Departmental expenses</w:t>
            </w:r>
          </w:p>
        </w:tc>
        <w:tc>
          <w:tcPr>
            <w:tcW w:w="967" w:type="dxa"/>
            <w:tcBorders>
              <w:top w:val="nil"/>
              <w:left w:val="nil"/>
              <w:bottom w:val="nil"/>
              <w:right w:val="nil"/>
            </w:tcBorders>
            <w:shd w:val="clear" w:color="auto" w:fill="auto"/>
            <w:noWrap/>
            <w:vAlign w:val="center"/>
            <w:hideMark/>
          </w:tcPr>
          <w:p w14:paraId="257A2FF7" w14:textId="77777777" w:rsidR="000C519A" w:rsidRPr="000C519A" w:rsidRDefault="000C519A" w:rsidP="000C519A">
            <w:pPr>
              <w:spacing w:before="0" w:after="0" w:line="240" w:lineRule="auto"/>
              <w:ind w:firstLineChars="100" w:firstLine="160"/>
              <w:rPr>
                <w:rFonts w:ascii="Arial" w:hAnsi="Arial" w:cs="Arial"/>
                <w:sz w:val="16"/>
                <w:szCs w:val="16"/>
              </w:rPr>
            </w:pPr>
          </w:p>
        </w:tc>
        <w:tc>
          <w:tcPr>
            <w:tcW w:w="967" w:type="dxa"/>
            <w:tcBorders>
              <w:top w:val="nil"/>
              <w:left w:val="nil"/>
              <w:bottom w:val="nil"/>
              <w:right w:val="nil"/>
            </w:tcBorders>
            <w:shd w:val="clear" w:color="000000" w:fill="D9D9D9"/>
            <w:noWrap/>
            <w:vAlign w:val="center"/>
            <w:hideMark/>
          </w:tcPr>
          <w:p w14:paraId="5B8ED080"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center"/>
            <w:hideMark/>
          </w:tcPr>
          <w:p w14:paraId="10E19A11"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center"/>
            <w:hideMark/>
          </w:tcPr>
          <w:p w14:paraId="39E0304E"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center"/>
            <w:hideMark/>
          </w:tcPr>
          <w:p w14:paraId="68A9E7AA"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170A5AAA"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23A0083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Departmental appropriation</w:t>
            </w:r>
          </w:p>
        </w:tc>
        <w:tc>
          <w:tcPr>
            <w:tcW w:w="967" w:type="dxa"/>
            <w:tcBorders>
              <w:top w:val="nil"/>
              <w:left w:val="nil"/>
              <w:bottom w:val="nil"/>
              <w:right w:val="nil"/>
            </w:tcBorders>
            <w:shd w:val="clear" w:color="auto" w:fill="auto"/>
            <w:noWrap/>
            <w:vAlign w:val="center"/>
            <w:hideMark/>
          </w:tcPr>
          <w:p w14:paraId="4D67E46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485,882</w:t>
            </w:r>
          </w:p>
        </w:tc>
        <w:tc>
          <w:tcPr>
            <w:tcW w:w="967" w:type="dxa"/>
            <w:tcBorders>
              <w:top w:val="nil"/>
              <w:left w:val="nil"/>
              <w:bottom w:val="nil"/>
              <w:right w:val="nil"/>
            </w:tcBorders>
            <w:shd w:val="clear" w:color="000000" w:fill="D9D9D9"/>
            <w:noWrap/>
            <w:vAlign w:val="center"/>
            <w:hideMark/>
          </w:tcPr>
          <w:p w14:paraId="25B1DC4C"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527,548</w:t>
            </w:r>
          </w:p>
        </w:tc>
        <w:tc>
          <w:tcPr>
            <w:tcW w:w="968" w:type="dxa"/>
            <w:tcBorders>
              <w:top w:val="nil"/>
              <w:left w:val="nil"/>
              <w:bottom w:val="nil"/>
              <w:right w:val="nil"/>
            </w:tcBorders>
            <w:shd w:val="clear" w:color="auto" w:fill="auto"/>
            <w:noWrap/>
            <w:vAlign w:val="center"/>
            <w:hideMark/>
          </w:tcPr>
          <w:p w14:paraId="335D0EC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490,330</w:t>
            </w:r>
          </w:p>
        </w:tc>
        <w:tc>
          <w:tcPr>
            <w:tcW w:w="968" w:type="dxa"/>
            <w:tcBorders>
              <w:top w:val="nil"/>
              <w:left w:val="nil"/>
              <w:bottom w:val="nil"/>
              <w:right w:val="nil"/>
            </w:tcBorders>
            <w:shd w:val="clear" w:color="auto" w:fill="auto"/>
            <w:noWrap/>
            <w:vAlign w:val="center"/>
            <w:hideMark/>
          </w:tcPr>
          <w:p w14:paraId="140CA07E"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383,175</w:t>
            </w:r>
          </w:p>
        </w:tc>
        <w:tc>
          <w:tcPr>
            <w:tcW w:w="968" w:type="dxa"/>
            <w:tcBorders>
              <w:top w:val="nil"/>
              <w:left w:val="nil"/>
              <w:bottom w:val="nil"/>
              <w:right w:val="nil"/>
            </w:tcBorders>
            <w:shd w:val="clear" w:color="auto" w:fill="auto"/>
            <w:noWrap/>
            <w:vAlign w:val="center"/>
            <w:hideMark/>
          </w:tcPr>
          <w:p w14:paraId="4375BE1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391,688</w:t>
            </w:r>
          </w:p>
        </w:tc>
      </w:tr>
      <w:tr w:rsidR="000C519A" w:rsidRPr="000C519A" w14:paraId="24D1EA56"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0344EB3A"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to Special accounts</w:t>
            </w:r>
          </w:p>
        </w:tc>
        <w:tc>
          <w:tcPr>
            <w:tcW w:w="967" w:type="dxa"/>
            <w:tcBorders>
              <w:top w:val="nil"/>
              <w:left w:val="nil"/>
              <w:bottom w:val="nil"/>
              <w:right w:val="nil"/>
            </w:tcBorders>
            <w:shd w:val="clear" w:color="auto" w:fill="auto"/>
            <w:noWrap/>
            <w:vAlign w:val="center"/>
            <w:hideMark/>
          </w:tcPr>
          <w:p w14:paraId="0600BDC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(30,052)</w:t>
            </w:r>
          </w:p>
        </w:tc>
        <w:tc>
          <w:tcPr>
            <w:tcW w:w="967" w:type="dxa"/>
            <w:tcBorders>
              <w:top w:val="nil"/>
              <w:left w:val="nil"/>
              <w:bottom w:val="nil"/>
              <w:right w:val="nil"/>
            </w:tcBorders>
            <w:shd w:val="clear" w:color="000000" w:fill="D9D9D9"/>
            <w:noWrap/>
            <w:vAlign w:val="center"/>
            <w:hideMark/>
          </w:tcPr>
          <w:p w14:paraId="657D4D7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(45,282)</w:t>
            </w:r>
          </w:p>
        </w:tc>
        <w:tc>
          <w:tcPr>
            <w:tcW w:w="968" w:type="dxa"/>
            <w:tcBorders>
              <w:top w:val="nil"/>
              <w:left w:val="nil"/>
              <w:bottom w:val="nil"/>
              <w:right w:val="nil"/>
            </w:tcBorders>
            <w:shd w:val="clear" w:color="auto" w:fill="auto"/>
            <w:noWrap/>
            <w:vAlign w:val="center"/>
            <w:hideMark/>
          </w:tcPr>
          <w:p w14:paraId="1312AF3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(42,327)</w:t>
            </w:r>
          </w:p>
        </w:tc>
        <w:tc>
          <w:tcPr>
            <w:tcW w:w="968" w:type="dxa"/>
            <w:tcBorders>
              <w:top w:val="nil"/>
              <w:left w:val="nil"/>
              <w:bottom w:val="nil"/>
              <w:right w:val="nil"/>
            </w:tcBorders>
            <w:shd w:val="clear" w:color="auto" w:fill="auto"/>
            <w:noWrap/>
            <w:vAlign w:val="center"/>
            <w:hideMark/>
          </w:tcPr>
          <w:p w14:paraId="4ED86A0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(42,274)</w:t>
            </w:r>
          </w:p>
        </w:tc>
        <w:tc>
          <w:tcPr>
            <w:tcW w:w="968" w:type="dxa"/>
            <w:tcBorders>
              <w:top w:val="nil"/>
              <w:left w:val="nil"/>
              <w:bottom w:val="nil"/>
              <w:right w:val="nil"/>
            </w:tcBorders>
            <w:shd w:val="clear" w:color="auto" w:fill="auto"/>
            <w:noWrap/>
            <w:vAlign w:val="center"/>
            <w:hideMark/>
          </w:tcPr>
          <w:p w14:paraId="5F679BD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(40,708)</w:t>
            </w:r>
          </w:p>
        </w:tc>
      </w:tr>
      <w:tr w:rsidR="000C519A" w:rsidRPr="000C519A" w14:paraId="602E85FC" w14:textId="77777777" w:rsidTr="00640846">
        <w:trPr>
          <w:trHeight w:val="454"/>
          <w:jc w:val="center"/>
        </w:trPr>
        <w:tc>
          <w:tcPr>
            <w:tcW w:w="2842" w:type="dxa"/>
            <w:tcBorders>
              <w:top w:val="nil"/>
              <w:left w:val="nil"/>
              <w:bottom w:val="nil"/>
              <w:right w:val="nil"/>
            </w:tcBorders>
            <w:shd w:val="clear" w:color="auto" w:fill="auto"/>
            <w:vAlign w:val="center"/>
            <w:hideMark/>
          </w:tcPr>
          <w:p w14:paraId="2417A250"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 xml:space="preserve">Expenses not requiring appropriation in the Budget year </w:t>
            </w:r>
          </w:p>
        </w:tc>
        <w:tc>
          <w:tcPr>
            <w:tcW w:w="967" w:type="dxa"/>
            <w:tcBorders>
              <w:top w:val="nil"/>
              <w:left w:val="nil"/>
              <w:bottom w:val="nil"/>
              <w:right w:val="nil"/>
            </w:tcBorders>
            <w:shd w:val="clear" w:color="auto" w:fill="auto"/>
            <w:noWrap/>
            <w:vAlign w:val="center"/>
            <w:hideMark/>
          </w:tcPr>
          <w:p w14:paraId="39BA8BF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15,345</w:t>
            </w:r>
          </w:p>
        </w:tc>
        <w:tc>
          <w:tcPr>
            <w:tcW w:w="967" w:type="dxa"/>
            <w:tcBorders>
              <w:top w:val="nil"/>
              <w:left w:val="nil"/>
              <w:bottom w:val="nil"/>
              <w:right w:val="nil"/>
            </w:tcBorders>
            <w:shd w:val="clear" w:color="000000" w:fill="D9D9D9"/>
            <w:noWrap/>
            <w:vAlign w:val="center"/>
            <w:hideMark/>
          </w:tcPr>
          <w:p w14:paraId="44983F5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17,416</w:t>
            </w:r>
          </w:p>
        </w:tc>
        <w:tc>
          <w:tcPr>
            <w:tcW w:w="968" w:type="dxa"/>
            <w:tcBorders>
              <w:top w:val="nil"/>
              <w:left w:val="nil"/>
              <w:bottom w:val="nil"/>
              <w:right w:val="nil"/>
            </w:tcBorders>
            <w:shd w:val="clear" w:color="auto" w:fill="auto"/>
            <w:noWrap/>
            <w:vAlign w:val="center"/>
            <w:hideMark/>
          </w:tcPr>
          <w:p w14:paraId="1FC3112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14,206</w:t>
            </w:r>
          </w:p>
        </w:tc>
        <w:tc>
          <w:tcPr>
            <w:tcW w:w="968" w:type="dxa"/>
            <w:tcBorders>
              <w:top w:val="nil"/>
              <w:left w:val="nil"/>
              <w:bottom w:val="nil"/>
              <w:right w:val="nil"/>
            </w:tcBorders>
            <w:shd w:val="clear" w:color="auto" w:fill="auto"/>
            <w:noWrap/>
            <w:vAlign w:val="center"/>
            <w:hideMark/>
          </w:tcPr>
          <w:p w14:paraId="1975B42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14,206</w:t>
            </w:r>
          </w:p>
        </w:tc>
        <w:tc>
          <w:tcPr>
            <w:tcW w:w="968" w:type="dxa"/>
            <w:tcBorders>
              <w:top w:val="nil"/>
              <w:left w:val="nil"/>
              <w:bottom w:val="nil"/>
              <w:right w:val="nil"/>
            </w:tcBorders>
            <w:shd w:val="clear" w:color="auto" w:fill="auto"/>
            <w:noWrap/>
            <w:vAlign w:val="center"/>
            <w:hideMark/>
          </w:tcPr>
          <w:p w14:paraId="538CEB5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14,206</w:t>
            </w:r>
          </w:p>
        </w:tc>
      </w:tr>
      <w:tr w:rsidR="000C519A" w:rsidRPr="000C519A" w14:paraId="492F6016"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73D6F2A7" w14:textId="77777777" w:rsidR="000C519A" w:rsidRPr="000C519A" w:rsidRDefault="000C519A" w:rsidP="000C519A">
            <w:pPr>
              <w:spacing w:before="0" w:after="0" w:line="240" w:lineRule="auto"/>
              <w:ind w:leftChars="150" w:left="285"/>
              <w:rPr>
                <w:rFonts w:ascii="Arial" w:hAnsi="Arial" w:cs="Arial"/>
                <w:sz w:val="16"/>
                <w:szCs w:val="16"/>
              </w:rPr>
            </w:pPr>
            <w:r w:rsidRPr="000C519A">
              <w:rPr>
                <w:rFonts w:ascii="Arial" w:hAnsi="Arial" w:cs="Arial"/>
                <w:sz w:val="16"/>
                <w:szCs w:val="16"/>
              </w:rPr>
              <w:t>Special accounts</w:t>
            </w:r>
          </w:p>
        </w:tc>
        <w:tc>
          <w:tcPr>
            <w:tcW w:w="967" w:type="dxa"/>
            <w:tcBorders>
              <w:top w:val="nil"/>
              <w:left w:val="nil"/>
              <w:bottom w:val="nil"/>
              <w:right w:val="nil"/>
            </w:tcBorders>
            <w:shd w:val="clear" w:color="auto" w:fill="auto"/>
            <w:noWrap/>
            <w:vAlign w:val="center"/>
            <w:hideMark/>
          </w:tcPr>
          <w:p w14:paraId="1827F645" w14:textId="77777777" w:rsidR="000C519A" w:rsidRPr="000C519A" w:rsidRDefault="000C519A" w:rsidP="000C519A">
            <w:pPr>
              <w:spacing w:before="0" w:after="0" w:line="240" w:lineRule="auto"/>
              <w:ind w:firstLineChars="200" w:firstLine="320"/>
              <w:rPr>
                <w:rFonts w:ascii="Arial" w:hAnsi="Arial" w:cs="Arial"/>
                <w:sz w:val="16"/>
                <w:szCs w:val="16"/>
              </w:rPr>
            </w:pPr>
          </w:p>
        </w:tc>
        <w:tc>
          <w:tcPr>
            <w:tcW w:w="967" w:type="dxa"/>
            <w:tcBorders>
              <w:top w:val="nil"/>
              <w:left w:val="nil"/>
              <w:bottom w:val="nil"/>
              <w:right w:val="nil"/>
            </w:tcBorders>
            <w:shd w:val="clear" w:color="000000" w:fill="D9D9D9"/>
            <w:noWrap/>
            <w:vAlign w:val="center"/>
            <w:hideMark/>
          </w:tcPr>
          <w:p w14:paraId="501F637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 </w:t>
            </w:r>
          </w:p>
        </w:tc>
        <w:tc>
          <w:tcPr>
            <w:tcW w:w="968" w:type="dxa"/>
            <w:tcBorders>
              <w:top w:val="nil"/>
              <w:left w:val="nil"/>
              <w:bottom w:val="nil"/>
              <w:right w:val="nil"/>
            </w:tcBorders>
            <w:shd w:val="clear" w:color="auto" w:fill="auto"/>
            <w:noWrap/>
            <w:vAlign w:val="center"/>
            <w:hideMark/>
          </w:tcPr>
          <w:p w14:paraId="5F36F6F6" w14:textId="77777777" w:rsidR="000C519A" w:rsidRPr="000C519A" w:rsidRDefault="000C519A" w:rsidP="000C519A">
            <w:pPr>
              <w:spacing w:before="0"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center"/>
            <w:hideMark/>
          </w:tcPr>
          <w:p w14:paraId="5AAD2072" w14:textId="77777777" w:rsidR="000C519A" w:rsidRPr="000C519A" w:rsidRDefault="000C519A" w:rsidP="000C519A">
            <w:pPr>
              <w:spacing w:before="0" w:after="0" w:line="240" w:lineRule="auto"/>
              <w:jc w:val="right"/>
              <w:rPr>
                <w:rFonts w:ascii="Times New Roman" w:hAnsi="Times New Roman"/>
                <w:sz w:val="20"/>
              </w:rPr>
            </w:pPr>
          </w:p>
        </w:tc>
        <w:tc>
          <w:tcPr>
            <w:tcW w:w="968" w:type="dxa"/>
            <w:tcBorders>
              <w:top w:val="nil"/>
              <w:left w:val="nil"/>
              <w:bottom w:val="nil"/>
              <w:right w:val="nil"/>
            </w:tcBorders>
            <w:shd w:val="clear" w:color="auto" w:fill="auto"/>
            <w:noWrap/>
            <w:vAlign w:val="center"/>
            <w:hideMark/>
          </w:tcPr>
          <w:p w14:paraId="3EC29087" w14:textId="77777777" w:rsidR="000C519A" w:rsidRPr="000C519A" w:rsidRDefault="000C519A" w:rsidP="000C519A">
            <w:pPr>
              <w:spacing w:before="0" w:after="0" w:line="240" w:lineRule="auto"/>
              <w:jc w:val="right"/>
              <w:rPr>
                <w:rFonts w:ascii="Times New Roman" w:hAnsi="Times New Roman"/>
                <w:sz w:val="20"/>
              </w:rPr>
            </w:pPr>
          </w:p>
        </w:tc>
      </w:tr>
      <w:tr w:rsidR="000C519A" w:rsidRPr="000C519A" w14:paraId="5A09F6DD"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39860C0D"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AICIS </w:t>
            </w:r>
          </w:p>
        </w:tc>
        <w:tc>
          <w:tcPr>
            <w:tcW w:w="967" w:type="dxa"/>
            <w:tcBorders>
              <w:top w:val="nil"/>
              <w:left w:val="nil"/>
              <w:bottom w:val="nil"/>
              <w:right w:val="nil"/>
            </w:tcBorders>
            <w:shd w:val="clear" w:color="auto" w:fill="auto"/>
            <w:noWrap/>
            <w:vAlign w:val="center"/>
            <w:hideMark/>
          </w:tcPr>
          <w:p w14:paraId="66892351"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20,118</w:t>
            </w:r>
          </w:p>
        </w:tc>
        <w:tc>
          <w:tcPr>
            <w:tcW w:w="967" w:type="dxa"/>
            <w:tcBorders>
              <w:top w:val="nil"/>
              <w:left w:val="nil"/>
              <w:bottom w:val="nil"/>
              <w:right w:val="nil"/>
            </w:tcBorders>
            <w:shd w:val="clear" w:color="000000" w:fill="D9D9D9"/>
            <w:noWrap/>
            <w:vAlign w:val="center"/>
            <w:hideMark/>
          </w:tcPr>
          <w:p w14:paraId="361CB70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20,717</w:t>
            </w:r>
          </w:p>
        </w:tc>
        <w:tc>
          <w:tcPr>
            <w:tcW w:w="968" w:type="dxa"/>
            <w:tcBorders>
              <w:top w:val="nil"/>
              <w:left w:val="nil"/>
              <w:bottom w:val="nil"/>
              <w:right w:val="nil"/>
            </w:tcBorders>
            <w:shd w:val="clear" w:color="auto" w:fill="auto"/>
            <w:noWrap/>
            <w:vAlign w:val="center"/>
            <w:hideMark/>
          </w:tcPr>
          <w:p w14:paraId="06A6C19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21,179</w:t>
            </w:r>
          </w:p>
        </w:tc>
        <w:tc>
          <w:tcPr>
            <w:tcW w:w="968" w:type="dxa"/>
            <w:tcBorders>
              <w:top w:val="nil"/>
              <w:left w:val="nil"/>
              <w:bottom w:val="nil"/>
              <w:right w:val="nil"/>
            </w:tcBorders>
            <w:shd w:val="clear" w:color="auto" w:fill="auto"/>
            <w:noWrap/>
            <w:vAlign w:val="center"/>
            <w:hideMark/>
          </w:tcPr>
          <w:p w14:paraId="465D983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21,696</w:t>
            </w:r>
          </w:p>
        </w:tc>
        <w:tc>
          <w:tcPr>
            <w:tcW w:w="968" w:type="dxa"/>
            <w:tcBorders>
              <w:top w:val="nil"/>
              <w:left w:val="nil"/>
              <w:bottom w:val="nil"/>
              <w:right w:val="nil"/>
            </w:tcBorders>
            <w:shd w:val="clear" w:color="auto" w:fill="auto"/>
            <w:noWrap/>
            <w:vAlign w:val="center"/>
            <w:hideMark/>
          </w:tcPr>
          <w:p w14:paraId="0FA5786F"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22,227</w:t>
            </w:r>
          </w:p>
        </w:tc>
      </w:tr>
      <w:tr w:rsidR="000C519A" w:rsidRPr="000C519A" w14:paraId="030BADEC"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4B50737F"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OGTR </w:t>
            </w:r>
          </w:p>
        </w:tc>
        <w:tc>
          <w:tcPr>
            <w:tcW w:w="967" w:type="dxa"/>
            <w:tcBorders>
              <w:top w:val="nil"/>
              <w:left w:val="nil"/>
              <w:bottom w:val="nil"/>
              <w:right w:val="nil"/>
            </w:tcBorders>
            <w:shd w:val="clear" w:color="auto" w:fill="auto"/>
            <w:noWrap/>
            <w:vAlign w:val="center"/>
            <w:hideMark/>
          </w:tcPr>
          <w:p w14:paraId="686BA89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9,177</w:t>
            </w:r>
          </w:p>
        </w:tc>
        <w:tc>
          <w:tcPr>
            <w:tcW w:w="967" w:type="dxa"/>
            <w:tcBorders>
              <w:top w:val="nil"/>
              <w:left w:val="nil"/>
              <w:bottom w:val="nil"/>
              <w:right w:val="nil"/>
            </w:tcBorders>
            <w:shd w:val="clear" w:color="000000" w:fill="D9D9D9"/>
            <w:noWrap/>
            <w:vAlign w:val="center"/>
            <w:hideMark/>
          </w:tcPr>
          <w:p w14:paraId="052FF12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11,081</w:t>
            </w:r>
          </w:p>
        </w:tc>
        <w:tc>
          <w:tcPr>
            <w:tcW w:w="968" w:type="dxa"/>
            <w:tcBorders>
              <w:top w:val="nil"/>
              <w:left w:val="nil"/>
              <w:bottom w:val="nil"/>
              <w:right w:val="nil"/>
            </w:tcBorders>
            <w:shd w:val="clear" w:color="auto" w:fill="auto"/>
            <w:noWrap/>
            <w:vAlign w:val="center"/>
            <w:hideMark/>
          </w:tcPr>
          <w:p w14:paraId="1B42B9B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7,947</w:t>
            </w:r>
          </w:p>
        </w:tc>
        <w:tc>
          <w:tcPr>
            <w:tcW w:w="968" w:type="dxa"/>
            <w:tcBorders>
              <w:top w:val="nil"/>
              <w:left w:val="nil"/>
              <w:bottom w:val="nil"/>
              <w:right w:val="nil"/>
            </w:tcBorders>
            <w:shd w:val="clear" w:color="auto" w:fill="auto"/>
            <w:noWrap/>
            <w:vAlign w:val="center"/>
            <w:hideMark/>
          </w:tcPr>
          <w:p w14:paraId="69DB4778"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8,039</w:t>
            </w:r>
          </w:p>
        </w:tc>
        <w:tc>
          <w:tcPr>
            <w:tcW w:w="968" w:type="dxa"/>
            <w:tcBorders>
              <w:top w:val="nil"/>
              <w:left w:val="nil"/>
              <w:bottom w:val="nil"/>
              <w:right w:val="nil"/>
            </w:tcBorders>
            <w:shd w:val="clear" w:color="auto" w:fill="auto"/>
            <w:noWrap/>
            <w:vAlign w:val="center"/>
            <w:hideMark/>
          </w:tcPr>
          <w:p w14:paraId="1C51A3F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8,108</w:t>
            </w:r>
          </w:p>
        </w:tc>
      </w:tr>
      <w:tr w:rsidR="000C519A" w:rsidRPr="000C519A" w14:paraId="4045C903" w14:textId="77777777" w:rsidTr="000C519A">
        <w:trPr>
          <w:trHeight w:val="225"/>
          <w:jc w:val="center"/>
        </w:trPr>
        <w:tc>
          <w:tcPr>
            <w:tcW w:w="2842" w:type="dxa"/>
            <w:tcBorders>
              <w:top w:val="nil"/>
              <w:left w:val="nil"/>
              <w:bottom w:val="nil"/>
              <w:right w:val="nil"/>
            </w:tcBorders>
            <w:shd w:val="clear" w:color="auto" w:fill="auto"/>
            <w:noWrap/>
            <w:vAlign w:val="center"/>
            <w:hideMark/>
          </w:tcPr>
          <w:p w14:paraId="721BE7E2"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TGA </w:t>
            </w:r>
          </w:p>
        </w:tc>
        <w:tc>
          <w:tcPr>
            <w:tcW w:w="967" w:type="dxa"/>
            <w:tcBorders>
              <w:top w:val="nil"/>
              <w:left w:val="nil"/>
              <w:bottom w:val="nil"/>
              <w:right w:val="nil"/>
            </w:tcBorders>
            <w:shd w:val="clear" w:color="auto" w:fill="auto"/>
            <w:noWrap/>
            <w:vAlign w:val="center"/>
            <w:hideMark/>
          </w:tcPr>
          <w:p w14:paraId="339BCF4D"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229,989</w:t>
            </w:r>
          </w:p>
        </w:tc>
        <w:tc>
          <w:tcPr>
            <w:tcW w:w="967" w:type="dxa"/>
            <w:tcBorders>
              <w:top w:val="nil"/>
              <w:left w:val="nil"/>
              <w:bottom w:val="nil"/>
              <w:right w:val="nil"/>
            </w:tcBorders>
            <w:shd w:val="clear" w:color="000000" w:fill="D9D9D9"/>
            <w:noWrap/>
            <w:vAlign w:val="center"/>
            <w:hideMark/>
          </w:tcPr>
          <w:p w14:paraId="7B6C93A9"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241,736</w:t>
            </w:r>
          </w:p>
        </w:tc>
        <w:tc>
          <w:tcPr>
            <w:tcW w:w="968" w:type="dxa"/>
            <w:tcBorders>
              <w:top w:val="nil"/>
              <w:left w:val="nil"/>
              <w:bottom w:val="nil"/>
              <w:right w:val="nil"/>
            </w:tcBorders>
            <w:shd w:val="clear" w:color="auto" w:fill="auto"/>
            <w:noWrap/>
            <w:vAlign w:val="center"/>
            <w:hideMark/>
          </w:tcPr>
          <w:p w14:paraId="0F69C0AB"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243,420</w:t>
            </w:r>
          </w:p>
        </w:tc>
        <w:tc>
          <w:tcPr>
            <w:tcW w:w="968" w:type="dxa"/>
            <w:tcBorders>
              <w:top w:val="nil"/>
              <w:left w:val="nil"/>
              <w:bottom w:val="nil"/>
              <w:right w:val="nil"/>
            </w:tcBorders>
            <w:shd w:val="clear" w:color="auto" w:fill="auto"/>
            <w:noWrap/>
            <w:vAlign w:val="center"/>
            <w:hideMark/>
          </w:tcPr>
          <w:p w14:paraId="671126C7"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245,133</w:t>
            </w:r>
          </w:p>
        </w:tc>
        <w:tc>
          <w:tcPr>
            <w:tcW w:w="968" w:type="dxa"/>
            <w:tcBorders>
              <w:top w:val="nil"/>
              <w:left w:val="nil"/>
              <w:bottom w:val="nil"/>
              <w:right w:val="nil"/>
            </w:tcBorders>
            <w:shd w:val="clear" w:color="auto" w:fill="auto"/>
            <w:noWrap/>
            <w:vAlign w:val="center"/>
            <w:hideMark/>
          </w:tcPr>
          <w:p w14:paraId="18098526"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247,751</w:t>
            </w:r>
          </w:p>
        </w:tc>
      </w:tr>
      <w:tr w:rsidR="000C519A" w:rsidRPr="000C519A" w14:paraId="1C37382A" w14:textId="77777777" w:rsidTr="000C519A">
        <w:trPr>
          <w:trHeight w:val="225"/>
          <w:jc w:val="center"/>
        </w:trPr>
        <w:tc>
          <w:tcPr>
            <w:tcW w:w="2842" w:type="dxa"/>
            <w:tcBorders>
              <w:top w:val="nil"/>
              <w:left w:val="nil"/>
              <w:bottom w:val="nil"/>
              <w:right w:val="nil"/>
            </w:tcBorders>
            <w:shd w:val="clear" w:color="auto" w:fill="auto"/>
            <w:vAlign w:val="center"/>
            <w:hideMark/>
          </w:tcPr>
          <w:p w14:paraId="503D597F" w14:textId="77777777" w:rsidR="000C519A" w:rsidRPr="000C519A" w:rsidRDefault="000C519A" w:rsidP="000C519A">
            <w:pPr>
              <w:spacing w:before="0" w:after="0" w:line="240" w:lineRule="auto"/>
              <w:ind w:leftChars="225" w:left="428"/>
              <w:rPr>
                <w:rFonts w:ascii="Arial" w:hAnsi="Arial" w:cs="Arial"/>
                <w:sz w:val="16"/>
                <w:szCs w:val="16"/>
              </w:rPr>
            </w:pPr>
            <w:r w:rsidRPr="000C519A">
              <w:rPr>
                <w:rFonts w:ascii="Arial" w:hAnsi="Arial" w:cs="Arial"/>
                <w:sz w:val="16"/>
                <w:szCs w:val="16"/>
              </w:rPr>
              <w:t xml:space="preserve">Expense adjustment </w:t>
            </w:r>
            <w:r w:rsidRPr="000C519A">
              <w:rPr>
                <w:rFonts w:ascii="Arial" w:hAnsi="Arial" w:cs="Arial"/>
                <w:sz w:val="16"/>
                <w:szCs w:val="16"/>
                <w:vertAlign w:val="superscript"/>
              </w:rPr>
              <w:t>(a)</w:t>
            </w:r>
          </w:p>
        </w:tc>
        <w:tc>
          <w:tcPr>
            <w:tcW w:w="967" w:type="dxa"/>
            <w:tcBorders>
              <w:top w:val="nil"/>
              <w:left w:val="nil"/>
              <w:bottom w:val="nil"/>
              <w:right w:val="nil"/>
            </w:tcBorders>
            <w:shd w:val="clear" w:color="auto" w:fill="auto"/>
            <w:noWrap/>
            <w:vAlign w:val="center"/>
            <w:hideMark/>
          </w:tcPr>
          <w:p w14:paraId="5C9F3C1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(12,241)</w:t>
            </w:r>
          </w:p>
        </w:tc>
        <w:tc>
          <w:tcPr>
            <w:tcW w:w="967" w:type="dxa"/>
            <w:tcBorders>
              <w:top w:val="nil"/>
              <w:left w:val="nil"/>
              <w:bottom w:val="nil"/>
              <w:right w:val="nil"/>
            </w:tcBorders>
            <w:shd w:val="clear" w:color="000000" w:fill="D9D9D9"/>
            <w:noWrap/>
            <w:vAlign w:val="center"/>
            <w:hideMark/>
          </w:tcPr>
          <w:p w14:paraId="63D05DB2"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(11,225)</w:t>
            </w:r>
          </w:p>
        </w:tc>
        <w:tc>
          <w:tcPr>
            <w:tcW w:w="968" w:type="dxa"/>
            <w:tcBorders>
              <w:top w:val="nil"/>
              <w:left w:val="nil"/>
              <w:bottom w:val="nil"/>
              <w:right w:val="nil"/>
            </w:tcBorders>
            <w:shd w:val="clear" w:color="auto" w:fill="auto"/>
            <w:noWrap/>
            <w:vAlign w:val="center"/>
            <w:hideMark/>
          </w:tcPr>
          <w:p w14:paraId="4BA769BA"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(1,930)</w:t>
            </w:r>
          </w:p>
        </w:tc>
        <w:tc>
          <w:tcPr>
            <w:tcW w:w="968" w:type="dxa"/>
            <w:tcBorders>
              <w:top w:val="nil"/>
              <w:left w:val="nil"/>
              <w:bottom w:val="nil"/>
              <w:right w:val="nil"/>
            </w:tcBorders>
            <w:shd w:val="clear" w:color="auto" w:fill="auto"/>
            <w:noWrap/>
            <w:vAlign w:val="center"/>
            <w:hideMark/>
          </w:tcPr>
          <w:p w14:paraId="708FEC45"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370</w:t>
            </w:r>
          </w:p>
        </w:tc>
        <w:tc>
          <w:tcPr>
            <w:tcW w:w="968" w:type="dxa"/>
            <w:tcBorders>
              <w:top w:val="nil"/>
              <w:left w:val="nil"/>
              <w:bottom w:val="nil"/>
              <w:right w:val="nil"/>
            </w:tcBorders>
            <w:shd w:val="clear" w:color="auto" w:fill="auto"/>
            <w:noWrap/>
            <w:vAlign w:val="center"/>
            <w:hideMark/>
          </w:tcPr>
          <w:p w14:paraId="5C67FBE4" w14:textId="77777777" w:rsidR="000C519A" w:rsidRPr="000C519A" w:rsidRDefault="000C519A" w:rsidP="000C519A">
            <w:pPr>
              <w:spacing w:before="0" w:after="0" w:line="240" w:lineRule="auto"/>
              <w:jc w:val="right"/>
              <w:rPr>
                <w:rFonts w:ascii="Arial" w:hAnsi="Arial" w:cs="Arial"/>
                <w:sz w:val="16"/>
                <w:szCs w:val="16"/>
              </w:rPr>
            </w:pPr>
            <w:r w:rsidRPr="000C519A">
              <w:rPr>
                <w:rFonts w:ascii="Arial" w:hAnsi="Arial" w:cs="Arial"/>
                <w:sz w:val="16"/>
                <w:szCs w:val="16"/>
              </w:rPr>
              <w:t>370</w:t>
            </w:r>
          </w:p>
        </w:tc>
      </w:tr>
      <w:tr w:rsidR="000C519A" w:rsidRPr="000C519A" w14:paraId="0395B6D3" w14:textId="77777777" w:rsidTr="00640846">
        <w:trPr>
          <w:trHeight w:val="283"/>
          <w:jc w:val="center"/>
        </w:trPr>
        <w:tc>
          <w:tcPr>
            <w:tcW w:w="2842" w:type="dxa"/>
            <w:tcBorders>
              <w:top w:val="nil"/>
              <w:left w:val="nil"/>
              <w:bottom w:val="single" w:sz="4" w:space="0" w:color="auto"/>
              <w:right w:val="nil"/>
            </w:tcBorders>
            <w:shd w:val="clear" w:color="auto" w:fill="auto"/>
            <w:noWrap/>
            <w:vAlign w:val="center"/>
            <w:hideMark/>
          </w:tcPr>
          <w:p w14:paraId="0D727109" w14:textId="77777777" w:rsidR="000C519A" w:rsidRPr="000C519A" w:rsidRDefault="000C519A" w:rsidP="000C519A">
            <w:pPr>
              <w:spacing w:before="0" w:after="0" w:line="240" w:lineRule="auto"/>
              <w:rPr>
                <w:rFonts w:ascii="Arial" w:hAnsi="Arial" w:cs="Arial"/>
                <w:b/>
                <w:bCs/>
                <w:sz w:val="16"/>
                <w:szCs w:val="16"/>
              </w:rPr>
            </w:pPr>
            <w:r w:rsidRPr="000C519A">
              <w:rPr>
                <w:rFonts w:ascii="Arial" w:hAnsi="Arial" w:cs="Arial"/>
                <w:b/>
                <w:bCs/>
                <w:sz w:val="16"/>
                <w:szCs w:val="16"/>
              </w:rPr>
              <w:t>Total expenses for Outcome 1</w:t>
            </w:r>
          </w:p>
        </w:tc>
        <w:tc>
          <w:tcPr>
            <w:tcW w:w="967" w:type="dxa"/>
            <w:tcBorders>
              <w:top w:val="single" w:sz="4" w:space="0" w:color="auto"/>
              <w:left w:val="nil"/>
              <w:bottom w:val="single" w:sz="4" w:space="0" w:color="auto"/>
              <w:right w:val="nil"/>
            </w:tcBorders>
            <w:shd w:val="clear" w:color="auto" w:fill="auto"/>
            <w:noWrap/>
            <w:tcMar>
              <w:left w:w="0" w:type="dxa"/>
            </w:tcMar>
            <w:vAlign w:val="center"/>
            <w:hideMark/>
          </w:tcPr>
          <w:p w14:paraId="7A672E92"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12,782,506</w:t>
            </w:r>
          </w:p>
        </w:tc>
        <w:tc>
          <w:tcPr>
            <w:tcW w:w="967" w:type="dxa"/>
            <w:tcBorders>
              <w:top w:val="single" w:sz="4" w:space="0" w:color="auto"/>
              <w:left w:val="nil"/>
              <w:bottom w:val="single" w:sz="4" w:space="0" w:color="auto"/>
              <w:right w:val="nil"/>
            </w:tcBorders>
            <w:shd w:val="clear" w:color="000000" w:fill="D9D9D9"/>
            <w:noWrap/>
            <w:tcMar>
              <w:left w:w="0" w:type="dxa"/>
            </w:tcMar>
            <w:vAlign w:val="center"/>
            <w:hideMark/>
          </w:tcPr>
          <w:p w14:paraId="6372A21B"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12,888,327</w:t>
            </w:r>
          </w:p>
        </w:tc>
        <w:tc>
          <w:tcPr>
            <w:tcW w:w="968" w:type="dxa"/>
            <w:tcBorders>
              <w:top w:val="single" w:sz="4" w:space="0" w:color="auto"/>
              <w:left w:val="nil"/>
              <w:bottom w:val="single" w:sz="4" w:space="0" w:color="auto"/>
              <w:right w:val="nil"/>
            </w:tcBorders>
            <w:shd w:val="clear" w:color="auto" w:fill="auto"/>
            <w:noWrap/>
            <w:tcMar>
              <w:left w:w="0" w:type="dxa"/>
            </w:tcMar>
            <w:vAlign w:val="center"/>
            <w:hideMark/>
          </w:tcPr>
          <w:p w14:paraId="3FC1C472"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10,682,643</w:t>
            </w:r>
          </w:p>
        </w:tc>
        <w:tc>
          <w:tcPr>
            <w:tcW w:w="968" w:type="dxa"/>
            <w:tcBorders>
              <w:top w:val="single" w:sz="4" w:space="0" w:color="auto"/>
              <w:left w:val="nil"/>
              <w:bottom w:val="single" w:sz="4" w:space="0" w:color="auto"/>
              <w:right w:val="nil"/>
            </w:tcBorders>
            <w:shd w:val="clear" w:color="auto" w:fill="auto"/>
            <w:noWrap/>
            <w:tcMar>
              <w:left w:w="0" w:type="dxa"/>
            </w:tcMar>
            <w:vAlign w:val="center"/>
            <w:hideMark/>
          </w:tcPr>
          <w:p w14:paraId="079A0CB4"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10,108,353</w:t>
            </w:r>
          </w:p>
        </w:tc>
        <w:tc>
          <w:tcPr>
            <w:tcW w:w="968" w:type="dxa"/>
            <w:tcBorders>
              <w:top w:val="single" w:sz="4" w:space="0" w:color="auto"/>
              <w:left w:val="nil"/>
              <w:bottom w:val="single" w:sz="4" w:space="0" w:color="auto"/>
              <w:right w:val="nil"/>
            </w:tcBorders>
            <w:shd w:val="clear" w:color="auto" w:fill="auto"/>
            <w:noWrap/>
            <w:tcMar>
              <w:left w:w="0" w:type="dxa"/>
            </w:tcMar>
            <w:vAlign w:val="center"/>
            <w:hideMark/>
          </w:tcPr>
          <w:p w14:paraId="3BE60D36" w14:textId="77777777" w:rsidR="000C519A" w:rsidRPr="000C519A" w:rsidRDefault="000C519A" w:rsidP="000C519A">
            <w:pPr>
              <w:spacing w:before="0" w:after="0" w:line="240" w:lineRule="auto"/>
              <w:jc w:val="right"/>
              <w:rPr>
                <w:rFonts w:ascii="Arial" w:hAnsi="Arial" w:cs="Arial"/>
                <w:b/>
                <w:bCs/>
                <w:sz w:val="16"/>
                <w:szCs w:val="16"/>
              </w:rPr>
            </w:pPr>
            <w:r w:rsidRPr="000C519A">
              <w:rPr>
                <w:rFonts w:ascii="Arial" w:hAnsi="Arial" w:cs="Arial"/>
                <w:b/>
                <w:bCs/>
                <w:sz w:val="16"/>
                <w:szCs w:val="16"/>
              </w:rPr>
              <w:t>10,044,733</w:t>
            </w:r>
          </w:p>
        </w:tc>
      </w:tr>
    </w:tbl>
    <w:p w14:paraId="45D45368" w14:textId="4B523350" w:rsidR="002B5B49" w:rsidRDefault="00EE7055" w:rsidP="00D97536">
      <w:pPr>
        <w:pStyle w:val="FootnoteText"/>
      </w:pPr>
      <w:r w:rsidRPr="00EE7055">
        <w:rPr>
          <w:vertAlign w:val="superscript"/>
        </w:rPr>
        <w:t>(a)</w:t>
      </w:r>
      <w:r>
        <w:tab/>
      </w:r>
      <w:r w:rsidRPr="00EE7055">
        <w:t>Special accounts are reported on a cash basis. This adjustment reflects the diffe</w:t>
      </w:r>
      <w:r w:rsidR="00D97536">
        <w:t xml:space="preserve">rences between expense and </w:t>
      </w:r>
      <w:proofErr w:type="gramStart"/>
      <w:r w:rsidR="00D97536">
        <w:t>cash</w:t>
      </w:r>
      <w:proofErr w:type="gramEnd"/>
    </w:p>
    <w:p w14:paraId="09A986E5" w14:textId="535A02F5" w:rsidR="00C91F7B" w:rsidRDefault="00C91F7B">
      <w:pPr>
        <w:spacing w:before="0" w:after="0" w:line="240" w:lineRule="auto"/>
      </w:pPr>
    </w:p>
    <w:p w14:paraId="5F93ED7B" w14:textId="0886A351" w:rsidR="002B5B49" w:rsidRPr="00A52488" w:rsidRDefault="00670727" w:rsidP="0015177F">
      <w:pPr>
        <w:pStyle w:val="Heading3"/>
        <w:spacing w:after="240"/>
        <w:rPr>
          <w:sz w:val="24"/>
          <w:szCs w:val="24"/>
        </w:rPr>
      </w:pPr>
      <w:r w:rsidRPr="00A52488">
        <w:rPr>
          <w:rFonts w:ascii="Arial" w:hAnsi="Arial" w:cs="Arial"/>
          <w:b w:val="0"/>
          <w:sz w:val="24"/>
          <w:szCs w:val="24"/>
        </w:rPr>
        <w:lastRenderedPageBreak/>
        <w:fldChar w:fldCharType="begin"/>
      </w:r>
      <w:r w:rsidRPr="00A52488">
        <w:rPr>
          <w:rFonts w:ascii="Arial" w:hAnsi="Arial" w:cs="Arial"/>
          <w:b w:val="0"/>
          <w:sz w:val="24"/>
          <w:szCs w:val="24"/>
        </w:rPr>
        <w:instrText xml:space="preserve"> </w:instrText>
      </w:r>
      <w:proofErr w:type="gramStart"/>
      <w:r w:rsidRPr="00A52488">
        <w:rPr>
          <w:rFonts w:ascii="Arial" w:hAnsi="Arial" w:cs="Arial"/>
          <w:b w:val="0"/>
          <w:sz w:val="24"/>
          <w:szCs w:val="24"/>
        </w:rPr>
        <w:instrText>TC  "</w:instrText>
      </w:r>
      <w:bookmarkStart w:id="310" w:name="_Toc155882372"/>
      <w:proofErr w:type="gramEnd"/>
      <w:r w:rsidRPr="00A52488">
        <w:rPr>
          <w:rFonts w:ascii="Arial" w:hAnsi="Arial" w:cs="Arial"/>
          <w:b w:val="0"/>
          <w:sz w:val="24"/>
          <w:szCs w:val="24"/>
        </w:rPr>
        <w:instrText>2.2</w:instrText>
      </w:r>
      <w:r w:rsidRPr="00A52488">
        <w:rPr>
          <w:rFonts w:ascii="Arial" w:hAnsi="Arial" w:cs="Arial"/>
          <w:b w:val="0"/>
          <w:sz w:val="24"/>
          <w:szCs w:val="24"/>
        </w:rPr>
        <w:tab/>
        <w:instrText>Budgeted expenses and performance for Outcome 2</w:instrText>
      </w:r>
      <w:bookmarkEnd w:id="310"/>
      <w:r w:rsidRPr="00A52488">
        <w:rPr>
          <w:rFonts w:ascii="Arial" w:hAnsi="Arial" w:cs="Arial"/>
          <w:b w:val="0"/>
          <w:sz w:val="24"/>
          <w:szCs w:val="24"/>
        </w:rPr>
        <w:instrText xml:space="preserve">" \f </w:instrText>
      </w:r>
      <w:proofErr w:type="spellStart"/>
      <w:r w:rsidRPr="00A52488">
        <w:rPr>
          <w:rFonts w:ascii="Arial" w:hAnsi="Arial" w:cs="Arial"/>
          <w:b w:val="0"/>
          <w:sz w:val="24"/>
          <w:szCs w:val="24"/>
        </w:rPr>
        <w:instrText>dohac</w:instrText>
      </w:r>
      <w:proofErr w:type="spellEnd"/>
      <w:r w:rsidRPr="00A52488">
        <w:rPr>
          <w:rFonts w:ascii="Arial" w:hAnsi="Arial" w:cs="Arial"/>
          <w:b w:val="0"/>
          <w:sz w:val="24"/>
          <w:szCs w:val="24"/>
        </w:rPr>
        <w:instrText xml:space="preserve"> \l 2 </w:instrText>
      </w:r>
      <w:r w:rsidRPr="00A52488">
        <w:rPr>
          <w:rFonts w:ascii="Arial" w:hAnsi="Arial" w:cs="Arial"/>
          <w:b w:val="0"/>
          <w:sz w:val="24"/>
          <w:szCs w:val="24"/>
        </w:rPr>
        <w:fldChar w:fldCharType="end"/>
      </w:r>
      <w:bookmarkStart w:id="311" w:name="_Toc157591997"/>
      <w:bookmarkStart w:id="312" w:name="_Toc157592180"/>
      <w:r w:rsidR="002B5B49" w:rsidRPr="00A52488">
        <w:rPr>
          <w:sz w:val="24"/>
          <w:szCs w:val="24"/>
        </w:rPr>
        <w:t>2.2</w:t>
      </w:r>
      <w:r w:rsidR="002B5B49" w:rsidRPr="00A52488">
        <w:rPr>
          <w:sz w:val="24"/>
          <w:szCs w:val="24"/>
        </w:rPr>
        <w:tab/>
        <w:t>Budgeted expenses and performance for Outcome 2</w:t>
      </w:r>
      <w:bookmarkEnd w:id="311"/>
      <w:bookmarkEnd w:id="3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B5B49" w:rsidRPr="005E6F2B" w14:paraId="2EBF1E2E" w14:textId="77777777" w:rsidTr="00E70AF2">
        <w:tc>
          <w:tcPr>
            <w:tcW w:w="7713" w:type="dxa"/>
            <w:shd w:val="clear" w:color="auto" w:fill="E6E6E6"/>
          </w:tcPr>
          <w:p w14:paraId="76F999A4" w14:textId="77777777" w:rsidR="009F6937" w:rsidRPr="009F6937" w:rsidRDefault="009F6937" w:rsidP="008209D0">
            <w:pPr>
              <w:pStyle w:val="TableColumnHeadingLeft"/>
              <w:spacing w:before="24" w:after="0"/>
              <w:rPr>
                <w:sz w:val="20"/>
              </w:rPr>
            </w:pPr>
            <w:r w:rsidRPr="009F6937">
              <w:rPr>
                <w:sz w:val="20"/>
              </w:rPr>
              <w:t>Outcome 2: Individual Health Benefits</w:t>
            </w:r>
          </w:p>
          <w:p w14:paraId="490A6485" w14:textId="471E1643" w:rsidR="002B5B49" w:rsidRPr="005E6F2B" w:rsidRDefault="009F6937" w:rsidP="00B80BE5">
            <w:pPr>
              <w:pStyle w:val="TableColumnHeadingLeft"/>
              <w:spacing w:before="74" w:after="24"/>
            </w:pPr>
            <w:r w:rsidRPr="00C91F7B">
              <w:rPr>
                <w:rFonts w:ascii="Arial" w:hAnsi="Arial" w:cs="Arial"/>
                <w:b w:val="0"/>
                <w:sz w:val="20"/>
              </w:rPr>
              <w:t>Ensuring improved access for all Australians to cost-effective and affordable medicines,</w:t>
            </w:r>
            <w:r>
              <w:rPr>
                <w:rFonts w:ascii="Arial" w:hAnsi="Arial" w:cs="Arial"/>
                <w:b w:val="0"/>
                <w:sz w:val="20"/>
              </w:rPr>
              <w:t xml:space="preserve"> </w:t>
            </w:r>
            <w:r w:rsidRPr="00C91F7B">
              <w:rPr>
                <w:rFonts w:ascii="Arial" w:hAnsi="Arial" w:cs="Arial"/>
                <w:b w:val="0"/>
                <w:sz w:val="20"/>
              </w:rPr>
              <w:t xml:space="preserve">medical, </w:t>
            </w:r>
            <w:proofErr w:type="gramStart"/>
            <w:r w:rsidRPr="00C91F7B">
              <w:rPr>
                <w:rFonts w:ascii="Arial" w:hAnsi="Arial" w:cs="Arial"/>
                <w:b w:val="0"/>
                <w:sz w:val="20"/>
              </w:rPr>
              <w:t>dental</w:t>
            </w:r>
            <w:proofErr w:type="gramEnd"/>
            <w:r w:rsidRPr="00C91F7B">
              <w:rPr>
                <w:rFonts w:ascii="Arial" w:hAnsi="Arial" w:cs="Arial"/>
                <w:b w:val="0"/>
                <w:sz w:val="20"/>
              </w:rPr>
              <w:t xml:space="preserve"> and hearing services; improved choice in healthcare services, through</w:t>
            </w:r>
            <w:r>
              <w:rPr>
                <w:rFonts w:ascii="Arial" w:hAnsi="Arial" w:cs="Arial"/>
                <w:b w:val="0"/>
                <w:sz w:val="20"/>
              </w:rPr>
              <w:t xml:space="preserve"> </w:t>
            </w:r>
            <w:r w:rsidRPr="00C91F7B">
              <w:rPr>
                <w:rFonts w:ascii="Arial" w:hAnsi="Arial" w:cs="Arial"/>
                <w:b w:val="0"/>
                <w:sz w:val="20"/>
              </w:rPr>
              <w:t>guaranteeing Medicare and the Pharmaceutical Benefits Scheme; supporting targeted</w:t>
            </w:r>
            <w:r>
              <w:rPr>
                <w:rFonts w:ascii="Arial" w:hAnsi="Arial" w:cs="Arial"/>
                <w:b w:val="0"/>
                <w:sz w:val="20"/>
              </w:rPr>
              <w:t xml:space="preserve"> </w:t>
            </w:r>
            <w:r w:rsidRPr="00C91F7B">
              <w:rPr>
                <w:rFonts w:ascii="Arial" w:hAnsi="Arial" w:cs="Arial"/>
                <w:b w:val="0"/>
                <w:sz w:val="20"/>
              </w:rPr>
              <w:t>assistance strategies and private health insurance.</w:t>
            </w:r>
          </w:p>
        </w:tc>
      </w:tr>
    </w:tbl>
    <w:p w14:paraId="74F598B5" w14:textId="77777777" w:rsidR="002B5B49" w:rsidRPr="005E6F2B" w:rsidRDefault="002B5B49" w:rsidP="002B5B49">
      <w:pPr>
        <w:pStyle w:val="NoSpacing"/>
      </w:pPr>
    </w:p>
    <w:p w14:paraId="16DAC670" w14:textId="5F484285" w:rsidR="002B5B49" w:rsidRPr="00CF2F45" w:rsidRDefault="0001438D" w:rsidP="002B5B49">
      <w:pPr>
        <w:pStyle w:val="Heading5"/>
        <w:rPr>
          <w:b/>
          <w:i w:val="0"/>
        </w:rPr>
      </w:pPr>
      <w:r w:rsidRPr="00CF2F45">
        <w:rPr>
          <w:b/>
          <w:i w:val="0"/>
        </w:rPr>
        <w:t>Budgeted expenses for Outcome 2</w:t>
      </w:r>
    </w:p>
    <w:p w14:paraId="61FB6451" w14:textId="77777777" w:rsidR="002B5B49" w:rsidRPr="0099191E" w:rsidRDefault="002B5B49" w:rsidP="002B5B49">
      <w:pPr>
        <w:rPr>
          <w:sz w:val="20"/>
        </w:rPr>
      </w:pPr>
      <w:r w:rsidRPr="0099191E">
        <w:rPr>
          <w:sz w:val="20"/>
        </w:rPr>
        <w:t>This table shows how much the entity intends to spend (on an accrual basis) on achieving the outcome, broken down by program, as well as by Administered and Departmental funding sources.</w:t>
      </w:r>
    </w:p>
    <w:p w14:paraId="04446905" w14:textId="63B82F76" w:rsidR="002B5B49" w:rsidRDefault="002B5B49" w:rsidP="002B5B49">
      <w:pPr>
        <w:pStyle w:val="TableHeading"/>
      </w:pPr>
      <w:r w:rsidRPr="00D93D96">
        <w:t>Table 2.</w:t>
      </w:r>
      <w:r w:rsidR="00F2198D">
        <w:t>2</w:t>
      </w:r>
      <w:r>
        <w:t>.</w:t>
      </w:r>
      <w:r w:rsidRPr="00D93D96">
        <w:t>1</w:t>
      </w:r>
      <w:r w:rsidR="00A52488">
        <w:t>: Variations Table –</w:t>
      </w:r>
      <w:r w:rsidR="00E81B71">
        <w:t xml:space="preserve"> </w:t>
      </w:r>
      <w:r w:rsidRPr="00D93D96">
        <w:t xml:space="preserve">Outcome </w:t>
      </w:r>
      <w:r w:rsidR="00F2198D">
        <w:t>2</w:t>
      </w:r>
    </w:p>
    <w:tbl>
      <w:tblPr>
        <w:tblW w:w="7660" w:type="dxa"/>
        <w:jc w:val="center"/>
        <w:tblLayout w:type="fixed"/>
        <w:tblLook w:val="04A0" w:firstRow="1" w:lastRow="0" w:firstColumn="1" w:lastColumn="0" w:noHBand="0" w:noVBand="1"/>
      </w:tblPr>
      <w:tblGrid>
        <w:gridCol w:w="4060"/>
        <w:gridCol w:w="900"/>
        <w:gridCol w:w="900"/>
        <w:gridCol w:w="900"/>
        <w:gridCol w:w="900"/>
      </w:tblGrid>
      <w:tr w:rsidR="00F2198D" w:rsidRPr="00F2198D" w14:paraId="65191BDE" w14:textId="77777777" w:rsidTr="00DA14FC">
        <w:trPr>
          <w:trHeight w:val="397"/>
          <w:jc w:val="center"/>
        </w:trPr>
        <w:tc>
          <w:tcPr>
            <w:tcW w:w="4060" w:type="dxa"/>
            <w:tcBorders>
              <w:top w:val="single" w:sz="4" w:space="0" w:color="auto"/>
              <w:left w:val="nil"/>
              <w:bottom w:val="nil"/>
              <w:right w:val="nil"/>
            </w:tcBorders>
            <w:shd w:val="clear" w:color="auto" w:fill="auto"/>
            <w:hideMark/>
          </w:tcPr>
          <w:p w14:paraId="7EB3F60C" w14:textId="77777777" w:rsidR="00F2198D" w:rsidRPr="00F2198D" w:rsidRDefault="00F2198D" w:rsidP="00DF588A">
            <w:pPr>
              <w:spacing w:before="24" w:after="0" w:line="240" w:lineRule="auto"/>
              <w:jc w:val="right"/>
              <w:rPr>
                <w:rFonts w:ascii="Arial" w:hAnsi="Arial" w:cs="Arial"/>
                <w:sz w:val="16"/>
                <w:szCs w:val="16"/>
              </w:rPr>
            </w:pPr>
            <w:r w:rsidRPr="00F2198D">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58F3156E" w14:textId="4CA83EF1" w:rsidR="00F2198D" w:rsidRPr="00F2198D" w:rsidRDefault="00F94336" w:rsidP="00DF588A">
            <w:pPr>
              <w:spacing w:before="24" w:after="0" w:line="240" w:lineRule="auto"/>
              <w:jc w:val="right"/>
              <w:rPr>
                <w:rFonts w:ascii="Arial" w:hAnsi="Arial" w:cs="Arial"/>
                <w:b/>
                <w:bCs/>
                <w:sz w:val="16"/>
                <w:szCs w:val="16"/>
              </w:rPr>
            </w:pPr>
            <w:r>
              <w:rPr>
                <w:rFonts w:ascii="Arial" w:hAnsi="Arial" w:cs="Arial"/>
                <w:b/>
                <w:bCs/>
                <w:sz w:val="16"/>
                <w:szCs w:val="16"/>
              </w:rPr>
              <w:t>2023–</w:t>
            </w:r>
            <w:r w:rsidR="00F2198D" w:rsidRPr="00F2198D">
              <w:rPr>
                <w:rFonts w:ascii="Arial" w:hAnsi="Arial" w:cs="Arial"/>
                <w:b/>
                <w:bCs/>
                <w:sz w:val="16"/>
                <w:szCs w:val="16"/>
              </w:rPr>
              <w:t>24</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08A0C89" w14:textId="1189BD5A" w:rsidR="00F2198D" w:rsidRPr="00F2198D" w:rsidRDefault="00F94336" w:rsidP="00DF588A">
            <w:pPr>
              <w:spacing w:before="24" w:after="0" w:line="240" w:lineRule="auto"/>
              <w:jc w:val="right"/>
              <w:rPr>
                <w:rFonts w:ascii="Arial" w:hAnsi="Arial" w:cs="Arial"/>
                <w:b/>
                <w:bCs/>
                <w:sz w:val="16"/>
                <w:szCs w:val="16"/>
              </w:rPr>
            </w:pPr>
            <w:r>
              <w:rPr>
                <w:rFonts w:ascii="Arial" w:hAnsi="Arial" w:cs="Arial"/>
                <w:b/>
                <w:bCs/>
                <w:sz w:val="16"/>
                <w:szCs w:val="16"/>
              </w:rPr>
              <w:t>2024–</w:t>
            </w:r>
            <w:r w:rsidR="00F2198D" w:rsidRPr="00F2198D">
              <w:rPr>
                <w:rFonts w:ascii="Arial" w:hAnsi="Arial" w:cs="Arial"/>
                <w:b/>
                <w:bCs/>
                <w:sz w:val="16"/>
                <w:szCs w:val="16"/>
              </w:rPr>
              <w:t>25</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4B0F82A4" w14:textId="3CDA108F" w:rsidR="00F2198D" w:rsidRPr="00F2198D" w:rsidRDefault="00F94336" w:rsidP="00DF588A">
            <w:pPr>
              <w:spacing w:before="24" w:after="0" w:line="240" w:lineRule="auto"/>
              <w:jc w:val="right"/>
              <w:rPr>
                <w:rFonts w:ascii="Arial" w:hAnsi="Arial" w:cs="Arial"/>
                <w:b/>
                <w:bCs/>
                <w:sz w:val="16"/>
                <w:szCs w:val="16"/>
              </w:rPr>
            </w:pPr>
            <w:r>
              <w:rPr>
                <w:rFonts w:ascii="Arial" w:hAnsi="Arial" w:cs="Arial"/>
                <w:b/>
                <w:bCs/>
                <w:sz w:val="16"/>
                <w:szCs w:val="16"/>
              </w:rPr>
              <w:t>2025–</w:t>
            </w:r>
            <w:r w:rsidR="00F2198D" w:rsidRPr="00F2198D">
              <w:rPr>
                <w:rFonts w:ascii="Arial" w:hAnsi="Arial" w:cs="Arial"/>
                <w:b/>
                <w:bCs/>
                <w:sz w:val="16"/>
                <w:szCs w:val="16"/>
              </w:rPr>
              <w:t>26</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D13A120" w14:textId="733DB114" w:rsidR="00F2198D" w:rsidRPr="00F2198D" w:rsidRDefault="00F94336" w:rsidP="00DF588A">
            <w:pPr>
              <w:spacing w:before="24" w:after="0" w:line="240" w:lineRule="auto"/>
              <w:jc w:val="right"/>
              <w:rPr>
                <w:rFonts w:ascii="Arial" w:hAnsi="Arial" w:cs="Arial"/>
                <w:b/>
                <w:bCs/>
                <w:sz w:val="16"/>
                <w:szCs w:val="16"/>
              </w:rPr>
            </w:pPr>
            <w:r>
              <w:rPr>
                <w:rFonts w:ascii="Arial" w:hAnsi="Arial" w:cs="Arial"/>
                <w:b/>
                <w:bCs/>
                <w:sz w:val="16"/>
                <w:szCs w:val="16"/>
              </w:rPr>
              <w:t>2026–</w:t>
            </w:r>
            <w:r w:rsidR="00F2198D" w:rsidRPr="00F2198D">
              <w:rPr>
                <w:rFonts w:ascii="Arial" w:hAnsi="Arial" w:cs="Arial"/>
                <w:b/>
                <w:bCs/>
                <w:sz w:val="16"/>
                <w:szCs w:val="16"/>
              </w:rPr>
              <w:t>27</w:t>
            </w:r>
            <w:r w:rsidR="00F2198D" w:rsidRPr="00F2198D">
              <w:rPr>
                <w:rFonts w:ascii="Arial" w:hAnsi="Arial" w:cs="Arial"/>
                <w:b/>
                <w:bCs/>
                <w:sz w:val="16"/>
                <w:szCs w:val="16"/>
              </w:rPr>
              <w:br/>
            </w:r>
            <w:r w:rsidR="00F2198D" w:rsidRPr="00F2198D">
              <w:rPr>
                <w:rFonts w:ascii="Arial" w:hAnsi="Arial" w:cs="Arial"/>
                <w:sz w:val="16"/>
                <w:szCs w:val="16"/>
              </w:rPr>
              <w:t>$'000</w:t>
            </w:r>
          </w:p>
        </w:tc>
      </w:tr>
      <w:tr w:rsidR="00F2198D" w:rsidRPr="00F2198D" w14:paraId="63F90846" w14:textId="77777777" w:rsidTr="0016489F">
        <w:trPr>
          <w:trHeight w:val="283"/>
          <w:jc w:val="center"/>
        </w:trPr>
        <w:tc>
          <w:tcPr>
            <w:tcW w:w="4060" w:type="dxa"/>
            <w:tcBorders>
              <w:top w:val="nil"/>
              <w:left w:val="nil"/>
              <w:bottom w:val="nil"/>
              <w:right w:val="nil"/>
            </w:tcBorders>
            <w:shd w:val="clear" w:color="auto" w:fill="auto"/>
            <w:noWrap/>
            <w:vAlign w:val="bottom"/>
            <w:hideMark/>
          </w:tcPr>
          <w:p w14:paraId="0F4F0C49"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2.1: Medical Benefits</w:t>
            </w:r>
          </w:p>
        </w:tc>
        <w:tc>
          <w:tcPr>
            <w:tcW w:w="900" w:type="dxa"/>
            <w:tcBorders>
              <w:top w:val="nil"/>
              <w:left w:val="nil"/>
              <w:bottom w:val="nil"/>
              <w:right w:val="nil"/>
            </w:tcBorders>
            <w:shd w:val="clear" w:color="auto" w:fill="auto"/>
            <w:noWrap/>
            <w:vAlign w:val="bottom"/>
            <w:hideMark/>
          </w:tcPr>
          <w:p w14:paraId="669710ED" w14:textId="77777777" w:rsidR="00F2198D" w:rsidRPr="00F2198D" w:rsidRDefault="00F2198D" w:rsidP="00F2198D">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C714E15"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1CD4A61"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BAB4168"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2950CAB0" w14:textId="77777777" w:rsidTr="00DF588A">
        <w:trPr>
          <w:trHeight w:val="283"/>
          <w:jc w:val="center"/>
        </w:trPr>
        <w:tc>
          <w:tcPr>
            <w:tcW w:w="4060" w:type="dxa"/>
            <w:tcBorders>
              <w:top w:val="nil"/>
              <w:left w:val="nil"/>
              <w:bottom w:val="nil"/>
              <w:right w:val="nil"/>
            </w:tcBorders>
            <w:shd w:val="clear" w:color="auto" w:fill="auto"/>
            <w:noWrap/>
            <w:vAlign w:val="bottom"/>
            <w:hideMark/>
          </w:tcPr>
          <w:p w14:paraId="63BF48EF"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3C5DDB0E" w14:textId="77777777" w:rsidR="00F2198D" w:rsidRPr="00F2198D" w:rsidRDefault="00F2198D" w:rsidP="00F2198D">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7A986F1"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DAACA1B"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C183FB4"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A8CAE2D" w14:textId="77777777" w:rsidTr="00DF588A">
        <w:trPr>
          <w:trHeight w:val="283"/>
          <w:jc w:val="center"/>
        </w:trPr>
        <w:tc>
          <w:tcPr>
            <w:tcW w:w="4060" w:type="dxa"/>
            <w:tcBorders>
              <w:top w:val="nil"/>
              <w:left w:val="nil"/>
              <w:bottom w:val="nil"/>
              <w:right w:val="nil"/>
            </w:tcBorders>
            <w:shd w:val="clear" w:color="auto" w:fill="auto"/>
            <w:noWrap/>
            <w:vAlign w:val="bottom"/>
            <w:hideMark/>
          </w:tcPr>
          <w:p w14:paraId="1B7C83CD"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12D91C5A" w14:textId="77777777" w:rsidR="00F2198D" w:rsidRPr="00F2198D" w:rsidRDefault="00F2198D" w:rsidP="00F2198D">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E216A1C"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2F07D9A"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F0F5715"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72CBF64A" w14:textId="77777777" w:rsidTr="00DF588A">
        <w:trPr>
          <w:trHeight w:val="454"/>
          <w:jc w:val="center"/>
        </w:trPr>
        <w:tc>
          <w:tcPr>
            <w:tcW w:w="4060" w:type="dxa"/>
            <w:tcBorders>
              <w:top w:val="nil"/>
              <w:left w:val="nil"/>
              <w:bottom w:val="nil"/>
              <w:right w:val="nil"/>
            </w:tcBorders>
            <w:shd w:val="clear" w:color="auto" w:fill="auto"/>
            <w:vAlign w:val="bottom"/>
            <w:hideMark/>
          </w:tcPr>
          <w:p w14:paraId="4202BD67"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b/>
                <w:bCs/>
                <w:sz w:val="16"/>
                <w:szCs w:val="16"/>
              </w:rPr>
              <w:t>Measure</w:t>
            </w:r>
            <w:r w:rsidRPr="00F2198D">
              <w:rPr>
                <w:rFonts w:ascii="Arial" w:hAnsi="Arial" w:cs="Arial"/>
                <w:sz w:val="16"/>
                <w:szCs w:val="16"/>
              </w:rPr>
              <w:t xml:space="preserve"> - An Effective and Clinically appropriate Medicare</w:t>
            </w:r>
          </w:p>
        </w:tc>
        <w:tc>
          <w:tcPr>
            <w:tcW w:w="900" w:type="dxa"/>
            <w:tcBorders>
              <w:top w:val="nil"/>
              <w:left w:val="nil"/>
              <w:bottom w:val="nil"/>
              <w:right w:val="nil"/>
            </w:tcBorders>
            <w:shd w:val="clear" w:color="auto" w:fill="auto"/>
            <w:noWrap/>
            <w:vAlign w:val="bottom"/>
            <w:hideMark/>
          </w:tcPr>
          <w:p w14:paraId="7E28F61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265 </w:t>
            </w:r>
          </w:p>
        </w:tc>
        <w:tc>
          <w:tcPr>
            <w:tcW w:w="900" w:type="dxa"/>
            <w:tcBorders>
              <w:top w:val="nil"/>
              <w:left w:val="nil"/>
              <w:bottom w:val="nil"/>
              <w:right w:val="nil"/>
            </w:tcBorders>
            <w:shd w:val="clear" w:color="auto" w:fill="auto"/>
            <w:noWrap/>
            <w:vAlign w:val="bottom"/>
            <w:hideMark/>
          </w:tcPr>
          <w:p w14:paraId="0475390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255 </w:t>
            </w:r>
          </w:p>
        </w:tc>
        <w:tc>
          <w:tcPr>
            <w:tcW w:w="900" w:type="dxa"/>
            <w:tcBorders>
              <w:top w:val="nil"/>
              <w:left w:val="nil"/>
              <w:bottom w:val="nil"/>
              <w:right w:val="nil"/>
            </w:tcBorders>
            <w:shd w:val="clear" w:color="auto" w:fill="auto"/>
            <w:noWrap/>
            <w:vAlign w:val="bottom"/>
            <w:hideMark/>
          </w:tcPr>
          <w:p w14:paraId="201A953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6DA611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736C9DC1" w14:textId="77777777" w:rsidTr="003B2651">
        <w:trPr>
          <w:trHeight w:val="283"/>
          <w:jc w:val="center"/>
        </w:trPr>
        <w:tc>
          <w:tcPr>
            <w:tcW w:w="4060" w:type="dxa"/>
            <w:tcBorders>
              <w:top w:val="nil"/>
              <w:left w:val="nil"/>
              <w:bottom w:val="nil"/>
              <w:right w:val="nil"/>
            </w:tcBorders>
            <w:shd w:val="clear" w:color="auto" w:fill="auto"/>
            <w:vAlign w:val="bottom"/>
            <w:hideMark/>
          </w:tcPr>
          <w:p w14:paraId="15B4588A"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Increased cost recovery fees - reprofile of funding</w:t>
            </w:r>
          </w:p>
        </w:tc>
        <w:tc>
          <w:tcPr>
            <w:tcW w:w="900" w:type="dxa"/>
            <w:tcBorders>
              <w:top w:val="nil"/>
              <w:left w:val="nil"/>
              <w:bottom w:val="nil"/>
              <w:right w:val="nil"/>
            </w:tcBorders>
            <w:shd w:val="clear" w:color="auto" w:fill="auto"/>
            <w:noWrap/>
            <w:vAlign w:val="bottom"/>
            <w:hideMark/>
          </w:tcPr>
          <w:p w14:paraId="42B5701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6,561 </w:t>
            </w:r>
          </w:p>
        </w:tc>
        <w:tc>
          <w:tcPr>
            <w:tcW w:w="900" w:type="dxa"/>
            <w:tcBorders>
              <w:top w:val="nil"/>
              <w:left w:val="nil"/>
              <w:bottom w:val="nil"/>
              <w:right w:val="nil"/>
            </w:tcBorders>
            <w:shd w:val="clear" w:color="auto" w:fill="auto"/>
            <w:noWrap/>
            <w:vAlign w:val="bottom"/>
            <w:hideMark/>
          </w:tcPr>
          <w:p w14:paraId="4599E08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B482B8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ABBD87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13221C68" w14:textId="77777777" w:rsidTr="003B2651">
        <w:trPr>
          <w:trHeight w:val="454"/>
          <w:jc w:val="center"/>
        </w:trPr>
        <w:tc>
          <w:tcPr>
            <w:tcW w:w="4060" w:type="dxa"/>
            <w:tcBorders>
              <w:top w:val="nil"/>
              <w:left w:val="nil"/>
              <w:bottom w:val="nil"/>
              <w:right w:val="nil"/>
            </w:tcBorders>
            <w:shd w:val="clear" w:color="auto" w:fill="auto"/>
            <w:vAlign w:val="bottom"/>
            <w:hideMark/>
          </w:tcPr>
          <w:p w14:paraId="28ECE25C"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Medical Benefits Scheme Reviews - reprofile of funding</w:t>
            </w:r>
          </w:p>
        </w:tc>
        <w:tc>
          <w:tcPr>
            <w:tcW w:w="900" w:type="dxa"/>
            <w:tcBorders>
              <w:top w:val="nil"/>
              <w:left w:val="nil"/>
              <w:bottom w:val="nil"/>
              <w:right w:val="nil"/>
            </w:tcBorders>
            <w:shd w:val="clear" w:color="auto" w:fill="auto"/>
            <w:noWrap/>
            <w:vAlign w:val="bottom"/>
            <w:hideMark/>
          </w:tcPr>
          <w:p w14:paraId="22B4B6F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1,149 </w:t>
            </w:r>
          </w:p>
        </w:tc>
        <w:tc>
          <w:tcPr>
            <w:tcW w:w="900" w:type="dxa"/>
            <w:tcBorders>
              <w:top w:val="nil"/>
              <w:left w:val="nil"/>
              <w:bottom w:val="nil"/>
              <w:right w:val="nil"/>
            </w:tcBorders>
            <w:shd w:val="clear" w:color="auto" w:fill="auto"/>
            <w:noWrap/>
            <w:vAlign w:val="bottom"/>
            <w:hideMark/>
          </w:tcPr>
          <w:p w14:paraId="09DC0FE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A59DEA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4BFF4E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105A4FCE" w14:textId="77777777" w:rsidTr="003B2651">
        <w:trPr>
          <w:trHeight w:val="283"/>
          <w:jc w:val="center"/>
        </w:trPr>
        <w:tc>
          <w:tcPr>
            <w:tcW w:w="4060" w:type="dxa"/>
            <w:tcBorders>
              <w:top w:val="nil"/>
              <w:left w:val="nil"/>
              <w:bottom w:val="nil"/>
              <w:right w:val="nil"/>
            </w:tcBorders>
            <w:shd w:val="clear" w:color="auto" w:fill="auto"/>
            <w:noWrap/>
            <w:vAlign w:val="bottom"/>
            <w:hideMark/>
          </w:tcPr>
          <w:p w14:paraId="1EA86BE5"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 xml:space="preserve">Price parameter adjustments </w:t>
            </w:r>
            <w:r w:rsidRPr="00F2198D">
              <w:rPr>
                <w:rFonts w:ascii="Arial" w:hAnsi="Arial" w:cs="Arial"/>
                <w:sz w:val="16"/>
                <w:szCs w:val="16"/>
                <w:vertAlign w:val="superscript"/>
              </w:rPr>
              <w:t>(a)</w:t>
            </w:r>
          </w:p>
        </w:tc>
        <w:tc>
          <w:tcPr>
            <w:tcW w:w="900" w:type="dxa"/>
            <w:tcBorders>
              <w:top w:val="nil"/>
              <w:left w:val="nil"/>
              <w:bottom w:val="nil"/>
              <w:right w:val="nil"/>
            </w:tcBorders>
            <w:shd w:val="clear" w:color="auto" w:fill="auto"/>
            <w:noWrap/>
            <w:vAlign w:val="bottom"/>
            <w:hideMark/>
          </w:tcPr>
          <w:p w14:paraId="3E3FE6D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486A35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C35EC8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 </w:t>
            </w:r>
          </w:p>
        </w:tc>
        <w:tc>
          <w:tcPr>
            <w:tcW w:w="900" w:type="dxa"/>
            <w:tcBorders>
              <w:top w:val="nil"/>
              <w:left w:val="nil"/>
              <w:bottom w:val="nil"/>
              <w:right w:val="nil"/>
            </w:tcBorders>
            <w:shd w:val="clear" w:color="auto" w:fill="auto"/>
            <w:noWrap/>
            <w:vAlign w:val="bottom"/>
            <w:hideMark/>
          </w:tcPr>
          <w:p w14:paraId="2BC06E75"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 </w:t>
            </w:r>
          </w:p>
        </w:tc>
      </w:tr>
      <w:tr w:rsidR="00F2198D" w:rsidRPr="00F2198D" w14:paraId="6633E76F" w14:textId="77777777" w:rsidTr="003B2651">
        <w:trPr>
          <w:trHeight w:val="283"/>
          <w:jc w:val="center"/>
        </w:trPr>
        <w:tc>
          <w:tcPr>
            <w:tcW w:w="4060" w:type="dxa"/>
            <w:tcBorders>
              <w:top w:val="nil"/>
              <w:left w:val="nil"/>
              <w:bottom w:val="nil"/>
              <w:right w:val="nil"/>
            </w:tcBorders>
            <w:shd w:val="clear" w:color="auto" w:fill="auto"/>
            <w:noWrap/>
            <w:vAlign w:val="bottom"/>
            <w:hideMark/>
          </w:tcPr>
          <w:p w14:paraId="73B44862" w14:textId="77777777" w:rsidR="00F2198D" w:rsidRPr="00F2198D" w:rsidRDefault="00F2198D" w:rsidP="00F2198D">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6649BA6E"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7,975 </w:t>
            </w:r>
          </w:p>
        </w:tc>
        <w:tc>
          <w:tcPr>
            <w:tcW w:w="900" w:type="dxa"/>
            <w:tcBorders>
              <w:top w:val="single" w:sz="4" w:space="0" w:color="auto"/>
              <w:left w:val="nil"/>
              <w:bottom w:val="single" w:sz="4" w:space="0" w:color="auto"/>
              <w:right w:val="nil"/>
            </w:tcBorders>
            <w:shd w:val="clear" w:color="auto" w:fill="auto"/>
            <w:noWrap/>
            <w:vAlign w:val="bottom"/>
            <w:hideMark/>
          </w:tcPr>
          <w:p w14:paraId="3581FE48"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255 </w:t>
            </w:r>
          </w:p>
        </w:tc>
        <w:tc>
          <w:tcPr>
            <w:tcW w:w="900" w:type="dxa"/>
            <w:tcBorders>
              <w:top w:val="single" w:sz="4" w:space="0" w:color="auto"/>
              <w:left w:val="nil"/>
              <w:bottom w:val="single" w:sz="4" w:space="0" w:color="auto"/>
              <w:right w:val="nil"/>
            </w:tcBorders>
            <w:shd w:val="clear" w:color="auto" w:fill="auto"/>
            <w:noWrap/>
            <w:vAlign w:val="bottom"/>
            <w:hideMark/>
          </w:tcPr>
          <w:p w14:paraId="5704CE58"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 </w:t>
            </w:r>
          </w:p>
        </w:tc>
        <w:tc>
          <w:tcPr>
            <w:tcW w:w="900" w:type="dxa"/>
            <w:tcBorders>
              <w:top w:val="single" w:sz="4" w:space="0" w:color="auto"/>
              <w:left w:val="nil"/>
              <w:bottom w:val="single" w:sz="4" w:space="0" w:color="auto"/>
              <w:right w:val="nil"/>
            </w:tcBorders>
            <w:shd w:val="clear" w:color="auto" w:fill="auto"/>
            <w:noWrap/>
            <w:vAlign w:val="bottom"/>
            <w:hideMark/>
          </w:tcPr>
          <w:p w14:paraId="6E6CFD07"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 </w:t>
            </w:r>
          </w:p>
        </w:tc>
      </w:tr>
      <w:tr w:rsidR="00F2198D" w:rsidRPr="00F2198D" w14:paraId="70EF3A8A" w14:textId="77777777" w:rsidTr="0016489F">
        <w:trPr>
          <w:trHeight w:val="283"/>
          <w:jc w:val="center"/>
        </w:trPr>
        <w:tc>
          <w:tcPr>
            <w:tcW w:w="4060" w:type="dxa"/>
            <w:tcBorders>
              <w:top w:val="nil"/>
              <w:left w:val="nil"/>
              <w:bottom w:val="nil"/>
              <w:right w:val="nil"/>
            </w:tcBorders>
            <w:shd w:val="clear" w:color="auto" w:fill="auto"/>
            <w:noWrap/>
            <w:vAlign w:val="bottom"/>
            <w:hideMark/>
          </w:tcPr>
          <w:p w14:paraId="70426AC2"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2.2: Hearing Services</w:t>
            </w:r>
          </w:p>
        </w:tc>
        <w:tc>
          <w:tcPr>
            <w:tcW w:w="900" w:type="dxa"/>
            <w:tcBorders>
              <w:top w:val="nil"/>
              <w:left w:val="nil"/>
              <w:bottom w:val="nil"/>
              <w:right w:val="nil"/>
            </w:tcBorders>
            <w:shd w:val="clear" w:color="auto" w:fill="auto"/>
            <w:noWrap/>
            <w:vAlign w:val="bottom"/>
            <w:hideMark/>
          </w:tcPr>
          <w:p w14:paraId="3F0681B9" w14:textId="77777777" w:rsidR="00F2198D" w:rsidRPr="00F2198D" w:rsidRDefault="00F2198D" w:rsidP="00F2198D">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7AB69C0"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604D8E6"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301A3A2"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1C1B2BB" w14:textId="77777777" w:rsidTr="003B2651">
        <w:trPr>
          <w:trHeight w:val="283"/>
          <w:jc w:val="center"/>
        </w:trPr>
        <w:tc>
          <w:tcPr>
            <w:tcW w:w="4060" w:type="dxa"/>
            <w:tcBorders>
              <w:top w:val="nil"/>
              <w:left w:val="nil"/>
              <w:bottom w:val="nil"/>
              <w:right w:val="nil"/>
            </w:tcBorders>
            <w:shd w:val="clear" w:color="auto" w:fill="auto"/>
            <w:noWrap/>
            <w:vAlign w:val="bottom"/>
            <w:hideMark/>
          </w:tcPr>
          <w:p w14:paraId="24A5C549"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68E4363" w14:textId="77777777" w:rsidR="00F2198D" w:rsidRPr="00F2198D" w:rsidRDefault="00F2198D" w:rsidP="00F2198D">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ABBD37B" w14:textId="77777777" w:rsidR="00F2198D" w:rsidRPr="00F2198D" w:rsidRDefault="00F2198D" w:rsidP="00F2198D">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2ACD719"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BC4A383"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37C25CF" w14:textId="77777777" w:rsidTr="003B2651">
        <w:trPr>
          <w:trHeight w:val="283"/>
          <w:jc w:val="center"/>
        </w:trPr>
        <w:tc>
          <w:tcPr>
            <w:tcW w:w="4060" w:type="dxa"/>
            <w:tcBorders>
              <w:top w:val="nil"/>
              <w:left w:val="nil"/>
              <w:bottom w:val="nil"/>
              <w:right w:val="nil"/>
            </w:tcBorders>
            <w:shd w:val="clear" w:color="auto" w:fill="auto"/>
            <w:noWrap/>
            <w:vAlign w:val="bottom"/>
            <w:hideMark/>
          </w:tcPr>
          <w:p w14:paraId="6EF2771D"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66D082CD" w14:textId="77777777" w:rsidR="00F2198D" w:rsidRPr="00F2198D" w:rsidRDefault="00F2198D" w:rsidP="00F2198D">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836E8A2"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D8779DA" w14:textId="77777777" w:rsidR="00F2198D" w:rsidRPr="00F2198D" w:rsidRDefault="00F2198D" w:rsidP="00F2198D">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15A625B"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70F80941" w14:textId="77777777" w:rsidTr="003B2651">
        <w:trPr>
          <w:trHeight w:val="283"/>
          <w:jc w:val="center"/>
        </w:trPr>
        <w:tc>
          <w:tcPr>
            <w:tcW w:w="4060" w:type="dxa"/>
            <w:tcBorders>
              <w:top w:val="nil"/>
              <w:left w:val="nil"/>
              <w:bottom w:val="nil"/>
              <w:right w:val="nil"/>
            </w:tcBorders>
            <w:shd w:val="clear" w:color="auto" w:fill="auto"/>
            <w:vAlign w:val="bottom"/>
            <w:hideMark/>
          </w:tcPr>
          <w:p w14:paraId="3CC34DA4"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b/>
                <w:bCs/>
                <w:sz w:val="16"/>
                <w:szCs w:val="16"/>
              </w:rPr>
              <w:t>Measure</w:t>
            </w:r>
            <w:r w:rsidRPr="00F2198D">
              <w:rPr>
                <w:rFonts w:ascii="Arial" w:hAnsi="Arial" w:cs="Arial"/>
                <w:sz w:val="16"/>
                <w:szCs w:val="16"/>
              </w:rPr>
              <w:t xml:space="preserve"> - Australia's Humanitarian Program</w:t>
            </w:r>
          </w:p>
        </w:tc>
        <w:tc>
          <w:tcPr>
            <w:tcW w:w="900" w:type="dxa"/>
            <w:tcBorders>
              <w:top w:val="nil"/>
              <w:left w:val="nil"/>
              <w:bottom w:val="nil"/>
              <w:right w:val="nil"/>
            </w:tcBorders>
            <w:shd w:val="clear" w:color="auto" w:fill="auto"/>
            <w:noWrap/>
            <w:vAlign w:val="bottom"/>
            <w:hideMark/>
          </w:tcPr>
          <w:p w14:paraId="2B86657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 </w:t>
            </w:r>
          </w:p>
        </w:tc>
        <w:tc>
          <w:tcPr>
            <w:tcW w:w="900" w:type="dxa"/>
            <w:tcBorders>
              <w:top w:val="nil"/>
              <w:left w:val="nil"/>
              <w:bottom w:val="nil"/>
              <w:right w:val="nil"/>
            </w:tcBorders>
            <w:shd w:val="clear" w:color="auto" w:fill="auto"/>
            <w:noWrap/>
            <w:vAlign w:val="bottom"/>
            <w:hideMark/>
          </w:tcPr>
          <w:p w14:paraId="5DEE8A3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14 </w:t>
            </w:r>
          </w:p>
        </w:tc>
        <w:tc>
          <w:tcPr>
            <w:tcW w:w="900" w:type="dxa"/>
            <w:tcBorders>
              <w:top w:val="nil"/>
              <w:left w:val="nil"/>
              <w:bottom w:val="nil"/>
              <w:right w:val="nil"/>
            </w:tcBorders>
            <w:shd w:val="clear" w:color="auto" w:fill="auto"/>
            <w:noWrap/>
            <w:vAlign w:val="bottom"/>
            <w:hideMark/>
          </w:tcPr>
          <w:p w14:paraId="2339954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32 </w:t>
            </w:r>
          </w:p>
        </w:tc>
        <w:tc>
          <w:tcPr>
            <w:tcW w:w="900" w:type="dxa"/>
            <w:tcBorders>
              <w:top w:val="nil"/>
              <w:left w:val="nil"/>
              <w:bottom w:val="nil"/>
              <w:right w:val="nil"/>
            </w:tcBorders>
            <w:shd w:val="clear" w:color="auto" w:fill="auto"/>
            <w:noWrap/>
            <w:vAlign w:val="bottom"/>
            <w:hideMark/>
          </w:tcPr>
          <w:p w14:paraId="7321C10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60 </w:t>
            </w:r>
          </w:p>
        </w:tc>
      </w:tr>
      <w:tr w:rsidR="00F2198D" w:rsidRPr="00F2198D" w14:paraId="33A1061B" w14:textId="77777777" w:rsidTr="003B2651">
        <w:trPr>
          <w:trHeight w:val="283"/>
          <w:jc w:val="center"/>
        </w:trPr>
        <w:tc>
          <w:tcPr>
            <w:tcW w:w="4060" w:type="dxa"/>
            <w:tcBorders>
              <w:top w:val="nil"/>
              <w:left w:val="nil"/>
              <w:bottom w:val="nil"/>
              <w:right w:val="nil"/>
            </w:tcBorders>
            <w:shd w:val="clear" w:color="000000" w:fill="FFFFFF"/>
            <w:vAlign w:val="bottom"/>
            <w:hideMark/>
          </w:tcPr>
          <w:p w14:paraId="7687F46D"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Hearing Services Program - model update</w:t>
            </w:r>
          </w:p>
        </w:tc>
        <w:tc>
          <w:tcPr>
            <w:tcW w:w="900" w:type="dxa"/>
            <w:tcBorders>
              <w:top w:val="nil"/>
              <w:left w:val="nil"/>
              <w:bottom w:val="nil"/>
              <w:right w:val="nil"/>
            </w:tcBorders>
            <w:shd w:val="clear" w:color="auto" w:fill="auto"/>
            <w:noWrap/>
            <w:vAlign w:val="bottom"/>
            <w:hideMark/>
          </w:tcPr>
          <w:p w14:paraId="58B8F68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986 </w:t>
            </w:r>
          </w:p>
        </w:tc>
        <w:tc>
          <w:tcPr>
            <w:tcW w:w="900" w:type="dxa"/>
            <w:tcBorders>
              <w:top w:val="nil"/>
              <w:left w:val="nil"/>
              <w:bottom w:val="nil"/>
              <w:right w:val="nil"/>
            </w:tcBorders>
            <w:shd w:val="clear" w:color="auto" w:fill="auto"/>
            <w:noWrap/>
            <w:vAlign w:val="bottom"/>
            <w:hideMark/>
          </w:tcPr>
          <w:p w14:paraId="4AD584E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18,261 </w:t>
            </w:r>
          </w:p>
        </w:tc>
        <w:tc>
          <w:tcPr>
            <w:tcW w:w="900" w:type="dxa"/>
            <w:tcBorders>
              <w:top w:val="nil"/>
              <w:left w:val="nil"/>
              <w:bottom w:val="nil"/>
              <w:right w:val="nil"/>
            </w:tcBorders>
            <w:shd w:val="clear" w:color="auto" w:fill="auto"/>
            <w:noWrap/>
            <w:vAlign w:val="bottom"/>
            <w:hideMark/>
          </w:tcPr>
          <w:p w14:paraId="7C58B48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35,459 </w:t>
            </w:r>
          </w:p>
        </w:tc>
        <w:tc>
          <w:tcPr>
            <w:tcW w:w="900" w:type="dxa"/>
            <w:tcBorders>
              <w:top w:val="nil"/>
              <w:left w:val="nil"/>
              <w:bottom w:val="nil"/>
              <w:right w:val="nil"/>
            </w:tcBorders>
            <w:shd w:val="clear" w:color="auto" w:fill="auto"/>
            <w:noWrap/>
            <w:vAlign w:val="bottom"/>
            <w:hideMark/>
          </w:tcPr>
          <w:p w14:paraId="7211E59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45,621 </w:t>
            </w:r>
          </w:p>
        </w:tc>
      </w:tr>
      <w:tr w:rsidR="00F2198D" w:rsidRPr="00F2198D" w14:paraId="5CE099ED" w14:textId="77777777" w:rsidTr="003B2651">
        <w:trPr>
          <w:trHeight w:val="283"/>
          <w:jc w:val="center"/>
        </w:trPr>
        <w:tc>
          <w:tcPr>
            <w:tcW w:w="4060" w:type="dxa"/>
            <w:tcBorders>
              <w:top w:val="nil"/>
              <w:left w:val="nil"/>
              <w:bottom w:val="nil"/>
              <w:right w:val="nil"/>
            </w:tcBorders>
            <w:shd w:val="clear" w:color="auto" w:fill="auto"/>
            <w:noWrap/>
            <w:vAlign w:val="bottom"/>
            <w:hideMark/>
          </w:tcPr>
          <w:p w14:paraId="4373FB39" w14:textId="77777777" w:rsidR="00F2198D" w:rsidRPr="00F2198D" w:rsidRDefault="00F2198D" w:rsidP="00F2198D">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53798323"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990 </w:t>
            </w:r>
          </w:p>
        </w:tc>
        <w:tc>
          <w:tcPr>
            <w:tcW w:w="900" w:type="dxa"/>
            <w:tcBorders>
              <w:top w:val="single" w:sz="4" w:space="0" w:color="auto"/>
              <w:left w:val="nil"/>
              <w:bottom w:val="single" w:sz="4" w:space="0" w:color="auto"/>
              <w:right w:val="nil"/>
            </w:tcBorders>
            <w:shd w:val="clear" w:color="auto" w:fill="auto"/>
            <w:noWrap/>
            <w:vAlign w:val="bottom"/>
            <w:hideMark/>
          </w:tcPr>
          <w:p w14:paraId="77A8AFDA"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18,275 </w:t>
            </w:r>
          </w:p>
        </w:tc>
        <w:tc>
          <w:tcPr>
            <w:tcW w:w="900" w:type="dxa"/>
            <w:tcBorders>
              <w:top w:val="single" w:sz="4" w:space="0" w:color="auto"/>
              <w:left w:val="nil"/>
              <w:bottom w:val="single" w:sz="4" w:space="0" w:color="auto"/>
              <w:right w:val="nil"/>
            </w:tcBorders>
            <w:shd w:val="clear" w:color="auto" w:fill="auto"/>
            <w:noWrap/>
            <w:vAlign w:val="bottom"/>
            <w:hideMark/>
          </w:tcPr>
          <w:p w14:paraId="1D6F2BBE"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35,491 </w:t>
            </w:r>
          </w:p>
        </w:tc>
        <w:tc>
          <w:tcPr>
            <w:tcW w:w="900" w:type="dxa"/>
            <w:tcBorders>
              <w:top w:val="single" w:sz="4" w:space="0" w:color="auto"/>
              <w:left w:val="nil"/>
              <w:bottom w:val="single" w:sz="4" w:space="0" w:color="auto"/>
              <w:right w:val="nil"/>
            </w:tcBorders>
            <w:shd w:val="clear" w:color="auto" w:fill="auto"/>
            <w:noWrap/>
            <w:vAlign w:val="bottom"/>
            <w:hideMark/>
          </w:tcPr>
          <w:p w14:paraId="4CEDE114"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45,681 </w:t>
            </w:r>
          </w:p>
        </w:tc>
      </w:tr>
    </w:tbl>
    <w:p w14:paraId="2264AE9B" w14:textId="20EB2662" w:rsidR="00F2198D" w:rsidRDefault="00F2198D" w:rsidP="002B5B49">
      <w:pPr>
        <w:pStyle w:val="TableGraphic"/>
        <w:rPr>
          <w:iCs/>
        </w:rPr>
      </w:pPr>
    </w:p>
    <w:p w14:paraId="0B8B4235" w14:textId="5A6177AE" w:rsidR="002B5B49" w:rsidRPr="00AC6239" w:rsidRDefault="00F2198D" w:rsidP="002B5B49">
      <w:pPr>
        <w:pStyle w:val="TableHeading"/>
      </w:pPr>
      <w:r>
        <w:rPr>
          <w:iCs/>
        </w:rPr>
        <w:br w:type="column"/>
      </w:r>
      <w:r w:rsidR="00E81B71" w:rsidRPr="00D93D96">
        <w:lastRenderedPageBreak/>
        <w:t>Table 2.</w:t>
      </w:r>
      <w:r w:rsidR="00E81B71">
        <w:t>2.</w:t>
      </w:r>
      <w:r w:rsidR="00E81B71" w:rsidRPr="00D93D96">
        <w:t>1</w:t>
      </w:r>
      <w:r w:rsidR="00E81B71">
        <w:t xml:space="preserve">: Variations Table </w:t>
      </w:r>
      <w:r w:rsidR="00A52488">
        <w:t>–</w:t>
      </w:r>
      <w:r w:rsidR="00E81B71">
        <w:t xml:space="preserve"> </w:t>
      </w:r>
      <w:r w:rsidR="00E81B71" w:rsidRPr="00D93D96">
        <w:t xml:space="preserve">Outcome </w:t>
      </w:r>
      <w:r w:rsidR="00E81B71">
        <w:t>2</w:t>
      </w:r>
      <w:r w:rsidR="00E81B71" w:rsidRPr="00AC6239">
        <w:t xml:space="preserve"> </w:t>
      </w:r>
      <w:r w:rsidR="002B5B49" w:rsidRPr="00AC6239">
        <w:t>(continued)</w:t>
      </w:r>
    </w:p>
    <w:tbl>
      <w:tblPr>
        <w:tblW w:w="7711" w:type="dxa"/>
        <w:jc w:val="center"/>
        <w:tblLayout w:type="fixed"/>
        <w:tblLook w:val="04A0" w:firstRow="1" w:lastRow="0" w:firstColumn="1" w:lastColumn="0" w:noHBand="0" w:noVBand="1"/>
      </w:tblPr>
      <w:tblGrid>
        <w:gridCol w:w="4060"/>
        <w:gridCol w:w="900"/>
        <w:gridCol w:w="12"/>
        <w:gridCol w:w="888"/>
        <w:gridCol w:w="25"/>
        <w:gridCol w:w="875"/>
        <w:gridCol w:w="38"/>
        <w:gridCol w:w="862"/>
        <w:gridCol w:w="51"/>
      </w:tblGrid>
      <w:tr w:rsidR="00F2198D" w:rsidRPr="00F2198D" w14:paraId="53E2B51B" w14:textId="77777777" w:rsidTr="00672B82">
        <w:trPr>
          <w:gridAfter w:val="1"/>
          <w:wAfter w:w="51" w:type="dxa"/>
          <w:trHeight w:val="397"/>
          <w:jc w:val="center"/>
        </w:trPr>
        <w:tc>
          <w:tcPr>
            <w:tcW w:w="4060" w:type="dxa"/>
            <w:tcBorders>
              <w:top w:val="single" w:sz="4" w:space="0" w:color="auto"/>
              <w:left w:val="nil"/>
              <w:bottom w:val="nil"/>
              <w:right w:val="nil"/>
            </w:tcBorders>
            <w:shd w:val="clear" w:color="auto" w:fill="auto"/>
            <w:hideMark/>
          </w:tcPr>
          <w:p w14:paraId="32A98831" w14:textId="77777777" w:rsidR="00F2198D" w:rsidRPr="00F2198D" w:rsidRDefault="00F2198D" w:rsidP="003B2651">
            <w:pPr>
              <w:spacing w:before="24" w:after="0" w:line="240" w:lineRule="auto"/>
              <w:jc w:val="right"/>
              <w:rPr>
                <w:rFonts w:ascii="Arial" w:hAnsi="Arial" w:cs="Arial"/>
                <w:sz w:val="16"/>
                <w:szCs w:val="16"/>
              </w:rPr>
            </w:pPr>
            <w:r w:rsidRPr="00F2198D">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2CDA91A0" w14:textId="2AD942DE" w:rsidR="00F2198D" w:rsidRPr="00F2198D" w:rsidRDefault="00F94336" w:rsidP="003B2651">
            <w:pPr>
              <w:spacing w:before="24" w:after="0" w:line="240" w:lineRule="auto"/>
              <w:jc w:val="right"/>
              <w:rPr>
                <w:rFonts w:ascii="Arial" w:hAnsi="Arial" w:cs="Arial"/>
                <w:b/>
                <w:bCs/>
                <w:sz w:val="16"/>
                <w:szCs w:val="16"/>
              </w:rPr>
            </w:pPr>
            <w:r>
              <w:rPr>
                <w:rFonts w:ascii="Arial" w:hAnsi="Arial" w:cs="Arial"/>
                <w:b/>
                <w:bCs/>
                <w:sz w:val="16"/>
                <w:szCs w:val="16"/>
              </w:rPr>
              <w:t>2023–</w:t>
            </w:r>
            <w:r w:rsidR="00F2198D" w:rsidRPr="00F2198D">
              <w:rPr>
                <w:rFonts w:ascii="Arial" w:hAnsi="Arial" w:cs="Arial"/>
                <w:b/>
                <w:bCs/>
                <w:sz w:val="16"/>
                <w:szCs w:val="16"/>
              </w:rPr>
              <w:t>24</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gridSpan w:val="2"/>
            <w:tcBorders>
              <w:top w:val="single" w:sz="4" w:space="0" w:color="auto"/>
              <w:left w:val="nil"/>
              <w:bottom w:val="single" w:sz="4" w:space="0" w:color="auto"/>
              <w:right w:val="nil"/>
            </w:tcBorders>
            <w:shd w:val="clear" w:color="auto" w:fill="auto"/>
            <w:hideMark/>
          </w:tcPr>
          <w:p w14:paraId="58116816" w14:textId="2037273D" w:rsidR="00F2198D" w:rsidRPr="00F2198D" w:rsidRDefault="00F94336" w:rsidP="003B2651">
            <w:pPr>
              <w:spacing w:before="24" w:after="0" w:line="240" w:lineRule="auto"/>
              <w:jc w:val="right"/>
              <w:rPr>
                <w:rFonts w:ascii="Arial" w:hAnsi="Arial" w:cs="Arial"/>
                <w:b/>
                <w:bCs/>
                <w:sz w:val="16"/>
                <w:szCs w:val="16"/>
              </w:rPr>
            </w:pPr>
            <w:r>
              <w:rPr>
                <w:rFonts w:ascii="Arial" w:hAnsi="Arial" w:cs="Arial"/>
                <w:b/>
                <w:bCs/>
                <w:sz w:val="16"/>
                <w:szCs w:val="16"/>
              </w:rPr>
              <w:t>2024–</w:t>
            </w:r>
            <w:r w:rsidR="00F2198D" w:rsidRPr="00F2198D">
              <w:rPr>
                <w:rFonts w:ascii="Arial" w:hAnsi="Arial" w:cs="Arial"/>
                <w:b/>
                <w:bCs/>
                <w:sz w:val="16"/>
                <w:szCs w:val="16"/>
              </w:rPr>
              <w:t>25</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gridSpan w:val="2"/>
            <w:tcBorders>
              <w:top w:val="single" w:sz="4" w:space="0" w:color="auto"/>
              <w:left w:val="nil"/>
              <w:bottom w:val="single" w:sz="4" w:space="0" w:color="auto"/>
              <w:right w:val="nil"/>
            </w:tcBorders>
            <w:shd w:val="clear" w:color="auto" w:fill="auto"/>
            <w:hideMark/>
          </w:tcPr>
          <w:p w14:paraId="2ED30057" w14:textId="45F1E4FE" w:rsidR="00F2198D" w:rsidRPr="00F2198D" w:rsidRDefault="00F94336" w:rsidP="003B2651">
            <w:pPr>
              <w:spacing w:before="24" w:after="0" w:line="240" w:lineRule="auto"/>
              <w:jc w:val="right"/>
              <w:rPr>
                <w:rFonts w:ascii="Arial" w:hAnsi="Arial" w:cs="Arial"/>
                <w:b/>
                <w:bCs/>
                <w:sz w:val="16"/>
                <w:szCs w:val="16"/>
              </w:rPr>
            </w:pPr>
            <w:r>
              <w:rPr>
                <w:rFonts w:ascii="Arial" w:hAnsi="Arial" w:cs="Arial"/>
                <w:b/>
                <w:bCs/>
                <w:sz w:val="16"/>
                <w:szCs w:val="16"/>
              </w:rPr>
              <w:t>2025–</w:t>
            </w:r>
            <w:r w:rsidR="00F2198D" w:rsidRPr="00F2198D">
              <w:rPr>
                <w:rFonts w:ascii="Arial" w:hAnsi="Arial" w:cs="Arial"/>
                <w:b/>
                <w:bCs/>
                <w:sz w:val="16"/>
                <w:szCs w:val="16"/>
              </w:rPr>
              <w:t>26</w:t>
            </w:r>
            <w:r w:rsidR="00F2198D" w:rsidRPr="00F2198D">
              <w:rPr>
                <w:rFonts w:ascii="Arial" w:hAnsi="Arial" w:cs="Arial"/>
                <w:b/>
                <w:bCs/>
                <w:sz w:val="16"/>
                <w:szCs w:val="16"/>
              </w:rPr>
              <w:br/>
            </w:r>
            <w:r w:rsidR="00F2198D" w:rsidRPr="00F2198D">
              <w:rPr>
                <w:rFonts w:ascii="Arial" w:hAnsi="Arial" w:cs="Arial"/>
                <w:sz w:val="16"/>
                <w:szCs w:val="16"/>
              </w:rPr>
              <w:t>$'000</w:t>
            </w:r>
          </w:p>
        </w:tc>
        <w:tc>
          <w:tcPr>
            <w:tcW w:w="900" w:type="dxa"/>
            <w:gridSpan w:val="2"/>
            <w:tcBorders>
              <w:top w:val="single" w:sz="4" w:space="0" w:color="auto"/>
              <w:left w:val="nil"/>
              <w:bottom w:val="single" w:sz="4" w:space="0" w:color="auto"/>
              <w:right w:val="nil"/>
            </w:tcBorders>
            <w:shd w:val="clear" w:color="auto" w:fill="auto"/>
            <w:hideMark/>
          </w:tcPr>
          <w:p w14:paraId="6FC0D61B" w14:textId="504251D8" w:rsidR="00F2198D" w:rsidRPr="00F2198D" w:rsidRDefault="00F94336" w:rsidP="003B2651">
            <w:pPr>
              <w:spacing w:before="24" w:after="0" w:line="240" w:lineRule="auto"/>
              <w:jc w:val="right"/>
              <w:rPr>
                <w:rFonts w:ascii="Arial" w:hAnsi="Arial" w:cs="Arial"/>
                <w:b/>
                <w:bCs/>
                <w:sz w:val="16"/>
                <w:szCs w:val="16"/>
              </w:rPr>
            </w:pPr>
            <w:r>
              <w:rPr>
                <w:rFonts w:ascii="Arial" w:hAnsi="Arial" w:cs="Arial"/>
                <w:b/>
                <w:bCs/>
                <w:sz w:val="16"/>
                <w:szCs w:val="16"/>
              </w:rPr>
              <w:t>2026–</w:t>
            </w:r>
            <w:r w:rsidR="00F2198D" w:rsidRPr="00F2198D">
              <w:rPr>
                <w:rFonts w:ascii="Arial" w:hAnsi="Arial" w:cs="Arial"/>
                <w:b/>
                <w:bCs/>
                <w:sz w:val="16"/>
                <w:szCs w:val="16"/>
              </w:rPr>
              <w:t>27</w:t>
            </w:r>
            <w:r w:rsidR="00F2198D" w:rsidRPr="00F2198D">
              <w:rPr>
                <w:rFonts w:ascii="Arial" w:hAnsi="Arial" w:cs="Arial"/>
                <w:b/>
                <w:bCs/>
                <w:sz w:val="16"/>
                <w:szCs w:val="16"/>
              </w:rPr>
              <w:br/>
            </w:r>
            <w:r w:rsidR="00F2198D" w:rsidRPr="00F2198D">
              <w:rPr>
                <w:rFonts w:ascii="Arial" w:hAnsi="Arial" w:cs="Arial"/>
                <w:sz w:val="16"/>
                <w:szCs w:val="16"/>
              </w:rPr>
              <w:t>$'000</w:t>
            </w:r>
          </w:p>
        </w:tc>
      </w:tr>
      <w:tr w:rsidR="00F2198D" w:rsidRPr="00F2198D" w14:paraId="550CC772"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3B4AAAD8"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2.3: Pharmaceutical Benefits</w:t>
            </w:r>
          </w:p>
        </w:tc>
        <w:tc>
          <w:tcPr>
            <w:tcW w:w="900" w:type="dxa"/>
            <w:tcBorders>
              <w:top w:val="nil"/>
              <w:left w:val="nil"/>
              <w:bottom w:val="nil"/>
              <w:right w:val="nil"/>
            </w:tcBorders>
            <w:shd w:val="clear" w:color="auto" w:fill="auto"/>
            <w:noWrap/>
            <w:vAlign w:val="bottom"/>
            <w:hideMark/>
          </w:tcPr>
          <w:p w14:paraId="3A88F8BC" w14:textId="77777777" w:rsidR="00F2198D" w:rsidRPr="00F2198D" w:rsidRDefault="00F2198D" w:rsidP="00F2198D">
            <w:pPr>
              <w:spacing w:before="0" w:after="0" w:line="240" w:lineRule="auto"/>
              <w:rPr>
                <w:rFonts w:ascii="Arial" w:hAnsi="Arial" w:cs="Arial"/>
                <w:b/>
                <w:bCs/>
                <w:sz w:val="16"/>
                <w:szCs w:val="16"/>
              </w:rPr>
            </w:pPr>
          </w:p>
        </w:tc>
        <w:tc>
          <w:tcPr>
            <w:tcW w:w="900" w:type="dxa"/>
            <w:gridSpan w:val="2"/>
            <w:tcBorders>
              <w:top w:val="nil"/>
              <w:left w:val="nil"/>
              <w:bottom w:val="nil"/>
              <w:right w:val="nil"/>
            </w:tcBorders>
            <w:shd w:val="clear" w:color="auto" w:fill="auto"/>
            <w:noWrap/>
            <w:vAlign w:val="bottom"/>
            <w:hideMark/>
          </w:tcPr>
          <w:p w14:paraId="33BB1D17"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2C57B833"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3C4242E3"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51CA51C"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664C371B"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14EAE6B8" w14:textId="77777777" w:rsidR="00F2198D" w:rsidRPr="00F2198D" w:rsidRDefault="00F2198D" w:rsidP="00F2198D">
            <w:pPr>
              <w:spacing w:before="0" w:after="0" w:line="240" w:lineRule="auto"/>
              <w:rPr>
                <w:rFonts w:ascii="Arial" w:hAnsi="Arial" w:cs="Arial"/>
                <w:b/>
                <w:bCs/>
                <w:sz w:val="16"/>
                <w:szCs w:val="16"/>
              </w:rPr>
            </w:pPr>
          </w:p>
        </w:tc>
        <w:tc>
          <w:tcPr>
            <w:tcW w:w="900" w:type="dxa"/>
            <w:gridSpan w:val="2"/>
            <w:tcBorders>
              <w:top w:val="nil"/>
              <w:left w:val="nil"/>
              <w:bottom w:val="nil"/>
              <w:right w:val="nil"/>
            </w:tcBorders>
            <w:shd w:val="clear" w:color="auto" w:fill="auto"/>
            <w:noWrap/>
            <w:vAlign w:val="bottom"/>
            <w:hideMark/>
          </w:tcPr>
          <w:p w14:paraId="12A1E781" w14:textId="77777777" w:rsidR="00F2198D" w:rsidRPr="00F2198D" w:rsidRDefault="00F2198D" w:rsidP="00F2198D">
            <w:pPr>
              <w:spacing w:before="0" w:after="0" w:line="240" w:lineRule="auto"/>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683AFE5A"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3A3CAF44"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CE534B7"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76F7021A"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7D18A4F7" w14:textId="77777777" w:rsidR="00F2198D" w:rsidRPr="00F2198D" w:rsidRDefault="00F2198D" w:rsidP="00F2198D">
            <w:pPr>
              <w:spacing w:before="0"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14:paraId="357D8BF2"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2C6E9244"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28EDFBE4"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F29861C" w14:textId="77777777" w:rsidTr="00672B82">
        <w:trPr>
          <w:gridAfter w:val="1"/>
          <w:wAfter w:w="51" w:type="dxa"/>
          <w:trHeight w:val="454"/>
          <w:jc w:val="center"/>
        </w:trPr>
        <w:tc>
          <w:tcPr>
            <w:tcW w:w="4060" w:type="dxa"/>
            <w:tcBorders>
              <w:top w:val="nil"/>
              <w:left w:val="nil"/>
              <w:bottom w:val="nil"/>
              <w:right w:val="nil"/>
            </w:tcBorders>
            <w:shd w:val="clear" w:color="auto" w:fill="auto"/>
            <w:vAlign w:val="bottom"/>
            <w:hideMark/>
          </w:tcPr>
          <w:p w14:paraId="102436FC"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b/>
                <w:bCs/>
                <w:sz w:val="16"/>
                <w:szCs w:val="16"/>
              </w:rPr>
              <w:t>Measure</w:t>
            </w:r>
            <w:r w:rsidRPr="00F2198D">
              <w:rPr>
                <w:rFonts w:ascii="Arial" w:hAnsi="Arial" w:cs="Arial"/>
                <w:sz w:val="16"/>
                <w:szCs w:val="16"/>
              </w:rPr>
              <w:t xml:space="preserve"> - An Effective and Clinically appropriate Medicare</w:t>
            </w:r>
          </w:p>
        </w:tc>
        <w:tc>
          <w:tcPr>
            <w:tcW w:w="900" w:type="dxa"/>
            <w:tcBorders>
              <w:top w:val="nil"/>
              <w:left w:val="nil"/>
              <w:bottom w:val="nil"/>
              <w:right w:val="nil"/>
            </w:tcBorders>
            <w:shd w:val="clear" w:color="auto" w:fill="auto"/>
            <w:noWrap/>
            <w:vAlign w:val="bottom"/>
            <w:hideMark/>
          </w:tcPr>
          <w:p w14:paraId="585E279B"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(3,058)</w:t>
            </w:r>
          </w:p>
        </w:tc>
        <w:tc>
          <w:tcPr>
            <w:tcW w:w="900" w:type="dxa"/>
            <w:gridSpan w:val="2"/>
            <w:tcBorders>
              <w:top w:val="nil"/>
              <w:left w:val="nil"/>
              <w:bottom w:val="nil"/>
              <w:right w:val="nil"/>
            </w:tcBorders>
            <w:shd w:val="clear" w:color="auto" w:fill="auto"/>
            <w:noWrap/>
            <w:vAlign w:val="bottom"/>
            <w:hideMark/>
          </w:tcPr>
          <w:p w14:paraId="2F2238C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4EE9117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5E50070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287CD5D3" w14:textId="77777777" w:rsidTr="00672B82">
        <w:trPr>
          <w:gridAfter w:val="1"/>
          <w:wAfter w:w="51" w:type="dxa"/>
          <w:trHeight w:val="283"/>
          <w:jc w:val="center"/>
        </w:trPr>
        <w:tc>
          <w:tcPr>
            <w:tcW w:w="4060" w:type="dxa"/>
            <w:tcBorders>
              <w:top w:val="nil"/>
              <w:left w:val="nil"/>
              <w:bottom w:val="nil"/>
              <w:right w:val="nil"/>
            </w:tcBorders>
            <w:shd w:val="clear" w:color="auto" w:fill="auto"/>
            <w:vAlign w:val="bottom"/>
            <w:hideMark/>
          </w:tcPr>
          <w:p w14:paraId="370AA45C"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b/>
                <w:bCs/>
                <w:sz w:val="16"/>
                <w:szCs w:val="16"/>
              </w:rPr>
              <w:t>Measure</w:t>
            </w:r>
            <w:r w:rsidRPr="00F2198D">
              <w:rPr>
                <w:rFonts w:ascii="Arial" w:hAnsi="Arial" w:cs="Arial"/>
                <w:sz w:val="16"/>
                <w:szCs w:val="16"/>
              </w:rPr>
              <w:t xml:space="preserve"> - Ensuring Access to Medicines</w:t>
            </w:r>
          </w:p>
        </w:tc>
        <w:tc>
          <w:tcPr>
            <w:tcW w:w="900" w:type="dxa"/>
            <w:tcBorders>
              <w:top w:val="nil"/>
              <w:left w:val="nil"/>
              <w:bottom w:val="nil"/>
              <w:right w:val="nil"/>
            </w:tcBorders>
            <w:shd w:val="clear" w:color="auto" w:fill="auto"/>
            <w:noWrap/>
            <w:vAlign w:val="bottom"/>
            <w:hideMark/>
          </w:tcPr>
          <w:p w14:paraId="2E501C2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30,208 </w:t>
            </w:r>
          </w:p>
        </w:tc>
        <w:tc>
          <w:tcPr>
            <w:tcW w:w="900" w:type="dxa"/>
            <w:gridSpan w:val="2"/>
            <w:tcBorders>
              <w:top w:val="nil"/>
              <w:left w:val="nil"/>
              <w:bottom w:val="nil"/>
              <w:right w:val="nil"/>
            </w:tcBorders>
            <w:shd w:val="clear" w:color="auto" w:fill="auto"/>
            <w:noWrap/>
            <w:vAlign w:val="bottom"/>
            <w:hideMark/>
          </w:tcPr>
          <w:p w14:paraId="525445D4"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48,259 </w:t>
            </w:r>
          </w:p>
        </w:tc>
        <w:tc>
          <w:tcPr>
            <w:tcW w:w="900" w:type="dxa"/>
            <w:gridSpan w:val="2"/>
            <w:tcBorders>
              <w:top w:val="nil"/>
              <w:left w:val="nil"/>
              <w:bottom w:val="nil"/>
              <w:right w:val="nil"/>
            </w:tcBorders>
            <w:shd w:val="clear" w:color="auto" w:fill="auto"/>
            <w:noWrap/>
            <w:vAlign w:val="bottom"/>
            <w:hideMark/>
          </w:tcPr>
          <w:p w14:paraId="0607AB1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48,382 </w:t>
            </w:r>
          </w:p>
        </w:tc>
        <w:tc>
          <w:tcPr>
            <w:tcW w:w="900" w:type="dxa"/>
            <w:gridSpan w:val="2"/>
            <w:tcBorders>
              <w:top w:val="nil"/>
              <w:left w:val="nil"/>
              <w:bottom w:val="nil"/>
              <w:right w:val="nil"/>
            </w:tcBorders>
            <w:shd w:val="clear" w:color="auto" w:fill="auto"/>
            <w:noWrap/>
            <w:vAlign w:val="bottom"/>
            <w:hideMark/>
          </w:tcPr>
          <w:p w14:paraId="6F3A3E8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41,303 </w:t>
            </w:r>
          </w:p>
        </w:tc>
      </w:tr>
      <w:tr w:rsidR="00F2198D" w:rsidRPr="00F2198D" w14:paraId="7CD75EE3" w14:textId="77777777" w:rsidTr="00672B82">
        <w:trPr>
          <w:gridAfter w:val="1"/>
          <w:wAfter w:w="51" w:type="dxa"/>
          <w:trHeight w:val="283"/>
          <w:jc w:val="center"/>
        </w:trPr>
        <w:tc>
          <w:tcPr>
            <w:tcW w:w="4060" w:type="dxa"/>
            <w:tcBorders>
              <w:top w:val="nil"/>
              <w:left w:val="nil"/>
              <w:bottom w:val="nil"/>
              <w:right w:val="nil"/>
            </w:tcBorders>
            <w:shd w:val="clear" w:color="auto" w:fill="auto"/>
            <w:vAlign w:val="bottom"/>
            <w:hideMark/>
          </w:tcPr>
          <w:p w14:paraId="5823B5F9"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Aged Care On-site Pharmacists revised implementation</w:t>
            </w:r>
          </w:p>
        </w:tc>
        <w:tc>
          <w:tcPr>
            <w:tcW w:w="900" w:type="dxa"/>
            <w:tcBorders>
              <w:top w:val="nil"/>
              <w:left w:val="nil"/>
              <w:bottom w:val="nil"/>
              <w:right w:val="nil"/>
            </w:tcBorders>
            <w:shd w:val="clear" w:color="auto" w:fill="auto"/>
            <w:noWrap/>
            <w:vAlign w:val="bottom"/>
            <w:hideMark/>
          </w:tcPr>
          <w:p w14:paraId="6D0905BE"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(29,508)</w:t>
            </w:r>
          </w:p>
        </w:tc>
        <w:tc>
          <w:tcPr>
            <w:tcW w:w="900" w:type="dxa"/>
            <w:gridSpan w:val="2"/>
            <w:tcBorders>
              <w:top w:val="nil"/>
              <w:left w:val="nil"/>
              <w:bottom w:val="nil"/>
              <w:right w:val="nil"/>
            </w:tcBorders>
            <w:shd w:val="clear" w:color="auto" w:fill="auto"/>
            <w:noWrap/>
            <w:vAlign w:val="bottom"/>
            <w:hideMark/>
          </w:tcPr>
          <w:p w14:paraId="0E2E46A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(6,871)</w:t>
            </w:r>
          </w:p>
        </w:tc>
        <w:tc>
          <w:tcPr>
            <w:tcW w:w="900" w:type="dxa"/>
            <w:gridSpan w:val="2"/>
            <w:tcBorders>
              <w:top w:val="nil"/>
              <w:left w:val="nil"/>
              <w:bottom w:val="nil"/>
              <w:right w:val="nil"/>
            </w:tcBorders>
            <w:shd w:val="clear" w:color="auto" w:fill="auto"/>
            <w:noWrap/>
            <w:vAlign w:val="bottom"/>
            <w:hideMark/>
          </w:tcPr>
          <w:p w14:paraId="20586B0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12,277 </w:t>
            </w:r>
          </w:p>
        </w:tc>
        <w:tc>
          <w:tcPr>
            <w:tcW w:w="900" w:type="dxa"/>
            <w:gridSpan w:val="2"/>
            <w:tcBorders>
              <w:top w:val="nil"/>
              <w:left w:val="nil"/>
              <w:bottom w:val="nil"/>
              <w:right w:val="nil"/>
            </w:tcBorders>
            <w:shd w:val="clear" w:color="auto" w:fill="auto"/>
            <w:noWrap/>
            <w:vAlign w:val="bottom"/>
            <w:hideMark/>
          </w:tcPr>
          <w:p w14:paraId="7B0EAB8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13,076 </w:t>
            </w:r>
          </w:p>
        </w:tc>
      </w:tr>
      <w:tr w:rsidR="00F2198D" w:rsidRPr="00F2198D" w14:paraId="0E42FC75" w14:textId="77777777" w:rsidTr="00672B82">
        <w:trPr>
          <w:gridAfter w:val="1"/>
          <w:wAfter w:w="51" w:type="dxa"/>
          <w:trHeight w:val="454"/>
          <w:jc w:val="center"/>
        </w:trPr>
        <w:tc>
          <w:tcPr>
            <w:tcW w:w="4060" w:type="dxa"/>
            <w:tcBorders>
              <w:top w:val="nil"/>
              <w:left w:val="nil"/>
              <w:bottom w:val="nil"/>
              <w:right w:val="nil"/>
            </w:tcBorders>
            <w:shd w:val="clear" w:color="auto" w:fill="auto"/>
            <w:vAlign w:val="bottom"/>
            <w:hideMark/>
          </w:tcPr>
          <w:p w14:paraId="6D602C9D" w14:textId="3AC2D992"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 xml:space="preserve">Quality Use of </w:t>
            </w:r>
            <w:r w:rsidR="006D6AB8" w:rsidRPr="00F2198D">
              <w:rPr>
                <w:rFonts w:ascii="Arial" w:hAnsi="Arial" w:cs="Arial"/>
                <w:sz w:val="16"/>
                <w:szCs w:val="16"/>
              </w:rPr>
              <w:t>Diagnostics</w:t>
            </w:r>
            <w:r w:rsidRPr="00F2198D">
              <w:rPr>
                <w:rFonts w:ascii="Arial" w:hAnsi="Arial" w:cs="Arial"/>
                <w:sz w:val="16"/>
                <w:szCs w:val="16"/>
              </w:rPr>
              <w:t>, Therapeutics and Pathology Program - reprofile of funding</w:t>
            </w:r>
          </w:p>
        </w:tc>
        <w:tc>
          <w:tcPr>
            <w:tcW w:w="900" w:type="dxa"/>
            <w:tcBorders>
              <w:top w:val="nil"/>
              <w:left w:val="nil"/>
              <w:bottom w:val="nil"/>
              <w:right w:val="nil"/>
            </w:tcBorders>
            <w:shd w:val="clear" w:color="auto" w:fill="auto"/>
            <w:noWrap/>
            <w:vAlign w:val="bottom"/>
            <w:hideMark/>
          </w:tcPr>
          <w:p w14:paraId="1D9C708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1,190 </w:t>
            </w:r>
          </w:p>
        </w:tc>
        <w:tc>
          <w:tcPr>
            <w:tcW w:w="900" w:type="dxa"/>
            <w:gridSpan w:val="2"/>
            <w:tcBorders>
              <w:top w:val="nil"/>
              <w:left w:val="nil"/>
              <w:bottom w:val="nil"/>
              <w:right w:val="nil"/>
            </w:tcBorders>
            <w:shd w:val="clear" w:color="auto" w:fill="auto"/>
            <w:noWrap/>
            <w:vAlign w:val="bottom"/>
            <w:hideMark/>
          </w:tcPr>
          <w:p w14:paraId="1594ED3E"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6,500 </w:t>
            </w:r>
          </w:p>
        </w:tc>
        <w:tc>
          <w:tcPr>
            <w:tcW w:w="900" w:type="dxa"/>
            <w:gridSpan w:val="2"/>
            <w:tcBorders>
              <w:top w:val="nil"/>
              <w:left w:val="nil"/>
              <w:bottom w:val="nil"/>
              <w:right w:val="nil"/>
            </w:tcBorders>
            <w:shd w:val="clear" w:color="auto" w:fill="auto"/>
            <w:noWrap/>
            <w:vAlign w:val="bottom"/>
            <w:hideMark/>
          </w:tcPr>
          <w:p w14:paraId="0D5E17F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6DCA8AF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0623839E" w14:textId="77777777" w:rsidTr="00672B82">
        <w:trPr>
          <w:gridAfter w:val="1"/>
          <w:wAfter w:w="51" w:type="dxa"/>
          <w:trHeight w:val="283"/>
          <w:jc w:val="center"/>
        </w:trPr>
        <w:tc>
          <w:tcPr>
            <w:tcW w:w="4060" w:type="dxa"/>
            <w:tcBorders>
              <w:top w:val="nil"/>
              <w:left w:val="nil"/>
              <w:bottom w:val="nil"/>
              <w:right w:val="nil"/>
            </w:tcBorders>
            <w:shd w:val="clear" w:color="auto" w:fill="auto"/>
            <w:vAlign w:val="bottom"/>
            <w:hideMark/>
          </w:tcPr>
          <w:p w14:paraId="3ADBC163" w14:textId="0066C734" w:rsidR="00F2198D" w:rsidRPr="00F2198D" w:rsidRDefault="00F2198D" w:rsidP="00F40B11">
            <w:pPr>
              <w:spacing w:before="0" w:after="0" w:line="240" w:lineRule="auto"/>
              <w:rPr>
                <w:rFonts w:ascii="Arial" w:hAnsi="Arial" w:cs="Arial"/>
                <w:sz w:val="16"/>
                <w:szCs w:val="16"/>
              </w:rPr>
            </w:pPr>
            <w:r w:rsidRPr="00F2198D">
              <w:rPr>
                <w:rFonts w:ascii="Arial" w:hAnsi="Arial" w:cs="Arial"/>
                <w:sz w:val="16"/>
                <w:szCs w:val="16"/>
              </w:rPr>
              <w:t xml:space="preserve">Take Home Naloxone Program </w:t>
            </w:r>
            <w:r w:rsidR="00F40B11">
              <w:rPr>
                <w:rFonts w:ascii="Arial" w:hAnsi="Arial" w:cs="Arial"/>
                <w:sz w:val="16"/>
                <w:szCs w:val="16"/>
              </w:rPr>
              <w:t>–</w:t>
            </w:r>
            <w:r w:rsidRPr="00F2198D">
              <w:rPr>
                <w:rFonts w:ascii="Arial" w:hAnsi="Arial" w:cs="Arial"/>
                <w:sz w:val="16"/>
                <w:szCs w:val="16"/>
              </w:rPr>
              <w:t xml:space="preserve"> </w:t>
            </w:r>
            <w:r w:rsidR="00F40B11">
              <w:rPr>
                <w:rFonts w:ascii="Arial" w:hAnsi="Arial" w:cs="Arial"/>
                <w:sz w:val="16"/>
                <w:szCs w:val="16"/>
              </w:rPr>
              <w:t xml:space="preserve">estimates variation </w:t>
            </w:r>
          </w:p>
        </w:tc>
        <w:tc>
          <w:tcPr>
            <w:tcW w:w="900" w:type="dxa"/>
            <w:tcBorders>
              <w:top w:val="nil"/>
              <w:left w:val="nil"/>
              <w:bottom w:val="nil"/>
              <w:right w:val="nil"/>
            </w:tcBorders>
            <w:shd w:val="clear" w:color="auto" w:fill="auto"/>
            <w:noWrap/>
            <w:vAlign w:val="bottom"/>
            <w:hideMark/>
          </w:tcPr>
          <w:p w14:paraId="1B96C53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3,525 </w:t>
            </w:r>
          </w:p>
        </w:tc>
        <w:tc>
          <w:tcPr>
            <w:tcW w:w="900" w:type="dxa"/>
            <w:gridSpan w:val="2"/>
            <w:tcBorders>
              <w:top w:val="nil"/>
              <w:left w:val="nil"/>
              <w:bottom w:val="nil"/>
              <w:right w:val="nil"/>
            </w:tcBorders>
            <w:shd w:val="clear" w:color="auto" w:fill="auto"/>
            <w:noWrap/>
            <w:vAlign w:val="bottom"/>
            <w:hideMark/>
          </w:tcPr>
          <w:p w14:paraId="0219799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2659A9A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58CE8725"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50D52721" w14:textId="77777777" w:rsidTr="00672B82">
        <w:trPr>
          <w:gridAfter w:val="1"/>
          <w:wAfter w:w="51" w:type="dxa"/>
          <w:trHeight w:val="454"/>
          <w:jc w:val="center"/>
        </w:trPr>
        <w:tc>
          <w:tcPr>
            <w:tcW w:w="4060" w:type="dxa"/>
            <w:tcBorders>
              <w:top w:val="nil"/>
              <w:left w:val="nil"/>
              <w:bottom w:val="nil"/>
              <w:right w:val="nil"/>
            </w:tcBorders>
            <w:shd w:val="clear" w:color="auto" w:fill="auto"/>
            <w:vAlign w:val="bottom"/>
            <w:hideMark/>
          </w:tcPr>
          <w:p w14:paraId="1B7CEA77"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Vaccination in Community Pharmacies - reprofile of funding</w:t>
            </w:r>
          </w:p>
        </w:tc>
        <w:tc>
          <w:tcPr>
            <w:tcW w:w="900" w:type="dxa"/>
            <w:tcBorders>
              <w:top w:val="nil"/>
              <w:left w:val="nil"/>
              <w:bottom w:val="nil"/>
              <w:right w:val="nil"/>
            </w:tcBorders>
            <w:shd w:val="clear" w:color="auto" w:fill="auto"/>
            <w:noWrap/>
            <w:vAlign w:val="bottom"/>
            <w:hideMark/>
          </w:tcPr>
          <w:p w14:paraId="223B953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64,178 </w:t>
            </w:r>
          </w:p>
        </w:tc>
        <w:tc>
          <w:tcPr>
            <w:tcW w:w="900" w:type="dxa"/>
            <w:gridSpan w:val="2"/>
            <w:tcBorders>
              <w:top w:val="nil"/>
              <w:left w:val="nil"/>
              <w:bottom w:val="nil"/>
              <w:right w:val="nil"/>
            </w:tcBorders>
            <w:shd w:val="clear" w:color="auto" w:fill="auto"/>
            <w:noWrap/>
            <w:vAlign w:val="bottom"/>
            <w:hideMark/>
          </w:tcPr>
          <w:p w14:paraId="62D7815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30,988 </w:t>
            </w:r>
          </w:p>
        </w:tc>
        <w:tc>
          <w:tcPr>
            <w:tcW w:w="900" w:type="dxa"/>
            <w:gridSpan w:val="2"/>
            <w:tcBorders>
              <w:top w:val="nil"/>
              <w:left w:val="nil"/>
              <w:bottom w:val="nil"/>
              <w:right w:val="nil"/>
            </w:tcBorders>
            <w:shd w:val="clear" w:color="auto" w:fill="auto"/>
            <w:noWrap/>
            <w:vAlign w:val="bottom"/>
            <w:hideMark/>
          </w:tcPr>
          <w:p w14:paraId="0088FEA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229F358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01FF998B" w14:textId="77777777" w:rsidTr="00672B82">
        <w:trPr>
          <w:gridAfter w:val="1"/>
          <w:wAfter w:w="51" w:type="dxa"/>
          <w:trHeight w:val="283"/>
          <w:jc w:val="center"/>
        </w:trPr>
        <w:tc>
          <w:tcPr>
            <w:tcW w:w="4060" w:type="dxa"/>
            <w:tcBorders>
              <w:top w:val="nil"/>
              <w:left w:val="nil"/>
              <w:bottom w:val="nil"/>
              <w:right w:val="nil"/>
            </w:tcBorders>
            <w:shd w:val="clear" w:color="000000" w:fill="FFFFFF"/>
            <w:noWrap/>
            <w:vAlign w:val="bottom"/>
            <w:hideMark/>
          </w:tcPr>
          <w:p w14:paraId="1C4AECFA"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 xml:space="preserve">Price parameter adjustments </w:t>
            </w:r>
            <w:r w:rsidRPr="00F2198D">
              <w:rPr>
                <w:rFonts w:ascii="Arial" w:hAnsi="Arial" w:cs="Arial"/>
                <w:sz w:val="16"/>
                <w:szCs w:val="16"/>
                <w:vertAlign w:val="superscript"/>
              </w:rPr>
              <w:t>(a)</w:t>
            </w:r>
          </w:p>
        </w:tc>
        <w:tc>
          <w:tcPr>
            <w:tcW w:w="900" w:type="dxa"/>
            <w:tcBorders>
              <w:top w:val="nil"/>
              <w:left w:val="nil"/>
              <w:bottom w:val="nil"/>
              <w:right w:val="nil"/>
            </w:tcBorders>
            <w:shd w:val="clear" w:color="auto" w:fill="auto"/>
            <w:noWrap/>
            <w:vAlign w:val="bottom"/>
            <w:hideMark/>
          </w:tcPr>
          <w:p w14:paraId="0171F5A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0BEA08C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1,227 </w:t>
            </w:r>
          </w:p>
        </w:tc>
        <w:tc>
          <w:tcPr>
            <w:tcW w:w="900" w:type="dxa"/>
            <w:gridSpan w:val="2"/>
            <w:tcBorders>
              <w:top w:val="nil"/>
              <w:left w:val="nil"/>
              <w:bottom w:val="nil"/>
              <w:right w:val="nil"/>
            </w:tcBorders>
            <w:shd w:val="clear" w:color="auto" w:fill="auto"/>
            <w:noWrap/>
            <w:vAlign w:val="bottom"/>
            <w:hideMark/>
          </w:tcPr>
          <w:p w14:paraId="2C5F462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976 </w:t>
            </w:r>
          </w:p>
        </w:tc>
        <w:tc>
          <w:tcPr>
            <w:tcW w:w="900" w:type="dxa"/>
            <w:gridSpan w:val="2"/>
            <w:tcBorders>
              <w:top w:val="nil"/>
              <w:left w:val="nil"/>
              <w:bottom w:val="nil"/>
              <w:right w:val="nil"/>
            </w:tcBorders>
            <w:shd w:val="clear" w:color="auto" w:fill="auto"/>
            <w:noWrap/>
            <w:vAlign w:val="bottom"/>
            <w:hideMark/>
          </w:tcPr>
          <w:p w14:paraId="5E12602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997 </w:t>
            </w:r>
          </w:p>
        </w:tc>
      </w:tr>
      <w:tr w:rsidR="00F2198D" w:rsidRPr="00F2198D" w14:paraId="196A66C3"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45B20B5D" w14:textId="77777777" w:rsidR="00F2198D" w:rsidRPr="00F2198D" w:rsidRDefault="00F2198D" w:rsidP="00F2198D">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5A6ACC86"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66,535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4E350413"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80,103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62EA2D1C"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61,635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4CD16DB4"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55,376 </w:t>
            </w:r>
          </w:p>
        </w:tc>
      </w:tr>
      <w:tr w:rsidR="00F2198D" w:rsidRPr="00F2198D" w14:paraId="73326B77"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320FA96E"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2.4: Private Health Insurance</w:t>
            </w:r>
          </w:p>
        </w:tc>
        <w:tc>
          <w:tcPr>
            <w:tcW w:w="912" w:type="dxa"/>
            <w:gridSpan w:val="2"/>
            <w:tcBorders>
              <w:top w:val="nil"/>
              <w:left w:val="nil"/>
              <w:bottom w:val="nil"/>
              <w:right w:val="nil"/>
            </w:tcBorders>
            <w:shd w:val="clear" w:color="auto" w:fill="auto"/>
            <w:noWrap/>
            <w:vAlign w:val="bottom"/>
            <w:hideMark/>
          </w:tcPr>
          <w:p w14:paraId="1DE3B8DB" w14:textId="77777777" w:rsidR="00F2198D" w:rsidRPr="00F2198D" w:rsidRDefault="00F2198D" w:rsidP="00F2198D">
            <w:pPr>
              <w:spacing w:before="0" w:after="0" w:line="240" w:lineRule="auto"/>
              <w:rPr>
                <w:rFonts w:ascii="Arial" w:hAnsi="Arial" w:cs="Arial"/>
                <w:b/>
                <w:bCs/>
                <w:sz w:val="16"/>
                <w:szCs w:val="16"/>
              </w:rPr>
            </w:pPr>
          </w:p>
        </w:tc>
        <w:tc>
          <w:tcPr>
            <w:tcW w:w="913" w:type="dxa"/>
            <w:gridSpan w:val="2"/>
            <w:tcBorders>
              <w:top w:val="nil"/>
              <w:left w:val="nil"/>
              <w:bottom w:val="nil"/>
              <w:right w:val="nil"/>
            </w:tcBorders>
            <w:shd w:val="clear" w:color="auto" w:fill="auto"/>
            <w:noWrap/>
            <w:vAlign w:val="bottom"/>
            <w:hideMark/>
          </w:tcPr>
          <w:p w14:paraId="44375F82"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1B57CFAD"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12C6E456"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628C5F6"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7051A538"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administered appropriations</w:t>
            </w:r>
          </w:p>
        </w:tc>
        <w:tc>
          <w:tcPr>
            <w:tcW w:w="912" w:type="dxa"/>
            <w:gridSpan w:val="2"/>
            <w:tcBorders>
              <w:top w:val="nil"/>
              <w:left w:val="nil"/>
              <w:bottom w:val="nil"/>
              <w:right w:val="nil"/>
            </w:tcBorders>
            <w:shd w:val="clear" w:color="auto" w:fill="auto"/>
            <w:noWrap/>
            <w:vAlign w:val="bottom"/>
            <w:hideMark/>
          </w:tcPr>
          <w:p w14:paraId="073C5241" w14:textId="77777777" w:rsidR="00F2198D" w:rsidRPr="00F2198D" w:rsidRDefault="00F2198D" w:rsidP="00F2198D">
            <w:pPr>
              <w:spacing w:before="0" w:after="0" w:line="240" w:lineRule="auto"/>
              <w:rPr>
                <w:rFonts w:ascii="Arial" w:hAnsi="Arial" w:cs="Arial"/>
                <w:b/>
                <w:bCs/>
                <w:sz w:val="16"/>
                <w:szCs w:val="16"/>
              </w:rPr>
            </w:pPr>
          </w:p>
        </w:tc>
        <w:tc>
          <w:tcPr>
            <w:tcW w:w="913" w:type="dxa"/>
            <w:gridSpan w:val="2"/>
            <w:tcBorders>
              <w:top w:val="nil"/>
              <w:left w:val="nil"/>
              <w:bottom w:val="nil"/>
              <w:right w:val="nil"/>
            </w:tcBorders>
            <w:shd w:val="clear" w:color="auto" w:fill="auto"/>
            <w:noWrap/>
            <w:vAlign w:val="bottom"/>
            <w:hideMark/>
          </w:tcPr>
          <w:p w14:paraId="302C334C" w14:textId="77777777" w:rsidR="00F2198D" w:rsidRPr="00F2198D" w:rsidRDefault="00F2198D" w:rsidP="00F2198D">
            <w:pPr>
              <w:spacing w:before="0" w:after="0" w:line="240" w:lineRule="auto"/>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2AB8C07B"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0CBCE84F"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5FBEC576"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253F4F1A"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12" w:type="dxa"/>
            <w:gridSpan w:val="2"/>
            <w:tcBorders>
              <w:top w:val="nil"/>
              <w:left w:val="nil"/>
              <w:bottom w:val="nil"/>
              <w:right w:val="nil"/>
            </w:tcBorders>
            <w:shd w:val="clear" w:color="auto" w:fill="auto"/>
            <w:noWrap/>
            <w:vAlign w:val="bottom"/>
            <w:hideMark/>
          </w:tcPr>
          <w:p w14:paraId="08CA5F08" w14:textId="77777777" w:rsidR="00F2198D" w:rsidRPr="00F2198D" w:rsidRDefault="00F2198D" w:rsidP="00F2198D">
            <w:pPr>
              <w:spacing w:before="0" w:after="0" w:line="240" w:lineRule="auto"/>
              <w:rPr>
                <w:rFonts w:ascii="Arial" w:hAnsi="Arial" w:cs="Arial"/>
                <w:sz w:val="16"/>
                <w:szCs w:val="16"/>
              </w:rPr>
            </w:pPr>
          </w:p>
        </w:tc>
        <w:tc>
          <w:tcPr>
            <w:tcW w:w="913" w:type="dxa"/>
            <w:gridSpan w:val="2"/>
            <w:tcBorders>
              <w:top w:val="nil"/>
              <w:left w:val="nil"/>
              <w:bottom w:val="nil"/>
              <w:right w:val="nil"/>
            </w:tcBorders>
            <w:shd w:val="clear" w:color="auto" w:fill="auto"/>
            <w:noWrap/>
            <w:vAlign w:val="bottom"/>
            <w:hideMark/>
          </w:tcPr>
          <w:p w14:paraId="56AC6D6D"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2FEEDF4B"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79F8FAE9"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64776D39" w14:textId="77777777" w:rsidTr="00672B82">
        <w:trPr>
          <w:trHeight w:val="454"/>
          <w:jc w:val="center"/>
        </w:trPr>
        <w:tc>
          <w:tcPr>
            <w:tcW w:w="4060" w:type="dxa"/>
            <w:tcBorders>
              <w:top w:val="nil"/>
              <w:left w:val="nil"/>
              <w:bottom w:val="nil"/>
              <w:right w:val="nil"/>
            </w:tcBorders>
            <w:shd w:val="clear" w:color="auto" w:fill="auto"/>
            <w:vAlign w:val="bottom"/>
            <w:hideMark/>
          </w:tcPr>
          <w:p w14:paraId="34AA33C8"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 xml:space="preserve">Improving transparency of </w:t>
            </w:r>
            <w:proofErr w:type="gramStart"/>
            <w:r w:rsidRPr="00F2198D">
              <w:rPr>
                <w:rFonts w:ascii="Arial" w:hAnsi="Arial" w:cs="Arial"/>
                <w:sz w:val="16"/>
                <w:szCs w:val="16"/>
              </w:rPr>
              <w:t>out of pocket</w:t>
            </w:r>
            <w:proofErr w:type="gramEnd"/>
            <w:r w:rsidRPr="00F2198D">
              <w:rPr>
                <w:rFonts w:ascii="Arial" w:hAnsi="Arial" w:cs="Arial"/>
                <w:sz w:val="16"/>
                <w:szCs w:val="16"/>
              </w:rPr>
              <w:t xml:space="preserve"> costs - reprofile of funding</w:t>
            </w:r>
          </w:p>
        </w:tc>
        <w:tc>
          <w:tcPr>
            <w:tcW w:w="912" w:type="dxa"/>
            <w:gridSpan w:val="2"/>
            <w:tcBorders>
              <w:top w:val="nil"/>
              <w:left w:val="nil"/>
              <w:bottom w:val="nil"/>
              <w:right w:val="nil"/>
            </w:tcBorders>
            <w:shd w:val="clear" w:color="auto" w:fill="auto"/>
            <w:noWrap/>
            <w:vAlign w:val="bottom"/>
            <w:hideMark/>
          </w:tcPr>
          <w:p w14:paraId="0091596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1,708 </w:t>
            </w:r>
          </w:p>
        </w:tc>
        <w:tc>
          <w:tcPr>
            <w:tcW w:w="913" w:type="dxa"/>
            <w:gridSpan w:val="2"/>
            <w:tcBorders>
              <w:top w:val="nil"/>
              <w:left w:val="nil"/>
              <w:bottom w:val="nil"/>
              <w:right w:val="nil"/>
            </w:tcBorders>
            <w:shd w:val="clear" w:color="auto" w:fill="auto"/>
            <w:noWrap/>
            <w:vAlign w:val="bottom"/>
            <w:hideMark/>
          </w:tcPr>
          <w:p w14:paraId="63204EF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69812AB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1B4FEE5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3539D777" w14:textId="77777777" w:rsidTr="00672B82">
        <w:trPr>
          <w:trHeight w:val="454"/>
          <w:jc w:val="center"/>
        </w:trPr>
        <w:tc>
          <w:tcPr>
            <w:tcW w:w="4060" w:type="dxa"/>
            <w:tcBorders>
              <w:top w:val="nil"/>
              <w:left w:val="nil"/>
              <w:bottom w:val="nil"/>
              <w:right w:val="nil"/>
            </w:tcBorders>
            <w:shd w:val="clear" w:color="auto" w:fill="auto"/>
            <w:vAlign w:val="bottom"/>
            <w:hideMark/>
          </w:tcPr>
          <w:p w14:paraId="54A619F1"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Modernisation of the Prostheses List - reprofile of funding</w:t>
            </w:r>
          </w:p>
        </w:tc>
        <w:tc>
          <w:tcPr>
            <w:tcW w:w="912" w:type="dxa"/>
            <w:gridSpan w:val="2"/>
            <w:tcBorders>
              <w:top w:val="nil"/>
              <w:left w:val="nil"/>
              <w:bottom w:val="nil"/>
              <w:right w:val="nil"/>
            </w:tcBorders>
            <w:shd w:val="clear" w:color="auto" w:fill="auto"/>
            <w:noWrap/>
            <w:vAlign w:val="bottom"/>
            <w:hideMark/>
          </w:tcPr>
          <w:p w14:paraId="033E2485"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1,455 </w:t>
            </w:r>
          </w:p>
        </w:tc>
        <w:tc>
          <w:tcPr>
            <w:tcW w:w="913" w:type="dxa"/>
            <w:gridSpan w:val="2"/>
            <w:tcBorders>
              <w:top w:val="nil"/>
              <w:left w:val="nil"/>
              <w:bottom w:val="nil"/>
              <w:right w:val="nil"/>
            </w:tcBorders>
            <w:shd w:val="clear" w:color="auto" w:fill="auto"/>
            <w:noWrap/>
            <w:vAlign w:val="bottom"/>
            <w:hideMark/>
          </w:tcPr>
          <w:p w14:paraId="020BC05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17DF4C3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6C7A91D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21E8A2AE" w14:textId="77777777" w:rsidTr="00672B82">
        <w:trPr>
          <w:trHeight w:val="454"/>
          <w:jc w:val="center"/>
        </w:trPr>
        <w:tc>
          <w:tcPr>
            <w:tcW w:w="4060" w:type="dxa"/>
            <w:tcBorders>
              <w:top w:val="nil"/>
              <w:left w:val="nil"/>
              <w:bottom w:val="nil"/>
              <w:right w:val="nil"/>
            </w:tcBorders>
            <w:shd w:val="clear" w:color="auto" w:fill="auto"/>
            <w:vAlign w:val="bottom"/>
            <w:hideMark/>
          </w:tcPr>
          <w:p w14:paraId="070BC953" w14:textId="3E514EEE"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 xml:space="preserve">National Joint Replacement Registry </w:t>
            </w:r>
            <w:r w:rsidR="00F40B11">
              <w:rPr>
                <w:rFonts w:ascii="Arial" w:hAnsi="Arial" w:cs="Arial"/>
                <w:sz w:val="16"/>
                <w:szCs w:val="16"/>
              </w:rPr>
              <w:t>–</w:t>
            </w:r>
            <w:r w:rsidRPr="00F2198D">
              <w:rPr>
                <w:rFonts w:ascii="Arial" w:hAnsi="Arial" w:cs="Arial"/>
                <w:sz w:val="16"/>
                <w:szCs w:val="16"/>
              </w:rPr>
              <w:t xml:space="preserve"> </w:t>
            </w:r>
            <w:r w:rsidR="00F40B11">
              <w:rPr>
                <w:rFonts w:ascii="Arial" w:hAnsi="Arial" w:cs="Arial"/>
                <w:sz w:val="16"/>
                <w:szCs w:val="16"/>
              </w:rPr>
              <w:t xml:space="preserve">estimates variation </w:t>
            </w:r>
          </w:p>
        </w:tc>
        <w:tc>
          <w:tcPr>
            <w:tcW w:w="912" w:type="dxa"/>
            <w:gridSpan w:val="2"/>
            <w:tcBorders>
              <w:top w:val="nil"/>
              <w:left w:val="nil"/>
              <w:bottom w:val="nil"/>
              <w:right w:val="nil"/>
            </w:tcBorders>
            <w:shd w:val="clear" w:color="auto" w:fill="auto"/>
            <w:noWrap/>
            <w:vAlign w:val="bottom"/>
            <w:hideMark/>
          </w:tcPr>
          <w:p w14:paraId="6A37278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298 </w:t>
            </w:r>
          </w:p>
        </w:tc>
        <w:tc>
          <w:tcPr>
            <w:tcW w:w="913" w:type="dxa"/>
            <w:gridSpan w:val="2"/>
            <w:tcBorders>
              <w:top w:val="nil"/>
              <w:left w:val="nil"/>
              <w:bottom w:val="nil"/>
              <w:right w:val="nil"/>
            </w:tcBorders>
            <w:shd w:val="clear" w:color="auto" w:fill="auto"/>
            <w:noWrap/>
            <w:vAlign w:val="bottom"/>
            <w:hideMark/>
          </w:tcPr>
          <w:p w14:paraId="60F35C1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244 </w:t>
            </w:r>
          </w:p>
        </w:tc>
        <w:tc>
          <w:tcPr>
            <w:tcW w:w="913" w:type="dxa"/>
            <w:gridSpan w:val="2"/>
            <w:tcBorders>
              <w:top w:val="nil"/>
              <w:left w:val="nil"/>
              <w:bottom w:val="nil"/>
              <w:right w:val="nil"/>
            </w:tcBorders>
            <w:shd w:val="clear" w:color="auto" w:fill="auto"/>
            <w:noWrap/>
            <w:vAlign w:val="bottom"/>
            <w:hideMark/>
          </w:tcPr>
          <w:p w14:paraId="73211BE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296 </w:t>
            </w:r>
          </w:p>
        </w:tc>
        <w:tc>
          <w:tcPr>
            <w:tcW w:w="913" w:type="dxa"/>
            <w:gridSpan w:val="2"/>
            <w:tcBorders>
              <w:top w:val="nil"/>
              <w:left w:val="nil"/>
              <w:bottom w:val="nil"/>
              <w:right w:val="nil"/>
            </w:tcBorders>
            <w:shd w:val="clear" w:color="auto" w:fill="auto"/>
            <w:noWrap/>
            <w:vAlign w:val="bottom"/>
            <w:hideMark/>
          </w:tcPr>
          <w:p w14:paraId="58391BB4"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347 </w:t>
            </w:r>
          </w:p>
        </w:tc>
      </w:tr>
      <w:tr w:rsidR="00F2198D" w:rsidRPr="00F2198D" w14:paraId="20110B2E"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74B5C254" w14:textId="77777777" w:rsidR="00F2198D" w:rsidRPr="00F2198D" w:rsidRDefault="00F2198D" w:rsidP="00F2198D">
            <w:pPr>
              <w:spacing w:before="0" w:after="0" w:line="240" w:lineRule="auto"/>
              <w:jc w:val="right"/>
              <w:rPr>
                <w:rFonts w:ascii="Arial" w:hAnsi="Arial" w:cs="Arial"/>
                <w:sz w:val="16"/>
                <w:szCs w:val="16"/>
              </w:rPr>
            </w:pPr>
          </w:p>
        </w:tc>
        <w:tc>
          <w:tcPr>
            <w:tcW w:w="912" w:type="dxa"/>
            <w:gridSpan w:val="2"/>
            <w:tcBorders>
              <w:top w:val="single" w:sz="4" w:space="0" w:color="auto"/>
              <w:left w:val="nil"/>
              <w:bottom w:val="single" w:sz="4" w:space="0" w:color="auto"/>
              <w:right w:val="nil"/>
            </w:tcBorders>
            <w:shd w:val="clear" w:color="auto" w:fill="auto"/>
            <w:noWrap/>
            <w:vAlign w:val="bottom"/>
            <w:hideMark/>
          </w:tcPr>
          <w:p w14:paraId="7BECF78A"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3,461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4CE1600B"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244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7D2E6A06"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296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78A654D3"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347 </w:t>
            </w:r>
          </w:p>
        </w:tc>
      </w:tr>
      <w:tr w:rsidR="00F2198D" w:rsidRPr="00F2198D" w14:paraId="346171BB"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48E6A62C"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2.6: Health Benefit Compliance</w:t>
            </w:r>
          </w:p>
        </w:tc>
        <w:tc>
          <w:tcPr>
            <w:tcW w:w="912" w:type="dxa"/>
            <w:gridSpan w:val="2"/>
            <w:tcBorders>
              <w:top w:val="nil"/>
              <w:left w:val="nil"/>
              <w:bottom w:val="nil"/>
              <w:right w:val="nil"/>
            </w:tcBorders>
            <w:shd w:val="clear" w:color="auto" w:fill="auto"/>
            <w:noWrap/>
            <w:vAlign w:val="bottom"/>
            <w:hideMark/>
          </w:tcPr>
          <w:p w14:paraId="5381C43E" w14:textId="77777777" w:rsidR="00F2198D" w:rsidRPr="00F2198D" w:rsidRDefault="00F2198D" w:rsidP="00F2198D">
            <w:pPr>
              <w:spacing w:before="0" w:after="0" w:line="240" w:lineRule="auto"/>
              <w:rPr>
                <w:rFonts w:ascii="Arial" w:hAnsi="Arial" w:cs="Arial"/>
                <w:b/>
                <w:bCs/>
                <w:sz w:val="16"/>
                <w:szCs w:val="16"/>
              </w:rPr>
            </w:pPr>
          </w:p>
        </w:tc>
        <w:tc>
          <w:tcPr>
            <w:tcW w:w="913" w:type="dxa"/>
            <w:gridSpan w:val="2"/>
            <w:tcBorders>
              <w:top w:val="nil"/>
              <w:left w:val="nil"/>
              <w:bottom w:val="nil"/>
              <w:right w:val="nil"/>
            </w:tcBorders>
            <w:shd w:val="clear" w:color="auto" w:fill="auto"/>
            <w:noWrap/>
            <w:vAlign w:val="bottom"/>
            <w:hideMark/>
          </w:tcPr>
          <w:p w14:paraId="34526BB2"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58FA5817"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17124EB0"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090DC4BF"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1954EAD4"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administered appropriations</w:t>
            </w:r>
          </w:p>
        </w:tc>
        <w:tc>
          <w:tcPr>
            <w:tcW w:w="912" w:type="dxa"/>
            <w:gridSpan w:val="2"/>
            <w:tcBorders>
              <w:top w:val="nil"/>
              <w:left w:val="nil"/>
              <w:bottom w:val="nil"/>
              <w:right w:val="nil"/>
            </w:tcBorders>
            <w:shd w:val="clear" w:color="auto" w:fill="auto"/>
            <w:noWrap/>
            <w:vAlign w:val="bottom"/>
            <w:hideMark/>
          </w:tcPr>
          <w:p w14:paraId="69C17CF6" w14:textId="77777777" w:rsidR="00F2198D" w:rsidRPr="00F2198D" w:rsidRDefault="00F2198D" w:rsidP="00F2198D">
            <w:pPr>
              <w:spacing w:before="0" w:after="0" w:line="240" w:lineRule="auto"/>
              <w:rPr>
                <w:rFonts w:ascii="Arial" w:hAnsi="Arial" w:cs="Arial"/>
                <w:b/>
                <w:bCs/>
                <w:sz w:val="16"/>
                <w:szCs w:val="16"/>
              </w:rPr>
            </w:pPr>
          </w:p>
        </w:tc>
        <w:tc>
          <w:tcPr>
            <w:tcW w:w="913" w:type="dxa"/>
            <w:gridSpan w:val="2"/>
            <w:tcBorders>
              <w:top w:val="nil"/>
              <w:left w:val="nil"/>
              <w:bottom w:val="nil"/>
              <w:right w:val="nil"/>
            </w:tcBorders>
            <w:shd w:val="clear" w:color="auto" w:fill="auto"/>
            <w:noWrap/>
            <w:vAlign w:val="bottom"/>
            <w:hideMark/>
          </w:tcPr>
          <w:p w14:paraId="3EE3E12E" w14:textId="77777777" w:rsidR="00F2198D" w:rsidRPr="00F2198D" w:rsidRDefault="00F2198D" w:rsidP="00F2198D">
            <w:pPr>
              <w:spacing w:before="0" w:after="0" w:line="240" w:lineRule="auto"/>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47426632"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595766C0"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54B3C20" w14:textId="77777777" w:rsidTr="00672B82">
        <w:trPr>
          <w:trHeight w:val="283"/>
          <w:jc w:val="center"/>
        </w:trPr>
        <w:tc>
          <w:tcPr>
            <w:tcW w:w="4060" w:type="dxa"/>
            <w:tcBorders>
              <w:top w:val="nil"/>
              <w:left w:val="nil"/>
              <w:bottom w:val="nil"/>
              <w:right w:val="nil"/>
            </w:tcBorders>
            <w:shd w:val="clear" w:color="auto" w:fill="auto"/>
            <w:noWrap/>
            <w:vAlign w:val="bottom"/>
            <w:hideMark/>
          </w:tcPr>
          <w:p w14:paraId="70418390"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12" w:type="dxa"/>
            <w:gridSpan w:val="2"/>
            <w:tcBorders>
              <w:top w:val="nil"/>
              <w:left w:val="nil"/>
              <w:bottom w:val="nil"/>
              <w:right w:val="nil"/>
            </w:tcBorders>
            <w:shd w:val="clear" w:color="auto" w:fill="auto"/>
            <w:noWrap/>
            <w:vAlign w:val="bottom"/>
            <w:hideMark/>
          </w:tcPr>
          <w:p w14:paraId="1C6123A6" w14:textId="77777777" w:rsidR="00F2198D" w:rsidRPr="00F2198D" w:rsidRDefault="00F2198D" w:rsidP="00F2198D">
            <w:pPr>
              <w:spacing w:before="0" w:after="0" w:line="240" w:lineRule="auto"/>
              <w:rPr>
                <w:rFonts w:ascii="Arial" w:hAnsi="Arial" w:cs="Arial"/>
                <w:sz w:val="16"/>
                <w:szCs w:val="16"/>
              </w:rPr>
            </w:pPr>
          </w:p>
        </w:tc>
        <w:tc>
          <w:tcPr>
            <w:tcW w:w="913" w:type="dxa"/>
            <w:gridSpan w:val="2"/>
            <w:tcBorders>
              <w:top w:val="nil"/>
              <w:left w:val="nil"/>
              <w:bottom w:val="nil"/>
              <w:right w:val="nil"/>
            </w:tcBorders>
            <w:shd w:val="clear" w:color="auto" w:fill="auto"/>
            <w:noWrap/>
            <w:vAlign w:val="bottom"/>
            <w:hideMark/>
          </w:tcPr>
          <w:p w14:paraId="55A1665A"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2BE07CBD" w14:textId="77777777" w:rsidR="00F2198D" w:rsidRPr="00F2198D" w:rsidRDefault="00F2198D" w:rsidP="00F2198D">
            <w:pPr>
              <w:spacing w:before="0" w:after="0" w:line="240" w:lineRule="auto"/>
              <w:jc w:val="right"/>
              <w:rPr>
                <w:rFonts w:ascii="Times New Roman" w:hAnsi="Times New Roman"/>
                <w:sz w:val="20"/>
              </w:rPr>
            </w:pPr>
          </w:p>
        </w:tc>
        <w:tc>
          <w:tcPr>
            <w:tcW w:w="913" w:type="dxa"/>
            <w:gridSpan w:val="2"/>
            <w:tcBorders>
              <w:top w:val="nil"/>
              <w:left w:val="nil"/>
              <w:bottom w:val="nil"/>
              <w:right w:val="nil"/>
            </w:tcBorders>
            <w:shd w:val="clear" w:color="auto" w:fill="auto"/>
            <w:noWrap/>
            <w:vAlign w:val="bottom"/>
            <w:hideMark/>
          </w:tcPr>
          <w:p w14:paraId="5E1E23AB"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296D27C4" w14:textId="77777777" w:rsidTr="00672B82">
        <w:trPr>
          <w:trHeight w:val="283"/>
          <w:jc w:val="center"/>
        </w:trPr>
        <w:tc>
          <w:tcPr>
            <w:tcW w:w="4060" w:type="dxa"/>
            <w:tcBorders>
              <w:top w:val="nil"/>
              <w:left w:val="nil"/>
              <w:right w:val="nil"/>
            </w:tcBorders>
            <w:shd w:val="clear" w:color="auto" w:fill="auto"/>
            <w:vAlign w:val="bottom"/>
            <w:hideMark/>
          </w:tcPr>
          <w:p w14:paraId="724E6BC4"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Data matching - Compliance - reprofile of funding</w:t>
            </w:r>
          </w:p>
        </w:tc>
        <w:tc>
          <w:tcPr>
            <w:tcW w:w="912" w:type="dxa"/>
            <w:gridSpan w:val="2"/>
            <w:tcBorders>
              <w:top w:val="nil"/>
              <w:left w:val="nil"/>
              <w:bottom w:val="nil"/>
              <w:right w:val="nil"/>
            </w:tcBorders>
            <w:shd w:val="clear" w:color="auto" w:fill="auto"/>
            <w:noWrap/>
            <w:vAlign w:val="bottom"/>
            <w:hideMark/>
          </w:tcPr>
          <w:p w14:paraId="45893DBB"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2,461 </w:t>
            </w:r>
          </w:p>
        </w:tc>
        <w:tc>
          <w:tcPr>
            <w:tcW w:w="913" w:type="dxa"/>
            <w:gridSpan w:val="2"/>
            <w:tcBorders>
              <w:top w:val="nil"/>
              <w:left w:val="nil"/>
              <w:bottom w:val="nil"/>
              <w:right w:val="nil"/>
            </w:tcBorders>
            <w:shd w:val="clear" w:color="auto" w:fill="auto"/>
            <w:noWrap/>
            <w:vAlign w:val="bottom"/>
            <w:hideMark/>
          </w:tcPr>
          <w:p w14:paraId="3D120EC4"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78CD5B4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13" w:type="dxa"/>
            <w:gridSpan w:val="2"/>
            <w:tcBorders>
              <w:top w:val="nil"/>
              <w:left w:val="nil"/>
              <w:bottom w:val="nil"/>
              <w:right w:val="nil"/>
            </w:tcBorders>
            <w:shd w:val="clear" w:color="auto" w:fill="auto"/>
            <w:noWrap/>
            <w:vAlign w:val="bottom"/>
            <w:hideMark/>
          </w:tcPr>
          <w:p w14:paraId="7932B59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26958057" w14:textId="77777777" w:rsidTr="00672B82">
        <w:trPr>
          <w:trHeight w:val="283"/>
          <w:jc w:val="center"/>
        </w:trPr>
        <w:tc>
          <w:tcPr>
            <w:tcW w:w="4060" w:type="dxa"/>
            <w:tcBorders>
              <w:top w:val="nil"/>
              <w:left w:val="nil"/>
              <w:right w:val="nil"/>
            </w:tcBorders>
            <w:shd w:val="clear" w:color="auto" w:fill="auto"/>
            <w:noWrap/>
            <w:vAlign w:val="bottom"/>
            <w:hideMark/>
          </w:tcPr>
          <w:p w14:paraId="5B9B4FCF"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12" w:type="dxa"/>
            <w:gridSpan w:val="2"/>
            <w:tcBorders>
              <w:top w:val="single" w:sz="4" w:space="0" w:color="auto"/>
              <w:left w:val="nil"/>
              <w:bottom w:val="single" w:sz="4" w:space="0" w:color="auto"/>
              <w:right w:val="nil"/>
            </w:tcBorders>
            <w:shd w:val="clear" w:color="auto" w:fill="auto"/>
            <w:noWrap/>
            <w:vAlign w:val="bottom"/>
            <w:hideMark/>
          </w:tcPr>
          <w:p w14:paraId="7051AE95"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2,461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08A38A09"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04F33126"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 </w:t>
            </w:r>
          </w:p>
        </w:tc>
        <w:tc>
          <w:tcPr>
            <w:tcW w:w="913" w:type="dxa"/>
            <w:gridSpan w:val="2"/>
            <w:tcBorders>
              <w:top w:val="single" w:sz="4" w:space="0" w:color="auto"/>
              <w:left w:val="nil"/>
              <w:bottom w:val="single" w:sz="4" w:space="0" w:color="auto"/>
              <w:right w:val="nil"/>
            </w:tcBorders>
            <w:shd w:val="clear" w:color="auto" w:fill="auto"/>
            <w:noWrap/>
            <w:vAlign w:val="bottom"/>
            <w:hideMark/>
          </w:tcPr>
          <w:p w14:paraId="00B122ED"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 </w:t>
            </w:r>
          </w:p>
        </w:tc>
      </w:tr>
      <w:tr w:rsidR="00F2198D" w:rsidRPr="00F2198D" w14:paraId="1AED7EAA" w14:textId="77777777" w:rsidTr="00672B82">
        <w:trPr>
          <w:gridAfter w:val="1"/>
          <w:wAfter w:w="51" w:type="dxa"/>
          <w:trHeight w:val="283"/>
          <w:jc w:val="center"/>
        </w:trPr>
        <w:tc>
          <w:tcPr>
            <w:tcW w:w="4060" w:type="dxa"/>
            <w:tcBorders>
              <w:left w:val="nil"/>
              <w:bottom w:val="nil"/>
              <w:right w:val="nil"/>
            </w:tcBorders>
            <w:shd w:val="clear" w:color="auto" w:fill="auto"/>
            <w:noWrap/>
            <w:vAlign w:val="bottom"/>
            <w:hideMark/>
          </w:tcPr>
          <w:p w14:paraId="25C8890F"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Outcome 2: Individual Health Benefits</w:t>
            </w:r>
          </w:p>
        </w:tc>
        <w:tc>
          <w:tcPr>
            <w:tcW w:w="900" w:type="dxa"/>
            <w:tcBorders>
              <w:top w:val="nil"/>
              <w:left w:val="nil"/>
              <w:bottom w:val="nil"/>
              <w:right w:val="nil"/>
            </w:tcBorders>
            <w:shd w:val="clear" w:color="auto" w:fill="auto"/>
            <w:noWrap/>
            <w:vAlign w:val="bottom"/>
            <w:hideMark/>
          </w:tcPr>
          <w:p w14:paraId="193EDA8B" w14:textId="77777777" w:rsidR="00F2198D" w:rsidRPr="00F2198D" w:rsidRDefault="00F2198D" w:rsidP="00F2198D">
            <w:pPr>
              <w:spacing w:before="0" w:after="0" w:line="240" w:lineRule="auto"/>
              <w:rPr>
                <w:rFonts w:ascii="Arial" w:hAnsi="Arial" w:cs="Arial"/>
                <w:b/>
                <w:bCs/>
                <w:sz w:val="16"/>
                <w:szCs w:val="16"/>
              </w:rPr>
            </w:pPr>
          </w:p>
        </w:tc>
        <w:tc>
          <w:tcPr>
            <w:tcW w:w="900" w:type="dxa"/>
            <w:gridSpan w:val="2"/>
            <w:tcBorders>
              <w:top w:val="nil"/>
              <w:left w:val="nil"/>
              <w:bottom w:val="nil"/>
              <w:right w:val="nil"/>
            </w:tcBorders>
            <w:shd w:val="clear" w:color="auto" w:fill="auto"/>
            <w:noWrap/>
            <w:vAlign w:val="bottom"/>
            <w:hideMark/>
          </w:tcPr>
          <w:p w14:paraId="1B52D506" w14:textId="77777777" w:rsidR="00F2198D" w:rsidRPr="00F2198D" w:rsidRDefault="00F2198D" w:rsidP="00F2198D">
            <w:pPr>
              <w:spacing w:before="0" w:after="0" w:line="240" w:lineRule="auto"/>
              <w:jc w:val="center"/>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53C30871" w14:textId="77777777" w:rsidR="00F2198D" w:rsidRPr="00F2198D" w:rsidRDefault="00F2198D" w:rsidP="00F2198D">
            <w:pPr>
              <w:spacing w:before="0" w:after="0" w:line="240" w:lineRule="auto"/>
              <w:jc w:val="center"/>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7C27B8E7" w14:textId="77777777" w:rsidR="00F2198D" w:rsidRPr="00F2198D" w:rsidRDefault="00F2198D" w:rsidP="00F2198D">
            <w:pPr>
              <w:spacing w:before="0" w:after="0" w:line="240" w:lineRule="auto"/>
              <w:jc w:val="center"/>
              <w:rPr>
                <w:rFonts w:ascii="Times New Roman" w:hAnsi="Times New Roman"/>
                <w:sz w:val="20"/>
              </w:rPr>
            </w:pPr>
          </w:p>
        </w:tc>
      </w:tr>
      <w:tr w:rsidR="00F2198D" w:rsidRPr="00F2198D" w14:paraId="66BB95C9"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24210644"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21FA359F" w14:textId="77777777" w:rsidR="00F2198D" w:rsidRPr="00F2198D" w:rsidRDefault="00F2198D" w:rsidP="00F2198D">
            <w:pPr>
              <w:spacing w:before="0" w:after="0" w:line="240" w:lineRule="auto"/>
              <w:rPr>
                <w:rFonts w:ascii="Arial" w:hAnsi="Arial" w:cs="Arial"/>
                <w:b/>
                <w:bCs/>
                <w:sz w:val="16"/>
                <w:szCs w:val="16"/>
              </w:rPr>
            </w:pPr>
          </w:p>
        </w:tc>
        <w:tc>
          <w:tcPr>
            <w:tcW w:w="900" w:type="dxa"/>
            <w:gridSpan w:val="2"/>
            <w:tcBorders>
              <w:top w:val="nil"/>
              <w:left w:val="nil"/>
              <w:bottom w:val="nil"/>
              <w:right w:val="nil"/>
            </w:tcBorders>
            <w:shd w:val="clear" w:color="auto" w:fill="auto"/>
            <w:noWrap/>
            <w:vAlign w:val="bottom"/>
            <w:hideMark/>
          </w:tcPr>
          <w:p w14:paraId="16E7E337"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59046F46"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1A2DB669"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6A5DD9C" w14:textId="77777777" w:rsidTr="00672B82">
        <w:trPr>
          <w:gridAfter w:val="1"/>
          <w:wAfter w:w="51" w:type="dxa"/>
          <w:trHeight w:val="283"/>
          <w:jc w:val="center"/>
        </w:trPr>
        <w:tc>
          <w:tcPr>
            <w:tcW w:w="4060" w:type="dxa"/>
            <w:tcBorders>
              <w:top w:val="nil"/>
              <w:left w:val="nil"/>
              <w:bottom w:val="nil"/>
              <w:right w:val="nil"/>
            </w:tcBorders>
            <w:shd w:val="clear" w:color="auto" w:fill="auto"/>
            <w:noWrap/>
            <w:vAlign w:val="bottom"/>
            <w:hideMark/>
          </w:tcPr>
          <w:p w14:paraId="456E3056"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F4137CC" w14:textId="77777777" w:rsidR="00F2198D" w:rsidRPr="00F2198D" w:rsidRDefault="00F2198D" w:rsidP="00F2198D">
            <w:pPr>
              <w:spacing w:before="0" w:after="0" w:line="240" w:lineRule="auto"/>
              <w:rPr>
                <w:rFonts w:ascii="Arial" w:hAnsi="Arial" w:cs="Arial"/>
                <w:sz w:val="16"/>
                <w:szCs w:val="16"/>
              </w:rPr>
            </w:pPr>
          </w:p>
        </w:tc>
        <w:tc>
          <w:tcPr>
            <w:tcW w:w="900" w:type="dxa"/>
            <w:gridSpan w:val="2"/>
            <w:tcBorders>
              <w:top w:val="nil"/>
              <w:left w:val="nil"/>
              <w:bottom w:val="nil"/>
              <w:right w:val="nil"/>
            </w:tcBorders>
            <w:shd w:val="clear" w:color="auto" w:fill="auto"/>
            <w:noWrap/>
            <w:vAlign w:val="bottom"/>
            <w:hideMark/>
          </w:tcPr>
          <w:p w14:paraId="74065DCE"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334999BA" w14:textId="77777777" w:rsidR="00F2198D" w:rsidRPr="00F2198D" w:rsidRDefault="00F2198D" w:rsidP="00F2198D">
            <w:pPr>
              <w:spacing w:before="0" w:after="0" w:line="240" w:lineRule="auto"/>
              <w:jc w:val="right"/>
              <w:rPr>
                <w:rFonts w:ascii="Times New Roman" w:hAnsi="Times New Roman"/>
                <w:sz w:val="20"/>
              </w:rPr>
            </w:pPr>
          </w:p>
        </w:tc>
        <w:tc>
          <w:tcPr>
            <w:tcW w:w="900" w:type="dxa"/>
            <w:gridSpan w:val="2"/>
            <w:tcBorders>
              <w:top w:val="nil"/>
              <w:left w:val="nil"/>
              <w:bottom w:val="nil"/>
              <w:right w:val="nil"/>
            </w:tcBorders>
            <w:shd w:val="clear" w:color="auto" w:fill="auto"/>
            <w:noWrap/>
            <w:vAlign w:val="bottom"/>
            <w:hideMark/>
          </w:tcPr>
          <w:p w14:paraId="299B5202"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9506F67" w14:textId="77777777" w:rsidTr="00672B82">
        <w:trPr>
          <w:gridAfter w:val="1"/>
          <w:wAfter w:w="51" w:type="dxa"/>
          <w:trHeight w:val="454"/>
          <w:jc w:val="center"/>
        </w:trPr>
        <w:tc>
          <w:tcPr>
            <w:tcW w:w="4060" w:type="dxa"/>
            <w:tcBorders>
              <w:top w:val="nil"/>
              <w:left w:val="nil"/>
              <w:bottom w:val="nil"/>
              <w:right w:val="nil"/>
            </w:tcBorders>
            <w:shd w:val="clear" w:color="auto" w:fill="auto"/>
            <w:vAlign w:val="bottom"/>
            <w:hideMark/>
          </w:tcPr>
          <w:p w14:paraId="64337D11" w14:textId="77777777" w:rsidR="00F2198D" w:rsidRPr="00F2198D" w:rsidRDefault="00F2198D" w:rsidP="00F2198D">
            <w:pPr>
              <w:spacing w:before="0" w:after="0" w:line="240" w:lineRule="auto"/>
              <w:rPr>
                <w:rFonts w:ascii="Arial" w:hAnsi="Arial" w:cs="Arial"/>
                <w:sz w:val="16"/>
                <w:szCs w:val="16"/>
              </w:rPr>
            </w:pPr>
            <w:r w:rsidRPr="00F2198D">
              <w:rPr>
                <w:rFonts w:ascii="Arial" w:hAnsi="Arial" w:cs="Arial"/>
                <w:b/>
                <w:bCs/>
                <w:sz w:val="16"/>
                <w:szCs w:val="16"/>
              </w:rPr>
              <w:t>Measure</w:t>
            </w:r>
            <w:r w:rsidRPr="00F2198D">
              <w:rPr>
                <w:rFonts w:ascii="Arial" w:hAnsi="Arial" w:cs="Arial"/>
                <w:sz w:val="16"/>
                <w:szCs w:val="16"/>
              </w:rPr>
              <w:t xml:space="preserve"> - An Effective and Clinically appropriate Medicare</w:t>
            </w:r>
          </w:p>
        </w:tc>
        <w:tc>
          <w:tcPr>
            <w:tcW w:w="900" w:type="dxa"/>
            <w:tcBorders>
              <w:top w:val="nil"/>
              <w:left w:val="nil"/>
              <w:bottom w:val="nil"/>
              <w:right w:val="nil"/>
            </w:tcBorders>
            <w:shd w:val="clear" w:color="auto" w:fill="auto"/>
            <w:noWrap/>
            <w:vAlign w:val="bottom"/>
            <w:hideMark/>
          </w:tcPr>
          <w:p w14:paraId="2651D56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428 </w:t>
            </w:r>
          </w:p>
        </w:tc>
        <w:tc>
          <w:tcPr>
            <w:tcW w:w="900" w:type="dxa"/>
            <w:gridSpan w:val="2"/>
            <w:tcBorders>
              <w:top w:val="nil"/>
              <w:left w:val="nil"/>
              <w:bottom w:val="nil"/>
              <w:right w:val="nil"/>
            </w:tcBorders>
            <w:shd w:val="clear" w:color="auto" w:fill="auto"/>
            <w:noWrap/>
            <w:vAlign w:val="bottom"/>
            <w:hideMark/>
          </w:tcPr>
          <w:p w14:paraId="2C73F32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876 </w:t>
            </w:r>
          </w:p>
        </w:tc>
        <w:tc>
          <w:tcPr>
            <w:tcW w:w="900" w:type="dxa"/>
            <w:gridSpan w:val="2"/>
            <w:tcBorders>
              <w:top w:val="nil"/>
              <w:left w:val="nil"/>
              <w:bottom w:val="nil"/>
              <w:right w:val="nil"/>
            </w:tcBorders>
            <w:shd w:val="clear" w:color="auto" w:fill="auto"/>
            <w:noWrap/>
            <w:vAlign w:val="bottom"/>
            <w:hideMark/>
          </w:tcPr>
          <w:p w14:paraId="774333B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c>
          <w:tcPr>
            <w:tcW w:w="900" w:type="dxa"/>
            <w:gridSpan w:val="2"/>
            <w:tcBorders>
              <w:top w:val="nil"/>
              <w:left w:val="nil"/>
              <w:bottom w:val="nil"/>
              <w:right w:val="nil"/>
            </w:tcBorders>
            <w:shd w:val="clear" w:color="auto" w:fill="auto"/>
            <w:noWrap/>
            <w:vAlign w:val="bottom"/>
            <w:hideMark/>
          </w:tcPr>
          <w:p w14:paraId="682407E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xml:space="preserve">- </w:t>
            </w:r>
          </w:p>
        </w:tc>
      </w:tr>
      <w:tr w:rsidR="00F2198D" w:rsidRPr="00F2198D" w14:paraId="5DC020EF" w14:textId="77777777" w:rsidTr="00672B82">
        <w:trPr>
          <w:gridAfter w:val="1"/>
          <w:wAfter w:w="51" w:type="dxa"/>
          <w:trHeight w:val="283"/>
          <w:jc w:val="center"/>
        </w:trPr>
        <w:tc>
          <w:tcPr>
            <w:tcW w:w="4060" w:type="dxa"/>
            <w:tcBorders>
              <w:top w:val="nil"/>
              <w:left w:val="nil"/>
              <w:bottom w:val="single" w:sz="4" w:space="0" w:color="auto"/>
              <w:right w:val="nil"/>
            </w:tcBorders>
            <w:shd w:val="clear" w:color="auto" w:fill="auto"/>
            <w:noWrap/>
            <w:vAlign w:val="bottom"/>
            <w:hideMark/>
          </w:tcPr>
          <w:p w14:paraId="2DCEA2A1"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6B41B6A7"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428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53091F66"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876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20067A47"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 </w:t>
            </w:r>
          </w:p>
        </w:tc>
        <w:tc>
          <w:tcPr>
            <w:tcW w:w="900" w:type="dxa"/>
            <w:gridSpan w:val="2"/>
            <w:tcBorders>
              <w:top w:val="single" w:sz="4" w:space="0" w:color="auto"/>
              <w:left w:val="nil"/>
              <w:bottom w:val="single" w:sz="4" w:space="0" w:color="auto"/>
              <w:right w:val="nil"/>
            </w:tcBorders>
            <w:shd w:val="clear" w:color="auto" w:fill="auto"/>
            <w:noWrap/>
            <w:vAlign w:val="bottom"/>
            <w:hideMark/>
          </w:tcPr>
          <w:p w14:paraId="338DB0B0"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 xml:space="preserve">- </w:t>
            </w:r>
          </w:p>
        </w:tc>
      </w:tr>
    </w:tbl>
    <w:p w14:paraId="0A540C26" w14:textId="0B8532A2" w:rsidR="00F2198D" w:rsidRDefault="0046109B" w:rsidP="0046109B">
      <w:pPr>
        <w:pStyle w:val="FootnoteText"/>
        <w:spacing w:before="120"/>
      </w:pPr>
      <w:r w:rsidRPr="0046109B">
        <w:rPr>
          <w:vertAlign w:val="superscript"/>
        </w:rPr>
        <w:t>(a)</w:t>
      </w:r>
      <w:r w:rsidRPr="0046109B">
        <w:tab/>
        <w:t>See explanation in Portfolio Glossary.</w:t>
      </w:r>
    </w:p>
    <w:p w14:paraId="0B3A0019" w14:textId="3783A441" w:rsidR="002B5B49" w:rsidRDefault="00F2198D" w:rsidP="002B5B49">
      <w:pPr>
        <w:pStyle w:val="TableHeading"/>
        <w:rPr>
          <w:color w:val="FF0000"/>
        </w:rPr>
      </w:pPr>
      <w:r>
        <w:br w:type="column"/>
      </w:r>
      <w:r w:rsidR="0029232A">
        <w:lastRenderedPageBreak/>
        <w:t>Table 2.2</w:t>
      </w:r>
      <w:r w:rsidR="002B5B49" w:rsidRPr="008E5BB7">
        <w:t xml:space="preserve">.2: </w:t>
      </w:r>
      <w:r w:rsidR="0029232A">
        <w:t xml:space="preserve">Program </w:t>
      </w:r>
      <w:r w:rsidR="00E73173">
        <w:t>expense table –</w:t>
      </w:r>
      <w:r w:rsidR="00E81B71">
        <w:t xml:space="preserve"> </w:t>
      </w:r>
      <w:r w:rsidR="0029232A">
        <w:t>Outcome 2</w:t>
      </w:r>
      <w:r w:rsidR="002B5B49">
        <w:t xml:space="preserve"> </w:t>
      </w:r>
      <w:r w:rsidR="002B5B49" w:rsidRPr="000B4F23">
        <w:rPr>
          <w:color w:val="FF0000"/>
        </w:rPr>
        <w:t xml:space="preserve"> </w:t>
      </w:r>
    </w:p>
    <w:tbl>
      <w:tblPr>
        <w:tblW w:w="7711" w:type="dxa"/>
        <w:jc w:val="center"/>
        <w:tblLayout w:type="fixed"/>
        <w:tblLook w:val="04A0" w:firstRow="1" w:lastRow="0" w:firstColumn="1" w:lastColumn="0" w:noHBand="0" w:noVBand="1"/>
      </w:tblPr>
      <w:tblGrid>
        <w:gridCol w:w="2692"/>
        <w:gridCol w:w="1019"/>
        <w:gridCol w:w="1000"/>
        <w:gridCol w:w="1000"/>
        <w:gridCol w:w="1000"/>
        <w:gridCol w:w="1000"/>
      </w:tblGrid>
      <w:tr w:rsidR="00F2198D" w:rsidRPr="00F2198D" w14:paraId="49565024" w14:textId="77777777" w:rsidTr="00F94336">
        <w:trPr>
          <w:trHeight w:val="680"/>
          <w:jc w:val="center"/>
        </w:trPr>
        <w:tc>
          <w:tcPr>
            <w:tcW w:w="2692" w:type="dxa"/>
            <w:tcBorders>
              <w:top w:val="single" w:sz="4" w:space="0" w:color="auto"/>
              <w:left w:val="nil"/>
              <w:bottom w:val="nil"/>
              <w:right w:val="nil"/>
            </w:tcBorders>
            <w:shd w:val="clear" w:color="auto" w:fill="auto"/>
            <w:hideMark/>
          </w:tcPr>
          <w:p w14:paraId="6DBE3887" w14:textId="77777777" w:rsidR="00F2198D" w:rsidRPr="00F2198D" w:rsidRDefault="00F2198D" w:rsidP="00F94336">
            <w:pPr>
              <w:spacing w:before="24" w:after="0" w:line="240" w:lineRule="auto"/>
              <w:jc w:val="right"/>
              <w:rPr>
                <w:rFonts w:ascii="Arial" w:hAnsi="Arial" w:cs="Arial"/>
                <w:b/>
                <w:bCs/>
                <w:sz w:val="16"/>
                <w:szCs w:val="16"/>
              </w:rPr>
            </w:pPr>
            <w:r w:rsidRPr="00F2198D">
              <w:rPr>
                <w:rFonts w:ascii="Arial" w:hAnsi="Arial" w:cs="Arial"/>
                <w:b/>
                <w:bCs/>
                <w:sz w:val="16"/>
                <w:szCs w:val="16"/>
              </w:rPr>
              <w:t> </w:t>
            </w:r>
          </w:p>
        </w:tc>
        <w:tc>
          <w:tcPr>
            <w:tcW w:w="1019" w:type="dxa"/>
            <w:tcBorders>
              <w:top w:val="single" w:sz="4" w:space="0" w:color="auto"/>
              <w:left w:val="nil"/>
              <w:bottom w:val="single" w:sz="4" w:space="0" w:color="auto"/>
              <w:right w:val="nil"/>
            </w:tcBorders>
            <w:shd w:val="clear" w:color="auto" w:fill="auto"/>
            <w:hideMark/>
          </w:tcPr>
          <w:p w14:paraId="358B9618" w14:textId="7962EE4C" w:rsidR="00F2198D" w:rsidRPr="00F2198D" w:rsidRDefault="00F94336" w:rsidP="00F94336">
            <w:pPr>
              <w:spacing w:before="24" w:after="0" w:line="240" w:lineRule="auto"/>
              <w:jc w:val="right"/>
              <w:rPr>
                <w:rFonts w:ascii="Arial" w:hAnsi="Arial" w:cs="Arial"/>
                <w:b/>
                <w:bCs/>
                <w:sz w:val="16"/>
                <w:szCs w:val="16"/>
              </w:rPr>
            </w:pPr>
            <w:r>
              <w:rPr>
                <w:rFonts w:ascii="Arial" w:hAnsi="Arial" w:cs="Arial"/>
                <w:b/>
                <w:bCs/>
                <w:sz w:val="16"/>
                <w:szCs w:val="16"/>
              </w:rPr>
              <w:t>2022–</w:t>
            </w:r>
            <w:r w:rsidR="00F2198D" w:rsidRPr="00F2198D">
              <w:rPr>
                <w:rFonts w:ascii="Arial" w:hAnsi="Arial" w:cs="Arial"/>
                <w:b/>
                <w:bCs/>
                <w:sz w:val="16"/>
                <w:szCs w:val="16"/>
              </w:rPr>
              <w:t>23 Actual</w:t>
            </w:r>
            <w:r w:rsidR="00F2198D" w:rsidRPr="00F2198D">
              <w:rPr>
                <w:rFonts w:ascii="Arial" w:hAnsi="Arial" w:cs="Arial"/>
                <w:b/>
                <w:bCs/>
                <w:sz w:val="16"/>
                <w:szCs w:val="16"/>
              </w:rPr>
              <w:br/>
            </w:r>
            <w:r w:rsidR="00F2198D" w:rsidRPr="00F2198D">
              <w:rPr>
                <w:rFonts w:ascii="Arial" w:hAnsi="Arial" w:cs="Arial"/>
                <w:b/>
                <w:bCs/>
                <w:sz w:val="16"/>
                <w:szCs w:val="16"/>
              </w:rPr>
              <w:br/>
            </w:r>
            <w:r w:rsidR="00F2198D" w:rsidRPr="00F2198D">
              <w:rPr>
                <w:rFonts w:ascii="Arial" w:hAnsi="Arial" w:cs="Arial"/>
                <w:sz w:val="16"/>
                <w:szCs w:val="16"/>
              </w:rPr>
              <w:t>$'000</w:t>
            </w:r>
          </w:p>
        </w:tc>
        <w:tc>
          <w:tcPr>
            <w:tcW w:w="1000" w:type="dxa"/>
            <w:tcBorders>
              <w:top w:val="single" w:sz="4" w:space="0" w:color="auto"/>
              <w:left w:val="nil"/>
              <w:bottom w:val="single" w:sz="4" w:space="0" w:color="auto"/>
              <w:right w:val="nil"/>
            </w:tcBorders>
            <w:shd w:val="clear" w:color="000000" w:fill="D9D9D9"/>
            <w:hideMark/>
          </w:tcPr>
          <w:p w14:paraId="4709E4B8" w14:textId="6106B37F" w:rsidR="00F2198D" w:rsidRPr="00F2198D" w:rsidRDefault="00F94336" w:rsidP="00F94336">
            <w:pPr>
              <w:spacing w:before="24" w:after="0" w:line="240" w:lineRule="auto"/>
              <w:jc w:val="right"/>
              <w:rPr>
                <w:rFonts w:ascii="Arial" w:hAnsi="Arial" w:cs="Arial"/>
                <w:b/>
                <w:bCs/>
                <w:sz w:val="16"/>
                <w:szCs w:val="16"/>
              </w:rPr>
            </w:pPr>
            <w:r>
              <w:rPr>
                <w:rFonts w:ascii="Arial" w:hAnsi="Arial" w:cs="Arial"/>
                <w:b/>
                <w:bCs/>
                <w:sz w:val="16"/>
                <w:szCs w:val="16"/>
              </w:rPr>
              <w:t>2023–</w:t>
            </w:r>
            <w:r w:rsidR="00F2198D" w:rsidRPr="00F2198D">
              <w:rPr>
                <w:rFonts w:ascii="Arial" w:hAnsi="Arial" w:cs="Arial"/>
                <w:b/>
                <w:bCs/>
                <w:sz w:val="16"/>
                <w:szCs w:val="16"/>
              </w:rPr>
              <w:t>24 Revised Budget</w:t>
            </w:r>
            <w:r w:rsidR="00F2198D" w:rsidRPr="00F2198D">
              <w:rPr>
                <w:rFonts w:ascii="Arial" w:hAnsi="Arial" w:cs="Arial"/>
                <w:b/>
                <w:bCs/>
                <w:sz w:val="16"/>
                <w:szCs w:val="16"/>
              </w:rPr>
              <w:br/>
            </w:r>
            <w:r w:rsidR="00F2198D" w:rsidRPr="00F2198D">
              <w:rPr>
                <w:rFonts w:ascii="Arial" w:hAnsi="Arial" w:cs="Arial"/>
                <w:sz w:val="16"/>
                <w:szCs w:val="16"/>
              </w:rPr>
              <w:t>$'000</w:t>
            </w:r>
          </w:p>
        </w:tc>
        <w:tc>
          <w:tcPr>
            <w:tcW w:w="1000" w:type="dxa"/>
            <w:tcBorders>
              <w:top w:val="single" w:sz="4" w:space="0" w:color="auto"/>
              <w:left w:val="nil"/>
              <w:bottom w:val="single" w:sz="4" w:space="0" w:color="auto"/>
              <w:right w:val="nil"/>
            </w:tcBorders>
            <w:shd w:val="clear" w:color="auto" w:fill="auto"/>
            <w:hideMark/>
          </w:tcPr>
          <w:p w14:paraId="6198440E" w14:textId="6170DEA7" w:rsidR="00F2198D" w:rsidRPr="00F2198D" w:rsidRDefault="00F94336" w:rsidP="00F94336">
            <w:pPr>
              <w:spacing w:before="24" w:after="0" w:line="240" w:lineRule="auto"/>
              <w:jc w:val="right"/>
              <w:rPr>
                <w:rFonts w:ascii="Arial" w:hAnsi="Arial" w:cs="Arial"/>
                <w:b/>
                <w:bCs/>
                <w:sz w:val="16"/>
                <w:szCs w:val="16"/>
              </w:rPr>
            </w:pPr>
            <w:r>
              <w:rPr>
                <w:rFonts w:ascii="Arial" w:hAnsi="Arial" w:cs="Arial"/>
                <w:b/>
                <w:bCs/>
                <w:sz w:val="16"/>
                <w:szCs w:val="16"/>
              </w:rPr>
              <w:t>2024–</w:t>
            </w:r>
            <w:r w:rsidR="00F2198D" w:rsidRPr="00F2198D">
              <w:rPr>
                <w:rFonts w:ascii="Arial" w:hAnsi="Arial" w:cs="Arial"/>
                <w:b/>
                <w:bCs/>
                <w:sz w:val="16"/>
                <w:szCs w:val="16"/>
              </w:rPr>
              <w:t>25 Forward Estimate</w:t>
            </w:r>
            <w:r w:rsidR="00F2198D" w:rsidRPr="00F2198D">
              <w:rPr>
                <w:rFonts w:ascii="Arial" w:hAnsi="Arial" w:cs="Arial"/>
                <w:b/>
                <w:bCs/>
                <w:sz w:val="16"/>
                <w:szCs w:val="16"/>
              </w:rPr>
              <w:br/>
            </w:r>
            <w:r w:rsidR="00F2198D" w:rsidRPr="00F2198D">
              <w:rPr>
                <w:rFonts w:ascii="Arial" w:hAnsi="Arial" w:cs="Arial"/>
                <w:sz w:val="16"/>
                <w:szCs w:val="16"/>
              </w:rPr>
              <w:t>$'000</w:t>
            </w:r>
          </w:p>
        </w:tc>
        <w:tc>
          <w:tcPr>
            <w:tcW w:w="1000" w:type="dxa"/>
            <w:tcBorders>
              <w:top w:val="single" w:sz="4" w:space="0" w:color="auto"/>
              <w:left w:val="nil"/>
              <w:bottom w:val="single" w:sz="4" w:space="0" w:color="auto"/>
              <w:right w:val="nil"/>
            </w:tcBorders>
            <w:shd w:val="clear" w:color="auto" w:fill="auto"/>
            <w:hideMark/>
          </w:tcPr>
          <w:p w14:paraId="2977A56E" w14:textId="3CE068FB" w:rsidR="00F2198D" w:rsidRPr="00F2198D" w:rsidRDefault="00F94336" w:rsidP="00F94336">
            <w:pPr>
              <w:spacing w:before="24" w:after="0" w:line="240" w:lineRule="auto"/>
              <w:jc w:val="right"/>
              <w:rPr>
                <w:rFonts w:ascii="Arial" w:hAnsi="Arial" w:cs="Arial"/>
                <w:b/>
                <w:bCs/>
                <w:sz w:val="16"/>
                <w:szCs w:val="16"/>
              </w:rPr>
            </w:pPr>
            <w:r>
              <w:rPr>
                <w:rFonts w:ascii="Arial" w:hAnsi="Arial" w:cs="Arial"/>
                <w:b/>
                <w:bCs/>
                <w:sz w:val="16"/>
                <w:szCs w:val="16"/>
              </w:rPr>
              <w:t>2025–</w:t>
            </w:r>
            <w:r w:rsidR="00F2198D" w:rsidRPr="00F2198D">
              <w:rPr>
                <w:rFonts w:ascii="Arial" w:hAnsi="Arial" w:cs="Arial"/>
                <w:b/>
                <w:bCs/>
                <w:sz w:val="16"/>
                <w:szCs w:val="16"/>
              </w:rPr>
              <w:t>26 Forward Estimate</w:t>
            </w:r>
            <w:r w:rsidR="00F2198D" w:rsidRPr="00F2198D">
              <w:rPr>
                <w:rFonts w:ascii="Arial" w:hAnsi="Arial" w:cs="Arial"/>
                <w:b/>
                <w:bCs/>
                <w:sz w:val="16"/>
                <w:szCs w:val="16"/>
              </w:rPr>
              <w:br/>
            </w:r>
            <w:r w:rsidR="00F2198D" w:rsidRPr="00F2198D">
              <w:rPr>
                <w:rFonts w:ascii="Arial" w:hAnsi="Arial" w:cs="Arial"/>
                <w:sz w:val="16"/>
                <w:szCs w:val="16"/>
              </w:rPr>
              <w:t>$'000</w:t>
            </w:r>
          </w:p>
        </w:tc>
        <w:tc>
          <w:tcPr>
            <w:tcW w:w="1000" w:type="dxa"/>
            <w:tcBorders>
              <w:top w:val="single" w:sz="4" w:space="0" w:color="auto"/>
              <w:left w:val="nil"/>
              <w:bottom w:val="single" w:sz="4" w:space="0" w:color="auto"/>
              <w:right w:val="nil"/>
            </w:tcBorders>
            <w:shd w:val="clear" w:color="auto" w:fill="auto"/>
            <w:hideMark/>
          </w:tcPr>
          <w:p w14:paraId="6E12265B" w14:textId="53C908CE" w:rsidR="00F2198D" w:rsidRPr="00F2198D" w:rsidRDefault="00F94336" w:rsidP="00F94336">
            <w:pPr>
              <w:spacing w:before="24" w:after="0" w:line="240" w:lineRule="auto"/>
              <w:jc w:val="right"/>
              <w:rPr>
                <w:rFonts w:ascii="Arial" w:hAnsi="Arial" w:cs="Arial"/>
                <w:b/>
                <w:bCs/>
                <w:sz w:val="16"/>
                <w:szCs w:val="16"/>
              </w:rPr>
            </w:pPr>
            <w:r>
              <w:rPr>
                <w:rFonts w:ascii="Arial" w:hAnsi="Arial" w:cs="Arial"/>
                <w:b/>
                <w:bCs/>
                <w:sz w:val="16"/>
                <w:szCs w:val="16"/>
              </w:rPr>
              <w:t>2026–</w:t>
            </w:r>
            <w:r w:rsidR="00F2198D" w:rsidRPr="00F2198D">
              <w:rPr>
                <w:rFonts w:ascii="Arial" w:hAnsi="Arial" w:cs="Arial"/>
                <w:b/>
                <w:bCs/>
                <w:sz w:val="16"/>
                <w:szCs w:val="16"/>
              </w:rPr>
              <w:t>27 Forward Estimate</w:t>
            </w:r>
            <w:r w:rsidR="00F2198D" w:rsidRPr="00F2198D">
              <w:rPr>
                <w:rFonts w:ascii="Arial" w:hAnsi="Arial" w:cs="Arial"/>
                <w:b/>
                <w:bCs/>
                <w:sz w:val="16"/>
                <w:szCs w:val="16"/>
              </w:rPr>
              <w:br/>
            </w:r>
            <w:r w:rsidR="00F2198D" w:rsidRPr="00F2198D">
              <w:rPr>
                <w:rFonts w:ascii="Arial" w:hAnsi="Arial" w:cs="Arial"/>
                <w:sz w:val="16"/>
                <w:szCs w:val="16"/>
              </w:rPr>
              <w:t>$'000</w:t>
            </w:r>
          </w:p>
        </w:tc>
      </w:tr>
      <w:tr w:rsidR="00F2198D" w:rsidRPr="00F2198D" w14:paraId="498234EA" w14:textId="77777777" w:rsidTr="000911F8">
        <w:trPr>
          <w:trHeight w:val="283"/>
          <w:jc w:val="center"/>
        </w:trPr>
        <w:tc>
          <w:tcPr>
            <w:tcW w:w="2692" w:type="dxa"/>
            <w:tcBorders>
              <w:top w:val="nil"/>
              <w:left w:val="nil"/>
              <w:bottom w:val="nil"/>
              <w:right w:val="nil"/>
            </w:tcBorders>
            <w:shd w:val="clear" w:color="auto" w:fill="auto"/>
            <w:noWrap/>
            <w:vAlign w:val="bottom"/>
            <w:hideMark/>
          </w:tcPr>
          <w:p w14:paraId="0F4D6240"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2.1: Medical Benefits</w:t>
            </w:r>
          </w:p>
        </w:tc>
        <w:tc>
          <w:tcPr>
            <w:tcW w:w="1019" w:type="dxa"/>
            <w:tcBorders>
              <w:top w:val="nil"/>
              <w:left w:val="nil"/>
              <w:bottom w:val="nil"/>
              <w:right w:val="nil"/>
            </w:tcBorders>
            <w:shd w:val="clear" w:color="auto" w:fill="auto"/>
            <w:noWrap/>
            <w:vAlign w:val="bottom"/>
            <w:hideMark/>
          </w:tcPr>
          <w:p w14:paraId="26BEFDAE" w14:textId="77777777" w:rsidR="00F2198D" w:rsidRPr="00F2198D" w:rsidRDefault="00F2198D" w:rsidP="00F2198D">
            <w:pPr>
              <w:spacing w:before="0" w:after="0" w:line="240" w:lineRule="auto"/>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0816BA2E"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6AF13280"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422B56C1"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13AC0681"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18B9A602"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2334DBBD" w14:textId="77777777" w:rsidR="00F2198D" w:rsidRPr="00F2198D" w:rsidRDefault="00F2198D" w:rsidP="00F2198D">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1019" w:type="dxa"/>
            <w:tcBorders>
              <w:top w:val="nil"/>
              <w:left w:val="nil"/>
              <w:bottom w:val="nil"/>
              <w:right w:val="nil"/>
            </w:tcBorders>
            <w:shd w:val="clear" w:color="auto" w:fill="auto"/>
            <w:noWrap/>
            <w:vAlign w:val="bottom"/>
            <w:hideMark/>
          </w:tcPr>
          <w:p w14:paraId="3DDE9643" w14:textId="77777777" w:rsidR="00F2198D" w:rsidRPr="00F2198D" w:rsidRDefault="00F2198D" w:rsidP="00F2198D">
            <w:pPr>
              <w:spacing w:before="0" w:after="0" w:line="240" w:lineRule="auto"/>
              <w:ind w:firstLineChars="100" w:firstLine="16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1F374F7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27EFB0B7"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15B3054"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1259C3CF"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103EA4AF" w14:textId="77777777" w:rsidTr="00F94336">
        <w:trPr>
          <w:trHeight w:val="225"/>
          <w:jc w:val="center"/>
        </w:trPr>
        <w:tc>
          <w:tcPr>
            <w:tcW w:w="2692" w:type="dxa"/>
            <w:tcBorders>
              <w:top w:val="nil"/>
              <w:left w:val="nil"/>
              <w:bottom w:val="nil"/>
              <w:right w:val="nil"/>
            </w:tcBorders>
            <w:shd w:val="clear" w:color="auto" w:fill="auto"/>
            <w:noWrap/>
            <w:vAlign w:val="bottom"/>
            <w:hideMark/>
          </w:tcPr>
          <w:p w14:paraId="25224AFB"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4"/>
                <w:szCs w:val="14"/>
                <w:vertAlign w:val="superscript"/>
              </w:rPr>
              <w:t xml:space="preserve"> </w:t>
            </w:r>
          </w:p>
        </w:tc>
        <w:tc>
          <w:tcPr>
            <w:tcW w:w="1019" w:type="dxa"/>
            <w:tcBorders>
              <w:top w:val="nil"/>
              <w:left w:val="nil"/>
              <w:bottom w:val="nil"/>
              <w:right w:val="nil"/>
            </w:tcBorders>
            <w:shd w:val="clear" w:color="auto" w:fill="auto"/>
            <w:noWrap/>
            <w:vAlign w:val="bottom"/>
            <w:hideMark/>
          </w:tcPr>
          <w:p w14:paraId="2FA3582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135,226</w:t>
            </w:r>
          </w:p>
        </w:tc>
        <w:tc>
          <w:tcPr>
            <w:tcW w:w="1000" w:type="dxa"/>
            <w:tcBorders>
              <w:top w:val="nil"/>
              <w:left w:val="nil"/>
              <w:bottom w:val="nil"/>
              <w:right w:val="nil"/>
            </w:tcBorders>
            <w:shd w:val="clear" w:color="000000" w:fill="D9D9D9"/>
            <w:noWrap/>
            <w:vAlign w:val="bottom"/>
            <w:hideMark/>
          </w:tcPr>
          <w:p w14:paraId="28788E6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129,612</w:t>
            </w:r>
          </w:p>
        </w:tc>
        <w:tc>
          <w:tcPr>
            <w:tcW w:w="1000" w:type="dxa"/>
            <w:tcBorders>
              <w:top w:val="nil"/>
              <w:left w:val="nil"/>
              <w:bottom w:val="nil"/>
              <w:right w:val="nil"/>
            </w:tcBorders>
            <w:shd w:val="clear" w:color="auto" w:fill="auto"/>
            <w:noWrap/>
            <w:vAlign w:val="bottom"/>
            <w:hideMark/>
          </w:tcPr>
          <w:p w14:paraId="33FBE9E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107,821</w:t>
            </w:r>
          </w:p>
        </w:tc>
        <w:tc>
          <w:tcPr>
            <w:tcW w:w="1000" w:type="dxa"/>
            <w:tcBorders>
              <w:top w:val="nil"/>
              <w:left w:val="nil"/>
              <w:bottom w:val="nil"/>
              <w:right w:val="nil"/>
            </w:tcBorders>
            <w:shd w:val="clear" w:color="auto" w:fill="auto"/>
            <w:noWrap/>
            <w:vAlign w:val="bottom"/>
            <w:hideMark/>
          </w:tcPr>
          <w:p w14:paraId="6248E64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106,346</w:t>
            </w:r>
          </w:p>
        </w:tc>
        <w:tc>
          <w:tcPr>
            <w:tcW w:w="1000" w:type="dxa"/>
            <w:tcBorders>
              <w:top w:val="nil"/>
              <w:left w:val="nil"/>
              <w:bottom w:val="nil"/>
              <w:right w:val="nil"/>
            </w:tcBorders>
            <w:shd w:val="clear" w:color="auto" w:fill="auto"/>
            <w:noWrap/>
            <w:vAlign w:val="bottom"/>
            <w:hideMark/>
          </w:tcPr>
          <w:p w14:paraId="21B74E2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107,289</w:t>
            </w:r>
          </w:p>
        </w:tc>
      </w:tr>
      <w:tr w:rsidR="00F2198D" w:rsidRPr="00F2198D" w14:paraId="3F88E1C8" w14:textId="77777777" w:rsidTr="00F94336">
        <w:trPr>
          <w:trHeight w:val="225"/>
          <w:jc w:val="center"/>
        </w:trPr>
        <w:tc>
          <w:tcPr>
            <w:tcW w:w="2692" w:type="dxa"/>
            <w:tcBorders>
              <w:top w:val="nil"/>
              <w:left w:val="nil"/>
              <w:bottom w:val="nil"/>
              <w:right w:val="nil"/>
            </w:tcBorders>
            <w:shd w:val="clear" w:color="auto" w:fill="auto"/>
            <w:noWrap/>
            <w:vAlign w:val="bottom"/>
            <w:hideMark/>
          </w:tcPr>
          <w:p w14:paraId="4E4097FA"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Special account</w:t>
            </w:r>
          </w:p>
        </w:tc>
        <w:tc>
          <w:tcPr>
            <w:tcW w:w="1019" w:type="dxa"/>
            <w:tcBorders>
              <w:top w:val="nil"/>
              <w:left w:val="nil"/>
              <w:bottom w:val="nil"/>
              <w:right w:val="nil"/>
            </w:tcBorders>
            <w:shd w:val="clear" w:color="auto" w:fill="auto"/>
            <w:noWrap/>
            <w:vAlign w:val="bottom"/>
            <w:hideMark/>
          </w:tcPr>
          <w:p w14:paraId="1F1339D3" w14:textId="77777777" w:rsidR="00F2198D" w:rsidRPr="00F2198D" w:rsidRDefault="00F2198D" w:rsidP="00F2198D">
            <w:pPr>
              <w:spacing w:before="0" w:after="0" w:line="240" w:lineRule="auto"/>
              <w:ind w:firstLineChars="200" w:firstLine="32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3F9E0BA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2D30C6E7"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434B5439"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3BEAF369"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5BB2590B" w14:textId="77777777" w:rsidTr="00F94336">
        <w:trPr>
          <w:trHeight w:val="425"/>
          <w:jc w:val="center"/>
        </w:trPr>
        <w:tc>
          <w:tcPr>
            <w:tcW w:w="2692" w:type="dxa"/>
            <w:tcBorders>
              <w:top w:val="nil"/>
              <w:left w:val="nil"/>
              <w:bottom w:val="nil"/>
              <w:right w:val="nil"/>
            </w:tcBorders>
            <w:shd w:val="clear" w:color="auto" w:fill="auto"/>
            <w:vAlign w:val="bottom"/>
            <w:hideMark/>
          </w:tcPr>
          <w:p w14:paraId="014A78F2" w14:textId="77777777" w:rsidR="00F2198D" w:rsidRPr="00F2198D" w:rsidRDefault="00F2198D" w:rsidP="006A4794">
            <w:pPr>
              <w:spacing w:before="0" w:after="0" w:line="240" w:lineRule="auto"/>
              <w:ind w:leftChars="225" w:left="428"/>
              <w:rPr>
                <w:rFonts w:ascii="Arial" w:hAnsi="Arial" w:cs="Arial"/>
                <w:sz w:val="16"/>
                <w:szCs w:val="16"/>
              </w:rPr>
            </w:pPr>
            <w:r w:rsidRPr="00F2198D">
              <w:rPr>
                <w:rFonts w:ascii="Arial" w:hAnsi="Arial" w:cs="Arial"/>
                <w:sz w:val="16"/>
                <w:szCs w:val="16"/>
              </w:rPr>
              <w:t>Medicare Guarantee Fund</w:t>
            </w:r>
            <w:r w:rsidRPr="00F2198D">
              <w:rPr>
                <w:rFonts w:ascii="Arial" w:hAnsi="Arial" w:cs="Arial"/>
                <w:sz w:val="16"/>
                <w:szCs w:val="16"/>
              </w:rPr>
              <w:br/>
              <w:t xml:space="preserve"> - medical benefits</w:t>
            </w:r>
            <w:r w:rsidRPr="00F2198D">
              <w:rPr>
                <w:rFonts w:ascii="Arial" w:hAnsi="Arial" w:cs="Arial"/>
                <w:sz w:val="16"/>
                <w:szCs w:val="16"/>
                <w:vertAlign w:val="superscript"/>
              </w:rPr>
              <w:t xml:space="preserve"> </w:t>
            </w:r>
          </w:p>
        </w:tc>
        <w:tc>
          <w:tcPr>
            <w:tcW w:w="1019" w:type="dxa"/>
            <w:tcBorders>
              <w:top w:val="nil"/>
              <w:left w:val="nil"/>
              <w:bottom w:val="nil"/>
              <w:right w:val="nil"/>
            </w:tcBorders>
            <w:shd w:val="clear" w:color="auto" w:fill="auto"/>
            <w:noWrap/>
            <w:vAlign w:val="bottom"/>
            <w:hideMark/>
          </w:tcPr>
          <w:p w14:paraId="210E93B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28,692,264</w:t>
            </w:r>
          </w:p>
        </w:tc>
        <w:tc>
          <w:tcPr>
            <w:tcW w:w="1000" w:type="dxa"/>
            <w:tcBorders>
              <w:top w:val="nil"/>
              <w:left w:val="nil"/>
              <w:bottom w:val="nil"/>
              <w:right w:val="nil"/>
            </w:tcBorders>
            <w:shd w:val="clear" w:color="000000" w:fill="D9D9D9"/>
            <w:noWrap/>
            <w:tcMar>
              <w:left w:w="0" w:type="dxa"/>
            </w:tcMar>
            <w:vAlign w:val="bottom"/>
            <w:hideMark/>
          </w:tcPr>
          <w:p w14:paraId="4746798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29,958,157</w:t>
            </w:r>
          </w:p>
        </w:tc>
        <w:tc>
          <w:tcPr>
            <w:tcW w:w="1000" w:type="dxa"/>
            <w:tcBorders>
              <w:top w:val="nil"/>
              <w:left w:val="nil"/>
              <w:bottom w:val="nil"/>
              <w:right w:val="nil"/>
            </w:tcBorders>
            <w:shd w:val="clear" w:color="auto" w:fill="auto"/>
            <w:noWrap/>
            <w:tcMar>
              <w:left w:w="0" w:type="dxa"/>
            </w:tcMar>
            <w:vAlign w:val="bottom"/>
            <w:hideMark/>
          </w:tcPr>
          <w:p w14:paraId="75AFFF8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32,080,672</w:t>
            </w:r>
          </w:p>
        </w:tc>
        <w:tc>
          <w:tcPr>
            <w:tcW w:w="1000" w:type="dxa"/>
            <w:tcBorders>
              <w:top w:val="nil"/>
              <w:left w:val="nil"/>
              <w:bottom w:val="nil"/>
              <w:right w:val="nil"/>
            </w:tcBorders>
            <w:shd w:val="clear" w:color="auto" w:fill="auto"/>
            <w:noWrap/>
            <w:tcMar>
              <w:left w:w="0" w:type="dxa"/>
            </w:tcMar>
            <w:vAlign w:val="bottom"/>
            <w:hideMark/>
          </w:tcPr>
          <w:p w14:paraId="7BEB907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33,889,350</w:t>
            </w:r>
          </w:p>
        </w:tc>
        <w:tc>
          <w:tcPr>
            <w:tcW w:w="1000" w:type="dxa"/>
            <w:tcBorders>
              <w:top w:val="nil"/>
              <w:left w:val="nil"/>
              <w:bottom w:val="nil"/>
              <w:right w:val="nil"/>
            </w:tcBorders>
            <w:shd w:val="clear" w:color="auto" w:fill="auto"/>
            <w:noWrap/>
            <w:tcMar>
              <w:left w:w="0" w:type="dxa"/>
            </w:tcMar>
            <w:vAlign w:val="bottom"/>
            <w:hideMark/>
          </w:tcPr>
          <w:p w14:paraId="1713550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35,437,638</w:t>
            </w:r>
          </w:p>
        </w:tc>
      </w:tr>
      <w:tr w:rsidR="00F2198D" w:rsidRPr="00F2198D" w14:paraId="0C5C5300" w14:textId="77777777" w:rsidTr="00F94336">
        <w:trPr>
          <w:trHeight w:val="225"/>
          <w:jc w:val="center"/>
        </w:trPr>
        <w:tc>
          <w:tcPr>
            <w:tcW w:w="2692" w:type="dxa"/>
            <w:tcBorders>
              <w:top w:val="nil"/>
              <w:left w:val="nil"/>
              <w:bottom w:val="nil"/>
              <w:right w:val="nil"/>
            </w:tcBorders>
            <w:shd w:val="clear" w:color="auto" w:fill="auto"/>
            <w:vAlign w:val="bottom"/>
            <w:hideMark/>
          </w:tcPr>
          <w:p w14:paraId="640ED0DD" w14:textId="77777777" w:rsidR="00F2198D" w:rsidRPr="00F2198D" w:rsidRDefault="00F2198D" w:rsidP="006A4794">
            <w:pPr>
              <w:spacing w:before="0" w:after="0" w:line="240" w:lineRule="auto"/>
              <w:ind w:leftChars="225" w:left="428"/>
              <w:rPr>
                <w:rFonts w:ascii="Arial" w:hAnsi="Arial" w:cs="Arial"/>
                <w:sz w:val="16"/>
                <w:szCs w:val="16"/>
              </w:rPr>
            </w:pPr>
            <w:r w:rsidRPr="00F2198D">
              <w:rPr>
                <w:rFonts w:ascii="Arial" w:hAnsi="Arial" w:cs="Arial"/>
                <w:sz w:val="16"/>
                <w:szCs w:val="16"/>
              </w:rPr>
              <w:t xml:space="preserve">accrual adjustment </w:t>
            </w:r>
            <w:r w:rsidRPr="00F2198D">
              <w:rPr>
                <w:rFonts w:ascii="Arial" w:hAnsi="Arial" w:cs="Arial"/>
                <w:sz w:val="16"/>
                <w:szCs w:val="16"/>
                <w:vertAlign w:val="superscript"/>
              </w:rPr>
              <w:t>(a)</w:t>
            </w:r>
          </w:p>
        </w:tc>
        <w:tc>
          <w:tcPr>
            <w:tcW w:w="998" w:type="dxa"/>
            <w:tcBorders>
              <w:top w:val="nil"/>
              <w:left w:val="nil"/>
              <w:bottom w:val="nil"/>
              <w:right w:val="nil"/>
            </w:tcBorders>
            <w:shd w:val="clear" w:color="auto" w:fill="auto"/>
            <w:noWrap/>
            <w:tcMar>
              <w:left w:w="0" w:type="dxa"/>
            </w:tcMar>
            <w:vAlign w:val="bottom"/>
            <w:hideMark/>
          </w:tcPr>
          <w:p w14:paraId="276F8E45"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(1,219,554)</w:t>
            </w:r>
          </w:p>
        </w:tc>
        <w:tc>
          <w:tcPr>
            <w:tcW w:w="1000" w:type="dxa"/>
            <w:tcBorders>
              <w:top w:val="nil"/>
              <w:left w:val="nil"/>
              <w:bottom w:val="nil"/>
              <w:right w:val="nil"/>
            </w:tcBorders>
            <w:shd w:val="clear" w:color="000000" w:fill="D9D9D9"/>
            <w:noWrap/>
            <w:vAlign w:val="bottom"/>
            <w:hideMark/>
          </w:tcPr>
          <w:p w14:paraId="7DB1BAB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25,872</w:t>
            </w:r>
          </w:p>
        </w:tc>
        <w:tc>
          <w:tcPr>
            <w:tcW w:w="1000" w:type="dxa"/>
            <w:tcBorders>
              <w:top w:val="nil"/>
              <w:left w:val="nil"/>
              <w:bottom w:val="nil"/>
              <w:right w:val="nil"/>
            </w:tcBorders>
            <w:shd w:val="clear" w:color="auto" w:fill="auto"/>
            <w:noWrap/>
            <w:vAlign w:val="bottom"/>
            <w:hideMark/>
          </w:tcPr>
          <w:p w14:paraId="2653F90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24,911</w:t>
            </w:r>
          </w:p>
        </w:tc>
        <w:tc>
          <w:tcPr>
            <w:tcW w:w="1000" w:type="dxa"/>
            <w:tcBorders>
              <w:top w:val="nil"/>
              <w:left w:val="nil"/>
              <w:bottom w:val="nil"/>
              <w:right w:val="nil"/>
            </w:tcBorders>
            <w:shd w:val="clear" w:color="auto" w:fill="auto"/>
            <w:noWrap/>
            <w:vAlign w:val="bottom"/>
            <w:hideMark/>
          </w:tcPr>
          <w:p w14:paraId="7E8594E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6,196</w:t>
            </w:r>
          </w:p>
        </w:tc>
        <w:tc>
          <w:tcPr>
            <w:tcW w:w="1000" w:type="dxa"/>
            <w:tcBorders>
              <w:top w:val="nil"/>
              <w:left w:val="nil"/>
              <w:bottom w:val="nil"/>
              <w:right w:val="nil"/>
            </w:tcBorders>
            <w:shd w:val="clear" w:color="auto" w:fill="auto"/>
            <w:noWrap/>
            <w:vAlign w:val="bottom"/>
            <w:hideMark/>
          </w:tcPr>
          <w:p w14:paraId="65AF2CF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22,878</w:t>
            </w:r>
          </w:p>
        </w:tc>
      </w:tr>
      <w:tr w:rsidR="00F2198D" w:rsidRPr="00F2198D" w14:paraId="15B8EA7E"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4CE8EFFB" w14:textId="77777777" w:rsidR="00F2198D" w:rsidRPr="00F2198D" w:rsidRDefault="00F2198D" w:rsidP="00F2198D">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2.1</w:t>
            </w:r>
          </w:p>
        </w:tc>
        <w:tc>
          <w:tcPr>
            <w:tcW w:w="998" w:type="dxa"/>
            <w:tcBorders>
              <w:top w:val="single" w:sz="4" w:space="0" w:color="auto"/>
              <w:left w:val="nil"/>
              <w:bottom w:val="single" w:sz="4" w:space="0" w:color="auto"/>
              <w:right w:val="nil"/>
            </w:tcBorders>
            <w:shd w:val="clear" w:color="auto" w:fill="auto"/>
            <w:noWrap/>
            <w:vAlign w:val="bottom"/>
            <w:hideMark/>
          </w:tcPr>
          <w:p w14:paraId="1F4B46E1"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27,607,936</w:t>
            </w:r>
          </w:p>
        </w:tc>
        <w:tc>
          <w:tcPr>
            <w:tcW w:w="1000" w:type="dxa"/>
            <w:tcBorders>
              <w:top w:val="single" w:sz="4" w:space="0" w:color="auto"/>
              <w:left w:val="nil"/>
              <w:bottom w:val="single" w:sz="4" w:space="0" w:color="auto"/>
              <w:right w:val="nil"/>
            </w:tcBorders>
            <w:shd w:val="clear" w:color="000000" w:fill="D9D9D9"/>
            <w:noWrap/>
            <w:tcMar>
              <w:left w:w="0" w:type="dxa"/>
            </w:tcMar>
            <w:vAlign w:val="bottom"/>
            <w:hideMark/>
          </w:tcPr>
          <w:p w14:paraId="25EADF49"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30,113,641</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3E84BA2D"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32,213,404</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04E73534"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34,001,892</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34F0D219"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35,567,805</w:t>
            </w:r>
          </w:p>
        </w:tc>
      </w:tr>
      <w:tr w:rsidR="00F2198D" w:rsidRPr="00F2198D" w14:paraId="1C9286BD" w14:textId="77777777" w:rsidTr="000911F8">
        <w:trPr>
          <w:trHeight w:val="283"/>
          <w:jc w:val="center"/>
        </w:trPr>
        <w:tc>
          <w:tcPr>
            <w:tcW w:w="2692" w:type="dxa"/>
            <w:tcBorders>
              <w:top w:val="nil"/>
              <w:left w:val="nil"/>
              <w:bottom w:val="nil"/>
              <w:right w:val="nil"/>
            </w:tcBorders>
            <w:shd w:val="clear" w:color="auto" w:fill="auto"/>
            <w:noWrap/>
            <w:vAlign w:val="bottom"/>
            <w:hideMark/>
          </w:tcPr>
          <w:p w14:paraId="72089C57"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2.2: Hearing Services</w:t>
            </w:r>
          </w:p>
        </w:tc>
        <w:tc>
          <w:tcPr>
            <w:tcW w:w="998" w:type="dxa"/>
            <w:tcBorders>
              <w:top w:val="nil"/>
              <w:left w:val="nil"/>
              <w:bottom w:val="nil"/>
              <w:right w:val="nil"/>
            </w:tcBorders>
            <w:shd w:val="clear" w:color="auto" w:fill="auto"/>
            <w:noWrap/>
            <w:vAlign w:val="bottom"/>
            <w:hideMark/>
          </w:tcPr>
          <w:p w14:paraId="4F62BB21" w14:textId="77777777" w:rsidR="00F2198D" w:rsidRPr="00F2198D" w:rsidRDefault="00F2198D" w:rsidP="00F2198D">
            <w:pPr>
              <w:spacing w:before="0" w:after="0" w:line="240" w:lineRule="auto"/>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19B1AED7"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508D3D61"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557892D2"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0DA5614D"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204E3CF9"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3C47CA3E" w14:textId="77777777" w:rsidR="00F2198D" w:rsidRPr="00F2198D" w:rsidRDefault="00F2198D" w:rsidP="00F2198D">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98" w:type="dxa"/>
            <w:tcBorders>
              <w:top w:val="nil"/>
              <w:left w:val="nil"/>
              <w:bottom w:val="nil"/>
              <w:right w:val="nil"/>
            </w:tcBorders>
            <w:shd w:val="clear" w:color="auto" w:fill="auto"/>
            <w:noWrap/>
            <w:vAlign w:val="bottom"/>
            <w:hideMark/>
          </w:tcPr>
          <w:p w14:paraId="29266E3D" w14:textId="77777777" w:rsidR="00F2198D" w:rsidRPr="00F2198D" w:rsidRDefault="00F2198D" w:rsidP="00F2198D">
            <w:pPr>
              <w:spacing w:before="0" w:after="0" w:line="240" w:lineRule="auto"/>
              <w:ind w:firstLineChars="100" w:firstLine="16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425FD91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72188419"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190A221"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14A886F6"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55381A0C" w14:textId="77777777" w:rsidTr="00F94336">
        <w:trPr>
          <w:trHeight w:val="225"/>
          <w:jc w:val="center"/>
        </w:trPr>
        <w:tc>
          <w:tcPr>
            <w:tcW w:w="2692" w:type="dxa"/>
            <w:tcBorders>
              <w:top w:val="nil"/>
              <w:left w:val="nil"/>
              <w:bottom w:val="nil"/>
              <w:right w:val="nil"/>
            </w:tcBorders>
            <w:shd w:val="clear" w:color="auto" w:fill="auto"/>
            <w:noWrap/>
            <w:vAlign w:val="bottom"/>
            <w:hideMark/>
          </w:tcPr>
          <w:p w14:paraId="7485D95F"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6"/>
                <w:szCs w:val="16"/>
                <w:vertAlign w:val="superscript"/>
              </w:rPr>
              <w:t xml:space="preserve"> </w:t>
            </w:r>
          </w:p>
        </w:tc>
        <w:tc>
          <w:tcPr>
            <w:tcW w:w="998" w:type="dxa"/>
            <w:tcBorders>
              <w:top w:val="nil"/>
              <w:left w:val="nil"/>
              <w:bottom w:val="nil"/>
              <w:right w:val="nil"/>
            </w:tcBorders>
            <w:shd w:val="clear" w:color="auto" w:fill="auto"/>
            <w:noWrap/>
            <w:vAlign w:val="bottom"/>
            <w:hideMark/>
          </w:tcPr>
          <w:p w14:paraId="4DF10533"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587,879</w:t>
            </w:r>
          </w:p>
        </w:tc>
        <w:tc>
          <w:tcPr>
            <w:tcW w:w="1000" w:type="dxa"/>
            <w:tcBorders>
              <w:top w:val="nil"/>
              <w:left w:val="nil"/>
              <w:bottom w:val="nil"/>
              <w:right w:val="nil"/>
            </w:tcBorders>
            <w:shd w:val="clear" w:color="000000" w:fill="D9D9D9"/>
            <w:noWrap/>
            <w:vAlign w:val="bottom"/>
            <w:hideMark/>
          </w:tcPr>
          <w:p w14:paraId="326160C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616,984</w:t>
            </w:r>
          </w:p>
        </w:tc>
        <w:tc>
          <w:tcPr>
            <w:tcW w:w="1000" w:type="dxa"/>
            <w:tcBorders>
              <w:top w:val="nil"/>
              <w:left w:val="nil"/>
              <w:bottom w:val="nil"/>
              <w:right w:val="nil"/>
            </w:tcBorders>
            <w:shd w:val="clear" w:color="auto" w:fill="auto"/>
            <w:noWrap/>
            <w:vAlign w:val="bottom"/>
            <w:hideMark/>
          </w:tcPr>
          <w:p w14:paraId="5CC97CD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652,815</w:t>
            </w:r>
          </w:p>
        </w:tc>
        <w:tc>
          <w:tcPr>
            <w:tcW w:w="1000" w:type="dxa"/>
            <w:tcBorders>
              <w:top w:val="nil"/>
              <w:left w:val="nil"/>
              <w:bottom w:val="nil"/>
              <w:right w:val="nil"/>
            </w:tcBorders>
            <w:shd w:val="clear" w:color="auto" w:fill="auto"/>
            <w:noWrap/>
            <w:vAlign w:val="bottom"/>
            <w:hideMark/>
          </w:tcPr>
          <w:p w14:paraId="38C63A50"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687,470</w:t>
            </w:r>
          </w:p>
        </w:tc>
        <w:tc>
          <w:tcPr>
            <w:tcW w:w="1000" w:type="dxa"/>
            <w:tcBorders>
              <w:top w:val="nil"/>
              <w:left w:val="nil"/>
              <w:bottom w:val="nil"/>
              <w:right w:val="nil"/>
            </w:tcBorders>
            <w:shd w:val="clear" w:color="auto" w:fill="auto"/>
            <w:noWrap/>
            <w:vAlign w:val="bottom"/>
            <w:hideMark/>
          </w:tcPr>
          <w:p w14:paraId="27B7E77B"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698,951</w:t>
            </w:r>
          </w:p>
        </w:tc>
      </w:tr>
      <w:tr w:rsidR="00F2198D" w:rsidRPr="00F2198D" w14:paraId="37A1179E"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644C1952" w14:textId="77777777" w:rsidR="00F2198D" w:rsidRPr="00F2198D" w:rsidRDefault="00F2198D" w:rsidP="00F2198D">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2.2</w:t>
            </w:r>
          </w:p>
        </w:tc>
        <w:tc>
          <w:tcPr>
            <w:tcW w:w="998" w:type="dxa"/>
            <w:tcBorders>
              <w:top w:val="single" w:sz="4" w:space="0" w:color="auto"/>
              <w:left w:val="nil"/>
              <w:bottom w:val="single" w:sz="4" w:space="0" w:color="auto"/>
              <w:right w:val="nil"/>
            </w:tcBorders>
            <w:shd w:val="clear" w:color="auto" w:fill="auto"/>
            <w:noWrap/>
            <w:vAlign w:val="bottom"/>
            <w:hideMark/>
          </w:tcPr>
          <w:p w14:paraId="56744C42"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587,879</w:t>
            </w:r>
          </w:p>
        </w:tc>
        <w:tc>
          <w:tcPr>
            <w:tcW w:w="1000" w:type="dxa"/>
            <w:tcBorders>
              <w:top w:val="single" w:sz="4" w:space="0" w:color="auto"/>
              <w:left w:val="nil"/>
              <w:bottom w:val="single" w:sz="4" w:space="0" w:color="auto"/>
              <w:right w:val="nil"/>
            </w:tcBorders>
            <w:shd w:val="clear" w:color="000000" w:fill="D9D9D9"/>
            <w:noWrap/>
            <w:vAlign w:val="bottom"/>
            <w:hideMark/>
          </w:tcPr>
          <w:p w14:paraId="469E6847"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616,984</w:t>
            </w:r>
          </w:p>
        </w:tc>
        <w:tc>
          <w:tcPr>
            <w:tcW w:w="1000" w:type="dxa"/>
            <w:tcBorders>
              <w:top w:val="single" w:sz="4" w:space="0" w:color="auto"/>
              <w:left w:val="nil"/>
              <w:bottom w:val="single" w:sz="4" w:space="0" w:color="auto"/>
              <w:right w:val="nil"/>
            </w:tcBorders>
            <w:shd w:val="clear" w:color="auto" w:fill="auto"/>
            <w:noWrap/>
            <w:vAlign w:val="bottom"/>
            <w:hideMark/>
          </w:tcPr>
          <w:p w14:paraId="46133FA3"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652,815</w:t>
            </w:r>
          </w:p>
        </w:tc>
        <w:tc>
          <w:tcPr>
            <w:tcW w:w="1000" w:type="dxa"/>
            <w:tcBorders>
              <w:top w:val="single" w:sz="4" w:space="0" w:color="auto"/>
              <w:left w:val="nil"/>
              <w:bottom w:val="single" w:sz="4" w:space="0" w:color="auto"/>
              <w:right w:val="nil"/>
            </w:tcBorders>
            <w:shd w:val="clear" w:color="auto" w:fill="auto"/>
            <w:noWrap/>
            <w:vAlign w:val="bottom"/>
            <w:hideMark/>
          </w:tcPr>
          <w:p w14:paraId="6B7D33DE"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687,470</w:t>
            </w:r>
          </w:p>
        </w:tc>
        <w:tc>
          <w:tcPr>
            <w:tcW w:w="1000" w:type="dxa"/>
            <w:tcBorders>
              <w:top w:val="single" w:sz="4" w:space="0" w:color="auto"/>
              <w:left w:val="nil"/>
              <w:bottom w:val="single" w:sz="4" w:space="0" w:color="auto"/>
              <w:right w:val="nil"/>
            </w:tcBorders>
            <w:shd w:val="clear" w:color="auto" w:fill="auto"/>
            <w:noWrap/>
            <w:vAlign w:val="bottom"/>
            <w:hideMark/>
          </w:tcPr>
          <w:p w14:paraId="3D3BBBD1"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698,951</w:t>
            </w:r>
          </w:p>
        </w:tc>
      </w:tr>
      <w:tr w:rsidR="00F2198D" w:rsidRPr="00F2198D" w14:paraId="66BD3EC5" w14:textId="77777777" w:rsidTr="000911F8">
        <w:trPr>
          <w:trHeight w:val="283"/>
          <w:jc w:val="center"/>
        </w:trPr>
        <w:tc>
          <w:tcPr>
            <w:tcW w:w="3711" w:type="dxa"/>
            <w:gridSpan w:val="2"/>
            <w:tcBorders>
              <w:top w:val="nil"/>
              <w:left w:val="nil"/>
              <w:bottom w:val="nil"/>
              <w:right w:val="nil"/>
            </w:tcBorders>
            <w:shd w:val="clear" w:color="auto" w:fill="auto"/>
            <w:noWrap/>
            <w:vAlign w:val="bottom"/>
            <w:hideMark/>
          </w:tcPr>
          <w:p w14:paraId="3A13E84F"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2.3: Pharmaceutical Benefits</w:t>
            </w:r>
          </w:p>
        </w:tc>
        <w:tc>
          <w:tcPr>
            <w:tcW w:w="998" w:type="dxa"/>
            <w:tcBorders>
              <w:top w:val="nil"/>
              <w:left w:val="nil"/>
              <w:bottom w:val="nil"/>
              <w:right w:val="nil"/>
            </w:tcBorders>
            <w:shd w:val="clear" w:color="auto" w:fill="auto"/>
            <w:noWrap/>
            <w:vAlign w:val="bottom"/>
            <w:hideMark/>
          </w:tcPr>
          <w:p w14:paraId="28C3E55C" w14:textId="77777777" w:rsidR="00F2198D" w:rsidRPr="00F2198D" w:rsidRDefault="00F2198D" w:rsidP="00F2198D">
            <w:pPr>
              <w:spacing w:before="0" w:after="0" w:line="240" w:lineRule="auto"/>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7E42B8E9"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60BCAF37"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419AB276"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8347DD4"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051DE69C" w14:textId="77777777" w:rsidR="00F2198D" w:rsidRPr="00F2198D" w:rsidRDefault="00F2198D" w:rsidP="00F2198D">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98" w:type="dxa"/>
            <w:tcBorders>
              <w:top w:val="nil"/>
              <w:left w:val="nil"/>
              <w:bottom w:val="nil"/>
              <w:right w:val="nil"/>
            </w:tcBorders>
            <w:shd w:val="clear" w:color="auto" w:fill="auto"/>
            <w:noWrap/>
            <w:vAlign w:val="bottom"/>
            <w:hideMark/>
          </w:tcPr>
          <w:p w14:paraId="67249662" w14:textId="77777777" w:rsidR="00F2198D" w:rsidRPr="00F2198D" w:rsidRDefault="00F2198D" w:rsidP="00F2198D">
            <w:pPr>
              <w:spacing w:before="0" w:after="0" w:line="240" w:lineRule="auto"/>
              <w:ind w:firstLineChars="100" w:firstLine="16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01AA11C9"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7478F9DF"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6016E682"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6995F067"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D65B221" w14:textId="77777777" w:rsidTr="00F94336">
        <w:trPr>
          <w:trHeight w:val="425"/>
          <w:jc w:val="center"/>
        </w:trPr>
        <w:tc>
          <w:tcPr>
            <w:tcW w:w="2692" w:type="dxa"/>
            <w:tcBorders>
              <w:top w:val="nil"/>
              <w:left w:val="nil"/>
              <w:bottom w:val="nil"/>
              <w:right w:val="nil"/>
            </w:tcBorders>
            <w:shd w:val="clear" w:color="auto" w:fill="auto"/>
            <w:vAlign w:val="bottom"/>
            <w:hideMark/>
          </w:tcPr>
          <w:p w14:paraId="50CC02C2"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Ordinary annual services (</w:t>
            </w:r>
            <w:r w:rsidRPr="00863540">
              <w:rPr>
                <w:rFonts w:ascii="Arial" w:hAnsi="Arial" w:cs="Arial"/>
                <w:sz w:val="16"/>
                <w:szCs w:val="16"/>
              </w:rPr>
              <w:t>Appropriation Act No. 1 and 3</w:t>
            </w:r>
            <w:r w:rsidRPr="00F2198D">
              <w:rPr>
                <w:rFonts w:ascii="Arial" w:hAnsi="Arial" w:cs="Arial"/>
                <w:sz w:val="16"/>
                <w:szCs w:val="16"/>
              </w:rPr>
              <w:t>)</w:t>
            </w:r>
          </w:p>
        </w:tc>
        <w:tc>
          <w:tcPr>
            <w:tcW w:w="998" w:type="dxa"/>
            <w:tcBorders>
              <w:top w:val="nil"/>
              <w:left w:val="nil"/>
              <w:bottom w:val="nil"/>
              <w:right w:val="nil"/>
            </w:tcBorders>
            <w:shd w:val="clear" w:color="auto" w:fill="auto"/>
            <w:noWrap/>
            <w:vAlign w:val="bottom"/>
            <w:hideMark/>
          </w:tcPr>
          <w:p w14:paraId="3D92B70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798,835</w:t>
            </w:r>
          </w:p>
        </w:tc>
        <w:tc>
          <w:tcPr>
            <w:tcW w:w="1000" w:type="dxa"/>
            <w:tcBorders>
              <w:top w:val="nil"/>
              <w:left w:val="nil"/>
              <w:bottom w:val="nil"/>
              <w:right w:val="nil"/>
            </w:tcBorders>
            <w:shd w:val="clear" w:color="000000" w:fill="D9D9D9"/>
            <w:noWrap/>
            <w:vAlign w:val="bottom"/>
            <w:hideMark/>
          </w:tcPr>
          <w:p w14:paraId="40844642"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1,020,908</w:t>
            </w:r>
          </w:p>
        </w:tc>
        <w:tc>
          <w:tcPr>
            <w:tcW w:w="1000" w:type="dxa"/>
            <w:tcBorders>
              <w:top w:val="nil"/>
              <w:left w:val="nil"/>
              <w:bottom w:val="nil"/>
              <w:right w:val="nil"/>
            </w:tcBorders>
            <w:shd w:val="clear" w:color="auto" w:fill="auto"/>
            <w:noWrap/>
            <w:vAlign w:val="bottom"/>
            <w:hideMark/>
          </w:tcPr>
          <w:p w14:paraId="2D882D1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889,416</w:t>
            </w:r>
          </w:p>
        </w:tc>
        <w:tc>
          <w:tcPr>
            <w:tcW w:w="1000" w:type="dxa"/>
            <w:tcBorders>
              <w:top w:val="nil"/>
              <w:left w:val="nil"/>
              <w:bottom w:val="nil"/>
              <w:right w:val="nil"/>
            </w:tcBorders>
            <w:shd w:val="clear" w:color="auto" w:fill="auto"/>
            <w:noWrap/>
            <w:vAlign w:val="bottom"/>
            <w:hideMark/>
          </w:tcPr>
          <w:p w14:paraId="5C36A06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988,586</w:t>
            </w:r>
          </w:p>
        </w:tc>
        <w:tc>
          <w:tcPr>
            <w:tcW w:w="1000" w:type="dxa"/>
            <w:tcBorders>
              <w:top w:val="nil"/>
              <w:left w:val="nil"/>
              <w:bottom w:val="nil"/>
              <w:right w:val="nil"/>
            </w:tcBorders>
            <w:shd w:val="clear" w:color="auto" w:fill="auto"/>
            <w:noWrap/>
            <w:vAlign w:val="bottom"/>
            <w:hideMark/>
          </w:tcPr>
          <w:p w14:paraId="36B4491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1,001,944</w:t>
            </w:r>
          </w:p>
        </w:tc>
      </w:tr>
      <w:tr w:rsidR="00F2198D" w:rsidRPr="00F2198D" w14:paraId="41FADBBC"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016F789B"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Special account</w:t>
            </w:r>
          </w:p>
        </w:tc>
        <w:tc>
          <w:tcPr>
            <w:tcW w:w="998" w:type="dxa"/>
            <w:tcBorders>
              <w:top w:val="nil"/>
              <w:left w:val="nil"/>
              <w:bottom w:val="nil"/>
              <w:right w:val="nil"/>
            </w:tcBorders>
            <w:shd w:val="clear" w:color="auto" w:fill="auto"/>
            <w:noWrap/>
            <w:vAlign w:val="bottom"/>
            <w:hideMark/>
          </w:tcPr>
          <w:p w14:paraId="2C7272E7" w14:textId="77777777" w:rsidR="00F2198D" w:rsidRPr="00F2198D" w:rsidRDefault="00F2198D" w:rsidP="00F2198D">
            <w:pPr>
              <w:spacing w:before="0" w:after="0" w:line="240" w:lineRule="auto"/>
              <w:ind w:firstLineChars="200" w:firstLine="32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3DAEE24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792BCBBE"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2034299E"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0C2D53F7"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1BE3883D" w14:textId="77777777" w:rsidTr="00F94336">
        <w:trPr>
          <w:trHeight w:val="425"/>
          <w:jc w:val="center"/>
        </w:trPr>
        <w:tc>
          <w:tcPr>
            <w:tcW w:w="2692" w:type="dxa"/>
            <w:tcBorders>
              <w:top w:val="nil"/>
              <w:left w:val="nil"/>
              <w:bottom w:val="nil"/>
              <w:right w:val="nil"/>
            </w:tcBorders>
            <w:shd w:val="clear" w:color="000000" w:fill="FFFFFF"/>
            <w:vAlign w:val="bottom"/>
            <w:hideMark/>
          </w:tcPr>
          <w:p w14:paraId="4FCC8D31" w14:textId="77777777" w:rsidR="00F2198D" w:rsidRPr="00F2198D" w:rsidRDefault="00F2198D" w:rsidP="006A4794">
            <w:pPr>
              <w:spacing w:before="0" w:after="0" w:line="240" w:lineRule="auto"/>
              <w:ind w:leftChars="225" w:left="428"/>
              <w:rPr>
                <w:rFonts w:ascii="Arial" w:hAnsi="Arial" w:cs="Arial"/>
                <w:i/>
                <w:iCs/>
                <w:sz w:val="16"/>
                <w:szCs w:val="16"/>
              </w:rPr>
            </w:pPr>
            <w:r w:rsidRPr="00F2198D">
              <w:rPr>
                <w:rFonts w:ascii="Arial" w:hAnsi="Arial" w:cs="Arial"/>
                <w:sz w:val="16"/>
                <w:szCs w:val="16"/>
              </w:rPr>
              <w:t>Medicare Guarantee Fund</w:t>
            </w:r>
            <w:r w:rsidRPr="00F2198D">
              <w:rPr>
                <w:rFonts w:ascii="Arial" w:hAnsi="Arial" w:cs="Arial"/>
                <w:i/>
                <w:iCs/>
                <w:sz w:val="16"/>
                <w:szCs w:val="16"/>
              </w:rPr>
              <w:br/>
              <w:t xml:space="preserve">- </w:t>
            </w:r>
            <w:r w:rsidRPr="00F2198D">
              <w:rPr>
                <w:rFonts w:ascii="Arial" w:hAnsi="Arial" w:cs="Arial"/>
                <w:sz w:val="16"/>
                <w:szCs w:val="16"/>
              </w:rPr>
              <w:t>pharmaceutical benefits</w:t>
            </w:r>
          </w:p>
        </w:tc>
        <w:tc>
          <w:tcPr>
            <w:tcW w:w="998" w:type="dxa"/>
            <w:tcBorders>
              <w:top w:val="nil"/>
              <w:left w:val="nil"/>
              <w:bottom w:val="nil"/>
              <w:right w:val="nil"/>
            </w:tcBorders>
            <w:shd w:val="clear" w:color="auto" w:fill="auto"/>
            <w:noWrap/>
            <w:vAlign w:val="bottom"/>
            <w:hideMark/>
          </w:tcPr>
          <w:p w14:paraId="75517F1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15,804,521</w:t>
            </w:r>
          </w:p>
        </w:tc>
        <w:tc>
          <w:tcPr>
            <w:tcW w:w="1000" w:type="dxa"/>
            <w:tcBorders>
              <w:top w:val="nil"/>
              <w:left w:val="nil"/>
              <w:bottom w:val="nil"/>
              <w:right w:val="nil"/>
            </w:tcBorders>
            <w:shd w:val="clear" w:color="000000" w:fill="D9D9D9"/>
            <w:noWrap/>
            <w:tcMar>
              <w:left w:w="0" w:type="dxa"/>
            </w:tcMar>
            <w:vAlign w:val="bottom"/>
            <w:hideMark/>
          </w:tcPr>
          <w:p w14:paraId="5285A3F1"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17,653,760</w:t>
            </w:r>
          </w:p>
        </w:tc>
        <w:tc>
          <w:tcPr>
            <w:tcW w:w="1000" w:type="dxa"/>
            <w:tcBorders>
              <w:top w:val="nil"/>
              <w:left w:val="nil"/>
              <w:bottom w:val="nil"/>
              <w:right w:val="nil"/>
            </w:tcBorders>
            <w:shd w:val="clear" w:color="auto" w:fill="auto"/>
            <w:noWrap/>
            <w:tcMar>
              <w:left w:w="0" w:type="dxa"/>
            </w:tcMar>
            <w:vAlign w:val="bottom"/>
            <w:hideMark/>
          </w:tcPr>
          <w:p w14:paraId="6BEF47D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17,495,536</w:t>
            </w:r>
          </w:p>
        </w:tc>
        <w:tc>
          <w:tcPr>
            <w:tcW w:w="1000" w:type="dxa"/>
            <w:tcBorders>
              <w:top w:val="nil"/>
              <w:left w:val="nil"/>
              <w:bottom w:val="nil"/>
              <w:right w:val="nil"/>
            </w:tcBorders>
            <w:shd w:val="clear" w:color="auto" w:fill="auto"/>
            <w:noWrap/>
            <w:tcMar>
              <w:left w:w="0" w:type="dxa"/>
            </w:tcMar>
            <w:vAlign w:val="bottom"/>
            <w:hideMark/>
          </w:tcPr>
          <w:p w14:paraId="55A4D80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17,731,643</w:t>
            </w:r>
          </w:p>
        </w:tc>
        <w:tc>
          <w:tcPr>
            <w:tcW w:w="1000" w:type="dxa"/>
            <w:tcBorders>
              <w:top w:val="nil"/>
              <w:left w:val="nil"/>
              <w:bottom w:val="nil"/>
              <w:right w:val="nil"/>
            </w:tcBorders>
            <w:shd w:val="clear" w:color="auto" w:fill="auto"/>
            <w:noWrap/>
            <w:tcMar>
              <w:left w:w="0" w:type="dxa"/>
            </w:tcMar>
            <w:vAlign w:val="bottom"/>
            <w:hideMark/>
          </w:tcPr>
          <w:p w14:paraId="3000705E"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17,833,006</w:t>
            </w:r>
          </w:p>
        </w:tc>
      </w:tr>
      <w:tr w:rsidR="00F2198D" w:rsidRPr="00F2198D" w14:paraId="6DD27C0C" w14:textId="77777777" w:rsidTr="00F94336">
        <w:trPr>
          <w:trHeight w:val="283"/>
          <w:jc w:val="center"/>
        </w:trPr>
        <w:tc>
          <w:tcPr>
            <w:tcW w:w="2692" w:type="dxa"/>
            <w:tcBorders>
              <w:top w:val="nil"/>
              <w:left w:val="nil"/>
              <w:bottom w:val="nil"/>
              <w:right w:val="nil"/>
            </w:tcBorders>
            <w:shd w:val="clear" w:color="000000" w:fill="FFFFFF"/>
            <w:vAlign w:val="bottom"/>
            <w:hideMark/>
          </w:tcPr>
          <w:p w14:paraId="02EE4795" w14:textId="77777777" w:rsidR="00F2198D" w:rsidRPr="00F2198D" w:rsidRDefault="00F2198D" w:rsidP="006A4794">
            <w:pPr>
              <w:spacing w:before="0" w:after="0" w:line="240" w:lineRule="auto"/>
              <w:ind w:leftChars="225" w:left="428"/>
              <w:rPr>
                <w:rFonts w:ascii="Arial" w:hAnsi="Arial" w:cs="Arial"/>
                <w:sz w:val="16"/>
                <w:szCs w:val="16"/>
              </w:rPr>
            </w:pPr>
            <w:r w:rsidRPr="00F2198D">
              <w:rPr>
                <w:rFonts w:ascii="Arial" w:hAnsi="Arial" w:cs="Arial"/>
                <w:sz w:val="16"/>
                <w:szCs w:val="16"/>
              </w:rPr>
              <w:t xml:space="preserve">accrual adjustment </w:t>
            </w:r>
            <w:r w:rsidRPr="00F2198D">
              <w:rPr>
                <w:rFonts w:ascii="Arial" w:hAnsi="Arial" w:cs="Arial"/>
                <w:sz w:val="16"/>
                <w:szCs w:val="16"/>
                <w:vertAlign w:val="superscript"/>
              </w:rPr>
              <w:t>(a)</w:t>
            </w:r>
          </w:p>
        </w:tc>
        <w:tc>
          <w:tcPr>
            <w:tcW w:w="998" w:type="dxa"/>
            <w:tcBorders>
              <w:top w:val="nil"/>
              <w:left w:val="nil"/>
              <w:bottom w:val="nil"/>
              <w:right w:val="nil"/>
            </w:tcBorders>
            <w:shd w:val="clear" w:color="auto" w:fill="auto"/>
            <w:noWrap/>
            <w:vAlign w:val="bottom"/>
            <w:hideMark/>
          </w:tcPr>
          <w:p w14:paraId="0A3CD42F"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1,188,432</w:t>
            </w:r>
          </w:p>
        </w:tc>
        <w:tc>
          <w:tcPr>
            <w:tcW w:w="1000" w:type="dxa"/>
            <w:tcBorders>
              <w:top w:val="nil"/>
              <w:left w:val="nil"/>
              <w:bottom w:val="nil"/>
              <w:right w:val="nil"/>
            </w:tcBorders>
            <w:shd w:val="clear" w:color="000000" w:fill="D9D9D9"/>
            <w:noWrap/>
            <w:vAlign w:val="bottom"/>
            <w:hideMark/>
          </w:tcPr>
          <w:p w14:paraId="5AA4B344"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19,847</w:t>
            </w:r>
          </w:p>
        </w:tc>
        <w:tc>
          <w:tcPr>
            <w:tcW w:w="1000" w:type="dxa"/>
            <w:tcBorders>
              <w:top w:val="nil"/>
              <w:left w:val="nil"/>
              <w:bottom w:val="nil"/>
              <w:right w:val="nil"/>
            </w:tcBorders>
            <w:shd w:val="clear" w:color="auto" w:fill="auto"/>
            <w:noWrap/>
            <w:vAlign w:val="bottom"/>
            <w:hideMark/>
          </w:tcPr>
          <w:p w14:paraId="7B7E1E44"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(6,167)</w:t>
            </w:r>
          </w:p>
        </w:tc>
        <w:tc>
          <w:tcPr>
            <w:tcW w:w="1000" w:type="dxa"/>
            <w:tcBorders>
              <w:top w:val="nil"/>
              <w:left w:val="nil"/>
              <w:bottom w:val="nil"/>
              <w:right w:val="nil"/>
            </w:tcBorders>
            <w:shd w:val="clear" w:color="auto" w:fill="auto"/>
            <w:noWrap/>
            <w:vAlign w:val="bottom"/>
            <w:hideMark/>
          </w:tcPr>
          <w:p w14:paraId="305C212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6,504</w:t>
            </w:r>
          </w:p>
        </w:tc>
        <w:tc>
          <w:tcPr>
            <w:tcW w:w="1000" w:type="dxa"/>
            <w:tcBorders>
              <w:top w:val="nil"/>
              <w:left w:val="nil"/>
              <w:bottom w:val="nil"/>
              <w:right w:val="nil"/>
            </w:tcBorders>
            <w:shd w:val="clear" w:color="auto" w:fill="auto"/>
            <w:noWrap/>
            <w:vAlign w:val="bottom"/>
            <w:hideMark/>
          </w:tcPr>
          <w:p w14:paraId="5971623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2,808</w:t>
            </w:r>
          </w:p>
        </w:tc>
      </w:tr>
      <w:tr w:rsidR="00F2198D" w:rsidRPr="00F2198D" w14:paraId="31F45DE3"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3EEDD9E9" w14:textId="77777777" w:rsidR="00F2198D" w:rsidRPr="00F2198D" w:rsidRDefault="00F2198D" w:rsidP="00F2198D">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2.3</w:t>
            </w:r>
          </w:p>
        </w:tc>
        <w:tc>
          <w:tcPr>
            <w:tcW w:w="998" w:type="dxa"/>
            <w:tcBorders>
              <w:top w:val="single" w:sz="4" w:space="0" w:color="auto"/>
              <w:left w:val="nil"/>
              <w:bottom w:val="single" w:sz="4" w:space="0" w:color="auto"/>
              <w:right w:val="nil"/>
            </w:tcBorders>
            <w:shd w:val="clear" w:color="auto" w:fill="auto"/>
            <w:noWrap/>
            <w:vAlign w:val="bottom"/>
            <w:hideMark/>
          </w:tcPr>
          <w:p w14:paraId="45CD9BBB"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17,791,788</w:t>
            </w:r>
          </w:p>
        </w:tc>
        <w:tc>
          <w:tcPr>
            <w:tcW w:w="1000" w:type="dxa"/>
            <w:tcBorders>
              <w:top w:val="single" w:sz="4" w:space="0" w:color="auto"/>
              <w:left w:val="nil"/>
              <w:bottom w:val="single" w:sz="4" w:space="0" w:color="auto"/>
              <w:right w:val="nil"/>
            </w:tcBorders>
            <w:shd w:val="clear" w:color="000000" w:fill="D9D9D9"/>
            <w:noWrap/>
            <w:tcMar>
              <w:left w:w="0" w:type="dxa"/>
            </w:tcMar>
            <w:vAlign w:val="bottom"/>
            <w:hideMark/>
          </w:tcPr>
          <w:p w14:paraId="7BDC37D6"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18,694,515</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4A5703F4"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18,378,785</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073F812F"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18,726,733</w:t>
            </w:r>
          </w:p>
        </w:tc>
        <w:tc>
          <w:tcPr>
            <w:tcW w:w="1000" w:type="dxa"/>
            <w:tcBorders>
              <w:top w:val="single" w:sz="4" w:space="0" w:color="auto"/>
              <w:left w:val="nil"/>
              <w:bottom w:val="single" w:sz="4" w:space="0" w:color="auto"/>
              <w:right w:val="nil"/>
            </w:tcBorders>
            <w:shd w:val="clear" w:color="auto" w:fill="auto"/>
            <w:noWrap/>
            <w:tcMar>
              <w:left w:w="0" w:type="dxa"/>
            </w:tcMar>
            <w:vAlign w:val="bottom"/>
            <w:hideMark/>
          </w:tcPr>
          <w:p w14:paraId="2A4B9DE0"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18,837,758</w:t>
            </w:r>
          </w:p>
        </w:tc>
      </w:tr>
      <w:tr w:rsidR="00F2198D" w:rsidRPr="00F2198D" w14:paraId="7617375E" w14:textId="77777777" w:rsidTr="000911F8">
        <w:trPr>
          <w:trHeight w:val="283"/>
          <w:jc w:val="center"/>
        </w:trPr>
        <w:tc>
          <w:tcPr>
            <w:tcW w:w="3711" w:type="dxa"/>
            <w:gridSpan w:val="2"/>
            <w:tcBorders>
              <w:top w:val="nil"/>
              <w:left w:val="nil"/>
              <w:bottom w:val="nil"/>
              <w:right w:val="nil"/>
            </w:tcBorders>
            <w:shd w:val="clear" w:color="auto" w:fill="auto"/>
            <w:noWrap/>
            <w:vAlign w:val="bottom"/>
            <w:hideMark/>
          </w:tcPr>
          <w:p w14:paraId="06C29A32" w14:textId="77777777" w:rsidR="00F2198D" w:rsidRPr="00F2198D" w:rsidRDefault="00F2198D" w:rsidP="00F2198D">
            <w:pPr>
              <w:spacing w:before="0" w:after="0" w:line="240" w:lineRule="auto"/>
              <w:rPr>
                <w:rFonts w:ascii="Arial" w:hAnsi="Arial" w:cs="Arial"/>
                <w:b/>
                <w:bCs/>
                <w:sz w:val="16"/>
                <w:szCs w:val="16"/>
              </w:rPr>
            </w:pPr>
            <w:r w:rsidRPr="00F2198D">
              <w:rPr>
                <w:rFonts w:ascii="Arial" w:hAnsi="Arial" w:cs="Arial"/>
                <w:b/>
                <w:bCs/>
                <w:sz w:val="16"/>
                <w:szCs w:val="16"/>
              </w:rPr>
              <w:t>Program 2.4: Private Health Insurance</w:t>
            </w:r>
          </w:p>
        </w:tc>
        <w:tc>
          <w:tcPr>
            <w:tcW w:w="998" w:type="dxa"/>
            <w:tcBorders>
              <w:top w:val="nil"/>
              <w:left w:val="nil"/>
              <w:bottom w:val="nil"/>
              <w:right w:val="nil"/>
            </w:tcBorders>
            <w:shd w:val="clear" w:color="auto" w:fill="auto"/>
            <w:noWrap/>
            <w:vAlign w:val="bottom"/>
            <w:hideMark/>
          </w:tcPr>
          <w:p w14:paraId="72A223A3" w14:textId="77777777" w:rsidR="00F2198D" w:rsidRPr="00F2198D" w:rsidRDefault="00F2198D" w:rsidP="00F2198D">
            <w:pPr>
              <w:spacing w:before="0" w:after="0" w:line="240" w:lineRule="auto"/>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513E1C40"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56CE9CCA"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4F61CD8B"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42422A28"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73B4043C" w14:textId="77777777" w:rsidR="00F2198D" w:rsidRPr="00F2198D" w:rsidRDefault="00F2198D" w:rsidP="00F2198D">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98" w:type="dxa"/>
            <w:tcBorders>
              <w:top w:val="nil"/>
              <w:left w:val="nil"/>
              <w:bottom w:val="nil"/>
              <w:right w:val="nil"/>
            </w:tcBorders>
            <w:shd w:val="clear" w:color="auto" w:fill="auto"/>
            <w:noWrap/>
            <w:vAlign w:val="bottom"/>
            <w:hideMark/>
          </w:tcPr>
          <w:p w14:paraId="5C1371FF" w14:textId="77777777" w:rsidR="00F2198D" w:rsidRPr="00F2198D" w:rsidRDefault="00F2198D" w:rsidP="00F2198D">
            <w:pPr>
              <w:spacing w:before="0" w:after="0" w:line="240" w:lineRule="auto"/>
              <w:ind w:firstLineChars="100" w:firstLine="16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71093BBE"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0A45EEC0"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7E4DFA4"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626470A4"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6B4698C1" w14:textId="77777777" w:rsidTr="00F94336">
        <w:trPr>
          <w:trHeight w:val="225"/>
          <w:jc w:val="center"/>
        </w:trPr>
        <w:tc>
          <w:tcPr>
            <w:tcW w:w="2692" w:type="dxa"/>
            <w:tcBorders>
              <w:top w:val="nil"/>
              <w:left w:val="nil"/>
              <w:bottom w:val="nil"/>
              <w:right w:val="nil"/>
            </w:tcBorders>
            <w:shd w:val="clear" w:color="auto" w:fill="auto"/>
            <w:noWrap/>
            <w:vAlign w:val="bottom"/>
            <w:hideMark/>
          </w:tcPr>
          <w:p w14:paraId="7F580D8E"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4"/>
                <w:szCs w:val="14"/>
                <w:vertAlign w:val="superscript"/>
              </w:rPr>
              <w:t xml:space="preserve"> </w:t>
            </w:r>
          </w:p>
        </w:tc>
        <w:tc>
          <w:tcPr>
            <w:tcW w:w="998" w:type="dxa"/>
            <w:tcBorders>
              <w:top w:val="nil"/>
              <w:left w:val="nil"/>
              <w:bottom w:val="nil"/>
              <w:right w:val="nil"/>
            </w:tcBorders>
            <w:shd w:val="clear" w:color="auto" w:fill="auto"/>
            <w:noWrap/>
            <w:vAlign w:val="bottom"/>
            <w:hideMark/>
          </w:tcPr>
          <w:p w14:paraId="700CF64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10,139</w:t>
            </w:r>
          </w:p>
        </w:tc>
        <w:tc>
          <w:tcPr>
            <w:tcW w:w="1000" w:type="dxa"/>
            <w:tcBorders>
              <w:top w:val="nil"/>
              <w:left w:val="nil"/>
              <w:bottom w:val="nil"/>
              <w:right w:val="nil"/>
            </w:tcBorders>
            <w:shd w:val="clear" w:color="000000" w:fill="D9D9D9"/>
            <w:noWrap/>
            <w:vAlign w:val="bottom"/>
            <w:hideMark/>
          </w:tcPr>
          <w:p w14:paraId="3C51A93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13,510</w:t>
            </w:r>
          </w:p>
        </w:tc>
        <w:tc>
          <w:tcPr>
            <w:tcW w:w="1000" w:type="dxa"/>
            <w:tcBorders>
              <w:top w:val="nil"/>
              <w:left w:val="nil"/>
              <w:bottom w:val="nil"/>
              <w:right w:val="nil"/>
            </w:tcBorders>
            <w:shd w:val="clear" w:color="auto" w:fill="auto"/>
            <w:noWrap/>
            <w:vAlign w:val="bottom"/>
            <w:hideMark/>
          </w:tcPr>
          <w:p w14:paraId="23D644BB"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6,699</w:t>
            </w:r>
          </w:p>
        </w:tc>
        <w:tc>
          <w:tcPr>
            <w:tcW w:w="1000" w:type="dxa"/>
            <w:tcBorders>
              <w:top w:val="nil"/>
              <w:left w:val="nil"/>
              <w:bottom w:val="nil"/>
              <w:right w:val="nil"/>
            </w:tcBorders>
            <w:shd w:val="clear" w:color="auto" w:fill="auto"/>
            <w:noWrap/>
            <w:vAlign w:val="bottom"/>
            <w:hideMark/>
          </w:tcPr>
          <w:p w14:paraId="6E177CEB"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7,037</w:t>
            </w:r>
          </w:p>
        </w:tc>
        <w:tc>
          <w:tcPr>
            <w:tcW w:w="1000" w:type="dxa"/>
            <w:tcBorders>
              <w:top w:val="nil"/>
              <w:left w:val="nil"/>
              <w:bottom w:val="nil"/>
              <w:right w:val="nil"/>
            </w:tcBorders>
            <w:shd w:val="clear" w:color="auto" w:fill="auto"/>
            <w:noWrap/>
            <w:vAlign w:val="bottom"/>
            <w:hideMark/>
          </w:tcPr>
          <w:p w14:paraId="16202C0C"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6,875</w:t>
            </w:r>
          </w:p>
        </w:tc>
      </w:tr>
      <w:tr w:rsidR="00F2198D" w:rsidRPr="00F2198D" w14:paraId="4C2ABCAF" w14:textId="77777777" w:rsidTr="00F94336">
        <w:trPr>
          <w:trHeight w:val="283"/>
          <w:jc w:val="center"/>
        </w:trPr>
        <w:tc>
          <w:tcPr>
            <w:tcW w:w="2692" w:type="dxa"/>
            <w:tcBorders>
              <w:top w:val="nil"/>
              <w:left w:val="nil"/>
              <w:bottom w:val="nil"/>
              <w:right w:val="nil"/>
            </w:tcBorders>
            <w:shd w:val="clear" w:color="auto" w:fill="auto"/>
            <w:noWrap/>
            <w:vAlign w:val="bottom"/>
            <w:hideMark/>
          </w:tcPr>
          <w:p w14:paraId="0E5F207F" w14:textId="77777777" w:rsidR="00F2198D" w:rsidRPr="00F2198D" w:rsidRDefault="00F2198D" w:rsidP="00F2198D">
            <w:pPr>
              <w:spacing w:before="0" w:after="0" w:line="240" w:lineRule="auto"/>
              <w:ind w:firstLineChars="200" w:firstLine="320"/>
              <w:rPr>
                <w:rFonts w:ascii="Arial" w:hAnsi="Arial" w:cs="Arial"/>
                <w:sz w:val="16"/>
                <w:szCs w:val="16"/>
              </w:rPr>
            </w:pPr>
            <w:r w:rsidRPr="00F2198D">
              <w:rPr>
                <w:rFonts w:ascii="Arial" w:hAnsi="Arial" w:cs="Arial"/>
                <w:sz w:val="16"/>
                <w:szCs w:val="16"/>
              </w:rPr>
              <w:t>Special appropriations</w:t>
            </w:r>
          </w:p>
        </w:tc>
        <w:tc>
          <w:tcPr>
            <w:tcW w:w="998" w:type="dxa"/>
            <w:tcBorders>
              <w:top w:val="nil"/>
              <w:left w:val="nil"/>
              <w:bottom w:val="nil"/>
              <w:right w:val="nil"/>
            </w:tcBorders>
            <w:shd w:val="clear" w:color="auto" w:fill="auto"/>
            <w:noWrap/>
            <w:vAlign w:val="bottom"/>
            <w:hideMark/>
          </w:tcPr>
          <w:p w14:paraId="726E6FB1" w14:textId="77777777" w:rsidR="00F2198D" w:rsidRPr="00F2198D" w:rsidRDefault="00F2198D" w:rsidP="00F2198D">
            <w:pPr>
              <w:spacing w:before="0" w:after="0" w:line="240" w:lineRule="auto"/>
              <w:ind w:firstLineChars="200" w:firstLine="320"/>
              <w:rPr>
                <w:rFonts w:ascii="Arial" w:hAnsi="Arial" w:cs="Arial"/>
                <w:sz w:val="16"/>
                <w:szCs w:val="16"/>
              </w:rPr>
            </w:pPr>
          </w:p>
        </w:tc>
        <w:tc>
          <w:tcPr>
            <w:tcW w:w="1000" w:type="dxa"/>
            <w:tcBorders>
              <w:top w:val="nil"/>
              <w:left w:val="nil"/>
              <w:bottom w:val="nil"/>
              <w:right w:val="nil"/>
            </w:tcBorders>
            <w:shd w:val="clear" w:color="000000" w:fill="D9D9D9"/>
            <w:noWrap/>
            <w:vAlign w:val="bottom"/>
            <w:hideMark/>
          </w:tcPr>
          <w:p w14:paraId="11BFC50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04F73EFF" w14:textId="77777777" w:rsidR="00F2198D" w:rsidRPr="00F2198D" w:rsidRDefault="00F2198D" w:rsidP="00F2198D">
            <w:pPr>
              <w:spacing w:before="0"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1C3863C0" w14:textId="77777777" w:rsidR="00F2198D" w:rsidRPr="00F2198D" w:rsidRDefault="00F2198D" w:rsidP="00F2198D">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auto" w:fill="auto"/>
            <w:noWrap/>
            <w:vAlign w:val="bottom"/>
            <w:hideMark/>
          </w:tcPr>
          <w:p w14:paraId="3A578F8C" w14:textId="77777777" w:rsidR="00F2198D" w:rsidRPr="00F2198D" w:rsidRDefault="00F2198D" w:rsidP="00F2198D">
            <w:pPr>
              <w:spacing w:before="0" w:after="0" w:line="240" w:lineRule="auto"/>
              <w:jc w:val="right"/>
              <w:rPr>
                <w:rFonts w:ascii="Times New Roman" w:hAnsi="Times New Roman"/>
                <w:sz w:val="20"/>
              </w:rPr>
            </w:pPr>
          </w:p>
        </w:tc>
      </w:tr>
      <w:tr w:rsidR="00F2198D" w:rsidRPr="00F2198D" w14:paraId="37928065" w14:textId="77777777" w:rsidTr="00F94336">
        <w:trPr>
          <w:trHeight w:val="595"/>
          <w:jc w:val="center"/>
        </w:trPr>
        <w:tc>
          <w:tcPr>
            <w:tcW w:w="2692" w:type="dxa"/>
            <w:tcBorders>
              <w:top w:val="nil"/>
              <w:left w:val="nil"/>
              <w:bottom w:val="nil"/>
              <w:right w:val="nil"/>
            </w:tcBorders>
            <w:shd w:val="clear" w:color="auto" w:fill="auto"/>
            <w:vAlign w:val="bottom"/>
            <w:hideMark/>
          </w:tcPr>
          <w:p w14:paraId="1E9562B6" w14:textId="77777777" w:rsidR="00F2198D" w:rsidRPr="00F2198D" w:rsidRDefault="00F2198D" w:rsidP="006A4794">
            <w:pPr>
              <w:spacing w:before="0" w:after="0" w:line="240" w:lineRule="auto"/>
              <w:ind w:leftChars="225" w:left="428"/>
              <w:rPr>
                <w:rFonts w:ascii="Arial" w:hAnsi="Arial" w:cs="Arial"/>
                <w:i/>
                <w:iCs/>
                <w:sz w:val="16"/>
                <w:szCs w:val="16"/>
              </w:rPr>
            </w:pPr>
            <w:r w:rsidRPr="00F2198D">
              <w:rPr>
                <w:rFonts w:ascii="Arial" w:hAnsi="Arial" w:cs="Arial"/>
                <w:i/>
                <w:iCs/>
                <w:sz w:val="16"/>
                <w:szCs w:val="16"/>
              </w:rPr>
              <w:t xml:space="preserve">Private Health Insurance Act 2007 </w:t>
            </w:r>
            <w:r w:rsidRPr="00F2198D">
              <w:rPr>
                <w:rFonts w:ascii="Arial" w:hAnsi="Arial" w:cs="Arial"/>
                <w:sz w:val="16"/>
                <w:szCs w:val="16"/>
              </w:rPr>
              <w:t>- incentive payments and rebate</w:t>
            </w:r>
          </w:p>
        </w:tc>
        <w:tc>
          <w:tcPr>
            <w:tcW w:w="998" w:type="dxa"/>
            <w:tcBorders>
              <w:top w:val="nil"/>
              <w:left w:val="nil"/>
              <w:bottom w:val="nil"/>
              <w:right w:val="nil"/>
            </w:tcBorders>
            <w:shd w:val="clear" w:color="auto" w:fill="auto"/>
            <w:noWrap/>
            <w:vAlign w:val="bottom"/>
            <w:hideMark/>
          </w:tcPr>
          <w:p w14:paraId="63F8B17D"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6,744,106</w:t>
            </w:r>
          </w:p>
        </w:tc>
        <w:tc>
          <w:tcPr>
            <w:tcW w:w="1000" w:type="dxa"/>
            <w:tcBorders>
              <w:top w:val="nil"/>
              <w:left w:val="nil"/>
              <w:bottom w:val="nil"/>
              <w:right w:val="nil"/>
            </w:tcBorders>
            <w:shd w:val="clear" w:color="000000" w:fill="D9D9D9"/>
            <w:noWrap/>
            <w:vAlign w:val="bottom"/>
            <w:hideMark/>
          </w:tcPr>
          <w:p w14:paraId="56BDEC4A"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7,039,150</w:t>
            </w:r>
          </w:p>
        </w:tc>
        <w:tc>
          <w:tcPr>
            <w:tcW w:w="1000" w:type="dxa"/>
            <w:tcBorders>
              <w:top w:val="nil"/>
              <w:left w:val="nil"/>
              <w:bottom w:val="nil"/>
              <w:right w:val="nil"/>
            </w:tcBorders>
            <w:shd w:val="clear" w:color="auto" w:fill="auto"/>
            <w:noWrap/>
            <w:vAlign w:val="bottom"/>
            <w:hideMark/>
          </w:tcPr>
          <w:p w14:paraId="4F1EB197"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7,275,069</w:t>
            </w:r>
          </w:p>
        </w:tc>
        <w:tc>
          <w:tcPr>
            <w:tcW w:w="1000" w:type="dxa"/>
            <w:tcBorders>
              <w:top w:val="nil"/>
              <w:left w:val="nil"/>
              <w:bottom w:val="nil"/>
              <w:right w:val="nil"/>
            </w:tcBorders>
            <w:shd w:val="clear" w:color="auto" w:fill="auto"/>
            <w:noWrap/>
            <w:vAlign w:val="bottom"/>
            <w:hideMark/>
          </w:tcPr>
          <w:p w14:paraId="678FDE78"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7,465,870</w:t>
            </w:r>
          </w:p>
        </w:tc>
        <w:tc>
          <w:tcPr>
            <w:tcW w:w="1000" w:type="dxa"/>
            <w:tcBorders>
              <w:top w:val="nil"/>
              <w:left w:val="nil"/>
              <w:bottom w:val="nil"/>
              <w:right w:val="nil"/>
            </w:tcBorders>
            <w:shd w:val="clear" w:color="auto" w:fill="auto"/>
            <w:noWrap/>
            <w:vAlign w:val="bottom"/>
            <w:hideMark/>
          </w:tcPr>
          <w:p w14:paraId="1556A206" w14:textId="77777777" w:rsidR="00F2198D" w:rsidRPr="00F2198D" w:rsidRDefault="00F2198D" w:rsidP="00F2198D">
            <w:pPr>
              <w:spacing w:before="0" w:after="0" w:line="240" w:lineRule="auto"/>
              <w:jc w:val="right"/>
              <w:rPr>
                <w:rFonts w:ascii="Arial" w:hAnsi="Arial" w:cs="Arial"/>
                <w:sz w:val="16"/>
                <w:szCs w:val="16"/>
              </w:rPr>
            </w:pPr>
            <w:r w:rsidRPr="00F2198D">
              <w:rPr>
                <w:rFonts w:ascii="Arial" w:hAnsi="Arial" w:cs="Arial"/>
                <w:sz w:val="16"/>
                <w:szCs w:val="16"/>
              </w:rPr>
              <w:t>7,620,930</w:t>
            </w:r>
          </w:p>
        </w:tc>
      </w:tr>
      <w:tr w:rsidR="00F2198D" w:rsidRPr="00F2198D" w14:paraId="2F0D571E" w14:textId="77777777" w:rsidTr="00F94336">
        <w:trPr>
          <w:trHeight w:val="283"/>
          <w:jc w:val="center"/>
        </w:trPr>
        <w:tc>
          <w:tcPr>
            <w:tcW w:w="2692" w:type="dxa"/>
            <w:tcBorders>
              <w:top w:val="nil"/>
              <w:left w:val="nil"/>
              <w:bottom w:val="single" w:sz="4" w:space="0" w:color="auto"/>
              <w:right w:val="nil"/>
            </w:tcBorders>
            <w:shd w:val="clear" w:color="auto" w:fill="auto"/>
            <w:noWrap/>
            <w:vAlign w:val="bottom"/>
            <w:hideMark/>
          </w:tcPr>
          <w:p w14:paraId="0A546FB9" w14:textId="77777777" w:rsidR="00F2198D" w:rsidRPr="00F2198D" w:rsidRDefault="00F2198D" w:rsidP="00F2198D">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2.4</w:t>
            </w:r>
          </w:p>
        </w:tc>
        <w:tc>
          <w:tcPr>
            <w:tcW w:w="998" w:type="dxa"/>
            <w:tcBorders>
              <w:top w:val="single" w:sz="4" w:space="0" w:color="auto"/>
              <w:left w:val="nil"/>
              <w:bottom w:val="single" w:sz="4" w:space="0" w:color="auto"/>
              <w:right w:val="nil"/>
            </w:tcBorders>
            <w:shd w:val="clear" w:color="auto" w:fill="auto"/>
            <w:noWrap/>
            <w:vAlign w:val="bottom"/>
            <w:hideMark/>
          </w:tcPr>
          <w:p w14:paraId="644EB531"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6,754,245</w:t>
            </w:r>
          </w:p>
        </w:tc>
        <w:tc>
          <w:tcPr>
            <w:tcW w:w="1000" w:type="dxa"/>
            <w:tcBorders>
              <w:top w:val="single" w:sz="4" w:space="0" w:color="auto"/>
              <w:left w:val="nil"/>
              <w:bottom w:val="single" w:sz="4" w:space="0" w:color="auto"/>
              <w:right w:val="nil"/>
            </w:tcBorders>
            <w:shd w:val="clear" w:color="000000" w:fill="D9D9D9"/>
            <w:noWrap/>
            <w:vAlign w:val="bottom"/>
            <w:hideMark/>
          </w:tcPr>
          <w:p w14:paraId="3A8A005A"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7,052,660</w:t>
            </w:r>
          </w:p>
        </w:tc>
        <w:tc>
          <w:tcPr>
            <w:tcW w:w="1000" w:type="dxa"/>
            <w:tcBorders>
              <w:top w:val="single" w:sz="4" w:space="0" w:color="auto"/>
              <w:left w:val="nil"/>
              <w:bottom w:val="single" w:sz="4" w:space="0" w:color="auto"/>
              <w:right w:val="nil"/>
            </w:tcBorders>
            <w:shd w:val="clear" w:color="auto" w:fill="auto"/>
            <w:noWrap/>
            <w:vAlign w:val="bottom"/>
            <w:hideMark/>
          </w:tcPr>
          <w:p w14:paraId="5B3C5795"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7,281,768</w:t>
            </w:r>
          </w:p>
        </w:tc>
        <w:tc>
          <w:tcPr>
            <w:tcW w:w="1000" w:type="dxa"/>
            <w:tcBorders>
              <w:top w:val="single" w:sz="4" w:space="0" w:color="auto"/>
              <w:left w:val="nil"/>
              <w:bottom w:val="single" w:sz="4" w:space="0" w:color="auto"/>
              <w:right w:val="nil"/>
            </w:tcBorders>
            <w:shd w:val="clear" w:color="auto" w:fill="auto"/>
            <w:noWrap/>
            <w:vAlign w:val="bottom"/>
            <w:hideMark/>
          </w:tcPr>
          <w:p w14:paraId="34F8D5A2"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7,472,907</w:t>
            </w:r>
          </w:p>
        </w:tc>
        <w:tc>
          <w:tcPr>
            <w:tcW w:w="1000" w:type="dxa"/>
            <w:tcBorders>
              <w:top w:val="single" w:sz="4" w:space="0" w:color="auto"/>
              <w:left w:val="nil"/>
              <w:bottom w:val="single" w:sz="4" w:space="0" w:color="auto"/>
              <w:right w:val="nil"/>
            </w:tcBorders>
            <w:shd w:val="clear" w:color="auto" w:fill="auto"/>
            <w:noWrap/>
            <w:vAlign w:val="bottom"/>
            <w:hideMark/>
          </w:tcPr>
          <w:p w14:paraId="49286DE9" w14:textId="77777777" w:rsidR="00F2198D" w:rsidRPr="00F2198D" w:rsidRDefault="00F2198D" w:rsidP="00F2198D">
            <w:pPr>
              <w:spacing w:before="0" w:after="0" w:line="240" w:lineRule="auto"/>
              <w:jc w:val="right"/>
              <w:rPr>
                <w:rFonts w:ascii="Arial" w:hAnsi="Arial" w:cs="Arial"/>
                <w:b/>
                <w:bCs/>
                <w:sz w:val="16"/>
                <w:szCs w:val="16"/>
              </w:rPr>
            </w:pPr>
            <w:r w:rsidRPr="00F2198D">
              <w:rPr>
                <w:rFonts w:ascii="Arial" w:hAnsi="Arial" w:cs="Arial"/>
                <w:b/>
                <w:bCs/>
                <w:sz w:val="16"/>
                <w:szCs w:val="16"/>
              </w:rPr>
              <w:t>7,627,805</w:t>
            </w:r>
          </w:p>
        </w:tc>
      </w:tr>
    </w:tbl>
    <w:p w14:paraId="5D992D4E" w14:textId="77777777" w:rsidR="0029232A" w:rsidRDefault="0029232A" w:rsidP="002B5B49">
      <w:pPr>
        <w:pStyle w:val="TableGraphic"/>
        <w:rPr>
          <w:b/>
          <w:bCs/>
          <w:color w:val="0000FF"/>
        </w:rPr>
      </w:pPr>
    </w:p>
    <w:p w14:paraId="1D2E380A" w14:textId="4DD3E917" w:rsidR="0029232A" w:rsidRPr="00413220" w:rsidRDefault="0029232A" w:rsidP="00D17870">
      <w:pPr>
        <w:spacing w:before="0" w:after="20" w:line="240" w:lineRule="auto"/>
        <w:rPr>
          <w:rFonts w:ascii="Arial" w:hAnsi="Arial" w:cs="Arial"/>
          <w:b/>
          <w:bCs/>
          <w:sz w:val="20"/>
        </w:rPr>
      </w:pPr>
      <w:r>
        <w:rPr>
          <w:b/>
          <w:bCs/>
          <w:color w:val="0000FF"/>
        </w:rPr>
        <w:br w:type="column"/>
      </w:r>
      <w:r w:rsidR="00E81B71" w:rsidRPr="00E81B71">
        <w:rPr>
          <w:rFonts w:ascii="Arial" w:hAnsi="Arial" w:cs="Arial"/>
          <w:b/>
          <w:sz w:val="20"/>
        </w:rPr>
        <w:lastRenderedPageBreak/>
        <w:t>Tabl</w:t>
      </w:r>
      <w:r w:rsidR="00E73173">
        <w:rPr>
          <w:rFonts w:ascii="Arial" w:hAnsi="Arial" w:cs="Arial"/>
          <w:b/>
          <w:sz w:val="20"/>
        </w:rPr>
        <w:t>e 2.2.2: Program expense table –</w:t>
      </w:r>
      <w:r w:rsidR="00E81B71" w:rsidRPr="00E81B71">
        <w:rPr>
          <w:rFonts w:ascii="Arial" w:hAnsi="Arial" w:cs="Arial"/>
          <w:b/>
          <w:sz w:val="20"/>
        </w:rPr>
        <w:t xml:space="preserve"> Outcome 2</w:t>
      </w:r>
      <w:r w:rsidR="00E81B71" w:rsidRPr="000B4F23">
        <w:rPr>
          <w:color w:val="FF0000"/>
        </w:rPr>
        <w:t xml:space="preserve"> </w:t>
      </w:r>
      <w:r w:rsidR="00413220" w:rsidRPr="00413220">
        <w:rPr>
          <w:rFonts w:ascii="Arial" w:hAnsi="Arial" w:cs="Arial"/>
          <w:b/>
          <w:sz w:val="20"/>
        </w:rPr>
        <w:t xml:space="preserve">(continued) </w:t>
      </w:r>
    </w:p>
    <w:tbl>
      <w:tblPr>
        <w:tblW w:w="7680" w:type="dxa"/>
        <w:jc w:val="center"/>
        <w:tblLayout w:type="fixed"/>
        <w:tblLook w:val="04A0" w:firstRow="1" w:lastRow="0" w:firstColumn="1" w:lastColumn="0" w:noHBand="0" w:noVBand="1"/>
      </w:tblPr>
      <w:tblGrid>
        <w:gridCol w:w="2980"/>
        <w:gridCol w:w="944"/>
        <w:gridCol w:w="939"/>
        <w:gridCol w:w="939"/>
        <w:gridCol w:w="939"/>
        <w:gridCol w:w="939"/>
      </w:tblGrid>
      <w:tr w:rsidR="0029232A" w:rsidRPr="00F2198D" w14:paraId="6559C5FB" w14:textId="77777777" w:rsidTr="00F97A41">
        <w:trPr>
          <w:trHeight w:val="737"/>
          <w:jc w:val="center"/>
        </w:trPr>
        <w:tc>
          <w:tcPr>
            <w:tcW w:w="2980" w:type="dxa"/>
            <w:tcBorders>
              <w:top w:val="single" w:sz="4" w:space="0" w:color="auto"/>
              <w:left w:val="nil"/>
              <w:bottom w:val="nil"/>
              <w:right w:val="nil"/>
            </w:tcBorders>
            <w:shd w:val="clear" w:color="auto" w:fill="auto"/>
            <w:hideMark/>
          </w:tcPr>
          <w:p w14:paraId="11289E85" w14:textId="77777777" w:rsidR="0029232A" w:rsidRPr="00F2198D" w:rsidRDefault="0029232A" w:rsidP="00413220">
            <w:pPr>
              <w:spacing w:before="24" w:after="0" w:line="240" w:lineRule="auto"/>
              <w:jc w:val="right"/>
              <w:rPr>
                <w:rFonts w:ascii="Arial" w:hAnsi="Arial" w:cs="Arial"/>
                <w:b/>
                <w:bCs/>
                <w:sz w:val="16"/>
                <w:szCs w:val="16"/>
              </w:rPr>
            </w:pPr>
            <w:r w:rsidRPr="00F2198D">
              <w:rPr>
                <w:rFonts w:ascii="Arial" w:hAnsi="Arial" w:cs="Arial"/>
                <w:b/>
                <w:bCs/>
                <w:sz w:val="16"/>
                <w:szCs w:val="16"/>
              </w:rPr>
              <w:t> </w:t>
            </w:r>
          </w:p>
        </w:tc>
        <w:tc>
          <w:tcPr>
            <w:tcW w:w="944" w:type="dxa"/>
            <w:tcBorders>
              <w:top w:val="single" w:sz="4" w:space="0" w:color="auto"/>
              <w:left w:val="nil"/>
              <w:bottom w:val="single" w:sz="4" w:space="0" w:color="auto"/>
              <w:right w:val="nil"/>
            </w:tcBorders>
            <w:shd w:val="clear" w:color="auto" w:fill="auto"/>
            <w:hideMark/>
          </w:tcPr>
          <w:p w14:paraId="5E560159" w14:textId="0A690822" w:rsidR="0029232A" w:rsidRPr="00F2198D" w:rsidRDefault="00413220" w:rsidP="00413220">
            <w:pPr>
              <w:spacing w:before="24" w:after="0" w:line="240" w:lineRule="auto"/>
              <w:jc w:val="right"/>
              <w:rPr>
                <w:rFonts w:ascii="Arial" w:hAnsi="Arial" w:cs="Arial"/>
                <w:b/>
                <w:bCs/>
                <w:sz w:val="16"/>
                <w:szCs w:val="16"/>
              </w:rPr>
            </w:pPr>
            <w:r>
              <w:rPr>
                <w:rFonts w:ascii="Arial" w:hAnsi="Arial" w:cs="Arial"/>
                <w:b/>
                <w:bCs/>
                <w:sz w:val="16"/>
                <w:szCs w:val="16"/>
              </w:rPr>
              <w:t>2022–</w:t>
            </w:r>
            <w:r w:rsidR="0029232A" w:rsidRPr="00F2198D">
              <w:rPr>
                <w:rFonts w:ascii="Arial" w:hAnsi="Arial" w:cs="Arial"/>
                <w:b/>
                <w:bCs/>
                <w:sz w:val="16"/>
                <w:szCs w:val="16"/>
              </w:rPr>
              <w:t>23 Actual</w:t>
            </w:r>
            <w:r w:rsidR="0029232A" w:rsidRPr="00F2198D">
              <w:rPr>
                <w:rFonts w:ascii="Arial" w:hAnsi="Arial" w:cs="Arial"/>
                <w:b/>
                <w:bCs/>
                <w:sz w:val="16"/>
                <w:szCs w:val="16"/>
              </w:rPr>
              <w:br/>
            </w:r>
            <w:r w:rsidR="0029232A" w:rsidRPr="00F2198D">
              <w:rPr>
                <w:rFonts w:ascii="Arial" w:hAnsi="Arial" w:cs="Arial"/>
                <w:b/>
                <w:bCs/>
                <w:sz w:val="16"/>
                <w:szCs w:val="16"/>
              </w:rPr>
              <w:br/>
            </w:r>
            <w:r w:rsidR="0029232A" w:rsidRPr="00F2198D">
              <w:rPr>
                <w:rFonts w:ascii="Arial" w:hAnsi="Arial" w:cs="Arial"/>
                <w:sz w:val="16"/>
                <w:szCs w:val="16"/>
              </w:rPr>
              <w:t>$'000</w:t>
            </w:r>
          </w:p>
        </w:tc>
        <w:tc>
          <w:tcPr>
            <w:tcW w:w="939" w:type="dxa"/>
            <w:tcBorders>
              <w:top w:val="single" w:sz="4" w:space="0" w:color="auto"/>
              <w:left w:val="nil"/>
              <w:bottom w:val="single" w:sz="4" w:space="0" w:color="auto"/>
              <w:right w:val="nil"/>
            </w:tcBorders>
            <w:shd w:val="clear" w:color="000000" w:fill="D9D9D9"/>
            <w:hideMark/>
          </w:tcPr>
          <w:p w14:paraId="247E938B" w14:textId="3AAB22F0" w:rsidR="0029232A" w:rsidRPr="00F2198D" w:rsidRDefault="00413220" w:rsidP="00413220">
            <w:pPr>
              <w:spacing w:before="24" w:after="0" w:line="240" w:lineRule="auto"/>
              <w:jc w:val="right"/>
              <w:rPr>
                <w:rFonts w:ascii="Arial" w:hAnsi="Arial" w:cs="Arial"/>
                <w:b/>
                <w:bCs/>
                <w:sz w:val="16"/>
                <w:szCs w:val="16"/>
              </w:rPr>
            </w:pPr>
            <w:r>
              <w:rPr>
                <w:rFonts w:ascii="Arial" w:hAnsi="Arial" w:cs="Arial"/>
                <w:b/>
                <w:bCs/>
                <w:sz w:val="16"/>
                <w:szCs w:val="16"/>
              </w:rPr>
              <w:t>2023–</w:t>
            </w:r>
            <w:r w:rsidR="0029232A" w:rsidRPr="00F2198D">
              <w:rPr>
                <w:rFonts w:ascii="Arial" w:hAnsi="Arial" w:cs="Arial"/>
                <w:b/>
                <w:bCs/>
                <w:sz w:val="16"/>
                <w:szCs w:val="16"/>
              </w:rPr>
              <w:t>24 Revised Budget</w:t>
            </w:r>
            <w:r w:rsidR="0029232A" w:rsidRPr="00F2198D">
              <w:rPr>
                <w:rFonts w:ascii="Arial" w:hAnsi="Arial" w:cs="Arial"/>
                <w:b/>
                <w:bCs/>
                <w:sz w:val="16"/>
                <w:szCs w:val="16"/>
              </w:rPr>
              <w:br/>
            </w:r>
            <w:r w:rsidR="0029232A" w:rsidRPr="00F2198D">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hideMark/>
          </w:tcPr>
          <w:p w14:paraId="26EEF7AA" w14:textId="16113D75" w:rsidR="0029232A" w:rsidRPr="00F2198D" w:rsidRDefault="00413220" w:rsidP="00413220">
            <w:pPr>
              <w:spacing w:before="24" w:after="0" w:line="240" w:lineRule="auto"/>
              <w:jc w:val="right"/>
              <w:rPr>
                <w:rFonts w:ascii="Arial" w:hAnsi="Arial" w:cs="Arial"/>
                <w:b/>
                <w:bCs/>
                <w:sz w:val="16"/>
                <w:szCs w:val="16"/>
              </w:rPr>
            </w:pPr>
            <w:r>
              <w:rPr>
                <w:rFonts w:ascii="Arial" w:hAnsi="Arial" w:cs="Arial"/>
                <w:b/>
                <w:bCs/>
                <w:sz w:val="16"/>
                <w:szCs w:val="16"/>
              </w:rPr>
              <w:t>2024–</w:t>
            </w:r>
            <w:r w:rsidR="0029232A" w:rsidRPr="00F2198D">
              <w:rPr>
                <w:rFonts w:ascii="Arial" w:hAnsi="Arial" w:cs="Arial"/>
                <w:b/>
                <w:bCs/>
                <w:sz w:val="16"/>
                <w:szCs w:val="16"/>
              </w:rPr>
              <w:t>25 Forward Estimate</w:t>
            </w:r>
            <w:r w:rsidR="0029232A" w:rsidRPr="00F2198D">
              <w:rPr>
                <w:rFonts w:ascii="Arial" w:hAnsi="Arial" w:cs="Arial"/>
                <w:b/>
                <w:bCs/>
                <w:sz w:val="16"/>
                <w:szCs w:val="16"/>
              </w:rPr>
              <w:br/>
            </w:r>
            <w:r w:rsidR="0029232A" w:rsidRPr="00F2198D">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hideMark/>
          </w:tcPr>
          <w:p w14:paraId="38A00921" w14:textId="51AD13B9" w:rsidR="0029232A" w:rsidRPr="00F2198D" w:rsidRDefault="00413220" w:rsidP="00413220">
            <w:pPr>
              <w:spacing w:before="24" w:after="0" w:line="240" w:lineRule="auto"/>
              <w:jc w:val="right"/>
              <w:rPr>
                <w:rFonts w:ascii="Arial" w:hAnsi="Arial" w:cs="Arial"/>
                <w:b/>
                <w:bCs/>
                <w:sz w:val="16"/>
                <w:szCs w:val="16"/>
              </w:rPr>
            </w:pPr>
            <w:r>
              <w:rPr>
                <w:rFonts w:ascii="Arial" w:hAnsi="Arial" w:cs="Arial"/>
                <w:b/>
                <w:bCs/>
                <w:sz w:val="16"/>
                <w:szCs w:val="16"/>
              </w:rPr>
              <w:t>2025–</w:t>
            </w:r>
            <w:r w:rsidR="0029232A" w:rsidRPr="00F2198D">
              <w:rPr>
                <w:rFonts w:ascii="Arial" w:hAnsi="Arial" w:cs="Arial"/>
                <w:b/>
                <w:bCs/>
                <w:sz w:val="16"/>
                <w:szCs w:val="16"/>
              </w:rPr>
              <w:t>26 Forward Estimate</w:t>
            </w:r>
            <w:r w:rsidR="0029232A" w:rsidRPr="00F2198D">
              <w:rPr>
                <w:rFonts w:ascii="Arial" w:hAnsi="Arial" w:cs="Arial"/>
                <w:b/>
                <w:bCs/>
                <w:sz w:val="16"/>
                <w:szCs w:val="16"/>
              </w:rPr>
              <w:br/>
            </w:r>
            <w:r w:rsidR="0029232A" w:rsidRPr="00F2198D">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hideMark/>
          </w:tcPr>
          <w:p w14:paraId="6E8AFEB1" w14:textId="32B58A21" w:rsidR="0029232A" w:rsidRPr="00F2198D" w:rsidRDefault="00413220" w:rsidP="00413220">
            <w:pPr>
              <w:spacing w:before="24" w:after="0" w:line="240" w:lineRule="auto"/>
              <w:jc w:val="right"/>
              <w:rPr>
                <w:rFonts w:ascii="Arial" w:hAnsi="Arial" w:cs="Arial"/>
                <w:b/>
                <w:bCs/>
                <w:sz w:val="16"/>
                <w:szCs w:val="16"/>
              </w:rPr>
            </w:pPr>
            <w:r>
              <w:rPr>
                <w:rFonts w:ascii="Arial" w:hAnsi="Arial" w:cs="Arial"/>
                <w:b/>
                <w:bCs/>
                <w:sz w:val="16"/>
                <w:szCs w:val="16"/>
              </w:rPr>
              <w:t>2026–</w:t>
            </w:r>
            <w:r w:rsidR="0029232A" w:rsidRPr="00F2198D">
              <w:rPr>
                <w:rFonts w:ascii="Arial" w:hAnsi="Arial" w:cs="Arial"/>
                <w:b/>
                <w:bCs/>
                <w:sz w:val="16"/>
                <w:szCs w:val="16"/>
              </w:rPr>
              <w:t>27 Forward Estimate</w:t>
            </w:r>
            <w:r w:rsidR="0029232A" w:rsidRPr="00F2198D">
              <w:rPr>
                <w:rFonts w:ascii="Arial" w:hAnsi="Arial" w:cs="Arial"/>
                <w:b/>
                <w:bCs/>
                <w:sz w:val="16"/>
                <w:szCs w:val="16"/>
              </w:rPr>
              <w:br/>
            </w:r>
            <w:r w:rsidR="0029232A" w:rsidRPr="00F2198D">
              <w:rPr>
                <w:rFonts w:ascii="Arial" w:hAnsi="Arial" w:cs="Arial"/>
                <w:sz w:val="16"/>
                <w:szCs w:val="16"/>
              </w:rPr>
              <w:t>$'000</w:t>
            </w:r>
          </w:p>
        </w:tc>
      </w:tr>
      <w:tr w:rsidR="0029232A" w:rsidRPr="00F2198D" w14:paraId="4795FEAE" w14:textId="77777777" w:rsidTr="000911F8">
        <w:trPr>
          <w:trHeight w:val="283"/>
          <w:jc w:val="center"/>
        </w:trPr>
        <w:tc>
          <w:tcPr>
            <w:tcW w:w="2980" w:type="dxa"/>
            <w:tcBorders>
              <w:top w:val="nil"/>
              <w:left w:val="nil"/>
              <w:bottom w:val="nil"/>
              <w:right w:val="nil"/>
            </w:tcBorders>
            <w:shd w:val="clear" w:color="auto" w:fill="auto"/>
            <w:noWrap/>
            <w:vAlign w:val="bottom"/>
            <w:hideMark/>
          </w:tcPr>
          <w:p w14:paraId="400D2DC9" w14:textId="77777777" w:rsidR="0029232A" w:rsidRPr="00F2198D" w:rsidRDefault="0029232A" w:rsidP="008B05A6">
            <w:pPr>
              <w:spacing w:before="0" w:after="0" w:line="240" w:lineRule="auto"/>
              <w:rPr>
                <w:rFonts w:ascii="Arial" w:hAnsi="Arial" w:cs="Arial"/>
                <w:b/>
                <w:bCs/>
                <w:sz w:val="16"/>
                <w:szCs w:val="16"/>
              </w:rPr>
            </w:pPr>
            <w:r w:rsidRPr="00F2198D">
              <w:rPr>
                <w:rFonts w:ascii="Arial" w:hAnsi="Arial" w:cs="Arial"/>
                <w:b/>
                <w:bCs/>
                <w:sz w:val="16"/>
                <w:szCs w:val="16"/>
              </w:rPr>
              <w:t>Program 2.5: Dental Services</w:t>
            </w:r>
          </w:p>
        </w:tc>
        <w:tc>
          <w:tcPr>
            <w:tcW w:w="944" w:type="dxa"/>
            <w:tcBorders>
              <w:top w:val="nil"/>
              <w:left w:val="nil"/>
              <w:bottom w:val="nil"/>
              <w:right w:val="nil"/>
            </w:tcBorders>
            <w:shd w:val="clear" w:color="auto" w:fill="auto"/>
            <w:noWrap/>
            <w:vAlign w:val="bottom"/>
            <w:hideMark/>
          </w:tcPr>
          <w:p w14:paraId="54A25EAC" w14:textId="77777777" w:rsidR="0029232A" w:rsidRPr="00F2198D" w:rsidRDefault="0029232A" w:rsidP="008B05A6">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7416C07A"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27E2F9EA"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499A4792"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EB88368"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2592997E"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60582124" w14:textId="77777777" w:rsidR="0029232A" w:rsidRPr="00F2198D" w:rsidRDefault="0029232A" w:rsidP="008B05A6">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44" w:type="dxa"/>
            <w:tcBorders>
              <w:top w:val="nil"/>
              <w:left w:val="nil"/>
              <w:bottom w:val="nil"/>
              <w:right w:val="nil"/>
            </w:tcBorders>
            <w:shd w:val="clear" w:color="auto" w:fill="auto"/>
            <w:noWrap/>
            <w:vAlign w:val="bottom"/>
            <w:hideMark/>
          </w:tcPr>
          <w:p w14:paraId="2FFC4A4E" w14:textId="77777777" w:rsidR="0029232A" w:rsidRPr="00F2198D" w:rsidRDefault="0029232A" w:rsidP="008B05A6">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7CBB5F36"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3B408265"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34D72632"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CE12D46"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40409571"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0417400F"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6"/>
                <w:szCs w:val="16"/>
                <w:vertAlign w:val="superscript"/>
              </w:rPr>
              <w:t xml:space="preserve"> </w:t>
            </w:r>
          </w:p>
        </w:tc>
        <w:tc>
          <w:tcPr>
            <w:tcW w:w="944" w:type="dxa"/>
            <w:tcBorders>
              <w:top w:val="nil"/>
              <w:left w:val="nil"/>
              <w:bottom w:val="nil"/>
              <w:right w:val="nil"/>
            </w:tcBorders>
            <w:shd w:val="clear" w:color="auto" w:fill="auto"/>
            <w:noWrap/>
            <w:vAlign w:val="bottom"/>
            <w:hideMark/>
          </w:tcPr>
          <w:p w14:paraId="0B01254B"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w:t>
            </w:r>
          </w:p>
        </w:tc>
        <w:tc>
          <w:tcPr>
            <w:tcW w:w="939" w:type="dxa"/>
            <w:tcBorders>
              <w:top w:val="nil"/>
              <w:left w:val="nil"/>
              <w:bottom w:val="nil"/>
              <w:right w:val="nil"/>
            </w:tcBorders>
            <w:shd w:val="clear" w:color="000000" w:fill="D9D9D9"/>
            <w:noWrap/>
            <w:vAlign w:val="bottom"/>
            <w:hideMark/>
          </w:tcPr>
          <w:p w14:paraId="4600574F"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162239D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3A125D5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6D93200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w:t>
            </w:r>
          </w:p>
        </w:tc>
      </w:tr>
      <w:tr w:rsidR="0029232A" w:rsidRPr="00F2198D" w14:paraId="5B0516DC"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08B1F548"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Special appropriations</w:t>
            </w:r>
          </w:p>
        </w:tc>
        <w:tc>
          <w:tcPr>
            <w:tcW w:w="944" w:type="dxa"/>
            <w:tcBorders>
              <w:top w:val="nil"/>
              <w:left w:val="nil"/>
              <w:bottom w:val="nil"/>
              <w:right w:val="nil"/>
            </w:tcBorders>
            <w:shd w:val="clear" w:color="auto" w:fill="auto"/>
            <w:noWrap/>
            <w:vAlign w:val="bottom"/>
            <w:hideMark/>
          </w:tcPr>
          <w:p w14:paraId="2E1B8DD8" w14:textId="77777777" w:rsidR="0029232A" w:rsidRPr="00F2198D" w:rsidRDefault="0029232A" w:rsidP="008B05A6">
            <w:pPr>
              <w:spacing w:before="0" w:after="0" w:line="240" w:lineRule="auto"/>
              <w:ind w:firstLineChars="200" w:firstLine="32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721D644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6C9C8BDF"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4CAEDDED"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6B84A6EF"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72BA4430"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6D4ACF75" w14:textId="77777777" w:rsidR="0029232A" w:rsidRPr="00F2198D" w:rsidRDefault="0029232A" w:rsidP="00413220">
            <w:pPr>
              <w:spacing w:before="0" w:after="0" w:line="240" w:lineRule="auto"/>
              <w:ind w:leftChars="225" w:left="428"/>
              <w:rPr>
                <w:rFonts w:ascii="Arial" w:hAnsi="Arial" w:cs="Arial"/>
                <w:i/>
                <w:iCs/>
                <w:sz w:val="16"/>
                <w:szCs w:val="16"/>
              </w:rPr>
            </w:pPr>
            <w:r w:rsidRPr="00F2198D">
              <w:rPr>
                <w:rFonts w:ascii="Arial" w:hAnsi="Arial" w:cs="Arial"/>
                <w:i/>
                <w:iCs/>
                <w:sz w:val="16"/>
                <w:szCs w:val="16"/>
              </w:rPr>
              <w:t>Dental Benefits Act 2008</w:t>
            </w:r>
          </w:p>
        </w:tc>
        <w:tc>
          <w:tcPr>
            <w:tcW w:w="944" w:type="dxa"/>
            <w:tcBorders>
              <w:top w:val="nil"/>
              <w:left w:val="nil"/>
              <w:bottom w:val="nil"/>
              <w:right w:val="nil"/>
            </w:tcBorders>
            <w:shd w:val="clear" w:color="auto" w:fill="auto"/>
            <w:noWrap/>
            <w:vAlign w:val="bottom"/>
            <w:hideMark/>
          </w:tcPr>
          <w:p w14:paraId="6A05BE0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315,710</w:t>
            </w:r>
          </w:p>
        </w:tc>
        <w:tc>
          <w:tcPr>
            <w:tcW w:w="939" w:type="dxa"/>
            <w:tcBorders>
              <w:top w:val="nil"/>
              <w:left w:val="nil"/>
              <w:bottom w:val="nil"/>
              <w:right w:val="nil"/>
            </w:tcBorders>
            <w:shd w:val="clear" w:color="000000" w:fill="D9D9D9"/>
            <w:noWrap/>
            <w:vAlign w:val="bottom"/>
            <w:hideMark/>
          </w:tcPr>
          <w:p w14:paraId="7957FC90"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349,779</w:t>
            </w:r>
          </w:p>
        </w:tc>
        <w:tc>
          <w:tcPr>
            <w:tcW w:w="939" w:type="dxa"/>
            <w:tcBorders>
              <w:top w:val="nil"/>
              <w:left w:val="nil"/>
              <w:bottom w:val="nil"/>
              <w:right w:val="nil"/>
            </w:tcBorders>
            <w:shd w:val="clear" w:color="auto" w:fill="auto"/>
            <w:noWrap/>
            <w:vAlign w:val="bottom"/>
            <w:hideMark/>
          </w:tcPr>
          <w:p w14:paraId="3F81215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357,839</w:t>
            </w:r>
          </w:p>
        </w:tc>
        <w:tc>
          <w:tcPr>
            <w:tcW w:w="939" w:type="dxa"/>
            <w:tcBorders>
              <w:top w:val="nil"/>
              <w:left w:val="nil"/>
              <w:bottom w:val="nil"/>
              <w:right w:val="nil"/>
            </w:tcBorders>
            <w:shd w:val="clear" w:color="auto" w:fill="auto"/>
            <w:noWrap/>
            <w:vAlign w:val="bottom"/>
            <w:hideMark/>
          </w:tcPr>
          <w:p w14:paraId="57E8D85A"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359,463</w:t>
            </w:r>
          </w:p>
        </w:tc>
        <w:tc>
          <w:tcPr>
            <w:tcW w:w="939" w:type="dxa"/>
            <w:tcBorders>
              <w:top w:val="nil"/>
              <w:left w:val="nil"/>
              <w:bottom w:val="nil"/>
              <w:right w:val="nil"/>
            </w:tcBorders>
            <w:shd w:val="clear" w:color="auto" w:fill="auto"/>
            <w:noWrap/>
            <w:vAlign w:val="bottom"/>
            <w:hideMark/>
          </w:tcPr>
          <w:p w14:paraId="1AC0D50E"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360,361</w:t>
            </w:r>
          </w:p>
        </w:tc>
      </w:tr>
      <w:tr w:rsidR="0029232A" w:rsidRPr="00F2198D" w14:paraId="2267103D"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6ED6D7ED" w14:textId="77777777" w:rsidR="0029232A" w:rsidRPr="00F2198D" w:rsidRDefault="0029232A" w:rsidP="008B05A6">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2.5</w:t>
            </w:r>
          </w:p>
        </w:tc>
        <w:tc>
          <w:tcPr>
            <w:tcW w:w="944" w:type="dxa"/>
            <w:tcBorders>
              <w:top w:val="single" w:sz="4" w:space="0" w:color="auto"/>
              <w:left w:val="nil"/>
              <w:bottom w:val="single" w:sz="4" w:space="0" w:color="auto"/>
              <w:right w:val="nil"/>
            </w:tcBorders>
            <w:shd w:val="clear" w:color="auto" w:fill="auto"/>
            <w:noWrap/>
            <w:vAlign w:val="bottom"/>
            <w:hideMark/>
          </w:tcPr>
          <w:p w14:paraId="43268DEB"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315,710</w:t>
            </w:r>
          </w:p>
        </w:tc>
        <w:tc>
          <w:tcPr>
            <w:tcW w:w="939" w:type="dxa"/>
            <w:tcBorders>
              <w:top w:val="single" w:sz="4" w:space="0" w:color="auto"/>
              <w:left w:val="nil"/>
              <w:bottom w:val="single" w:sz="4" w:space="0" w:color="auto"/>
              <w:right w:val="nil"/>
            </w:tcBorders>
            <w:shd w:val="clear" w:color="000000" w:fill="D9D9D9"/>
            <w:noWrap/>
            <w:vAlign w:val="bottom"/>
            <w:hideMark/>
          </w:tcPr>
          <w:p w14:paraId="391F3CB9"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349,779</w:t>
            </w:r>
          </w:p>
        </w:tc>
        <w:tc>
          <w:tcPr>
            <w:tcW w:w="939" w:type="dxa"/>
            <w:tcBorders>
              <w:top w:val="single" w:sz="4" w:space="0" w:color="auto"/>
              <w:left w:val="nil"/>
              <w:bottom w:val="single" w:sz="4" w:space="0" w:color="auto"/>
              <w:right w:val="nil"/>
            </w:tcBorders>
            <w:shd w:val="clear" w:color="auto" w:fill="auto"/>
            <w:noWrap/>
            <w:vAlign w:val="bottom"/>
            <w:hideMark/>
          </w:tcPr>
          <w:p w14:paraId="7E696290"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357,839</w:t>
            </w:r>
          </w:p>
        </w:tc>
        <w:tc>
          <w:tcPr>
            <w:tcW w:w="939" w:type="dxa"/>
            <w:tcBorders>
              <w:top w:val="single" w:sz="4" w:space="0" w:color="auto"/>
              <w:left w:val="nil"/>
              <w:bottom w:val="single" w:sz="4" w:space="0" w:color="auto"/>
              <w:right w:val="nil"/>
            </w:tcBorders>
            <w:shd w:val="clear" w:color="auto" w:fill="auto"/>
            <w:noWrap/>
            <w:vAlign w:val="bottom"/>
            <w:hideMark/>
          </w:tcPr>
          <w:p w14:paraId="2BF73AF4"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359,463</w:t>
            </w:r>
          </w:p>
        </w:tc>
        <w:tc>
          <w:tcPr>
            <w:tcW w:w="939" w:type="dxa"/>
            <w:tcBorders>
              <w:top w:val="single" w:sz="4" w:space="0" w:color="auto"/>
              <w:left w:val="nil"/>
              <w:bottom w:val="single" w:sz="4" w:space="0" w:color="auto"/>
              <w:right w:val="nil"/>
            </w:tcBorders>
            <w:shd w:val="clear" w:color="auto" w:fill="auto"/>
            <w:noWrap/>
            <w:vAlign w:val="bottom"/>
            <w:hideMark/>
          </w:tcPr>
          <w:p w14:paraId="469D7A3B"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360,361</w:t>
            </w:r>
          </w:p>
        </w:tc>
      </w:tr>
      <w:tr w:rsidR="0029232A" w:rsidRPr="00F2198D" w14:paraId="62EF14CD" w14:textId="77777777" w:rsidTr="000911F8">
        <w:trPr>
          <w:trHeight w:val="283"/>
          <w:jc w:val="center"/>
        </w:trPr>
        <w:tc>
          <w:tcPr>
            <w:tcW w:w="3924" w:type="dxa"/>
            <w:gridSpan w:val="2"/>
            <w:tcBorders>
              <w:top w:val="nil"/>
              <w:left w:val="nil"/>
              <w:bottom w:val="nil"/>
              <w:right w:val="nil"/>
            </w:tcBorders>
            <w:shd w:val="clear" w:color="auto" w:fill="auto"/>
            <w:noWrap/>
            <w:vAlign w:val="bottom"/>
            <w:hideMark/>
          </w:tcPr>
          <w:p w14:paraId="66E6AFBA" w14:textId="77777777" w:rsidR="0029232A" w:rsidRPr="00F2198D" w:rsidRDefault="0029232A" w:rsidP="008B05A6">
            <w:pPr>
              <w:spacing w:before="0" w:after="0" w:line="240" w:lineRule="auto"/>
              <w:rPr>
                <w:rFonts w:ascii="Arial" w:hAnsi="Arial" w:cs="Arial"/>
                <w:b/>
                <w:bCs/>
                <w:sz w:val="16"/>
                <w:szCs w:val="16"/>
              </w:rPr>
            </w:pPr>
            <w:r w:rsidRPr="00F2198D">
              <w:rPr>
                <w:rFonts w:ascii="Arial" w:hAnsi="Arial" w:cs="Arial"/>
                <w:b/>
                <w:bCs/>
                <w:sz w:val="16"/>
                <w:szCs w:val="16"/>
              </w:rPr>
              <w:t>Program 2.6: Health Benefit Compliance</w:t>
            </w:r>
          </w:p>
        </w:tc>
        <w:tc>
          <w:tcPr>
            <w:tcW w:w="939" w:type="dxa"/>
            <w:tcBorders>
              <w:top w:val="nil"/>
              <w:left w:val="nil"/>
              <w:bottom w:val="nil"/>
              <w:right w:val="nil"/>
            </w:tcBorders>
            <w:shd w:val="clear" w:color="auto" w:fill="auto"/>
            <w:noWrap/>
            <w:vAlign w:val="bottom"/>
            <w:hideMark/>
          </w:tcPr>
          <w:p w14:paraId="3AF05BEC" w14:textId="77777777" w:rsidR="0029232A" w:rsidRPr="00F2198D" w:rsidRDefault="0029232A" w:rsidP="008B05A6">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32032F0C"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F30AFAF"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49D09BA0"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63459A33"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08FDE7D9" w14:textId="77777777" w:rsidR="0029232A" w:rsidRPr="00F2198D" w:rsidRDefault="0029232A" w:rsidP="008B05A6">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44" w:type="dxa"/>
            <w:tcBorders>
              <w:top w:val="nil"/>
              <w:left w:val="nil"/>
              <w:bottom w:val="nil"/>
              <w:right w:val="nil"/>
            </w:tcBorders>
            <w:shd w:val="clear" w:color="auto" w:fill="auto"/>
            <w:noWrap/>
            <w:vAlign w:val="bottom"/>
            <w:hideMark/>
          </w:tcPr>
          <w:p w14:paraId="0FB42E7A" w14:textId="77777777" w:rsidR="0029232A" w:rsidRPr="00F2198D" w:rsidRDefault="0029232A" w:rsidP="008B05A6">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0E67AC1B"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3A423A9C"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19CF525C"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4197452D"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1AD9ECA8"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003981FB"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6"/>
                <w:szCs w:val="16"/>
                <w:vertAlign w:val="superscript"/>
              </w:rPr>
              <w:t xml:space="preserve"> </w:t>
            </w:r>
          </w:p>
        </w:tc>
        <w:tc>
          <w:tcPr>
            <w:tcW w:w="944" w:type="dxa"/>
            <w:tcBorders>
              <w:top w:val="nil"/>
              <w:left w:val="nil"/>
              <w:bottom w:val="nil"/>
              <w:right w:val="nil"/>
            </w:tcBorders>
            <w:shd w:val="clear" w:color="auto" w:fill="auto"/>
            <w:noWrap/>
            <w:vAlign w:val="bottom"/>
            <w:hideMark/>
          </w:tcPr>
          <w:p w14:paraId="393C196E"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14,864</w:t>
            </w:r>
          </w:p>
        </w:tc>
        <w:tc>
          <w:tcPr>
            <w:tcW w:w="939" w:type="dxa"/>
            <w:tcBorders>
              <w:top w:val="nil"/>
              <w:left w:val="nil"/>
              <w:bottom w:val="nil"/>
              <w:right w:val="nil"/>
            </w:tcBorders>
            <w:shd w:val="clear" w:color="000000" w:fill="D9D9D9"/>
            <w:noWrap/>
            <w:vAlign w:val="bottom"/>
            <w:hideMark/>
          </w:tcPr>
          <w:p w14:paraId="51A860F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20,319</w:t>
            </w:r>
          </w:p>
        </w:tc>
        <w:tc>
          <w:tcPr>
            <w:tcW w:w="939" w:type="dxa"/>
            <w:tcBorders>
              <w:top w:val="nil"/>
              <w:left w:val="nil"/>
              <w:bottom w:val="nil"/>
              <w:right w:val="nil"/>
            </w:tcBorders>
            <w:shd w:val="clear" w:color="auto" w:fill="auto"/>
            <w:noWrap/>
            <w:vAlign w:val="bottom"/>
            <w:hideMark/>
          </w:tcPr>
          <w:p w14:paraId="439D8B79"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16,645</w:t>
            </w:r>
          </w:p>
        </w:tc>
        <w:tc>
          <w:tcPr>
            <w:tcW w:w="939" w:type="dxa"/>
            <w:tcBorders>
              <w:top w:val="nil"/>
              <w:left w:val="nil"/>
              <w:bottom w:val="nil"/>
              <w:right w:val="nil"/>
            </w:tcBorders>
            <w:shd w:val="clear" w:color="auto" w:fill="auto"/>
            <w:noWrap/>
            <w:vAlign w:val="bottom"/>
            <w:hideMark/>
          </w:tcPr>
          <w:p w14:paraId="0DFC785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16,645</w:t>
            </w:r>
          </w:p>
        </w:tc>
        <w:tc>
          <w:tcPr>
            <w:tcW w:w="939" w:type="dxa"/>
            <w:tcBorders>
              <w:top w:val="nil"/>
              <w:left w:val="nil"/>
              <w:bottom w:val="nil"/>
              <w:right w:val="nil"/>
            </w:tcBorders>
            <w:shd w:val="clear" w:color="auto" w:fill="auto"/>
            <w:noWrap/>
            <w:vAlign w:val="bottom"/>
            <w:hideMark/>
          </w:tcPr>
          <w:p w14:paraId="29A0DA0D"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16,645</w:t>
            </w:r>
          </w:p>
        </w:tc>
      </w:tr>
      <w:tr w:rsidR="0029232A" w:rsidRPr="00F2198D" w14:paraId="17BE0E99"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3558AAE5" w14:textId="77777777" w:rsidR="0029232A" w:rsidRPr="00F2198D" w:rsidRDefault="0029232A" w:rsidP="008B05A6">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2.6</w:t>
            </w:r>
          </w:p>
        </w:tc>
        <w:tc>
          <w:tcPr>
            <w:tcW w:w="944" w:type="dxa"/>
            <w:tcBorders>
              <w:top w:val="single" w:sz="4" w:space="0" w:color="auto"/>
              <w:left w:val="nil"/>
              <w:bottom w:val="single" w:sz="4" w:space="0" w:color="auto"/>
              <w:right w:val="nil"/>
            </w:tcBorders>
            <w:shd w:val="clear" w:color="auto" w:fill="auto"/>
            <w:noWrap/>
            <w:vAlign w:val="bottom"/>
            <w:hideMark/>
          </w:tcPr>
          <w:p w14:paraId="25A0E012"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14,864</w:t>
            </w:r>
          </w:p>
        </w:tc>
        <w:tc>
          <w:tcPr>
            <w:tcW w:w="939" w:type="dxa"/>
            <w:tcBorders>
              <w:top w:val="single" w:sz="4" w:space="0" w:color="auto"/>
              <w:left w:val="nil"/>
              <w:bottom w:val="single" w:sz="4" w:space="0" w:color="auto"/>
              <w:right w:val="nil"/>
            </w:tcBorders>
            <w:shd w:val="clear" w:color="000000" w:fill="D9D9D9"/>
            <w:noWrap/>
            <w:vAlign w:val="bottom"/>
            <w:hideMark/>
          </w:tcPr>
          <w:p w14:paraId="27C0D3F4"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20,319</w:t>
            </w:r>
          </w:p>
        </w:tc>
        <w:tc>
          <w:tcPr>
            <w:tcW w:w="939" w:type="dxa"/>
            <w:tcBorders>
              <w:top w:val="single" w:sz="4" w:space="0" w:color="auto"/>
              <w:left w:val="nil"/>
              <w:bottom w:val="single" w:sz="4" w:space="0" w:color="auto"/>
              <w:right w:val="nil"/>
            </w:tcBorders>
            <w:shd w:val="clear" w:color="auto" w:fill="auto"/>
            <w:noWrap/>
            <w:vAlign w:val="bottom"/>
            <w:hideMark/>
          </w:tcPr>
          <w:p w14:paraId="2B900112"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16,645</w:t>
            </w:r>
          </w:p>
        </w:tc>
        <w:tc>
          <w:tcPr>
            <w:tcW w:w="939" w:type="dxa"/>
            <w:tcBorders>
              <w:top w:val="single" w:sz="4" w:space="0" w:color="auto"/>
              <w:left w:val="nil"/>
              <w:bottom w:val="single" w:sz="4" w:space="0" w:color="auto"/>
              <w:right w:val="nil"/>
            </w:tcBorders>
            <w:shd w:val="clear" w:color="auto" w:fill="auto"/>
            <w:noWrap/>
            <w:vAlign w:val="bottom"/>
            <w:hideMark/>
          </w:tcPr>
          <w:p w14:paraId="4E85E9AD"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16,645</w:t>
            </w:r>
          </w:p>
        </w:tc>
        <w:tc>
          <w:tcPr>
            <w:tcW w:w="939" w:type="dxa"/>
            <w:tcBorders>
              <w:top w:val="single" w:sz="4" w:space="0" w:color="auto"/>
              <w:left w:val="nil"/>
              <w:bottom w:val="single" w:sz="4" w:space="0" w:color="auto"/>
              <w:right w:val="nil"/>
            </w:tcBorders>
            <w:shd w:val="clear" w:color="auto" w:fill="auto"/>
            <w:noWrap/>
            <w:vAlign w:val="bottom"/>
            <w:hideMark/>
          </w:tcPr>
          <w:p w14:paraId="02627F66"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16,645</w:t>
            </w:r>
          </w:p>
        </w:tc>
      </w:tr>
      <w:tr w:rsidR="0029232A" w:rsidRPr="00F2198D" w14:paraId="54C0F716" w14:textId="77777777" w:rsidTr="000911F8">
        <w:trPr>
          <w:trHeight w:val="283"/>
          <w:jc w:val="center"/>
        </w:trPr>
        <w:tc>
          <w:tcPr>
            <w:tcW w:w="4863" w:type="dxa"/>
            <w:gridSpan w:val="3"/>
            <w:tcBorders>
              <w:top w:val="nil"/>
              <w:left w:val="nil"/>
              <w:bottom w:val="nil"/>
              <w:right w:val="nil"/>
            </w:tcBorders>
            <w:shd w:val="clear" w:color="auto" w:fill="auto"/>
            <w:noWrap/>
            <w:vAlign w:val="bottom"/>
            <w:hideMark/>
          </w:tcPr>
          <w:p w14:paraId="7142D34E" w14:textId="77777777" w:rsidR="0029232A" w:rsidRPr="00F2198D" w:rsidRDefault="0029232A" w:rsidP="008B05A6">
            <w:pPr>
              <w:spacing w:before="0" w:after="0" w:line="240" w:lineRule="auto"/>
              <w:rPr>
                <w:rFonts w:ascii="Arial" w:hAnsi="Arial" w:cs="Arial"/>
                <w:b/>
                <w:bCs/>
                <w:sz w:val="16"/>
                <w:szCs w:val="16"/>
              </w:rPr>
            </w:pPr>
            <w:r w:rsidRPr="00F2198D">
              <w:rPr>
                <w:rFonts w:ascii="Arial" w:hAnsi="Arial" w:cs="Arial"/>
                <w:b/>
                <w:bCs/>
                <w:sz w:val="16"/>
                <w:szCs w:val="16"/>
              </w:rPr>
              <w:t>Program 2.7: Assistance through Aids and Appliances</w:t>
            </w:r>
          </w:p>
        </w:tc>
        <w:tc>
          <w:tcPr>
            <w:tcW w:w="939" w:type="dxa"/>
            <w:tcBorders>
              <w:top w:val="nil"/>
              <w:left w:val="nil"/>
              <w:bottom w:val="nil"/>
              <w:right w:val="nil"/>
            </w:tcBorders>
            <w:shd w:val="clear" w:color="auto" w:fill="auto"/>
            <w:noWrap/>
            <w:vAlign w:val="bottom"/>
            <w:hideMark/>
          </w:tcPr>
          <w:p w14:paraId="2BB1525F" w14:textId="77777777" w:rsidR="0029232A" w:rsidRPr="00F2198D" w:rsidRDefault="0029232A" w:rsidP="008B05A6">
            <w:pPr>
              <w:spacing w:before="0" w:after="0" w:line="240" w:lineRule="auto"/>
              <w:rPr>
                <w:rFonts w:ascii="Arial" w:hAnsi="Arial" w:cs="Arial"/>
                <w:b/>
                <w:bCs/>
                <w:sz w:val="16"/>
                <w:szCs w:val="16"/>
              </w:rPr>
            </w:pPr>
          </w:p>
        </w:tc>
        <w:tc>
          <w:tcPr>
            <w:tcW w:w="939" w:type="dxa"/>
            <w:tcBorders>
              <w:top w:val="nil"/>
              <w:left w:val="nil"/>
              <w:bottom w:val="nil"/>
              <w:right w:val="nil"/>
            </w:tcBorders>
            <w:shd w:val="clear" w:color="auto" w:fill="auto"/>
            <w:noWrap/>
            <w:vAlign w:val="bottom"/>
            <w:hideMark/>
          </w:tcPr>
          <w:p w14:paraId="4CB1C3E1"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AB45F82"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7548CBF6"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09D3E04F" w14:textId="77777777" w:rsidR="0029232A" w:rsidRPr="00F2198D" w:rsidRDefault="0029232A" w:rsidP="008B05A6">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44" w:type="dxa"/>
            <w:tcBorders>
              <w:top w:val="nil"/>
              <w:left w:val="nil"/>
              <w:bottom w:val="nil"/>
              <w:right w:val="nil"/>
            </w:tcBorders>
            <w:shd w:val="clear" w:color="auto" w:fill="auto"/>
            <w:noWrap/>
            <w:vAlign w:val="bottom"/>
            <w:hideMark/>
          </w:tcPr>
          <w:p w14:paraId="2050FDF5" w14:textId="77777777" w:rsidR="0029232A" w:rsidRPr="00F2198D" w:rsidRDefault="0029232A" w:rsidP="008B05A6">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5E2B6FE0"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436FD657"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347EAC03"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7A99B1D9"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65D43B96"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04C59F92"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Ordinary annual services</w:t>
            </w:r>
            <w:r w:rsidRPr="00F2198D">
              <w:rPr>
                <w:rFonts w:ascii="Arial" w:hAnsi="Arial" w:cs="Arial"/>
                <w:sz w:val="16"/>
                <w:szCs w:val="16"/>
                <w:vertAlign w:val="superscript"/>
              </w:rPr>
              <w:t xml:space="preserve"> </w:t>
            </w:r>
          </w:p>
        </w:tc>
        <w:tc>
          <w:tcPr>
            <w:tcW w:w="944" w:type="dxa"/>
            <w:tcBorders>
              <w:top w:val="nil"/>
              <w:left w:val="nil"/>
              <w:bottom w:val="nil"/>
              <w:right w:val="nil"/>
            </w:tcBorders>
            <w:shd w:val="clear" w:color="auto" w:fill="auto"/>
            <w:noWrap/>
            <w:vAlign w:val="bottom"/>
            <w:hideMark/>
          </w:tcPr>
          <w:p w14:paraId="2C87599D"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1,791</w:t>
            </w:r>
          </w:p>
        </w:tc>
        <w:tc>
          <w:tcPr>
            <w:tcW w:w="939" w:type="dxa"/>
            <w:tcBorders>
              <w:top w:val="nil"/>
              <w:left w:val="nil"/>
              <w:bottom w:val="nil"/>
              <w:right w:val="nil"/>
            </w:tcBorders>
            <w:shd w:val="clear" w:color="000000" w:fill="D9D9D9"/>
            <w:noWrap/>
            <w:vAlign w:val="bottom"/>
            <w:hideMark/>
          </w:tcPr>
          <w:p w14:paraId="5F85B101"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2,012</w:t>
            </w:r>
          </w:p>
        </w:tc>
        <w:tc>
          <w:tcPr>
            <w:tcW w:w="939" w:type="dxa"/>
            <w:tcBorders>
              <w:top w:val="nil"/>
              <w:left w:val="nil"/>
              <w:bottom w:val="nil"/>
              <w:right w:val="nil"/>
            </w:tcBorders>
            <w:shd w:val="clear" w:color="auto" w:fill="auto"/>
            <w:noWrap/>
            <w:vAlign w:val="bottom"/>
            <w:hideMark/>
          </w:tcPr>
          <w:p w14:paraId="26E44C7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1,762</w:t>
            </w:r>
          </w:p>
        </w:tc>
        <w:tc>
          <w:tcPr>
            <w:tcW w:w="939" w:type="dxa"/>
            <w:tcBorders>
              <w:top w:val="nil"/>
              <w:left w:val="nil"/>
              <w:bottom w:val="nil"/>
              <w:right w:val="nil"/>
            </w:tcBorders>
            <w:shd w:val="clear" w:color="auto" w:fill="auto"/>
            <w:noWrap/>
            <w:vAlign w:val="bottom"/>
            <w:hideMark/>
          </w:tcPr>
          <w:p w14:paraId="1F55D6D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1,762</w:t>
            </w:r>
          </w:p>
        </w:tc>
        <w:tc>
          <w:tcPr>
            <w:tcW w:w="939" w:type="dxa"/>
            <w:tcBorders>
              <w:top w:val="nil"/>
              <w:left w:val="nil"/>
              <w:bottom w:val="nil"/>
              <w:right w:val="nil"/>
            </w:tcBorders>
            <w:shd w:val="clear" w:color="auto" w:fill="auto"/>
            <w:noWrap/>
            <w:vAlign w:val="bottom"/>
            <w:hideMark/>
          </w:tcPr>
          <w:p w14:paraId="3B206BC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1,762</w:t>
            </w:r>
          </w:p>
        </w:tc>
      </w:tr>
      <w:tr w:rsidR="0029232A" w:rsidRPr="00F2198D" w14:paraId="0070B6FA"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19FED877"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Special appropriations</w:t>
            </w:r>
          </w:p>
        </w:tc>
        <w:tc>
          <w:tcPr>
            <w:tcW w:w="944" w:type="dxa"/>
            <w:tcBorders>
              <w:top w:val="nil"/>
              <w:left w:val="nil"/>
              <w:bottom w:val="nil"/>
              <w:right w:val="nil"/>
            </w:tcBorders>
            <w:shd w:val="clear" w:color="auto" w:fill="auto"/>
            <w:noWrap/>
            <w:vAlign w:val="bottom"/>
            <w:hideMark/>
          </w:tcPr>
          <w:p w14:paraId="60C30114" w14:textId="77777777" w:rsidR="0029232A" w:rsidRPr="00F2198D" w:rsidRDefault="0029232A" w:rsidP="008B05A6">
            <w:pPr>
              <w:spacing w:before="0" w:after="0" w:line="240" w:lineRule="auto"/>
              <w:ind w:firstLineChars="200" w:firstLine="32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340D50C8"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7DE0CD70"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34363826"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1F14EA64"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2395539B" w14:textId="77777777" w:rsidTr="00957AA5">
        <w:trPr>
          <w:trHeight w:val="425"/>
          <w:jc w:val="center"/>
        </w:trPr>
        <w:tc>
          <w:tcPr>
            <w:tcW w:w="2980" w:type="dxa"/>
            <w:tcBorders>
              <w:top w:val="nil"/>
              <w:left w:val="nil"/>
              <w:bottom w:val="nil"/>
              <w:right w:val="nil"/>
            </w:tcBorders>
            <w:shd w:val="clear" w:color="auto" w:fill="auto"/>
            <w:vAlign w:val="bottom"/>
            <w:hideMark/>
          </w:tcPr>
          <w:p w14:paraId="7F285495" w14:textId="77777777" w:rsidR="0029232A" w:rsidRPr="00F2198D" w:rsidRDefault="0029232A" w:rsidP="00413220">
            <w:pPr>
              <w:spacing w:before="0" w:after="0" w:line="240" w:lineRule="auto"/>
              <w:ind w:leftChars="225" w:left="428"/>
              <w:rPr>
                <w:rFonts w:ascii="Arial" w:hAnsi="Arial" w:cs="Arial"/>
                <w:i/>
                <w:iCs/>
                <w:sz w:val="16"/>
                <w:szCs w:val="16"/>
              </w:rPr>
            </w:pPr>
            <w:r w:rsidRPr="00F2198D">
              <w:rPr>
                <w:rFonts w:ascii="Arial" w:hAnsi="Arial" w:cs="Arial"/>
                <w:i/>
                <w:iCs/>
                <w:sz w:val="16"/>
                <w:szCs w:val="16"/>
              </w:rPr>
              <w:t>National Health Act 1953</w:t>
            </w:r>
            <w:r w:rsidRPr="00F2198D">
              <w:rPr>
                <w:rFonts w:ascii="Arial" w:hAnsi="Arial" w:cs="Arial"/>
                <w:sz w:val="16"/>
                <w:szCs w:val="16"/>
              </w:rPr>
              <w:t xml:space="preserve"> </w:t>
            </w:r>
            <w:r w:rsidRPr="00F2198D">
              <w:rPr>
                <w:rFonts w:ascii="Arial" w:hAnsi="Arial" w:cs="Arial"/>
                <w:sz w:val="16"/>
                <w:szCs w:val="16"/>
              </w:rPr>
              <w:br/>
              <w:t>-</w:t>
            </w:r>
            <w:r w:rsidRPr="00F2198D">
              <w:rPr>
                <w:rFonts w:ascii="Arial" w:hAnsi="Arial" w:cs="Arial"/>
                <w:i/>
                <w:iCs/>
                <w:sz w:val="16"/>
                <w:szCs w:val="16"/>
              </w:rPr>
              <w:t xml:space="preserve"> </w:t>
            </w:r>
            <w:r w:rsidRPr="00F2198D">
              <w:rPr>
                <w:rFonts w:ascii="Arial" w:hAnsi="Arial" w:cs="Arial"/>
                <w:sz w:val="16"/>
                <w:szCs w:val="16"/>
              </w:rPr>
              <w:t>aids and appliances</w:t>
            </w:r>
          </w:p>
        </w:tc>
        <w:tc>
          <w:tcPr>
            <w:tcW w:w="944" w:type="dxa"/>
            <w:tcBorders>
              <w:top w:val="nil"/>
              <w:left w:val="nil"/>
              <w:bottom w:val="nil"/>
              <w:right w:val="nil"/>
            </w:tcBorders>
            <w:shd w:val="clear" w:color="auto" w:fill="auto"/>
            <w:noWrap/>
            <w:vAlign w:val="bottom"/>
            <w:hideMark/>
          </w:tcPr>
          <w:p w14:paraId="4941C813"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464,377</w:t>
            </w:r>
          </w:p>
        </w:tc>
        <w:tc>
          <w:tcPr>
            <w:tcW w:w="939" w:type="dxa"/>
            <w:tcBorders>
              <w:top w:val="nil"/>
              <w:left w:val="nil"/>
              <w:bottom w:val="nil"/>
              <w:right w:val="nil"/>
            </w:tcBorders>
            <w:shd w:val="clear" w:color="000000" w:fill="D9D9D9"/>
            <w:noWrap/>
            <w:vAlign w:val="bottom"/>
            <w:hideMark/>
          </w:tcPr>
          <w:p w14:paraId="7BA54E26"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494,816</w:t>
            </w:r>
          </w:p>
        </w:tc>
        <w:tc>
          <w:tcPr>
            <w:tcW w:w="939" w:type="dxa"/>
            <w:tcBorders>
              <w:top w:val="nil"/>
              <w:left w:val="nil"/>
              <w:bottom w:val="nil"/>
              <w:right w:val="nil"/>
            </w:tcBorders>
            <w:shd w:val="clear" w:color="auto" w:fill="auto"/>
            <w:noWrap/>
            <w:vAlign w:val="bottom"/>
            <w:hideMark/>
          </w:tcPr>
          <w:p w14:paraId="0FB4126D"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502,831</w:t>
            </w:r>
          </w:p>
        </w:tc>
        <w:tc>
          <w:tcPr>
            <w:tcW w:w="939" w:type="dxa"/>
            <w:tcBorders>
              <w:top w:val="nil"/>
              <w:left w:val="nil"/>
              <w:bottom w:val="nil"/>
              <w:right w:val="nil"/>
            </w:tcBorders>
            <w:shd w:val="clear" w:color="auto" w:fill="auto"/>
            <w:noWrap/>
            <w:vAlign w:val="bottom"/>
            <w:hideMark/>
          </w:tcPr>
          <w:p w14:paraId="0A339493"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511,293</w:t>
            </w:r>
          </w:p>
        </w:tc>
        <w:tc>
          <w:tcPr>
            <w:tcW w:w="939" w:type="dxa"/>
            <w:tcBorders>
              <w:top w:val="nil"/>
              <w:left w:val="nil"/>
              <w:bottom w:val="nil"/>
              <w:right w:val="nil"/>
            </w:tcBorders>
            <w:shd w:val="clear" w:color="auto" w:fill="auto"/>
            <w:noWrap/>
            <w:vAlign w:val="bottom"/>
            <w:hideMark/>
          </w:tcPr>
          <w:p w14:paraId="77D78EF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511,188</w:t>
            </w:r>
          </w:p>
        </w:tc>
      </w:tr>
      <w:tr w:rsidR="0029232A" w:rsidRPr="00F2198D" w14:paraId="6F3E76D1" w14:textId="77777777" w:rsidTr="00957AA5">
        <w:trPr>
          <w:trHeight w:val="283"/>
          <w:jc w:val="center"/>
        </w:trPr>
        <w:tc>
          <w:tcPr>
            <w:tcW w:w="2980" w:type="dxa"/>
            <w:tcBorders>
              <w:top w:val="nil"/>
              <w:left w:val="nil"/>
              <w:bottom w:val="nil"/>
              <w:right w:val="nil"/>
            </w:tcBorders>
            <w:shd w:val="clear" w:color="auto" w:fill="auto"/>
            <w:noWrap/>
            <w:vAlign w:val="bottom"/>
            <w:hideMark/>
          </w:tcPr>
          <w:p w14:paraId="32B5371A" w14:textId="77777777" w:rsidR="0029232A" w:rsidRPr="00F2198D" w:rsidRDefault="0029232A" w:rsidP="008B05A6">
            <w:pPr>
              <w:spacing w:before="0" w:after="0" w:line="240" w:lineRule="auto"/>
              <w:ind w:firstLineChars="100" w:firstLine="161"/>
              <w:rPr>
                <w:rFonts w:ascii="Arial" w:hAnsi="Arial" w:cs="Arial"/>
                <w:b/>
                <w:bCs/>
                <w:sz w:val="16"/>
                <w:szCs w:val="16"/>
              </w:rPr>
            </w:pPr>
            <w:r w:rsidRPr="00F2198D">
              <w:rPr>
                <w:rFonts w:ascii="Arial" w:hAnsi="Arial" w:cs="Arial"/>
                <w:b/>
                <w:bCs/>
                <w:sz w:val="16"/>
                <w:szCs w:val="16"/>
              </w:rPr>
              <w:t>Total for Program 2.7</w:t>
            </w:r>
          </w:p>
        </w:tc>
        <w:tc>
          <w:tcPr>
            <w:tcW w:w="944" w:type="dxa"/>
            <w:tcBorders>
              <w:top w:val="single" w:sz="4" w:space="0" w:color="auto"/>
              <w:left w:val="nil"/>
              <w:bottom w:val="single" w:sz="4" w:space="0" w:color="auto"/>
              <w:right w:val="nil"/>
            </w:tcBorders>
            <w:shd w:val="clear" w:color="auto" w:fill="auto"/>
            <w:noWrap/>
            <w:vAlign w:val="bottom"/>
            <w:hideMark/>
          </w:tcPr>
          <w:p w14:paraId="6D0FB975"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466,168</w:t>
            </w:r>
          </w:p>
        </w:tc>
        <w:tc>
          <w:tcPr>
            <w:tcW w:w="939" w:type="dxa"/>
            <w:tcBorders>
              <w:top w:val="single" w:sz="4" w:space="0" w:color="auto"/>
              <w:left w:val="nil"/>
              <w:bottom w:val="single" w:sz="4" w:space="0" w:color="auto"/>
              <w:right w:val="nil"/>
            </w:tcBorders>
            <w:shd w:val="clear" w:color="000000" w:fill="D9D9D9"/>
            <w:noWrap/>
            <w:vAlign w:val="bottom"/>
            <w:hideMark/>
          </w:tcPr>
          <w:p w14:paraId="0F4AB59E"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496,828</w:t>
            </w:r>
          </w:p>
        </w:tc>
        <w:tc>
          <w:tcPr>
            <w:tcW w:w="939" w:type="dxa"/>
            <w:tcBorders>
              <w:top w:val="single" w:sz="4" w:space="0" w:color="auto"/>
              <w:left w:val="nil"/>
              <w:bottom w:val="single" w:sz="4" w:space="0" w:color="auto"/>
              <w:right w:val="nil"/>
            </w:tcBorders>
            <w:shd w:val="clear" w:color="auto" w:fill="auto"/>
            <w:noWrap/>
            <w:vAlign w:val="bottom"/>
            <w:hideMark/>
          </w:tcPr>
          <w:p w14:paraId="40262878"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504,593</w:t>
            </w:r>
          </w:p>
        </w:tc>
        <w:tc>
          <w:tcPr>
            <w:tcW w:w="939" w:type="dxa"/>
            <w:tcBorders>
              <w:top w:val="single" w:sz="4" w:space="0" w:color="auto"/>
              <w:left w:val="nil"/>
              <w:bottom w:val="single" w:sz="4" w:space="0" w:color="auto"/>
              <w:right w:val="nil"/>
            </w:tcBorders>
            <w:shd w:val="clear" w:color="auto" w:fill="auto"/>
            <w:noWrap/>
            <w:vAlign w:val="bottom"/>
            <w:hideMark/>
          </w:tcPr>
          <w:p w14:paraId="12EB54AB"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513,055</w:t>
            </w:r>
          </w:p>
        </w:tc>
        <w:tc>
          <w:tcPr>
            <w:tcW w:w="939" w:type="dxa"/>
            <w:tcBorders>
              <w:top w:val="single" w:sz="4" w:space="0" w:color="auto"/>
              <w:left w:val="nil"/>
              <w:bottom w:val="single" w:sz="4" w:space="0" w:color="auto"/>
              <w:right w:val="nil"/>
            </w:tcBorders>
            <w:shd w:val="clear" w:color="auto" w:fill="auto"/>
            <w:noWrap/>
            <w:vAlign w:val="bottom"/>
            <w:hideMark/>
          </w:tcPr>
          <w:p w14:paraId="691BEC20"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512,950</w:t>
            </w:r>
          </w:p>
        </w:tc>
      </w:tr>
      <w:tr w:rsidR="0029232A" w:rsidRPr="00F2198D" w14:paraId="5D7BAB28" w14:textId="77777777" w:rsidTr="00957AA5">
        <w:trPr>
          <w:trHeight w:val="283"/>
          <w:jc w:val="center"/>
        </w:trPr>
        <w:tc>
          <w:tcPr>
            <w:tcW w:w="2980" w:type="dxa"/>
            <w:tcBorders>
              <w:top w:val="nil"/>
              <w:left w:val="nil"/>
              <w:bottom w:val="nil"/>
              <w:right w:val="nil"/>
            </w:tcBorders>
            <w:shd w:val="clear" w:color="auto" w:fill="auto"/>
            <w:noWrap/>
            <w:vAlign w:val="center"/>
            <w:hideMark/>
          </w:tcPr>
          <w:p w14:paraId="4A611F0B" w14:textId="77777777" w:rsidR="0029232A" w:rsidRPr="00F2198D" w:rsidRDefault="0029232A" w:rsidP="008B05A6">
            <w:pPr>
              <w:spacing w:before="0" w:after="0" w:line="240" w:lineRule="auto"/>
              <w:rPr>
                <w:rFonts w:ascii="Arial" w:hAnsi="Arial" w:cs="Arial"/>
                <w:b/>
                <w:bCs/>
                <w:sz w:val="16"/>
                <w:szCs w:val="16"/>
              </w:rPr>
            </w:pPr>
            <w:r w:rsidRPr="00F2198D">
              <w:rPr>
                <w:rFonts w:ascii="Arial" w:hAnsi="Arial" w:cs="Arial"/>
                <w:b/>
                <w:bCs/>
                <w:sz w:val="16"/>
                <w:szCs w:val="16"/>
              </w:rPr>
              <w:t>Outcome 2 totals by appropriation type</w:t>
            </w:r>
          </w:p>
        </w:tc>
        <w:tc>
          <w:tcPr>
            <w:tcW w:w="944" w:type="dxa"/>
            <w:tcBorders>
              <w:top w:val="nil"/>
              <w:left w:val="nil"/>
              <w:bottom w:val="nil"/>
              <w:right w:val="nil"/>
            </w:tcBorders>
            <w:shd w:val="clear" w:color="auto" w:fill="auto"/>
            <w:noWrap/>
            <w:vAlign w:val="center"/>
            <w:hideMark/>
          </w:tcPr>
          <w:p w14:paraId="0AF0D13A"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39" w:type="dxa"/>
            <w:tcBorders>
              <w:top w:val="nil"/>
              <w:left w:val="nil"/>
              <w:bottom w:val="nil"/>
              <w:right w:val="nil"/>
            </w:tcBorders>
            <w:shd w:val="clear" w:color="000000" w:fill="D9D9D9"/>
            <w:noWrap/>
            <w:vAlign w:val="center"/>
            <w:hideMark/>
          </w:tcPr>
          <w:p w14:paraId="53974495"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39" w:type="dxa"/>
            <w:tcBorders>
              <w:top w:val="nil"/>
              <w:left w:val="nil"/>
              <w:bottom w:val="nil"/>
              <w:right w:val="nil"/>
            </w:tcBorders>
            <w:shd w:val="clear" w:color="auto" w:fill="auto"/>
            <w:noWrap/>
            <w:vAlign w:val="center"/>
            <w:hideMark/>
          </w:tcPr>
          <w:p w14:paraId="6D2EEFE7"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39" w:type="dxa"/>
            <w:tcBorders>
              <w:top w:val="nil"/>
              <w:left w:val="nil"/>
              <w:bottom w:val="nil"/>
              <w:right w:val="nil"/>
            </w:tcBorders>
            <w:shd w:val="clear" w:color="auto" w:fill="auto"/>
            <w:noWrap/>
            <w:vAlign w:val="center"/>
            <w:hideMark/>
          </w:tcPr>
          <w:p w14:paraId="3CB660B6"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 </w:t>
            </w:r>
          </w:p>
        </w:tc>
        <w:tc>
          <w:tcPr>
            <w:tcW w:w="939" w:type="dxa"/>
            <w:tcBorders>
              <w:top w:val="nil"/>
              <w:left w:val="nil"/>
              <w:bottom w:val="nil"/>
              <w:right w:val="nil"/>
            </w:tcBorders>
            <w:shd w:val="clear" w:color="auto" w:fill="auto"/>
            <w:noWrap/>
            <w:vAlign w:val="center"/>
            <w:hideMark/>
          </w:tcPr>
          <w:p w14:paraId="3BA90042"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 </w:t>
            </w:r>
          </w:p>
        </w:tc>
      </w:tr>
      <w:tr w:rsidR="0029232A" w:rsidRPr="00F2198D" w14:paraId="13EB0CB3" w14:textId="77777777" w:rsidTr="00957AA5">
        <w:trPr>
          <w:trHeight w:val="283"/>
          <w:jc w:val="center"/>
        </w:trPr>
        <w:tc>
          <w:tcPr>
            <w:tcW w:w="2980" w:type="dxa"/>
            <w:tcBorders>
              <w:top w:val="nil"/>
              <w:left w:val="nil"/>
              <w:bottom w:val="nil"/>
              <w:right w:val="nil"/>
            </w:tcBorders>
            <w:shd w:val="clear" w:color="auto" w:fill="auto"/>
            <w:noWrap/>
            <w:vAlign w:val="center"/>
            <w:hideMark/>
          </w:tcPr>
          <w:p w14:paraId="6C620CCC" w14:textId="77777777" w:rsidR="0029232A" w:rsidRPr="00F2198D" w:rsidRDefault="0029232A" w:rsidP="008B05A6">
            <w:pPr>
              <w:spacing w:before="0" w:after="0" w:line="240" w:lineRule="auto"/>
              <w:ind w:firstLineChars="100" w:firstLine="160"/>
              <w:rPr>
                <w:rFonts w:ascii="Arial" w:hAnsi="Arial" w:cs="Arial"/>
                <w:sz w:val="16"/>
                <w:szCs w:val="16"/>
              </w:rPr>
            </w:pPr>
            <w:r w:rsidRPr="00F2198D">
              <w:rPr>
                <w:rFonts w:ascii="Arial" w:hAnsi="Arial" w:cs="Arial"/>
                <w:sz w:val="16"/>
                <w:szCs w:val="16"/>
              </w:rPr>
              <w:t>Administered expenses</w:t>
            </w:r>
          </w:p>
        </w:tc>
        <w:tc>
          <w:tcPr>
            <w:tcW w:w="944" w:type="dxa"/>
            <w:tcBorders>
              <w:top w:val="nil"/>
              <w:left w:val="nil"/>
              <w:bottom w:val="nil"/>
              <w:right w:val="nil"/>
            </w:tcBorders>
            <w:shd w:val="clear" w:color="auto" w:fill="auto"/>
            <w:noWrap/>
            <w:vAlign w:val="center"/>
            <w:hideMark/>
          </w:tcPr>
          <w:p w14:paraId="0891E433" w14:textId="77777777" w:rsidR="0029232A" w:rsidRPr="00F2198D" w:rsidRDefault="0029232A" w:rsidP="008B05A6">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center"/>
            <w:hideMark/>
          </w:tcPr>
          <w:p w14:paraId="5FEC3631"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center"/>
            <w:hideMark/>
          </w:tcPr>
          <w:p w14:paraId="03E7E273"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center"/>
            <w:hideMark/>
          </w:tcPr>
          <w:p w14:paraId="71E717C9"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center"/>
            <w:hideMark/>
          </w:tcPr>
          <w:p w14:paraId="49887B32"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758865A4"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3B52F935"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Ordinary annual services</w:t>
            </w:r>
          </w:p>
        </w:tc>
        <w:tc>
          <w:tcPr>
            <w:tcW w:w="944" w:type="dxa"/>
            <w:tcBorders>
              <w:top w:val="nil"/>
              <w:left w:val="nil"/>
              <w:bottom w:val="nil"/>
              <w:right w:val="nil"/>
            </w:tcBorders>
            <w:shd w:val="clear" w:color="auto" w:fill="auto"/>
            <w:noWrap/>
            <w:vAlign w:val="bottom"/>
            <w:hideMark/>
          </w:tcPr>
          <w:p w14:paraId="792F3959"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1,548,734</w:t>
            </w:r>
          </w:p>
        </w:tc>
        <w:tc>
          <w:tcPr>
            <w:tcW w:w="939" w:type="dxa"/>
            <w:tcBorders>
              <w:top w:val="nil"/>
              <w:left w:val="nil"/>
              <w:bottom w:val="nil"/>
              <w:right w:val="nil"/>
            </w:tcBorders>
            <w:shd w:val="clear" w:color="000000" w:fill="D9D9D9"/>
            <w:noWrap/>
            <w:vAlign w:val="bottom"/>
            <w:hideMark/>
          </w:tcPr>
          <w:p w14:paraId="23B7F608"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1,803,345</w:t>
            </w:r>
          </w:p>
        </w:tc>
        <w:tc>
          <w:tcPr>
            <w:tcW w:w="939" w:type="dxa"/>
            <w:tcBorders>
              <w:top w:val="nil"/>
              <w:left w:val="nil"/>
              <w:bottom w:val="nil"/>
              <w:right w:val="nil"/>
            </w:tcBorders>
            <w:shd w:val="clear" w:color="auto" w:fill="auto"/>
            <w:noWrap/>
            <w:vAlign w:val="bottom"/>
            <w:hideMark/>
          </w:tcPr>
          <w:p w14:paraId="63665D8E"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1,675,158</w:t>
            </w:r>
          </w:p>
        </w:tc>
        <w:tc>
          <w:tcPr>
            <w:tcW w:w="939" w:type="dxa"/>
            <w:tcBorders>
              <w:top w:val="nil"/>
              <w:left w:val="nil"/>
              <w:bottom w:val="nil"/>
              <w:right w:val="nil"/>
            </w:tcBorders>
            <w:shd w:val="clear" w:color="auto" w:fill="auto"/>
            <w:noWrap/>
            <w:vAlign w:val="bottom"/>
            <w:hideMark/>
          </w:tcPr>
          <w:p w14:paraId="692009D1"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1,807,846</w:t>
            </w:r>
          </w:p>
        </w:tc>
        <w:tc>
          <w:tcPr>
            <w:tcW w:w="939" w:type="dxa"/>
            <w:tcBorders>
              <w:top w:val="nil"/>
              <w:left w:val="nil"/>
              <w:bottom w:val="nil"/>
              <w:right w:val="nil"/>
            </w:tcBorders>
            <w:shd w:val="clear" w:color="auto" w:fill="auto"/>
            <w:noWrap/>
            <w:vAlign w:val="bottom"/>
            <w:hideMark/>
          </w:tcPr>
          <w:p w14:paraId="0D259316"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1,833,466</w:t>
            </w:r>
          </w:p>
        </w:tc>
      </w:tr>
      <w:tr w:rsidR="0029232A" w:rsidRPr="00F2198D" w14:paraId="18797201"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0CB03CB1"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Special appropriations</w:t>
            </w:r>
          </w:p>
        </w:tc>
        <w:tc>
          <w:tcPr>
            <w:tcW w:w="944" w:type="dxa"/>
            <w:tcBorders>
              <w:top w:val="nil"/>
              <w:left w:val="nil"/>
              <w:bottom w:val="nil"/>
              <w:right w:val="nil"/>
            </w:tcBorders>
            <w:shd w:val="clear" w:color="auto" w:fill="auto"/>
            <w:noWrap/>
            <w:vAlign w:val="bottom"/>
            <w:hideMark/>
          </w:tcPr>
          <w:p w14:paraId="60150C5E"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7,524,193</w:t>
            </w:r>
          </w:p>
        </w:tc>
        <w:tc>
          <w:tcPr>
            <w:tcW w:w="939" w:type="dxa"/>
            <w:tcBorders>
              <w:top w:val="nil"/>
              <w:left w:val="nil"/>
              <w:bottom w:val="nil"/>
              <w:right w:val="nil"/>
            </w:tcBorders>
            <w:shd w:val="clear" w:color="000000" w:fill="D9D9D9"/>
            <w:noWrap/>
            <w:vAlign w:val="bottom"/>
            <w:hideMark/>
          </w:tcPr>
          <w:p w14:paraId="22886996"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7,883,745</w:t>
            </w:r>
          </w:p>
        </w:tc>
        <w:tc>
          <w:tcPr>
            <w:tcW w:w="939" w:type="dxa"/>
            <w:tcBorders>
              <w:top w:val="nil"/>
              <w:left w:val="nil"/>
              <w:bottom w:val="nil"/>
              <w:right w:val="nil"/>
            </w:tcBorders>
            <w:shd w:val="clear" w:color="auto" w:fill="auto"/>
            <w:noWrap/>
            <w:vAlign w:val="bottom"/>
            <w:hideMark/>
          </w:tcPr>
          <w:p w14:paraId="6647677F"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8,135,739</w:t>
            </w:r>
          </w:p>
        </w:tc>
        <w:tc>
          <w:tcPr>
            <w:tcW w:w="939" w:type="dxa"/>
            <w:tcBorders>
              <w:top w:val="nil"/>
              <w:left w:val="nil"/>
              <w:bottom w:val="nil"/>
              <w:right w:val="nil"/>
            </w:tcBorders>
            <w:shd w:val="clear" w:color="auto" w:fill="auto"/>
            <w:noWrap/>
            <w:vAlign w:val="bottom"/>
            <w:hideMark/>
          </w:tcPr>
          <w:p w14:paraId="5C5A625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8,336,626</w:t>
            </w:r>
          </w:p>
        </w:tc>
        <w:tc>
          <w:tcPr>
            <w:tcW w:w="939" w:type="dxa"/>
            <w:tcBorders>
              <w:top w:val="nil"/>
              <w:left w:val="nil"/>
              <w:bottom w:val="nil"/>
              <w:right w:val="nil"/>
            </w:tcBorders>
            <w:shd w:val="clear" w:color="auto" w:fill="auto"/>
            <w:noWrap/>
            <w:vAlign w:val="bottom"/>
            <w:hideMark/>
          </w:tcPr>
          <w:p w14:paraId="127B1FA3"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8,492,479</w:t>
            </w:r>
          </w:p>
        </w:tc>
      </w:tr>
      <w:tr w:rsidR="0029232A" w:rsidRPr="00F2198D" w14:paraId="03DAFE3E" w14:textId="77777777" w:rsidTr="00957AA5">
        <w:trPr>
          <w:trHeight w:val="225"/>
          <w:jc w:val="center"/>
        </w:trPr>
        <w:tc>
          <w:tcPr>
            <w:tcW w:w="2980" w:type="dxa"/>
            <w:tcBorders>
              <w:top w:val="nil"/>
              <w:left w:val="nil"/>
              <w:bottom w:val="nil"/>
              <w:right w:val="nil"/>
            </w:tcBorders>
            <w:shd w:val="clear" w:color="auto" w:fill="auto"/>
            <w:noWrap/>
            <w:vAlign w:val="bottom"/>
            <w:hideMark/>
          </w:tcPr>
          <w:p w14:paraId="06175646"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Special account</w:t>
            </w:r>
          </w:p>
        </w:tc>
        <w:tc>
          <w:tcPr>
            <w:tcW w:w="944" w:type="dxa"/>
            <w:tcBorders>
              <w:top w:val="nil"/>
              <w:left w:val="nil"/>
              <w:bottom w:val="nil"/>
              <w:right w:val="nil"/>
            </w:tcBorders>
            <w:shd w:val="clear" w:color="auto" w:fill="auto"/>
            <w:noWrap/>
            <w:tcMar>
              <w:left w:w="0" w:type="dxa"/>
            </w:tcMar>
            <w:vAlign w:val="bottom"/>
            <w:hideMark/>
          </w:tcPr>
          <w:p w14:paraId="485580F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44,496,785</w:t>
            </w:r>
          </w:p>
        </w:tc>
        <w:tc>
          <w:tcPr>
            <w:tcW w:w="939" w:type="dxa"/>
            <w:tcBorders>
              <w:top w:val="nil"/>
              <w:left w:val="nil"/>
              <w:bottom w:val="nil"/>
              <w:right w:val="nil"/>
            </w:tcBorders>
            <w:shd w:val="clear" w:color="000000" w:fill="D9D9D9"/>
            <w:noWrap/>
            <w:tcMar>
              <w:left w:w="0" w:type="dxa"/>
            </w:tcMar>
            <w:vAlign w:val="bottom"/>
            <w:hideMark/>
          </w:tcPr>
          <w:p w14:paraId="13414CCA"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47,611,917</w:t>
            </w:r>
          </w:p>
        </w:tc>
        <w:tc>
          <w:tcPr>
            <w:tcW w:w="939" w:type="dxa"/>
            <w:tcBorders>
              <w:top w:val="nil"/>
              <w:left w:val="nil"/>
              <w:bottom w:val="nil"/>
              <w:right w:val="nil"/>
            </w:tcBorders>
            <w:shd w:val="clear" w:color="auto" w:fill="auto"/>
            <w:noWrap/>
            <w:tcMar>
              <w:left w:w="0" w:type="dxa"/>
            </w:tcMar>
            <w:vAlign w:val="bottom"/>
            <w:hideMark/>
          </w:tcPr>
          <w:p w14:paraId="4B2B98AE"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49,576,208</w:t>
            </w:r>
          </w:p>
        </w:tc>
        <w:tc>
          <w:tcPr>
            <w:tcW w:w="939" w:type="dxa"/>
            <w:tcBorders>
              <w:top w:val="nil"/>
              <w:left w:val="nil"/>
              <w:bottom w:val="nil"/>
              <w:right w:val="nil"/>
            </w:tcBorders>
            <w:shd w:val="clear" w:color="auto" w:fill="auto"/>
            <w:noWrap/>
            <w:tcMar>
              <w:left w:w="0" w:type="dxa"/>
            </w:tcMar>
            <w:vAlign w:val="bottom"/>
            <w:hideMark/>
          </w:tcPr>
          <w:p w14:paraId="628D26FF"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51,620,993</w:t>
            </w:r>
          </w:p>
        </w:tc>
        <w:tc>
          <w:tcPr>
            <w:tcW w:w="939" w:type="dxa"/>
            <w:tcBorders>
              <w:top w:val="nil"/>
              <w:left w:val="nil"/>
              <w:bottom w:val="nil"/>
              <w:right w:val="nil"/>
            </w:tcBorders>
            <w:shd w:val="clear" w:color="auto" w:fill="auto"/>
            <w:noWrap/>
            <w:tcMar>
              <w:left w:w="0" w:type="dxa"/>
            </w:tcMar>
            <w:vAlign w:val="bottom"/>
            <w:hideMark/>
          </w:tcPr>
          <w:p w14:paraId="5C1DF208"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53,270,644</w:t>
            </w:r>
          </w:p>
        </w:tc>
      </w:tr>
      <w:tr w:rsidR="0029232A" w:rsidRPr="00F2198D" w14:paraId="05AAE863" w14:textId="77777777" w:rsidTr="00957AA5">
        <w:trPr>
          <w:trHeight w:val="225"/>
          <w:jc w:val="center"/>
        </w:trPr>
        <w:tc>
          <w:tcPr>
            <w:tcW w:w="2980" w:type="dxa"/>
            <w:tcBorders>
              <w:top w:val="nil"/>
              <w:left w:val="nil"/>
              <w:bottom w:val="nil"/>
              <w:right w:val="nil"/>
            </w:tcBorders>
            <w:shd w:val="clear" w:color="000000" w:fill="FFFFFF"/>
            <w:vAlign w:val="bottom"/>
            <w:hideMark/>
          </w:tcPr>
          <w:p w14:paraId="03584221" w14:textId="3F822468" w:rsidR="0029232A" w:rsidRPr="00F2198D" w:rsidRDefault="007E7C8C" w:rsidP="00413220">
            <w:pPr>
              <w:spacing w:before="0" w:after="0" w:line="240" w:lineRule="auto"/>
              <w:ind w:leftChars="225" w:left="428"/>
              <w:rPr>
                <w:rFonts w:ascii="Arial" w:hAnsi="Arial" w:cs="Arial"/>
                <w:sz w:val="16"/>
                <w:szCs w:val="16"/>
              </w:rPr>
            </w:pPr>
            <w:r>
              <w:rPr>
                <w:rFonts w:ascii="Arial" w:hAnsi="Arial" w:cs="Arial"/>
                <w:sz w:val="16"/>
                <w:szCs w:val="16"/>
              </w:rPr>
              <w:t>accrual adjustment</w:t>
            </w:r>
            <w:r w:rsidRPr="007E7C8C">
              <w:rPr>
                <w:rFonts w:ascii="Arial" w:hAnsi="Arial" w:cs="Arial"/>
                <w:sz w:val="16"/>
                <w:szCs w:val="16"/>
                <w:vertAlign w:val="superscript"/>
              </w:rPr>
              <w:t>(a)</w:t>
            </w:r>
          </w:p>
        </w:tc>
        <w:tc>
          <w:tcPr>
            <w:tcW w:w="944" w:type="dxa"/>
            <w:tcBorders>
              <w:top w:val="nil"/>
              <w:left w:val="nil"/>
              <w:bottom w:val="nil"/>
              <w:right w:val="nil"/>
            </w:tcBorders>
            <w:shd w:val="clear" w:color="auto" w:fill="auto"/>
            <w:noWrap/>
            <w:vAlign w:val="bottom"/>
            <w:hideMark/>
          </w:tcPr>
          <w:p w14:paraId="6BEDA8E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(31,122)</w:t>
            </w:r>
          </w:p>
        </w:tc>
        <w:tc>
          <w:tcPr>
            <w:tcW w:w="939" w:type="dxa"/>
            <w:tcBorders>
              <w:top w:val="nil"/>
              <w:left w:val="nil"/>
              <w:bottom w:val="nil"/>
              <w:right w:val="nil"/>
            </w:tcBorders>
            <w:shd w:val="clear" w:color="000000" w:fill="D9D9D9"/>
            <w:noWrap/>
            <w:vAlign w:val="bottom"/>
            <w:hideMark/>
          </w:tcPr>
          <w:p w14:paraId="1775999C"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45,719</w:t>
            </w:r>
          </w:p>
        </w:tc>
        <w:tc>
          <w:tcPr>
            <w:tcW w:w="939" w:type="dxa"/>
            <w:tcBorders>
              <w:top w:val="nil"/>
              <w:left w:val="nil"/>
              <w:bottom w:val="nil"/>
              <w:right w:val="nil"/>
            </w:tcBorders>
            <w:shd w:val="clear" w:color="auto" w:fill="auto"/>
            <w:noWrap/>
            <w:vAlign w:val="bottom"/>
            <w:hideMark/>
          </w:tcPr>
          <w:p w14:paraId="1592BA89"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18,744</w:t>
            </w:r>
          </w:p>
        </w:tc>
        <w:tc>
          <w:tcPr>
            <w:tcW w:w="939" w:type="dxa"/>
            <w:tcBorders>
              <w:top w:val="nil"/>
              <w:left w:val="nil"/>
              <w:bottom w:val="nil"/>
              <w:right w:val="nil"/>
            </w:tcBorders>
            <w:shd w:val="clear" w:color="auto" w:fill="auto"/>
            <w:noWrap/>
            <w:vAlign w:val="bottom"/>
            <w:hideMark/>
          </w:tcPr>
          <w:p w14:paraId="390ACA79"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12,700</w:t>
            </w:r>
          </w:p>
        </w:tc>
        <w:tc>
          <w:tcPr>
            <w:tcW w:w="939" w:type="dxa"/>
            <w:tcBorders>
              <w:top w:val="nil"/>
              <w:left w:val="nil"/>
              <w:bottom w:val="nil"/>
              <w:right w:val="nil"/>
            </w:tcBorders>
            <w:shd w:val="clear" w:color="auto" w:fill="auto"/>
            <w:noWrap/>
            <w:vAlign w:val="bottom"/>
            <w:hideMark/>
          </w:tcPr>
          <w:p w14:paraId="6E066057"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25,686</w:t>
            </w:r>
          </w:p>
        </w:tc>
      </w:tr>
      <w:tr w:rsidR="0029232A" w:rsidRPr="00F2198D" w14:paraId="0B7266DA" w14:textId="77777777" w:rsidTr="00957AA5">
        <w:trPr>
          <w:trHeight w:val="283"/>
          <w:jc w:val="center"/>
        </w:trPr>
        <w:tc>
          <w:tcPr>
            <w:tcW w:w="2980" w:type="dxa"/>
            <w:tcBorders>
              <w:top w:val="nil"/>
              <w:left w:val="nil"/>
              <w:bottom w:val="nil"/>
              <w:right w:val="nil"/>
            </w:tcBorders>
            <w:shd w:val="clear" w:color="auto" w:fill="auto"/>
            <w:noWrap/>
            <w:vAlign w:val="center"/>
            <w:hideMark/>
          </w:tcPr>
          <w:p w14:paraId="08A1DE55" w14:textId="77777777" w:rsidR="0029232A" w:rsidRPr="00F2198D" w:rsidRDefault="0029232A" w:rsidP="008B05A6">
            <w:pPr>
              <w:spacing w:before="0" w:after="0" w:line="240" w:lineRule="auto"/>
              <w:ind w:firstLineChars="100" w:firstLine="160"/>
              <w:rPr>
                <w:rFonts w:ascii="Arial" w:hAnsi="Arial" w:cs="Arial"/>
                <w:sz w:val="16"/>
                <w:szCs w:val="16"/>
              </w:rPr>
            </w:pPr>
            <w:r w:rsidRPr="00F2198D">
              <w:rPr>
                <w:rFonts w:ascii="Arial" w:hAnsi="Arial" w:cs="Arial"/>
                <w:sz w:val="16"/>
                <w:szCs w:val="16"/>
              </w:rPr>
              <w:t>Departmental expenses</w:t>
            </w:r>
          </w:p>
        </w:tc>
        <w:tc>
          <w:tcPr>
            <w:tcW w:w="944" w:type="dxa"/>
            <w:tcBorders>
              <w:top w:val="nil"/>
              <w:left w:val="nil"/>
              <w:bottom w:val="nil"/>
              <w:right w:val="nil"/>
            </w:tcBorders>
            <w:shd w:val="clear" w:color="auto" w:fill="auto"/>
            <w:noWrap/>
            <w:vAlign w:val="bottom"/>
            <w:hideMark/>
          </w:tcPr>
          <w:p w14:paraId="44DB177B" w14:textId="77777777" w:rsidR="0029232A" w:rsidRPr="00F2198D" w:rsidRDefault="0029232A" w:rsidP="008B05A6">
            <w:pPr>
              <w:spacing w:before="0" w:after="0" w:line="240" w:lineRule="auto"/>
              <w:ind w:firstLineChars="100" w:firstLine="160"/>
              <w:rPr>
                <w:rFonts w:ascii="Arial" w:hAnsi="Arial" w:cs="Arial"/>
                <w:sz w:val="16"/>
                <w:szCs w:val="16"/>
              </w:rPr>
            </w:pPr>
          </w:p>
        </w:tc>
        <w:tc>
          <w:tcPr>
            <w:tcW w:w="939" w:type="dxa"/>
            <w:tcBorders>
              <w:top w:val="nil"/>
              <w:left w:val="nil"/>
              <w:bottom w:val="nil"/>
              <w:right w:val="nil"/>
            </w:tcBorders>
            <w:shd w:val="clear" w:color="000000" w:fill="D9D9D9"/>
            <w:noWrap/>
            <w:vAlign w:val="bottom"/>
            <w:hideMark/>
          </w:tcPr>
          <w:p w14:paraId="242090CB"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105F7DB0" w14:textId="77777777" w:rsidR="0029232A" w:rsidRPr="00F2198D" w:rsidRDefault="0029232A" w:rsidP="008B05A6">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3A65766B" w14:textId="77777777" w:rsidR="0029232A" w:rsidRPr="00F2198D" w:rsidRDefault="0029232A" w:rsidP="008B05A6">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617CCA86" w14:textId="77777777" w:rsidR="0029232A" w:rsidRPr="00F2198D" w:rsidRDefault="0029232A" w:rsidP="008B05A6">
            <w:pPr>
              <w:spacing w:before="0" w:after="0" w:line="240" w:lineRule="auto"/>
              <w:jc w:val="right"/>
              <w:rPr>
                <w:rFonts w:ascii="Times New Roman" w:hAnsi="Times New Roman"/>
                <w:sz w:val="20"/>
              </w:rPr>
            </w:pPr>
          </w:p>
        </w:tc>
      </w:tr>
      <w:tr w:rsidR="0029232A" w:rsidRPr="00F2198D" w14:paraId="00E91E68" w14:textId="77777777" w:rsidTr="00957AA5">
        <w:trPr>
          <w:trHeight w:val="225"/>
          <w:jc w:val="center"/>
        </w:trPr>
        <w:tc>
          <w:tcPr>
            <w:tcW w:w="2980" w:type="dxa"/>
            <w:tcBorders>
              <w:top w:val="nil"/>
              <w:left w:val="nil"/>
              <w:bottom w:val="nil"/>
              <w:right w:val="nil"/>
            </w:tcBorders>
            <w:shd w:val="clear" w:color="auto" w:fill="auto"/>
            <w:noWrap/>
            <w:vAlign w:val="center"/>
            <w:hideMark/>
          </w:tcPr>
          <w:p w14:paraId="3EE06973"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Departmental appropriation</w:t>
            </w:r>
          </w:p>
        </w:tc>
        <w:tc>
          <w:tcPr>
            <w:tcW w:w="944" w:type="dxa"/>
            <w:tcBorders>
              <w:top w:val="nil"/>
              <w:left w:val="nil"/>
              <w:bottom w:val="nil"/>
              <w:right w:val="nil"/>
            </w:tcBorders>
            <w:shd w:val="clear" w:color="auto" w:fill="auto"/>
            <w:noWrap/>
            <w:vAlign w:val="bottom"/>
            <w:hideMark/>
          </w:tcPr>
          <w:p w14:paraId="423A39B8"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205,722</w:t>
            </w:r>
          </w:p>
        </w:tc>
        <w:tc>
          <w:tcPr>
            <w:tcW w:w="939" w:type="dxa"/>
            <w:tcBorders>
              <w:top w:val="nil"/>
              <w:left w:val="nil"/>
              <w:bottom w:val="nil"/>
              <w:right w:val="nil"/>
            </w:tcBorders>
            <w:shd w:val="clear" w:color="000000" w:fill="D9D9D9"/>
            <w:noWrap/>
            <w:vAlign w:val="bottom"/>
            <w:hideMark/>
          </w:tcPr>
          <w:p w14:paraId="4EC5129F"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234,821</w:t>
            </w:r>
          </w:p>
        </w:tc>
        <w:tc>
          <w:tcPr>
            <w:tcW w:w="939" w:type="dxa"/>
            <w:tcBorders>
              <w:top w:val="nil"/>
              <w:left w:val="nil"/>
              <w:bottom w:val="nil"/>
              <w:right w:val="nil"/>
            </w:tcBorders>
            <w:shd w:val="clear" w:color="auto" w:fill="auto"/>
            <w:noWrap/>
            <w:vAlign w:val="bottom"/>
            <w:hideMark/>
          </w:tcPr>
          <w:p w14:paraId="7968423D"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215,225</w:t>
            </w:r>
          </w:p>
        </w:tc>
        <w:tc>
          <w:tcPr>
            <w:tcW w:w="939" w:type="dxa"/>
            <w:tcBorders>
              <w:top w:val="nil"/>
              <w:left w:val="nil"/>
              <w:bottom w:val="nil"/>
              <w:right w:val="nil"/>
            </w:tcBorders>
            <w:shd w:val="clear" w:color="auto" w:fill="auto"/>
            <w:noWrap/>
            <w:vAlign w:val="bottom"/>
            <w:hideMark/>
          </w:tcPr>
          <w:p w14:paraId="2FC20E41"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211,128</w:t>
            </w:r>
          </w:p>
        </w:tc>
        <w:tc>
          <w:tcPr>
            <w:tcW w:w="939" w:type="dxa"/>
            <w:tcBorders>
              <w:top w:val="nil"/>
              <w:left w:val="nil"/>
              <w:bottom w:val="nil"/>
              <w:right w:val="nil"/>
            </w:tcBorders>
            <w:shd w:val="clear" w:color="auto" w:fill="auto"/>
            <w:noWrap/>
            <w:vAlign w:val="bottom"/>
            <w:hideMark/>
          </w:tcPr>
          <w:p w14:paraId="42A9A343"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209,259</w:t>
            </w:r>
          </w:p>
        </w:tc>
      </w:tr>
      <w:tr w:rsidR="0029232A" w:rsidRPr="00F2198D" w14:paraId="282BF11E" w14:textId="77777777" w:rsidTr="00957AA5">
        <w:trPr>
          <w:trHeight w:val="595"/>
          <w:jc w:val="center"/>
        </w:trPr>
        <w:tc>
          <w:tcPr>
            <w:tcW w:w="2980" w:type="dxa"/>
            <w:tcBorders>
              <w:top w:val="nil"/>
              <w:left w:val="nil"/>
              <w:bottom w:val="nil"/>
              <w:right w:val="nil"/>
            </w:tcBorders>
            <w:shd w:val="clear" w:color="auto" w:fill="auto"/>
            <w:vAlign w:val="center"/>
            <w:hideMark/>
          </w:tcPr>
          <w:p w14:paraId="0A401FD3" w14:textId="77777777" w:rsidR="0029232A" w:rsidRPr="00F2198D" w:rsidRDefault="0029232A" w:rsidP="00413220">
            <w:pPr>
              <w:spacing w:before="0" w:after="0" w:line="240" w:lineRule="auto"/>
              <w:ind w:leftChars="150" w:left="285"/>
              <w:rPr>
                <w:rFonts w:ascii="Arial" w:hAnsi="Arial" w:cs="Arial"/>
                <w:sz w:val="16"/>
                <w:szCs w:val="16"/>
              </w:rPr>
            </w:pPr>
            <w:r w:rsidRPr="00F2198D">
              <w:rPr>
                <w:rFonts w:ascii="Arial" w:hAnsi="Arial" w:cs="Arial"/>
                <w:sz w:val="16"/>
                <w:szCs w:val="16"/>
              </w:rPr>
              <w:t>Expenses not requiring appropriation in the Budget year</w:t>
            </w:r>
          </w:p>
        </w:tc>
        <w:tc>
          <w:tcPr>
            <w:tcW w:w="944" w:type="dxa"/>
            <w:tcBorders>
              <w:top w:val="nil"/>
              <w:left w:val="nil"/>
              <w:bottom w:val="nil"/>
              <w:right w:val="nil"/>
            </w:tcBorders>
            <w:shd w:val="clear" w:color="auto" w:fill="auto"/>
            <w:noWrap/>
            <w:vAlign w:val="bottom"/>
            <w:hideMark/>
          </w:tcPr>
          <w:p w14:paraId="5911A34A"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7,893</w:t>
            </w:r>
          </w:p>
        </w:tc>
        <w:tc>
          <w:tcPr>
            <w:tcW w:w="939" w:type="dxa"/>
            <w:tcBorders>
              <w:top w:val="nil"/>
              <w:left w:val="nil"/>
              <w:bottom w:val="nil"/>
              <w:right w:val="nil"/>
            </w:tcBorders>
            <w:shd w:val="clear" w:color="000000" w:fill="D9D9D9"/>
            <w:noWrap/>
            <w:vAlign w:val="bottom"/>
            <w:hideMark/>
          </w:tcPr>
          <w:p w14:paraId="14B237B9"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8,286</w:t>
            </w:r>
          </w:p>
        </w:tc>
        <w:tc>
          <w:tcPr>
            <w:tcW w:w="939" w:type="dxa"/>
            <w:tcBorders>
              <w:top w:val="nil"/>
              <w:left w:val="nil"/>
              <w:bottom w:val="nil"/>
              <w:right w:val="nil"/>
            </w:tcBorders>
            <w:shd w:val="clear" w:color="auto" w:fill="auto"/>
            <w:noWrap/>
            <w:vAlign w:val="bottom"/>
            <w:hideMark/>
          </w:tcPr>
          <w:p w14:paraId="14106A4F"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6,759</w:t>
            </w:r>
          </w:p>
        </w:tc>
        <w:tc>
          <w:tcPr>
            <w:tcW w:w="939" w:type="dxa"/>
            <w:tcBorders>
              <w:top w:val="nil"/>
              <w:left w:val="nil"/>
              <w:bottom w:val="nil"/>
              <w:right w:val="nil"/>
            </w:tcBorders>
            <w:shd w:val="clear" w:color="auto" w:fill="auto"/>
            <w:noWrap/>
            <w:vAlign w:val="bottom"/>
            <w:hideMark/>
          </w:tcPr>
          <w:p w14:paraId="54CB11B8"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6,759</w:t>
            </w:r>
          </w:p>
        </w:tc>
        <w:tc>
          <w:tcPr>
            <w:tcW w:w="939" w:type="dxa"/>
            <w:tcBorders>
              <w:top w:val="nil"/>
              <w:left w:val="nil"/>
              <w:bottom w:val="nil"/>
              <w:right w:val="nil"/>
            </w:tcBorders>
            <w:shd w:val="clear" w:color="auto" w:fill="auto"/>
            <w:noWrap/>
            <w:vAlign w:val="bottom"/>
            <w:hideMark/>
          </w:tcPr>
          <w:p w14:paraId="0D73A274" w14:textId="77777777" w:rsidR="0029232A" w:rsidRPr="00F2198D" w:rsidRDefault="0029232A" w:rsidP="008B05A6">
            <w:pPr>
              <w:spacing w:before="0" w:after="0" w:line="240" w:lineRule="auto"/>
              <w:jc w:val="right"/>
              <w:rPr>
                <w:rFonts w:ascii="Arial" w:hAnsi="Arial" w:cs="Arial"/>
                <w:sz w:val="16"/>
                <w:szCs w:val="16"/>
              </w:rPr>
            </w:pPr>
            <w:r w:rsidRPr="00F2198D">
              <w:rPr>
                <w:rFonts w:ascii="Arial" w:hAnsi="Arial" w:cs="Arial"/>
                <w:sz w:val="16"/>
                <w:szCs w:val="16"/>
              </w:rPr>
              <w:t>6,759</w:t>
            </w:r>
          </w:p>
        </w:tc>
      </w:tr>
      <w:tr w:rsidR="0029232A" w:rsidRPr="00F2198D" w14:paraId="2EB619E8" w14:textId="77777777" w:rsidTr="00957AA5">
        <w:trPr>
          <w:trHeight w:val="283"/>
          <w:jc w:val="center"/>
        </w:trPr>
        <w:tc>
          <w:tcPr>
            <w:tcW w:w="2980" w:type="dxa"/>
            <w:tcBorders>
              <w:top w:val="nil"/>
              <w:left w:val="nil"/>
              <w:bottom w:val="single" w:sz="4" w:space="0" w:color="auto"/>
              <w:right w:val="nil"/>
            </w:tcBorders>
            <w:shd w:val="clear" w:color="auto" w:fill="auto"/>
            <w:noWrap/>
            <w:vAlign w:val="center"/>
            <w:hideMark/>
          </w:tcPr>
          <w:p w14:paraId="38CDCF7C" w14:textId="77777777" w:rsidR="0029232A" w:rsidRPr="00F2198D" w:rsidRDefault="0029232A" w:rsidP="008B05A6">
            <w:pPr>
              <w:spacing w:before="0" w:after="0" w:line="240" w:lineRule="auto"/>
              <w:rPr>
                <w:rFonts w:ascii="Arial" w:hAnsi="Arial" w:cs="Arial"/>
                <w:b/>
                <w:bCs/>
                <w:sz w:val="16"/>
                <w:szCs w:val="16"/>
              </w:rPr>
            </w:pPr>
            <w:r w:rsidRPr="00F2198D">
              <w:rPr>
                <w:rFonts w:ascii="Arial" w:hAnsi="Arial" w:cs="Arial"/>
                <w:b/>
                <w:bCs/>
                <w:sz w:val="16"/>
                <w:szCs w:val="16"/>
              </w:rPr>
              <w:t>Total expenses for Outcome 2</w:t>
            </w:r>
          </w:p>
        </w:tc>
        <w:tc>
          <w:tcPr>
            <w:tcW w:w="944" w:type="dxa"/>
            <w:tcBorders>
              <w:top w:val="single" w:sz="4" w:space="0" w:color="auto"/>
              <w:left w:val="nil"/>
              <w:bottom w:val="single" w:sz="4" w:space="0" w:color="auto"/>
              <w:right w:val="nil"/>
            </w:tcBorders>
            <w:shd w:val="clear" w:color="auto" w:fill="auto"/>
            <w:noWrap/>
            <w:tcMar>
              <w:left w:w="0" w:type="dxa"/>
            </w:tcMar>
            <w:vAlign w:val="bottom"/>
            <w:hideMark/>
          </w:tcPr>
          <w:p w14:paraId="4A9D9BBE"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53,752,205</w:t>
            </w:r>
          </w:p>
        </w:tc>
        <w:tc>
          <w:tcPr>
            <w:tcW w:w="939" w:type="dxa"/>
            <w:tcBorders>
              <w:top w:val="single" w:sz="4" w:space="0" w:color="auto"/>
              <w:left w:val="nil"/>
              <w:bottom w:val="single" w:sz="4" w:space="0" w:color="auto"/>
              <w:right w:val="nil"/>
            </w:tcBorders>
            <w:shd w:val="clear" w:color="000000" w:fill="D9D9D9"/>
            <w:noWrap/>
            <w:tcMar>
              <w:left w:w="0" w:type="dxa"/>
            </w:tcMar>
            <w:vAlign w:val="bottom"/>
            <w:hideMark/>
          </w:tcPr>
          <w:p w14:paraId="1B6C9DBE"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57,587,834</w:t>
            </w:r>
          </w:p>
        </w:tc>
        <w:tc>
          <w:tcPr>
            <w:tcW w:w="939" w:type="dxa"/>
            <w:tcBorders>
              <w:top w:val="single" w:sz="4" w:space="0" w:color="auto"/>
              <w:left w:val="nil"/>
              <w:bottom w:val="single" w:sz="4" w:space="0" w:color="auto"/>
              <w:right w:val="nil"/>
            </w:tcBorders>
            <w:shd w:val="clear" w:color="auto" w:fill="auto"/>
            <w:noWrap/>
            <w:tcMar>
              <w:left w:w="0" w:type="dxa"/>
            </w:tcMar>
            <w:vAlign w:val="bottom"/>
            <w:hideMark/>
          </w:tcPr>
          <w:p w14:paraId="30EC5412"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59,627,833</w:t>
            </w:r>
          </w:p>
        </w:tc>
        <w:tc>
          <w:tcPr>
            <w:tcW w:w="939" w:type="dxa"/>
            <w:tcBorders>
              <w:top w:val="single" w:sz="4" w:space="0" w:color="auto"/>
              <w:left w:val="nil"/>
              <w:bottom w:val="single" w:sz="4" w:space="0" w:color="auto"/>
              <w:right w:val="nil"/>
            </w:tcBorders>
            <w:shd w:val="clear" w:color="auto" w:fill="auto"/>
            <w:noWrap/>
            <w:tcMar>
              <w:left w:w="0" w:type="dxa"/>
            </w:tcMar>
            <w:vAlign w:val="bottom"/>
            <w:hideMark/>
          </w:tcPr>
          <w:p w14:paraId="75620C67"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61,996,052</w:t>
            </w:r>
          </w:p>
        </w:tc>
        <w:tc>
          <w:tcPr>
            <w:tcW w:w="939" w:type="dxa"/>
            <w:tcBorders>
              <w:top w:val="single" w:sz="4" w:space="0" w:color="auto"/>
              <w:left w:val="nil"/>
              <w:bottom w:val="single" w:sz="4" w:space="0" w:color="auto"/>
              <w:right w:val="nil"/>
            </w:tcBorders>
            <w:shd w:val="clear" w:color="auto" w:fill="auto"/>
            <w:noWrap/>
            <w:tcMar>
              <w:left w:w="0" w:type="dxa"/>
            </w:tcMar>
            <w:vAlign w:val="bottom"/>
            <w:hideMark/>
          </w:tcPr>
          <w:p w14:paraId="4D82D1C4" w14:textId="77777777" w:rsidR="0029232A" w:rsidRPr="00F2198D" w:rsidRDefault="0029232A" w:rsidP="008B05A6">
            <w:pPr>
              <w:spacing w:before="0" w:after="0" w:line="240" w:lineRule="auto"/>
              <w:jc w:val="right"/>
              <w:rPr>
                <w:rFonts w:ascii="Arial" w:hAnsi="Arial" w:cs="Arial"/>
                <w:b/>
                <w:bCs/>
                <w:sz w:val="16"/>
                <w:szCs w:val="16"/>
              </w:rPr>
            </w:pPr>
            <w:r w:rsidRPr="00F2198D">
              <w:rPr>
                <w:rFonts w:ascii="Arial" w:hAnsi="Arial" w:cs="Arial"/>
                <w:b/>
                <w:bCs/>
                <w:sz w:val="16"/>
                <w:szCs w:val="16"/>
              </w:rPr>
              <w:t>63,838,293</w:t>
            </w:r>
          </w:p>
        </w:tc>
      </w:tr>
    </w:tbl>
    <w:p w14:paraId="6CCFEBC9" w14:textId="6B08ED3A" w:rsidR="002B5B49" w:rsidRPr="00223058" w:rsidRDefault="00E73173" w:rsidP="00E73173">
      <w:pPr>
        <w:pStyle w:val="FootnoteText"/>
        <w:spacing w:before="120"/>
      </w:pPr>
      <w:r w:rsidRPr="00E73173">
        <w:rPr>
          <w:vertAlign w:val="superscript"/>
        </w:rPr>
        <w:t>(a)</w:t>
      </w:r>
      <w:r w:rsidRPr="00E73173">
        <w:tab/>
        <w:t>The difference between cash payments from the Medicare Guarantee Fund Special Account and accrual expenses.</w:t>
      </w:r>
    </w:p>
    <w:p w14:paraId="45D85775" w14:textId="77777777" w:rsidR="002B5B49" w:rsidRDefault="002B5B49" w:rsidP="002B5B49">
      <w:pPr>
        <w:spacing w:after="0" w:line="240" w:lineRule="auto"/>
      </w:pPr>
    </w:p>
    <w:p w14:paraId="5A3A02F6" w14:textId="77777777" w:rsidR="0001438D" w:rsidRDefault="0001438D">
      <w:pPr>
        <w:spacing w:before="0" w:after="0" w:line="240" w:lineRule="auto"/>
        <w:rPr>
          <w:rFonts w:ascii="Arial Bold" w:hAnsi="Arial Bold"/>
          <w:b/>
          <w:sz w:val="22"/>
        </w:rPr>
      </w:pPr>
      <w:r>
        <w:br w:type="page"/>
      </w:r>
    </w:p>
    <w:p w14:paraId="0A21F18A" w14:textId="27A99BEB" w:rsidR="002B5B49" w:rsidRPr="002A7AF0" w:rsidRDefault="00670727" w:rsidP="0001438D">
      <w:pPr>
        <w:pStyle w:val="Heading3"/>
        <w:spacing w:after="240"/>
        <w:rPr>
          <w:sz w:val="24"/>
        </w:rPr>
      </w:pPr>
      <w:r w:rsidRPr="002A7AF0">
        <w:rPr>
          <w:rFonts w:ascii="Arial" w:hAnsi="Arial" w:cs="Arial"/>
          <w:b w:val="0"/>
          <w:sz w:val="24"/>
          <w:szCs w:val="22"/>
        </w:rPr>
        <w:lastRenderedPageBreak/>
        <w:fldChar w:fldCharType="begin"/>
      </w:r>
      <w:r w:rsidRPr="002A7AF0">
        <w:rPr>
          <w:rFonts w:ascii="Arial" w:hAnsi="Arial" w:cs="Arial"/>
          <w:b w:val="0"/>
          <w:sz w:val="24"/>
          <w:szCs w:val="22"/>
        </w:rPr>
        <w:instrText xml:space="preserve"> </w:instrText>
      </w:r>
      <w:proofErr w:type="gramStart"/>
      <w:r w:rsidRPr="002A7AF0">
        <w:rPr>
          <w:rFonts w:ascii="Arial" w:hAnsi="Arial" w:cs="Arial"/>
          <w:b w:val="0"/>
          <w:sz w:val="24"/>
          <w:szCs w:val="22"/>
        </w:rPr>
        <w:instrText>TC  "</w:instrText>
      </w:r>
      <w:bookmarkStart w:id="313" w:name="_Toc155882373"/>
      <w:proofErr w:type="gramEnd"/>
      <w:r w:rsidRPr="002A7AF0">
        <w:rPr>
          <w:rFonts w:ascii="Arial" w:hAnsi="Arial" w:cs="Arial"/>
          <w:b w:val="0"/>
          <w:sz w:val="24"/>
          <w:szCs w:val="22"/>
        </w:rPr>
        <w:instrText>2.3</w:instrText>
      </w:r>
      <w:r w:rsidRPr="002A7AF0">
        <w:rPr>
          <w:rFonts w:ascii="Arial" w:hAnsi="Arial" w:cs="Arial"/>
          <w:b w:val="0"/>
          <w:sz w:val="24"/>
          <w:szCs w:val="22"/>
        </w:rPr>
        <w:tab/>
        <w:instrText>Budgeted expenses and performance for Outcome 3</w:instrText>
      </w:r>
      <w:bookmarkEnd w:id="313"/>
      <w:r w:rsidRPr="002A7AF0">
        <w:rPr>
          <w:rFonts w:ascii="Arial" w:hAnsi="Arial" w:cs="Arial"/>
          <w:b w:val="0"/>
          <w:sz w:val="24"/>
          <w:szCs w:val="22"/>
        </w:rPr>
        <w:instrText xml:space="preserve">" \f </w:instrText>
      </w:r>
      <w:proofErr w:type="spellStart"/>
      <w:r w:rsidRPr="002A7AF0">
        <w:rPr>
          <w:rFonts w:ascii="Arial" w:hAnsi="Arial" w:cs="Arial"/>
          <w:b w:val="0"/>
          <w:sz w:val="24"/>
          <w:szCs w:val="22"/>
        </w:rPr>
        <w:instrText>dohac</w:instrText>
      </w:r>
      <w:proofErr w:type="spellEnd"/>
      <w:r w:rsidRPr="002A7AF0">
        <w:rPr>
          <w:rFonts w:ascii="Arial" w:hAnsi="Arial" w:cs="Arial"/>
          <w:b w:val="0"/>
          <w:sz w:val="24"/>
          <w:szCs w:val="22"/>
        </w:rPr>
        <w:instrText xml:space="preserve"> \l 2 </w:instrText>
      </w:r>
      <w:r w:rsidRPr="002A7AF0">
        <w:rPr>
          <w:rFonts w:ascii="Arial" w:hAnsi="Arial" w:cs="Arial"/>
          <w:b w:val="0"/>
          <w:sz w:val="24"/>
          <w:szCs w:val="22"/>
        </w:rPr>
        <w:fldChar w:fldCharType="end"/>
      </w:r>
      <w:bookmarkStart w:id="314" w:name="_Toc157591998"/>
      <w:bookmarkStart w:id="315" w:name="_Toc157592181"/>
      <w:r w:rsidR="002B5B49" w:rsidRPr="002A7AF0">
        <w:rPr>
          <w:sz w:val="24"/>
        </w:rPr>
        <w:t>2.3</w:t>
      </w:r>
      <w:r w:rsidR="002B5B49" w:rsidRPr="002A7AF0">
        <w:rPr>
          <w:sz w:val="24"/>
        </w:rPr>
        <w:tab/>
        <w:t>Budgeted expenses and performance for Outcome 3</w:t>
      </w:r>
      <w:bookmarkEnd w:id="314"/>
      <w:bookmarkEnd w:id="31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B5B49" w:rsidRPr="005E6F2B" w14:paraId="3E8DF937" w14:textId="77777777" w:rsidTr="00E70AF2">
        <w:tc>
          <w:tcPr>
            <w:tcW w:w="7713" w:type="dxa"/>
            <w:shd w:val="clear" w:color="auto" w:fill="E6E6E6"/>
          </w:tcPr>
          <w:p w14:paraId="11034534" w14:textId="77777777" w:rsidR="009F6937" w:rsidRPr="00C91F7B" w:rsidRDefault="009F6937" w:rsidP="00A70D0F">
            <w:pPr>
              <w:pStyle w:val="TableColumnHeadingLeft"/>
              <w:spacing w:before="24" w:after="0"/>
              <w:rPr>
                <w:rFonts w:ascii="Arial" w:hAnsi="Arial" w:cs="Arial"/>
                <w:b w:val="0"/>
                <w:sz w:val="20"/>
              </w:rPr>
            </w:pPr>
            <w:r w:rsidRPr="009F6937">
              <w:rPr>
                <w:sz w:val="20"/>
              </w:rPr>
              <w:t>Outcome 3: Ageing and Aged Care</w:t>
            </w:r>
          </w:p>
          <w:p w14:paraId="533BF760" w14:textId="1F2B8A25" w:rsidR="002B5B49" w:rsidRPr="005E6F2B" w:rsidRDefault="009F6937" w:rsidP="00A70D0F">
            <w:pPr>
              <w:pStyle w:val="TableColumnHeadingLeft"/>
              <w:spacing w:before="74" w:after="24"/>
            </w:pPr>
            <w:r w:rsidRPr="00C91F7B">
              <w:rPr>
                <w:rFonts w:ascii="Arial" w:hAnsi="Arial" w:cs="Arial"/>
                <w:b w:val="0"/>
                <w:sz w:val="20"/>
              </w:rPr>
              <w:t xml:space="preserve">Improved wellbeing for older Australians through targeted support, access to appropriate, </w:t>
            </w:r>
            <w:proofErr w:type="gramStart"/>
            <w:r w:rsidRPr="00C91F7B">
              <w:rPr>
                <w:rFonts w:ascii="Arial" w:hAnsi="Arial" w:cs="Arial"/>
                <w:b w:val="0"/>
                <w:sz w:val="20"/>
              </w:rPr>
              <w:t>high quality</w:t>
            </w:r>
            <w:proofErr w:type="gramEnd"/>
            <w:r w:rsidRPr="00C91F7B">
              <w:rPr>
                <w:rFonts w:ascii="Arial" w:hAnsi="Arial" w:cs="Arial"/>
                <w:b w:val="0"/>
                <w:sz w:val="20"/>
              </w:rPr>
              <w:t xml:space="preserve"> care, and related information services.</w:t>
            </w:r>
          </w:p>
        </w:tc>
      </w:tr>
    </w:tbl>
    <w:p w14:paraId="679E7690" w14:textId="77777777" w:rsidR="002B5B49" w:rsidRPr="005E6F2B" w:rsidRDefault="002B5B49" w:rsidP="00A70D0F">
      <w:pPr>
        <w:pStyle w:val="NoSpacing"/>
        <w:spacing w:before="120" w:after="40"/>
      </w:pPr>
    </w:p>
    <w:p w14:paraId="45376C5F" w14:textId="40DD98EE" w:rsidR="002B5B49" w:rsidRDefault="002B5B49" w:rsidP="002B5B49">
      <w:pPr>
        <w:pStyle w:val="Heading4"/>
        <w:rPr>
          <w:rStyle w:val="ExampletextCharChar"/>
          <w:b w:val="0"/>
          <w:bCs/>
          <w:iCs/>
          <w:sz w:val="22"/>
          <w:szCs w:val="22"/>
        </w:rPr>
      </w:pPr>
      <w:r w:rsidRPr="00F862B3">
        <w:rPr>
          <w:sz w:val="22"/>
          <w:szCs w:val="22"/>
        </w:rPr>
        <w:t>Linked programs</w:t>
      </w:r>
      <w:r w:rsidRPr="005E6F2B">
        <w:t xml:space="preserve"> </w:t>
      </w:r>
    </w:p>
    <w:p w14:paraId="1040B376" w14:textId="468FA9A8" w:rsidR="003D6724" w:rsidRPr="004B049A" w:rsidRDefault="003D6724" w:rsidP="003D6724">
      <w:pPr>
        <w:rPr>
          <w:sz w:val="20"/>
        </w:rPr>
      </w:pPr>
      <w:r w:rsidRPr="004B049A">
        <w:rPr>
          <w:sz w:val="20"/>
        </w:rPr>
        <w:t xml:space="preserve">Changes to Outcome 3 Linked Programs are detailed below. Refer page </w:t>
      </w:r>
      <w:r w:rsidR="004B049A" w:rsidRPr="004B049A">
        <w:rPr>
          <w:sz w:val="20"/>
        </w:rPr>
        <w:t>93</w:t>
      </w:r>
      <w:r w:rsidRPr="004B049A">
        <w:rPr>
          <w:sz w:val="20"/>
        </w:rPr>
        <w:t xml:space="preserve"> of the</w:t>
      </w:r>
      <w:r w:rsidRPr="004B049A">
        <w:rPr>
          <w:i/>
          <w:sz w:val="20"/>
        </w:rPr>
        <w:t xml:space="preserve"> Health and Aged Care Portfolio Budget Statements 2023–24</w:t>
      </w:r>
      <w:r w:rsidRPr="004B049A">
        <w:rPr>
          <w:sz w:val="20"/>
        </w:rPr>
        <w:t xml:space="preserve"> for all remaining unchanged Linked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1"/>
      </w:tblGrid>
      <w:tr w:rsidR="002B5B49" w:rsidRPr="005E6F2B" w14:paraId="4FD6FF7B" w14:textId="77777777" w:rsidTr="00F826C9">
        <w:trPr>
          <w:trHeight w:val="113"/>
          <w:tblHeader/>
        </w:trPr>
        <w:tc>
          <w:tcPr>
            <w:tcW w:w="7701" w:type="dxa"/>
            <w:tcBorders>
              <w:bottom w:val="single" w:sz="4" w:space="0" w:color="auto"/>
            </w:tcBorders>
          </w:tcPr>
          <w:p w14:paraId="7A454E3A" w14:textId="1CC70005" w:rsidR="003D6724" w:rsidRPr="003D6724" w:rsidRDefault="003D6724" w:rsidP="00E70AF2">
            <w:pPr>
              <w:pStyle w:val="ExampleText"/>
              <w:spacing w:before="37" w:after="37" w:line="240" w:lineRule="auto"/>
              <w:rPr>
                <w:b/>
                <w:i w:val="0"/>
                <w:color w:val="auto"/>
                <w:sz w:val="20"/>
              </w:rPr>
            </w:pPr>
            <w:r w:rsidRPr="003D6724">
              <w:rPr>
                <w:rStyle w:val="ExampletextCharChar"/>
                <w:b/>
                <w:color w:val="auto"/>
              </w:rPr>
              <w:t>Other Commonwealth Entities that contribute to Outcome 3</w:t>
            </w:r>
            <w:r w:rsidR="00B033A2" w:rsidRPr="004971C5">
              <w:rPr>
                <w:rStyle w:val="FootnoteReference"/>
                <w:i w:val="0"/>
                <w:color w:val="auto"/>
                <w:sz w:val="20"/>
              </w:rPr>
              <w:footnoteReference w:id="8"/>
            </w:r>
          </w:p>
        </w:tc>
      </w:tr>
      <w:tr w:rsidR="002B5B49" w:rsidRPr="005E6F2B" w14:paraId="056EC1EA" w14:textId="77777777" w:rsidTr="00F826C9">
        <w:trPr>
          <w:trHeight w:val="113"/>
        </w:trPr>
        <w:tc>
          <w:tcPr>
            <w:tcW w:w="7701" w:type="dxa"/>
            <w:tcBorders>
              <w:top w:val="single" w:sz="4" w:space="0" w:color="auto"/>
              <w:bottom w:val="single" w:sz="4" w:space="0" w:color="auto"/>
            </w:tcBorders>
          </w:tcPr>
          <w:p w14:paraId="64864343" w14:textId="77777777" w:rsidR="003D6724" w:rsidRPr="002A7AF0" w:rsidRDefault="003D6724" w:rsidP="002A7AF0">
            <w:pPr>
              <w:spacing w:before="49" w:after="49" w:line="240" w:lineRule="auto"/>
              <w:rPr>
                <w:rStyle w:val="ExampletextCharChar"/>
                <w:rFonts w:ascii="Arial" w:hAnsi="Arial" w:cs="Arial"/>
                <w:b/>
                <w:i w:val="0"/>
                <w:color w:val="auto"/>
                <w:sz w:val="18"/>
                <w:szCs w:val="18"/>
                <w:u w:val="single"/>
              </w:rPr>
            </w:pPr>
            <w:r w:rsidRPr="002A7AF0">
              <w:rPr>
                <w:rStyle w:val="ExampletextCharChar"/>
                <w:rFonts w:ascii="Arial" w:hAnsi="Arial" w:cs="Arial"/>
                <w:b/>
                <w:i w:val="0"/>
                <w:color w:val="auto"/>
                <w:sz w:val="18"/>
                <w:szCs w:val="18"/>
                <w:u w:val="single"/>
              </w:rPr>
              <w:t>Department of Social Services (DSS)</w:t>
            </w:r>
          </w:p>
          <w:p w14:paraId="1BAF5CDC" w14:textId="77777777" w:rsidR="003D6724" w:rsidRPr="00055279" w:rsidRDefault="003D6724" w:rsidP="003D6724">
            <w:pPr>
              <w:pStyle w:val="Table-bullet10pt"/>
              <w:spacing w:before="37" w:after="37"/>
              <w:ind w:left="0" w:firstLine="0"/>
              <w:rPr>
                <w:rFonts w:ascii="Arial" w:eastAsia="Book Antiqua" w:hAnsi="Arial" w:cs="Arial"/>
                <w:b/>
                <w:sz w:val="18"/>
                <w:szCs w:val="18"/>
              </w:rPr>
            </w:pPr>
            <w:r w:rsidRPr="00055279">
              <w:rPr>
                <w:rFonts w:ascii="Arial" w:hAnsi="Arial" w:cs="Arial"/>
                <w:b/>
                <w:sz w:val="18"/>
                <w:szCs w:val="18"/>
              </w:rPr>
              <w:t xml:space="preserve">Program 3.1: Disability and Carers </w:t>
            </w:r>
          </w:p>
          <w:p w14:paraId="1C065AD4" w14:textId="7E0F44B3" w:rsidR="003D6724" w:rsidRPr="00055279" w:rsidRDefault="003D6724" w:rsidP="003D6724">
            <w:pPr>
              <w:spacing w:before="37" w:after="37" w:line="240" w:lineRule="auto"/>
              <w:rPr>
                <w:rFonts w:ascii="Arial" w:hAnsi="Arial" w:cs="Arial"/>
                <w:sz w:val="18"/>
                <w:szCs w:val="18"/>
              </w:rPr>
            </w:pPr>
            <w:r w:rsidRPr="00055279">
              <w:rPr>
                <w:rFonts w:ascii="Arial" w:hAnsi="Arial" w:cs="Arial"/>
                <w:sz w:val="18"/>
                <w:szCs w:val="18"/>
              </w:rPr>
              <w:t xml:space="preserve">DSS contributes to: </w:t>
            </w:r>
          </w:p>
          <w:p w14:paraId="5AC108B9" w14:textId="70B288ED" w:rsidR="00055279" w:rsidRPr="00D26ACE" w:rsidRDefault="00055279" w:rsidP="00D26ACE">
            <w:pPr>
              <w:pStyle w:val="ListParagraph"/>
              <w:keepNext/>
              <w:widowControl w:val="0"/>
              <w:numPr>
                <w:ilvl w:val="0"/>
                <w:numId w:val="48"/>
              </w:numPr>
              <w:spacing w:before="0" w:after="0" w:line="240" w:lineRule="auto"/>
              <w:ind w:left="223" w:hanging="223"/>
              <w:rPr>
                <w:rFonts w:ascii="Arial" w:hAnsi="Arial" w:cs="Arial"/>
                <w:color w:val="000000" w:themeColor="text1"/>
                <w:sz w:val="18"/>
                <w:szCs w:val="18"/>
              </w:rPr>
            </w:pPr>
            <w:r w:rsidRPr="00055279">
              <w:rPr>
                <w:rFonts w:ascii="Arial" w:hAnsi="Arial" w:cs="Arial"/>
                <w:color w:val="000000" w:themeColor="text1"/>
                <w:sz w:val="18"/>
                <w:szCs w:val="18"/>
              </w:rPr>
              <w:t xml:space="preserve">DSS </w:t>
            </w:r>
            <w:proofErr w:type="gramStart"/>
            <w:r w:rsidRPr="00055279">
              <w:rPr>
                <w:rFonts w:ascii="Arial" w:hAnsi="Arial" w:cs="Arial"/>
                <w:color w:val="000000" w:themeColor="text1"/>
                <w:sz w:val="18"/>
                <w:szCs w:val="18"/>
              </w:rPr>
              <w:t>provides assistance</w:t>
            </w:r>
            <w:proofErr w:type="gramEnd"/>
            <w:r w:rsidRPr="00055279">
              <w:rPr>
                <w:rFonts w:ascii="Arial" w:hAnsi="Arial" w:cs="Arial"/>
                <w:color w:val="000000" w:themeColor="text1"/>
                <w:sz w:val="18"/>
                <w:szCs w:val="18"/>
              </w:rPr>
              <w:t>, support and services for people with disability and their carers (3.1, 3.2 and 3.3).</w:t>
            </w:r>
          </w:p>
          <w:p w14:paraId="3F20147C" w14:textId="77777777" w:rsidR="00055279" w:rsidRPr="00927DA8" w:rsidRDefault="00055279" w:rsidP="00055279">
            <w:pPr>
              <w:pStyle w:val="ListParagraph"/>
              <w:numPr>
                <w:ilvl w:val="0"/>
                <w:numId w:val="49"/>
              </w:numPr>
              <w:spacing w:before="37" w:after="37"/>
              <w:ind w:left="223" w:hanging="223"/>
              <w:rPr>
                <w:rFonts w:ascii="Arial" w:hAnsi="Arial" w:cs="Arial"/>
                <w:i/>
                <w:strike/>
                <w:color w:val="FF0000"/>
                <w:sz w:val="18"/>
                <w:szCs w:val="18"/>
              </w:rPr>
            </w:pPr>
            <w:r w:rsidRPr="00927DA8">
              <w:rPr>
                <w:rFonts w:ascii="Arial" w:hAnsi="Arial" w:cs="Arial"/>
                <w:i/>
                <w:sz w:val="18"/>
                <w:szCs w:val="18"/>
              </w:rPr>
              <w:t>work in partnership with other commonwealth agencies and jurisdictions to develop Foundational Supports as recommended by the NDIS Review (3.2).</w:t>
            </w:r>
            <w:r w:rsidRPr="00927DA8">
              <w:rPr>
                <w:rFonts w:ascii="Arial" w:hAnsi="Arial" w:cs="Arial"/>
                <w:i/>
                <w:color w:val="FF0000"/>
                <w:sz w:val="18"/>
                <w:szCs w:val="18"/>
              </w:rPr>
              <w:t xml:space="preserve"> </w:t>
            </w:r>
          </w:p>
          <w:p w14:paraId="219A2A51" w14:textId="77777777" w:rsidR="007C469A" w:rsidRPr="007C469A" w:rsidRDefault="00055279" w:rsidP="007C469A">
            <w:pPr>
              <w:pStyle w:val="ListParagraph"/>
              <w:numPr>
                <w:ilvl w:val="0"/>
                <w:numId w:val="49"/>
              </w:numPr>
              <w:spacing w:before="37" w:after="37"/>
              <w:ind w:left="223" w:hanging="223"/>
              <w:rPr>
                <w:rFonts w:ascii="Arial" w:hAnsi="Arial" w:cs="Arial"/>
                <w:strike/>
                <w:color w:val="FF0000"/>
                <w:sz w:val="18"/>
                <w:szCs w:val="18"/>
              </w:rPr>
            </w:pPr>
            <w:r w:rsidRPr="00927DA8">
              <w:rPr>
                <w:rFonts w:ascii="Arial" w:hAnsi="Arial" w:cs="Arial"/>
                <w:i/>
                <w:sz w:val="18"/>
                <w:szCs w:val="18"/>
              </w:rPr>
              <w:t>supporting the expansion of NDIS worker screening to aged care (3.2).</w:t>
            </w:r>
          </w:p>
          <w:p w14:paraId="40833AAC" w14:textId="6AA1F277" w:rsidR="007C469A" w:rsidRPr="007C469A" w:rsidRDefault="007C469A" w:rsidP="000D70EA">
            <w:pPr>
              <w:pStyle w:val="ListParagraph"/>
              <w:numPr>
                <w:ilvl w:val="0"/>
                <w:numId w:val="49"/>
              </w:numPr>
              <w:spacing w:before="37" w:after="37"/>
              <w:ind w:left="223" w:hanging="223"/>
              <w:rPr>
                <w:rStyle w:val="ExampletextCharChar"/>
                <w:rFonts w:ascii="Arial" w:hAnsi="Arial" w:cs="Arial"/>
                <w:i w:val="0"/>
                <w:strike/>
                <w:sz w:val="18"/>
                <w:szCs w:val="18"/>
                <w:lang w:eastAsia="en-US"/>
              </w:rPr>
            </w:pPr>
            <w:r w:rsidRPr="007C469A">
              <w:rPr>
                <w:rStyle w:val="ExampletextCharChar"/>
                <w:rFonts w:ascii="Arial" w:hAnsi="Arial" w:cs="Arial"/>
                <w:color w:val="auto"/>
                <w:sz w:val="18"/>
                <w:szCs w:val="18"/>
                <w:lang w:eastAsia="en-US"/>
              </w:rPr>
              <w:t xml:space="preserve">Integrated Care and Commissioning Trials: The Department of Health and Aged Care is working in partnership with Department of Social Services, National Disability Insurance Agency, the Department of Veterans’ Affairs as well as other Commonwealth and State government agencies and local communities and service providers on integrated care and commissioning trials across the care and support sectors. These trials will identify ways to better integrate and collaborate across primary health, aged care, </w:t>
            </w:r>
            <w:proofErr w:type="gramStart"/>
            <w:r w:rsidRPr="007C469A">
              <w:rPr>
                <w:rStyle w:val="ExampletextCharChar"/>
                <w:rFonts w:ascii="Arial" w:hAnsi="Arial" w:cs="Arial"/>
                <w:color w:val="auto"/>
                <w:sz w:val="18"/>
                <w:szCs w:val="18"/>
                <w:lang w:eastAsia="en-US"/>
              </w:rPr>
              <w:t>disability</w:t>
            </w:r>
            <w:proofErr w:type="gramEnd"/>
            <w:r w:rsidRPr="007C469A">
              <w:rPr>
                <w:rStyle w:val="ExampletextCharChar"/>
                <w:rFonts w:ascii="Arial" w:hAnsi="Arial" w:cs="Arial"/>
                <w:color w:val="auto"/>
                <w:sz w:val="18"/>
                <w:szCs w:val="18"/>
                <w:lang w:eastAsia="en-US"/>
              </w:rPr>
              <w:t xml:space="preserve"> and veterans’ care service systems and look for opportunities for joint workforce and service commissioning initiatives to ensure people’s care needs are met in the community they live in. Work has commenced in four trial sites - the Kimberley, WA; </w:t>
            </w:r>
            <w:proofErr w:type="spellStart"/>
            <w:r w:rsidRPr="007C469A">
              <w:rPr>
                <w:rStyle w:val="ExampletextCharChar"/>
                <w:rFonts w:ascii="Arial" w:hAnsi="Arial" w:cs="Arial"/>
                <w:color w:val="auto"/>
                <w:sz w:val="18"/>
                <w:szCs w:val="18"/>
                <w:lang w:eastAsia="en-US"/>
              </w:rPr>
              <w:t>Longreach</w:t>
            </w:r>
            <w:proofErr w:type="spellEnd"/>
            <w:r w:rsidRPr="007C469A">
              <w:rPr>
                <w:rStyle w:val="ExampletextCharChar"/>
                <w:rFonts w:ascii="Arial" w:hAnsi="Arial" w:cs="Arial"/>
                <w:color w:val="auto"/>
                <w:sz w:val="18"/>
                <w:szCs w:val="18"/>
                <w:lang w:eastAsia="en-US"/>
              </w:rPr>
              <w:t xml:space="preserve">, </w:t>
            </w:r>
            <w:r w:rsidR="000D70EA">
              <w:rPr>
                <w:rStyle w:val="ExampletextCharChar"/>
                <w:rFonts w:ascii="Arial" w:hAnsi="Arial" w:cs="Arial"/>
                <w:color w:val="auto"/>
                <w:sz w:val="18"/>
                <w:szCs w:val="18"/>
                <w:lang w:eastAsia="en-US"/>
              </w:rPr>
              <w:t>QLD</w:t>
            </w:r>
            <w:r w:rsidRPr="007C469A">
              <w:rPr>
                <w:rStyle w:val="ExampletextCharChar"/>
                <w:rFonts w:ascii="Arial" w:hAnsi="Arial" w:cs="Arial"/>
                <w:color w:val="auto"/>
                <w:sz w:val="18"/>
                <w:szCs w:val="18"/>
                <w:lang w:eastAsia="en-US"/>
              </w:rPr>
              <w:t>; South-East NSW and Gippsland, V</w:t>
            </w:r>
            <w:r w:rsidR="000D70EA">
              <w:rPr>
                <w:rStyle w:val="ExampletextCharChar"/>
                <w:rFonts w:ascii="Arial" w:hAnsi="Arial" w:cs="Arial"/>
                <w:color w:val="auto"/>
                <w:sz w:val="18"/>
                <w:szCs w:val="18"/>
                <w:lang w:eastAsia="en-US"/>
              </w:rPr>
              <w:t>IC</w:t>
            </w:r>
            <w:r w:rsidRPr="007C469A">
              <w:rPr>
                <w:rStyle w:val="ExampletextCharChar"/>
                <w:rFonts w:ascii="Arial" w:hAnsi="Arial" w:cs="Arial"/>
                <w:color w:val="auto"/>
                <w:sz w:val="18"/>
                <w:szCs w:val="18"/>
                <w:lang w:eastAsia="en-US"/>
              </w:rPr>
              <w:t xml:space="preserve">. An additional six sites will be identified on top of these existing four trial locations. As part of these trials funding will be available to support capacity building, service integration activities and minor capital works across all 10 sites (3.2). </w:t>
            </w:r>
          </w:p>
        </w:tc>
      </w:tr>
      <w:tr w:rsidR="00F826C9" w:rsidRPr="005E6F2B" w14:paraId="28F3BEB5" w14:textId="77777777" w:rsidTr="00F826C9">
        <w:trPr>
          <w:trHeight w:val="113"/>
        </w:trPr>
        <w:tc>
          <w:tcPr>
            <w:tcW w:w="7701" w:type="dxa"/>
            <w:tcBorders>
              <w:top w:val="single" w:sz="4" w:space="0" w:color="auto"/>
              <w:bottom w:val="single" w:sz="4" w:space="0" w:color="auto"/>
            </w:tcBorders>
          </w:tcPr>
          <w:p w14:paraId="241E88FF" w14:textId="77777777" w:rsidR="00F826C9" w:rsidRPr="002A7AF0" w:rsidRDefault="00F826C9" w:rsidP="002A7AF0">
            <w:pPr>
              <w:spacing w:before="49" w:after="49" w:line="240" w:lineRule="auto"/>
              <w:rPr>
                <w:rStyle w:val="ExampletextCharChar"/>
                <w:rFonts w:ascii="Arial" w:hAnsi="Arial" w:cs="Arial"/>
                <w:b/>
                <w:i w:val="0"/>
                <w:color w:val="auto"/>
                <w:sz w:val="18"/>
                <w:szCs w:val="18"/>
                <w:u w:val="single"/>
              </w:rPr>
            </w:pPr>
            <w:r w:rsidRPr="002A7AF0">
              <w:rPr>
                <w:rStyle w:val="ExampletextCharChar"/>
                <w:rFonts w:ascii="Arial" w:hAnsi="Arial" w:cs="Arial"/>
                <w:b/>
                <w:i w:val="0"/>
                <w:color w:val="auto"/>
                <w:sz w:val="18"/>
                <w:szCs w:val="18"/>
                <w:u w:val="single"/>
              </w:rPr>
              <w:t>Department of Veterans’ Affairs (DVA)</w:t>
            </w:r>
          </w:p>
          <w:p w14:paraId="427A56C2" w14:textId="77777777" w:rsidR="00F826C9" w:rsidRPr="00F826C9" w:rsidRDefault="00F826C9" w:rsidP="00F826C9">
            <w:pPr>
              <w:spacing w:before="37" w:after="37" w:line="240" w:lineRule="auto"/>
              <w:rPr>
                <w:rStyle w:val="ExampletextCharChar"/>
                <w:rFonts w:ascii="Arial" w:hAnsi="Arial" w:cs="Arial"/>
                <w:b/>
                <w:i w:val="0"/>
                <w:color w:val="auto"/>
                <w:sz w:val="18"/>
                <w:szCs w:val="18"/>
              </w:rPr>
            </w:pPr>
            <w:r w:rsidRPr="00F826C9">
              <w:rPr>
                <w:rStyle w:val="ExampletextCharChar"/>
                <w:rFonts w:ascii="Arial" w:hAnsi="Arial" w:cs="Arial"/>
                <w:b/>
                <w:i w:val="0"/>
                <w:color w:val="auto"/>
                <w:sz w:val="18"/>
                <w:szCs w:val="18"/>
              </w:rPr>
              <w:t>Program 2.4: Veterans’ Community Care and Support</w:t>
            </w:r>
          </w:p>
          <w:p w14:paraId="0DF31C2D" w14:textId="4F99AEF6" w:rsidR="00F826C9" w:rsidRPr="00A1211F" w:rsidRDefault="00F826C9" w:rsidP="00A1211F">
            <w:pPr>
              <w:keepNext/>
              <w:widowControl w:val="0"/>
              <w:spacing w:before="0" w:after="0" w:line="240" w:lineRule="auto"/>
              <w:rPr>
                <w:rFonts w:ascii="Arial" w:hAnsi="Arial" w:cs="Arial"/>
                <w:color w:val="000000" w:themeColor="text1"/>
                <w:sz w:val="18"/>
                <w:szCs w:val="18"/>
              </w:rPr>
            </w:pPr>
            <w:r w:rsidRPr="00AB0A55">
              <w:rPr>
                <w:rFonts w:ascii="Arial" w:eastAsia="Calibri" w:hAnsi="Arial" w:cs="Arial"/>
                <w:color w:val="000000" w:themeColor="text1"/>
                <w:sz w:val="18"/>
                <w:szCs w:val="18"/>
                <w:lang w:val="en-US" w:eastAsia="en-US"/>
              </w:rPr>
              <w:t>The program’s primary</w:t>
            </w:r>
            <w:r w:rsidRPr="00A1211F">
              <w:rPr>
                <w:rFonts w:ascii="Arial" w:hAnsi="Arial" w:cs="Arial"/>
                <w:color w:val="000000" w:themeColor="text1"/>
                <w:sz w:val="18"/>
                <w:szCs w:val="18"/>
              </w:rPr>
              <w:t xml:space="preserve"> objective is to effectively manage community support and home care programs, including the development and review of policy and operational guidelines and procedures, and assessment of program effectiveness.</w:t>
            </w:r>
            <w:r w:rsidR="00AB0A55">
              <w:rPr>
                <w:rFonts w:ascii="Arial" w:hAnsi="Arial" w:cs="Arial"/>
                <w:color w:val="000000" w:themeColor="text1"/>
                <w:sz w:val="18"/>
                <w:szCs w:val="18"/>
              </w:rPr>
              <w:t xml:space="preserve"> </w:t>
            </w:r>
          </w:p>
          <w:p w14:paraId="2E48AFBB" w14:textId="77777777" w:rsidR="00F826C9" w:rsidRPr="00A1211F" w:rsidRDefault="00F826C9" w:rsidP="00A1211F">
            <w:pPr>
              <w:keepNext/>
              <w:widowControl w:val="0"/>
              <w:spacing w:before="0" w:after="0" w:line="240" w:lineRule="auto"/>
              <w:rPr>
                <w:rStyle w:val="ExampletextCharChar"/>
                <w:rFonts w:ascii="Arial" w:hAnsi="Arial" w:cs="Arial"/>
                <w:i w:val="0"/>
                <w:color w:val="000000" w:themeColor="text1"/>
                <w:sz w:val="18"/>
                <w:szCs w:val="18"/>
                <w:lang w:eastAsia="en-US"/>
              </w:rPr>
            </w:pPr>
            <w:r w:rsidRPr="00A1211F">
              <w:rPr>
                <w:rStyle w:val="ExampletextCharChar"/>
                <w:rFonts w:ascii="Arial" w:hAnsi="Arial" w:cs="Arial"/>
                <w:i w:val="0"/>
                <w:color w:val="auto"/>
                <w:sz w:val="18"/>
                <w:szCs w:val="18"/>
              </w:rPr>
              <w:t xml:space="preserve">Veteran community care and support programs include the Veterans’ Home Care (VHC) </w:t>
            </w:r>
            <w:r w:rsidRPr="00A1211F">
              <w:rPr>
                <w:rStyle w:val="ExampletextCharChar"/>
                <w:rFonts w:ascii="Arial" w:hAnsi="Arial" w:cs="Arial"/>
                <w:i w:val="0"/>
                <w:color w:val="auto"/>
                <w:sz w:val="18"/>
                <w:szCs w:val="18"/>
              </w:rPr>
              <w:lastRenderedPageBreak/>
              <w:t>Program and the Community Nursing Program.</w:t>
            </w:r>
          </w:p>
          <w:p w14:paraId="16406EBF" w14:textId="77777777" w:rsidR="00F826C9" w:rsidRPr="00A1211F" w:rsidRDefault="00F826C9" w:rsidP="00A1211F">
            <w:pPr>
              <w:keepNext/>
              <w:widowControl w:val="0"/>
              <w:spacing w:before="0" w:after="0" w:line="240" w:lineRule="auto"/>
              <w:rPr>
                <w:rStyle w:val="ExampletextCharChar"/>
                <w:rFonts w:ascii="Arial" w:hAnsi="Arial" w:cs="Arial"/>
                <w:i w:val="0"/>
                <w:color w:val="000000" w:themeColor="text1"/>
                <w:sz w:val="18"/>
                <w:szCs w:val="18"/>
                <w:lang w:eastAsia="en-US"/>
              </w:rPr>
            </w:pPr>
            <w:r w:rsidRPr="00A1211F">
              <w:rPr>
                <w:rStyle w:val="ExampletextCharChar"/>
                <w:rFonts w:ascii="Arial" w:hAnsi="Arial" w:cs="Arial"/>
                <w:i w:val="0"/>
                <w:color w:val="auto"/>
                <w:sz w:val="18"/>
                <w:szCs w:val="18"/>
              </w:rPr>
              <w:t xml:space="preserve">The objectives of the VHC and Community Nursing programs are to support clients to remain independent in their </w:t>
            </w:r>
            <w:proofErr w:type="gramStart"/>
            <w:r w:rsidRPr="00A1211F">
              <w:rPr>
                <w:rStyle w:val="ExampletextCharChar"/>
                <w:rFonts w:ascii="Arial" w:hAnsi="Arial" w:cs="Arial"/>
                <w:i w:val="0"/>
                <w:color w:val="auto"/>
                <w:sz w:val="18"/>
                <w:szCs w:val="18"/>
              </w:rPr>
              <w:t>homes, and</w:t>
            </w:r>
            <w:proofErr w:type="gramEnd"/>
            <w:r w:rsidRPr="00A1211F">
              <w:rPr>
                <w:rStyle w:val="ExampletextCharChar"/>
                <w:rFonts w:ascii="Arial" w:hAnsi="Arial" w:cs="Arial"/>
                <w:i w:val="0"/>
                <w:color w:val="auto"/>
                <w:sz w:val="18"/>
                <w:szCs w:val="18"/>
              </w:rPr>
              <w:t xml:space="preserve"> improve their quality of life and health. For many of the veteran community who are ageing and increasingly requiring higher levels of service, the provision of these services helps to delay entry into residential aged care and maximises independence.</w:t>
            </w:r>
          </w:p>
          <w:p w14:paraId="4E3EA54C" w14:textId="77777777" w:rsidR="00F826C9" w:rsidRPr="00A1211F" w:rsidRDefault="00F826C9" w:rsidP="00A1211F">
            <w:pPr>
              <w:keepNext/>
              <w:widowControl w:val="0"/>
              <w:spacing w:before="0" w:after="0" w:line="240" w:lineRule="auto"/>
              <w:rPr>
                <w:rStyle w:val="ExampletextCharChar"/>
                <w:rFonts w:ascii="Calibri" w:hAnsi="Calibri"/>
                <w:i w:val="0"/>
                <w:color w:val="000000" w:themeColor="text1"/>
                <w:sz w:val="22"/>
                <w:szCs w:val="22"/>
                <w:lang w:eastAsia="en-US"/>
              </w:rPr>
            </w:pPr>
            <w:r w:rsidRPr="00A1211F">
              <w:rPr>
                <w:rStyle w:val="ExampletextCharChar"/>
                <w:rFonts w:ascii="Arial" w:hAnsi="Arial" w:cs="Arial"/>
                <w:i w:val="0"/>
                <w:color w:val="auto"/>
                <w:sz w:val="18"/>
                <w:szCs w:val="18"/>
              </w:rPr>
              <w:t>DVA also provides subsidies and supplements for clients who are no longer able to live independently and who enter residential aged care.</w:t>
            </w:r>
            <w:r w:rsidRPr="00A1211F">
              <w:rPr>
                <w:rStyle w:val="ExampletextCharChar"/>
                <w:rFonts w:ascii="Arial" w:hAnsi="Arial" w:cs="Arial"/>
                <w:b/>
                <w:i w:val="0"/>
                <w:color w:val="auto"/>
                <w:sz w:val="18"/>
                <w:szCs w:val="18"/>
              </w:rPr>
              <w:t xml:space="preserve"> </w:t>
            </w:r>
          </w:p>
          <w:p w14:paraId="78B643D0" w14:textId="77777777" w:rsidR="00F826C9" w:rsidRPr="00A1211F" w:rsidRDefault="00F826C9" w:rsidP="00A1211F">
            <w:pPr>
              <w:keepNext/>
              <w:widowControl w:val="0"/>
              <w:spacing w:before="0" w:after="0" w:line="240" w:lineRule="auto"/>
              <w:rPr>
                <w:rStyle w:val="ExampletextCharChar"/>
                <w:rFonts w:ascii="Arial" w:hAnsi="Arial" w:cs="Arial"/>
                <w:color w:val="000000" w:themeColor="text1"/>
                <w:sz w:val="18"/>
                <w:szCs w:val="18"/>
                <w:lang w:eastAsia="en-US"/>
              </w:rPr>
            </w:pPr>
            <w:r w:rsidRPr="00A1211F">
              <w:rPr>
                <w:rStyle w:val="ExampletextCharChar"/>
                <w:rFonts w:ascii="Arial" w:hAnsi="Arial" w:cs="Arial"/>
                <w:color w:val="000000" w:themeColor="text1"/>
                <w:sz w:val="18"/>
                <w:szCs w:val="18"/>
                <w:lang w:eastAsia="en-US"/>
              </w:rPr>
              <w:t>Program 2.4 also funds a range of grants programs to assist in providing support to veterans and their families including the Veteran Wellbeing Grants Program, Grants-in-Aid, and the Supporting Invictus Australia Program.</w:t>
            </w:r>
          </w:p>
          <w:p w14:paraId="1B8719C1" w14:textId="4659A907" w:rsidR="00F826C9" w:rsidRPr="00A1211F" w:rsidRDefault="00F826C9" w:rsidP="00A1211F">
            <w:pPr>
              <w:keepNext/>
              <w:widowControl w:val="0"/>
              <w:spacing w:before="0" w:after="0" w:line="240" w:lineRule="auto"/>
              <w:rPr>
                <w:rStyle w:val="ExampletextCharChar"/>
                <w:rFonts w:ascii="Calibri" w:hAnsi="Calibri"/>
                <w:i w:val="0"/>
                <w:color w:val="000000" w:themeColor="text1"/>
                <w:sz w:val="22"/>
                <w:szCs w:val="22"/>
                <w:lang w:eastAsia="en-US"/>
              </w:rPr>
            </w:pPr>
            <w:r w:rsidRPr="00A1211F">
              <w:rPr>
                <w:rStyle w:val="ExampletextCharChar"/>
                <w:rFonts w:ascii="Arial" w:hAnsi="Arial" w:cs="Arial"/>
                <w:color w:val="000000" w:themeColor="text1"/>
                <w:sz w:val="18"/>
                <w:szCs w:val="18"/>
                <w:lang w:eastAsia="en-US"/>
              </w:rPr>
              <w:t>It also includes the Veterans’ and Families’ Hubs grants, which provide one-off funding for the development and implementation of 6 Veterans’ and Families’ Hubs to provide services and support based on local needs and opportunities (3.2).</w:t>
            </w:r>
            <w:r w:rsidRPr="00A1211F">
              <w:rPr>
                <w:rStyle w:val="ExampletextCharChar"/>
                <w:rFonts w:ascii="Calibri" w:hAnsi="Calibri"/>
                <w:i w:val="0"/>
                <w:color w:val="000000" w:themeColor="text1"/>
                <w:sz w:val="22"/>
                <w:szCs w:val="22"/>
                <w:lang w:eastAsia="en-US"/>
              </w:rPr>
              <w:t xml:space="preserve"> </w:t>
            </w:r>
          </w:p>
        </w:tc>
      </w:tr>
    </w:tbl>
    <w:p w14:paraId="4A2709B9" w14:textId="77777777" w:rsidR="002B5B49" w:rsidRDefault="002B5B49" w:rsidP="002B5B49">
      <w:pPr>
        <w:pStyle w:val="SingleParagraph"/>
      </w:pPr>
    </w:p>
    <w:p w14:paraId="41FFBDFA" w14:textId="6A873DE6" w:rsidR="002B5B49" w:rsidRPr="00CF2F45" w:rsidRDefault="0001438D" w:rsidP="002B5B49">
      <w:pPr>
        <w:pStyle w:val="Heading5"/>
        <w:rPr>
          <w:b/>
          <w:i w:val="0"/>
        </w:rPr>
      </w:pPr>
      <w:r w:rsidRPr="00CF2F45">
        <w:rPr>
          <w:b/>
          <w:i w:val="0"/>
        </w:rPr>
        <w:t>Budgeted expenses for Outcome 3</w:t>
      </w:r>
    </w:p>
    <w:p w14:paraId="0B27F9F6" w14:textId="77777777" w:rsidR="002B5B49" w:rsidRPr="00CF2F45" w:rsidRDefault="002B5B49" w:rsidP="002B5B49">
      <w:pPr>
        <w:rPr>
          <w:sz w:val="20"/>
        </w:rPr>
      </w:pPr>
      <w:r w:rsidRPr="00CF2F45">
        <w:rPr>
          <w:sz w:val="20"/>
        </w:rPr>
        <w:t>This table shows how much the entity intends to spend (on an accrual basis) on achieving the outcome, broken down by program, as well as by Administered and Departmental funding sources.</w:t>
      </w:r>
    </w:p>
    <w:p w14:paraId="17AD198D" w14:textId="49A371B9" w:rsidR="002B5B49" w:rsidRDefault="002B5B49" w:rsidP="002B5B49">
      <w:pPr>
        <w:pStyle w:val="TableHeading"/>
      </w:pPr>
      <w:r w:rsidRPr="00D93D96">
        <w:t>Table 2.</w:t>
      </w:r>
      <w:r w:rsidR="002567A6">
        <w:t>3</w:t>
      </w:r>
      <w:r>
        <w:t>.</w:t>
      </w:r>
      <w:r w:rsidR="003C1E30">
        <w:t>1: Variations table –</w:t>
      </w:r>
      <w:r w:rsidR="00E81B71">
        <w:t xml:space="preserve"> </w:t>
      </w:r>
      <w:r w:rsidRPr="00D93D96">
        <w:t xml:space="preserve">Outcome </w:t>
      </w:r>
      <w:r w:rsidR="002567A6">
        <w:t>3</w:t>
      </w:r>
    </w:p>
    <w:tbl>
      <w:tblPr>
        <w:tblW w:w="7660" w:type="dxa"/>
        <w:jc w:val="center"/>
        <w:tblLayout w:type="fixed"/>
        <w:tblLook w:val="04A0" w:firstRow="1" w:lastRow="0" w:firstColumn="1" w:lastColumn="0" w:noHBand="0" w:noVBand="1"/>
      </w:tblPr>
      <w:tblGrid>
        <w:gridCol w:w="4060"/>
        <w:gridCol w:w="900"/>
        <w:gridCol w:w="900"/>
        <w:gridCol w:w="900"/>
        <w:gridCol w:w="900"/>
      </w:tblGrid>
      <w:tr w:rsidR="002567A6" w:rsidRPr="002567A6" w14:paraId="3780915E" w14:textId="77777777" w:rsidTr="00503717">
        <w:trPr>
          <w:trHeight w:val="397"/>
          <w:jc w:val="center"/>
        </w:trPr>
        <w:tc>
          <w:tcPr>
            <w:tcW w:w="4060" w:type="dxa"/>
            <w:tcBorders>
              <w:top w:val="single" w:sz="4" w:space="0" w:color="auto"/>
              <w:left w:val="nil"/>
              <w:bottom w:val="nil"/>
              <w:right w:val="nil"/>
            </w:tcBorders>
            <w:shd w:val="clear" w:color="auto" w:fill="auto"/>
            <w:hideMark/>
          </w:tcPr>
          <w:p w14:paraId="56C3FFD8" w14:textId="77777777" w:rsidR="002567A6" w:rsidRPr="002567A6" w:rsidRDefault="002567A6" w:rsidP="0079609B">
            <w:pPr>
              <w:spacing w:before="24" w:after="0" w:line="240" w:lineRule="auto"/>
              <w:jc w:val="right"/>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383AE413" w14:textId="1A19DF10" w:rsidR="002567A6" w:rsidRPr="002567A6" w:rsidRDefault="00CB465B" w:rsidP="0079609B">
            <w:pPr>
              <w:spacing w:before="24" w:after="0" w:line="240" w:lineRule="auto"/>
              <w:jc w:val="right"/>
              <w:rPr>
                <w:rFonts w:ascii="Arial" w:hAnsi="Arial" w:cs="Arial"/>
                <w:b/>
                <w:bCs/>
                <w:sz w:val="16"/>
                <w:szCs w:val="16"/>
              </w:rPr>
            </w:pPr>
            <w:r>
              <w:rPr>
                <w:rFonts w:ascii="Arial" w:hAnsi="Arial" w:cs="Arial"/>
                <w:b/>
                <w:bCs/>
                <w:sz w:val="16"/>
                <w:szCs w:val="16"/>
              </w:rPr>
              <w:t>2023–</w:t>
            </w:r>
            <w:r w:rsidR="002567A6" w:rsidRPr="002567A6">
              <w:rPr>
                <w:rFonts w:ascii="Arial" w:hAnsi="Arial" w:cs="Arial"/>
                <w:b/>
                <w:bCs/>
                <w:sz w:val="16"/>
                <w:szCs w:val="16"/>
              </w:rPr>
              <w:t>24</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464C883D" w14:textId="2B7D013A" w:rsidR="002567A6" w:rsidRPr="002567A6" w:rsidRDefault="00CB465B" w:rsidP="0079609B">
            <w:pPr>
              <w:spacing w:before="24" w:after="0" w:line="240" w:lineRule="auto"/>
              <w:jc w:val="right"/>
              <w:rPr>
                <w:rFonts w:ascii="Arial" w:hAnsi="Arial" w:cs="Arial"/>
                <w:b/>
                <w:bCs/>
                <w:sz w:val="16"/>
                <w:szCs w:val="16"/>
              </w:rPr>
            </w:pPr>
            <w:r>
              <w:rPr>
                <w:rFonts w:ascii="Arial" w:hAnsi="Arial" w:cs="Arial"/>
                <w:b/>
                <w:bCs/>
                <w:sz w:val="16"/>
                <w:szCs w:val="16"/>
              </w:rPr>
              <w:t>2024–</w:t>
            </w:r>
            <w:r w:rsidR="002567A6" w:rsidRPr="002567A6">
              <w:rPr>
                <w:rFonts w:ascii="Arial" w:hAnsi="Arial" w:cs="Arial"/>
                <w:b/>
                <w:bCs/>
                <w:sz w:val="16"/>
                <w:szCs w:val="16"/>
              </w:rPr>
              <w:t>25</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113761D" w14:textId="227EA86C" w:rsidR="002567A6" w:rsidRPr="002567A6" w:rsidRDefault="00CB465B" w:rsidP="0079609B">
            <w:pPr>
              <w:spacing w:before="24" w:after="0" w:line="240" w:lineRule="auto"/>
              <w:jc w:val="right"/>
              <w:rPr>
                <w:rFonts w:ascii="Arial" w:hAnsi="Arial" w:cs="Arial"/>
                <w:b/>
                <w:bCs/>
                <w:sz w:val="16"/>
                <w:szCs w:val="16"/>
              </w:rPr>
            </w:pPr>
            <w:r>
              <w:rPr>
                <w:rFonts w:ascii="Arial" w:hAnsi="Arial" w:cs="Arial"/>
                <w:b/>
                <w:bCs/>
                <w:sz w:val="16"/>
                <w:szCs w:val="16"/>
              </w:rPr>
              <w:t>2025–</w:t>
            </w:r>
            <w:r w:rsidR="002567A6" w:rsidRPr="002567A6">
              <w:rPr>
                <w:rFonts w:ascii="Arial" w:hAnsi="Arial" w:cs="Arial"/>
                <w:b/>
                <w:bCs/>
                <w:sz w:val="16"/>
                <w:szCs w:val="16"/>
              </w:rPr>
              <w:t>26</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62A6E3DD" w14:textId="0AE04F50" w:rsidR="002567A6" w:rsidRPr="002567A6" w:rsidRDefault="00CB465B" w:rsidP="0079609B">
            <w:pPr>
              <w:spacing w:before="24" w:after="0" w:line="240" w:lineRule="auto"/>
              <w:jc w:val="right"/>
              <w:rPr>
                <w:rFonts w:ascii="Arial" w:hAnsi="Arial" w:cs="Arial"/>
                <w:b/>
                <w:bCs/>
                <w:sz w:val="16"/>
                <w:szCs w:val="16"/>
              </w:rPr>
            </w:pPr>
            <w:r>
              <w:rPr>
                <w:rFonts w:ascii="Arial" w:hAnsi="Arial" w:cs="Arial"/>
                <w:b/>
                <w:bCs/>
                <w:sz w:val="16"/>
                <w:szCs w:val="16"/>
              </w:rPr>
              <w:t>2026–</w:t>
            </w:r>
            <w:r w:rsidR="002567A6" w:rsidRPr="002567A6">
              <w:rPr>
                <w:rFonts w:ascii="Arial" w:hAnsi="Arial" w:cs="Arial"/>
                <w:b/>
                <w:bCs/>
                <w:sz w:val="16"/>
                <w:szCs w:val="16"/>
              </w:rPr>
              <w:t>27</w:t>
            </w:r>
            <w:r w:rsidR="002567A6" w:rsidRPr="002567A6">
              <w:rPr>
                <w:rFonts w:ascii="Arial" w:hAnsi="Arial" w:cs="Arial"/>
                <w:b/>
                <w:bCs/>
                <w:sz w:val="16"/>
                <w:szCs w:val="16"/>
              </w:rPr>
              <w:br/>
            </w:r>
            <w:r w:rsidR="002567A6" w:rsidRPr="002567A6">
              <w:rPr>
                <w:rFonts w:ascii="Arial" w:hAnsi="Arial" w:cs="Arial"/>
                <w:sz w:val="16"/>
                <w:szCs w:val="16"/>
              </w:rPr>
              <w:t>$'000</w:t>
            </w:r>
          </w:p>
        </w:tc>
      </w:tr>
      <w:tr w:rsidR="002567A6" w:rsidRPr="002567A6" w14:paraId="2A70E5A5" w14:textId="77777777" w:rsidTr="000911F8">
        <w:trPr>
          <w:trHeight w:val="283"/>
          <w:jc w:val="center"/>
        </w:trPr>
        <w:tc>
          <w:tcPr>
            <w:tcW w:w="4060" w:type="dxa"/>
            <w:tcBorders>
              <w:top w:val="nil"/>
              <w:left w:val="nil"/>
              <w:bottom w:val="nil"/>
              <w:right w:val="nil"/>
            </w:tcBorders>
            <w:shd w:val="clear" w:color="auto" w:fill="auto"/>
            <w:noWrap/>
            <w:vAlign w:val="bottom"/>
            <w:hideMark/>
          </w:tcPr>
          <w:p w14:paraId="5A55A0A8"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Program 3.1: Access and Information</w:t>
            </w:r>
          </w:p>
        </w:tc>
        <w:tc>
          <w:tcPr>
            <w:tcW w:w="900" w:type="dxa"/>
            <w:tcBorders>
              <w:top w:val="nil"/>
              <w:left w:val="nil"/>
              <w:bottom w:val="nil"/>
              <w:right w:val="nil"/>
            </w:tcBorders>
            <w:shd w:val="clear" w:color="auto" w:fill="auto"/>
            <w:noWrap/>
            <w:vAlign w:val="bottom"/>
            <w:hideMark/>
          </w:tcPr>
          <w:p w14:paraId="2201413F"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530DD2A"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EA14E7A"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D4C7D54"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136A8E5F" w14:textId="77777777" w:rsidTr="0079609B">
        <w:trPr>
          <w:trHeight w:val="283"/>
          <w:jc w:val="center"/>
        </w:trPr>
        <w:tc>
          <w:tcPr>
            <w:tcW w:w="4060" w:type="dxa"/>
            <w:tcBorders>
              <w:top w:val="nil"/>
              <w:left w:val="nil"/>
              <w:bottom w:val="nil"/>
              <w:right w:val="nil"/>
            </w:tcBorders>
            <w:shd w:val="clear" w:color="auto" w:fill="auto"/>
            <w:noWrap/>
            <w:vAlign w:val="bottom"/>
            <w:hideMark/>
          </w:tcPr>
          <w:p w14:paraId="4826B499"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0FEB1A44"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95B5D86"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11FA7B5"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671B647"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0980FFBB" w14:textId="77777777" w:rsidTr="0079609B">
        <w:trPr>
          <w:trHeight w:val="283"/>
          <w:jc w:val="center"/>
        </w:trPr>
        <w:tc>
          <w:tcPr>
            <w:tcW w:w="4060" w:type="dxa"/>
            <w:tcBorders>
              <w:top w:val="nil"/>
              <w:left w:val="nil"/>
              <w:bottom w:val="nil"/>
              <w:right w:val="nil"/>
            </w:tcBorders>
            <w:shd w:val="clear" w:color="auto" w:fill="auto"/>
            <w:noWrap/>
            <w:vAlign w:val="bottom"/>
            <w:hideMark/>
          </w:tcPr>
          <w:p w14:paraId="79E49E69"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529E226C" w14:textId="77777777" w:rsidR="002567A6" w:rsidRPr="002567A6" w:rsidRDefault="002567A6" w:rsidP="002567A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79B61E1"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F06A3A5"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CC0BF8A"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736B9F3C" w14:textId="77777777" w:rsidTr="0079609B">
        <w:trPr>
          <w:trHeight w:val="283"/>
          <w:jc w:val="center"/>
        </w:trPr>
        <w:tc>
          <w:tcPr>
            <w:tcW w:w="4060" w:type="dxa"/>
            <w:tcBorders>
              <w:top w:val="nil"/>
              <w:left w:val="nil"/>
              <w:bottom w:val="nil"/>
              <w:right w:val="nil"/>
            </w:tcBorders>
            <w:shd w:val="clear" w:color="auto" w:fill="auto"/>
            <w:vAlign w:val="bottom"/>
            <w:hideMark/>
          </w:tcPr>
          <w:p w14:paraId="34DF604E"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Continuation of Aged Care Reform</w:t>
            </w:r>
          </w:p>
        </w:tc>
        <w:tc>
          <w:tcPr>
            <w:tcW w:w="900" w:type="dxa"/>
            <w:tcBorders>
              <w:top w:val="nil"/>
              <w:left w:val="nil"/>
              <w:bottom w:val="nil"/>
              <w:right w:val="nil"/>
            </w:tcBorders>
            <w:shd w:val="clear" w:color="auto" w:fill="auto"/>
            <w:noWrap/>
            <w:vAlign w:val="bottom"/>
            <w:hideMark/>
          </w:tcPr>
          <w:p w14:paraId="787E731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10,231 </w:t>
            </w:r>
          </w:p>
        </w:tc>
        <w:tc>
          <w:tcPr>
            <w:tcW w:w="900" w:type="dxa"/>
            <w:tcBorders>
              <w:top w:val="nil"/>
              <w:left w:val="nil"/>
              <w:bottom w:val="nil"/>
              <w:right w:val="nil"/>
            </w:tcBorders>
            <w:shd w:val="clear" w:color="auto" w:fill="auto"/>
            <w:noWrap/>
            <w:vAlign w:val="bottom"/>
            <w:hideMark/>
          </w:tcPr>
          <w:p w14:paraId="261222A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856 </w:t>
            </w:r>
          </w:p>
        </w:tc>
        <w:tc>
          <w:tcPr>
            <w:tcW w:w="900" w:type="dxa"/>
            <w:tcBorders>
              <w:top w:val="nil"/>
              <w:left w:val="nil"/>
              <w:bottom w:val="nil"/>
              <w:right w:val="nil"/>
            </w:tcBorders>
            <w:shd w:val="clear" w:color="auto" w:fill="auto"/>
            <w:noWrap/>
            <w:vAlign w:val="bottom"/>
            <w:hideMark/>
          </w:tcPr>
          <w:p w14:paraId="20C75C4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B2B9E7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9EB7EFF" w14:textId="77777777" w:rsidTr="0079609B">
        <w:trPr>
          <w:trHeight w:val="454"/>
          <w:jc w:val="center"/>
        </w:trPr>
        <w:tc>
          <w:tcPr>
            <w:tcW w:w="4060" w:type="dxa"/>
            <w:tcBorders>
              <w:top w:val="nil"/>
              <w:left w:val="nil"/>
              <w:bottom w:val="nil"/>
              <w:right w:val="nil"/>
            </w:tcBorders>
            <w:shd w:val="clear" w:color="auto" w:fill="auto"/>
            <w:vAlign w:val="bottom"/>
            <w:hideMark/>
          </w:tcPr>
          <w:p w14:paraId="02C8B6BD"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Aged Care Volunteer Visitors Scheme - reprofile of funding</w:t>
            </w:r>
          </w:p>
        </w:tc>
        <w:tc>
          <w:tcPr>
            <w:tcW w:w="900" w:type="dxa"/>
            <w:tcBorders>
              <w:top w:val="nil"/>
              <w:left w:val="nil"/>
              <w:bottom w:val="nil"/>
              <w:right w:val="nil"/>
            </w:tcBorders>
            <w:shd w:val="clear" w:color="auto" w:fill="auto"/>
            <w:noWrap/>
            <w:vAlign w:val="bottom"/>
            <w:hideMark/>
          </w:tcPr>
          <w:p w14:paraId="6917208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527 </w:t>
            </w:r>
          </w:p>
        </w:tc>
        <w:tc>
          <w:tcPr>
            <w:tcW w:w="900" w:type="dxa"/>
            <w:tcBorders>
              <w:top w:val="nil"/>
              <w:left w:val="nil"/>
              <w:bottom w:val="nil"/>
              <w:right w:val="nil"/>
            </w:tcBorders>
            <w:shd w:val="clear" w:color="auto" w:fill="auto"/>
            <w:noWrap/>
            <w:vAlign w:val="bottom"/>
            <w:hideMark/>
          </w:tcPr>
          <w:p w14:paraId="37482A9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696FF9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9D8B6D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45FD39D5" w14:textId="77777777" w:rsidTr="0079609B">
        <w:trPr>
          <w:trHeight w:val="454"/>
          <w:jc w:val="center"/>
        </w:trPr>
        <w:tc>
          <w:tcPr>
            <w:tcW w:w="4060" w:type="dxa"/>
            <w:tcBorders>
              <w:top w:val="nil"/>
              <w:left w:val="nil"/>
              <w:bottom w:val="nil"/>
              <w:right w:val="nil"/>
            </w:tcBorders>
            <w:shd w:val="clear" w:color="auto" w:fill="auto"/>
            <w:vAlign w:val="bottom"/>
            <w:hideMark/>
          </w:tcPr>
          <w:p w14:paraId="7A73C02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AN-ACC New Transition Grants - correction to estimates</w:t>
            </w:r>
          </w:p>
        </w:tc>
        <w:tc>
          <w:tcPr>
            <w:tcW w:w="900" w:type="dxa"/>
            <w:tcBorders>
              <w:top w:val="nil"/>
              <w:left w:val="nil"/>
              <w:bottom w:val="nil"/>
              <w:right w:val="nil"/>
            </w:tcBorders>
            <w:shd w:val="clear" w:color="auto" w:fill="auto"/>
            <w:noWrap/>
            <w:vAlign w:val="bottom"/>
            <w:hideMark/>
          </w:tcPr>
          <w:p w14:paraId="459F3E8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6,000 </w:t>
            </w:r>
          </w:p>
        </w:tc>
        <w:tc>
          <w:tcPr>
            <w:tcW w:w="900" w:type="dxa"/>
            <w:tcBorders>
              <w:top w:val="nil"/>
              <w:left w:val="nil"/>
              <w:bottom w:val="nil"/>
              <w:right w:val="nil"/>
            </w:tcBorders>
            <w:shd w:val="clear" w:color="auto" w:fill="auto"/>
            <w:noWrap/>
            <w:vAlign w:val="bottom"/>
            <w:hideMark/>
          </w:tcPr>
          <w:p w14:paraId="092EC14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1B85F8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936CA5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30A51870" w14:textId="77777777" w:rsidTr="0079609B">
        <w:trPr>
          <w:trHeight w:val="454"/>
          <w:jc w:val="center"/>
        </w:trPr>
        <w:tc>
          <w:tcPr>
            <w:tcW w:w="4060" w:type="dxa"/>
            <w:tcBorders>
              <w:top w:val="nil"/>
              <w:left w:val="nil"/>
              <w:bottom w:val="nil"/>
              <w:right w:val="nil"/>
            </w:tcBorders>
            <w:shd w:val="clear" w:color="auto" w:fill="auto"/>
            <w:vAlign w:val="bottom"/>
            <w:hideMark/>
          </w:tcPr>
          <w:p w14:paraId="1EA06C22"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Assistive Technology &amp; Home Modifications Loans Trial - reprofile of funding</w:t>
            </w:r>
          </w:p>
        </w:tc>
        <w:tc>
          <w:tcPr>
            <w:tcW w:w="900" w:type="dxa"/>
            <w:tcBorders>
              <w:top w:val="nil"/>
              <w:left w:val="nil"/>
              <w:bottom w:val="nil"/>
              <w:right w:val="nil"/>
            </w:tcBorders>
            <w:shd w:val="clear" w:color="auto" w:fill="auto"/>
            <w:noWrap/>
            <w:vAlign w:val="bottom"/>
            <w:hideMark/>
          </w:tcPr>
          <w:p w14:paraId="0B61205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4,000 </w:t>
            </w:r>
          </w:p>
        </w:tc>
        <w:tc>
          <w:tcPr>
            <w:tcW w:w="900" w:type="dxa"/>
            <w:tcBorders>
              <w:top w:val="nil"/>
              <w:left w:val="nil"/>
              <w:bottom w:val="nil"/>
              <w:right w:val="nil"/>
            </w:tcBorders>
            <w:shd w:val="clear" w:color="auto" w:fill="auto"/>
            <w:noWrap/>
            <w:vAlign w:val="bottom"/>
            <w:hideMark/>
          </w:tcPr>
          <w:p w14:paraId="2822176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(4,000)</w:t>
            </w:r>
          </w:p>
        </w:tc>
        <w:tc>
          <w:tcPr>
            <w:tcW w:w="900" w:type="dxa"/>
            <w:tcBorders>
              <w:top w:val="nil"/>
              <w:left w:val="nil"/>
              <w:bottom w:val="nil"/>
              <w:right w:val="nil"/>
            </w:tcBorders>
            <w:shd w:val="clear" w:color="auto" w:fill="auto"/>
            <w:noWrap/>
            <w:vAlign w:val="bottom"/>
            <w:hideMark/>
          </w:tcPr>
          <w:p w14:paraId="3EE8789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66750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720F3AF" w14:textId="77777777" w:rsidTr="0079609B">
        <w:trPr>
          <w:trHeight w:val="454"/>
          <w:jc w:val="center"/>
        </w:trPr>
        <w:tc>
          <w:tcPr>
            <w:tcW w:w="4060" w:type="dxa"/>
            <w:tcBorders>
              <w:top w:val="nil"/>
              <w:left w:val="nil"/>
              <w:bottom w:val="nil"/>
              <w:right w:val="nil"/>
            </w:tcBorders>
            <w:shd w:val="clear" w:color="auto" w:fill="auto"/>
            <w:vAlign w:val="bottom"/>
            <w:hideMark/>
          </w:tcPr>
          <w:p w14:paraId="48A75AD3"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Australian National Aged Care Classification - reprofile of funding</w:t>
            </w:r>
          </w:p>
        </w:tc>
        <w:tc>
          <w:tcPr>
            <w:tcW w:w="900" w:type="dxa"/>
            <w:tcBorders>
              <w:top w:val="nil"/>
              <w:left w:val="nil"/>
              <w:bottom w:val="nil"/>
              <w:right w:val="nil"/>
            </w:tcBorders>
            <w:shd w:val="clear" w:color="auto" w:fill="auto"/>
            <w:noWrap/>
            <w:vAlign w:val="bottom"/>
            <w:hideMark/>
          </w:tcPr>
          <w:p w14:paraId="57543E3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18,947 </w:t>
            </w:r>
          </w:p>
        </w:tc>
        <w:tc>
          <w:tcPr>
            <w:tcW w:w="900" w:type="dxa"/>
            <w:tcBorders>
              <w:top w:val="nil"/>
              <w:left w:val="nil"/>
              <w:bottom w:val="nil"/>
              <w:right w:val="nil"/>
            </w:tcBorders>
            <w:shd w:val="clear" w:color="auto" w:fill="auto"/>
            <w:noWrap/>
            <w:vAlign w:val="bottom"/>
            <w:hideMark/>
          </w:tcPr>
          <w:p w14:paraId="55E2F36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EA1B90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D44E56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9F205CF" w14:textId="77777777" w:rsidTr="0079609B">
        <w:trPr>
          <w:trHeight w:val="283"/>
          <w:jc w:val="center"/>
        </w:trPr>
        <w:tc>
          <w:tcPr>
            <w:tcW w:w="4060" w:type="dxa"/>
            <w:tcBorders>
              <w:top w:val="nil"/>
              <w:left w:val="nil"/>
              <w:bottom w:val="nil"/>
              <w:right w:val="nil"/>
            </w:tcBorders>
            <w:shd w:val="clear" w:color="auto" w:fill="auto"/>
            <w:vAlign w:val="bottom"/>
            <w:hideMark/>
          </w:tcPr>
          <w:p w14:paraId="46316FE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Future Aged Care ICT Platform - reprofile of funding</w:t>
            </w:r>
          </w:p>
        </w:tc>
        <w:tc>
          <w:tcPr>
            <w:tcW w:w="900" w:type="dxa"/>
            <w:tcBorders>
              <w:top w:val="nil"/>
              <w:left w:val="nil"/>
              <w:bottom w:val="nil"/>
              <w:right w:val="nil"/>
            </w:tcBorders>
            <w:shd w:val="clear" w:color="auto" w:fill="auto"/>
            <w:noWrap/>
            <w:vAlign w:val="bottom"/>
            <w:hideMark/>
          </w:tcPr>
          <w:p w14:paraId="719F613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1,776 </w:t>
            </w:r>
          </w:p>
        </w:tc>
        <w:tc>
          <w:tcPr>
            <w:tcW w:w="900" w:type="dxa"/>
            <w:tcBorders>
              <w:top w:val="nil"/>
              <w:left w:val="nil"/>
              <w:bottom w:val="nil"/>
              <w:right w:val="nil"/>
            </w:tcBorders>
            <w:shd w:val="clear" w:color="auto" w:fill="auto"/>
            <w:noWrap/>
            <w:vAlign w:val="bottom"/>
            <w:hideMark/>
          </w:tcPr>
          <w:p w14:paraId="0A61427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03F8DC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12F984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6DE96A34" w14:textId="77777777" w:rsidTr="0079609B">
        <w:trPr>
          <w:trHeight w:val="454"/>
          <w:jc w:val="center"/>
        </w:trPr>
        <w:tc>
          <w:tcPr>
            <w:tcW w:w="4060" w:type="dxa"/>
            <w:tcBorders>
              <w:top w:val="nil"/>
              <w:left w:val="nil"/>
              <w:bottom w:val="nil"/>
              <w:right w:val="nil"/>
            </w:tcBorders>
            <w:shd w:val="clear" w:color="auto" w:fill="auto"/>
            <w:vAlign w:val="bottom"/>
            <w:hideMark/>
          </w:tcPr>
          <w:p w14:paraId="24D58F26"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Home Care Packages Program - correction to estimates</w:t>
            </w:r>
          </w:p>
        </w:tc>
        <w:tc>
          <w:tcPr>
            <w:tcW w:w="900" w:type="dxa"/>
            <w:tcBorders>
              <w:top w:val="nil"/>
              <w:left w:val="nil"/>
              <w:bottom w:val="nil"/>
              <w:right w:val="nil"/>
            </w:tcBorders>
            <w:shd w:val="clear" w:color="auto" w:fill="auto"/>
            <w:noWrap/>
            <w:vAlign w:val="bottom"/>
            <w:hideMark/>
          </w:tcPr>
          <w:p w14:paraId="2FE15A1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7,258 </w:t>
            </w:r>
          </w:p>
        </w:tc>
        <w:tc>
          <w:tcPr>
            <w:tcW w:w="900" w:type="dxa"/>
            <w:tcBorders>
              <w:top w:val="nil"/>
              <w:left w:val="nil"/>
              <w:bottom w:val="nil"/>
              <w:right w:val="nil"/>
            </w:tcBorders>
            <w:shd w:val="clear" w:color="auto" w:fill="auto"/>
            <w:noWrap/>
            <w:vAlign w:val="bottom"/>
            <w:hideMark/>
          </w:tcPr>
          <w:p w14:paraId="734990B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2,771 </w:t>
            </w:r>
          </w:p>
        </w:tc>
        <w:tc>
          <w:tcPr>
            <w:tcW w:w="900" w:type="dxa"/>
            <w:tcBorders>
              <w:top w:val="nil"/>
              <w:left w:val="nil"/>
              <w:bottom w:val="nil"/>
              <w:right w:val="nil"/>
            </w:tcBorders>
            <w:shd w:val="clear" w:color="auto" w:fill="auto"/>
            <w:noWrap/>
            <w:vAlign w:val="bottom"/>
            <w:hideMark/>
          </w:tcPr>
          <w:p w14:paraId="6841F2C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50BB9F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481DB4CF" w14:textId="77777777" w:rsidTr="0079609B">
        <w:trPr>
          <w:trHeight w:val="283"/>
          <w:jc w:val="center"/>
        </w:trPr>
        <w:tc>
          <w:tcPr>
            <w:tcW w:w="4060" w:type="dxa"/>
            <w:tcBorders>
              <w:top w:val="nil"/>
              <w:left w:val="nil"/>
              <w:bottom w:val="nil"/>
              <w:right w:val="nil"/>
            </w:tcBorders>
            <w:shd w:val="clear" w:color="auto" w:fill="auto"/>
            <w:vAlign w:val="bottom"/>
            <w:hideMark/>
          </w:tcPr>
          <w:p w14:paraId="2E9C3F4F"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My Aged Care - reprofile of funding</w:t>
            </w:r>
          </w:p>
        </w:tc>
        <w:tc>
          <w:tcPr>
            <w:tcW w:w="900" w:type="dxa"/>
            <w:tcBorders>
              <w:top w:val="nil"/>
              <w:left w:val="nil"/>
              <w:bottom w:val="nil"/>
              <w:right w:val="nil"/>
            </w:tcBorders>
            <w:shd w:val="clear" w:color="auto" w:fill="auto"/>
            <w:noWrap/>
            <w:vAlign w:val="bottom"/>
            <w:hideMark/>
          </w:tcPr>
          <w:p w14:paraId="3B357B4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2,585 </w:t>
            </w:r>
          </w:p>
        </w:tc>
        <w:tc>
          <w:tcPr>
            <w:tcW w:w="900" w:type="dxa"/>
            <w:tcBorders>
              <w:top w:val="nil"/>
              <w:left w:val="nil"/>
              <w:bottom w:val="nil"/>
              <w:right w:val="nil"/>
            </w:tcBorders>
            <w:shd w:val="clear" w:color="auto" w:fill="auto"/>
            <w:noWrap/>
            <w:vAlign w:val="bottom"/>
            <w:hideMark/>
          </w:tcPr>
          <w:p w14:paraId="0DC690B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5AA41A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FA56B9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39C2673" w14:textId="77777777" w:rsidTr="0079609B">
        <w:trPr>
          <w:trHeight w:val="454"/>
          <w:jc w:val="center"/>
        </w:trPr>
        <w:tc>
          <w:tcPr>
            <w:tcW w:w="4060" w:type="dxa"/>
            <w:tcBorders>
              <w:top w:val="nil"/>
              <w:left w:val="nil"/>
              <w:bottom w:val="nil"/>
              <w:right w:val="nil"/>
            </w:tcBorders>
            <w:shd w:val="clear" w:color="auto" w:fill="auto"/>
            <w:vAlign w:val="bottom"/>
            <w:hideMark/>
          </w:tcPr>
          <w:p w14:paraId="36AE3614"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Support at Home ICT Capability Development - reprofile of funding</w:t>
            </w:r>
          </w:p>
        </w:tc>
        <w:tc>
          <w:tcPr>
            <w:tcW w:w="900" w:type="dxa"/>
            <w:tcBorders>
              <w:top w:val="nil"/>
              <w:left w:val="nil"/>
              <w:bottom w:val="nil"/>
              <w:right w:val="nil"/>
            </w:tcBorders>
            <w:shd w:val="clear" w:color="auto" w:fill="auto"/>
            <w:noWrap/>
            <w:vAlign w:val="bottom"/>
            <w:hideMark/>
          </w:tcPr>
          <w:p w14:paraId="545D5EA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6,009 </w:t>
            </w:r>
          </w:p>
        </w:tc>
        <w:tc>
          <w:tcPr>
            <w:tcW w:w="900" w:type="dxa"/>
            <w:tcBorders>
              <w:top w:val="nil"/>
              <w:left w:val="nil"/>
              <w:bottom w:val="nil"/>
              <w:right w:val="nil"/>
            </w:tcBorders>
            <w:shd w:val="clear" w:color="auto" w:fill="auto"/>
            <w:noWrap/>
            <w:vAlign w:val="bottom"/>
            <w:hideMark/>
          </w:tcPr>
          <w:p w14:paraId="1D0602A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AA027B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D20850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4C1EE635" w14:textId="77777777" w:rsidTr="0079609B">
        <w:trPr>
          <w:trHeight w:val="283"/>
          <w:jc w:val="center"/>
        </w:trPr>
        <w:tc>
          <w:tcPr>
            <w:tcW w:w="4060" w:type="dxa"/>
            <w:tcBorders>
              <w:top w:val="nil"/>
              <w:left w:val="nil"/>
              <w:bottom w:val="nil"/>
              <w:right w:val="nil"/>
            </w:tcBorders>
            <w:shd w:val="clear" w:color="auto" w:fill="auto"/>
            <w:noWrap/>
            <w:vAlign w:val="bottom"/>
            <w:hideMark/>
          </w:tcPr>
          <w:p w14:paraId="387BD980"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Price parameter adjustments</w:t>
            </w:r>
            <w:r w:rsidRPr="002567A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0253E78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7E612B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067D25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1,231 </w:t>
            </w:r>
          </w:p>
        </w:tc>
        <w:tc>
          <w:tcPr>
            <w:tcW w:w="900" w:type="dxa"/>
            <w:tcBorders>
              <w:top w:val="nil"/>
              <w:left w:val="nil"/>
              <w:bottom w:val="nil"/>
              <w:right w:val="nil"/>
            </w:tcBorders>
            <w:shd w:val="clear" w:color="auto" w:fill="auto"/>
            <w:noWrap/>
            <w:vAlign w:val="bottom"/>
            <w:hideMark/>
          </w:tcPr>
          <w:p w14:paraId="29FC38E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1,257 </w:t>
            </w:r>
          </w:p>
        </w:tc>
      </w:tr>
      <w:tr w:rsidR="002567A6" w:rsidRPr="002567A6" w14:paraId="2C907EC9" w14:textId="77777777" w:rsidTr="0079609B">
        <w:trPr>
          <w:trHeight w:val="283"/>
          <w:jc w:val="center"/>
        </w:trPr>
        <w:tc>
          <w:tcPr>
            <w:tcW w:w="4060" w:type="dxa"/>
            <w:tcBorders>
              <w:top w:val="nil"/>
              <w:left w:val="nil"/>
              <w:bottom w:val="nil"/>
              <w:right w:val="nil"/>
            </w:tcBorders>
            <w:shd w:val="clear" w:color="auto" w:fill="auto"/>
            <w:noWrap/>
            <w:vAlign w:val="bottom"/>
            <w:hideMark/>
          </w:tcPr>
          <w:p w14:paraId="587258A4" w14:textId="77777777" w:rsidR="002567A6" w:rsidRPr="002567A6" w:rsidRDefault="002567A6" w:rsidP="002567A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35BF802B"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57,333 </w:t>
            </w:r>
          </w:p>
        </w:tc>
        <w:tc>
          <w:tcPr>
            <w:tcW w:w="900" w:type="dxa"/>
            <w:tcBorders>
              <w:top w:val="single" w:sz="4" w:space="0" w:color="auto"/>
              <w:left w:val="nil"/>
              <w:bottom w:val="single" w:sz="4" w:space="0" w:color="auto"/>
              <w:right w:val="nil"/>
            </w:tcBorders>
            <w:shd w:val="clear" w:color="auto" w:fill="auto"/>
            <w:noWrap/>
            <w:vAlign w:val="bottom"/>
            <w:hideMark/>
          </w:tcPr>
          <w:p w14:paraId="0EA4BD60"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(373)</w:t>
            </w:r>
          </w:p>
        </w:tc>
        <w:tc>
          <w:tcPr>
            <w:tcW w:w="900" w:type="dxa"/>
            <w:tcBorders>
              <w:top w:val="single" w:sz="4" w:space="0" w:color="auto"/>
              <w:left w:val="nil"/>
              <w:bottom w:val="single" w:sz="4" w:space="0" w:color="auto"/>
              <w:right w:val="nil"/>
            </w:tcBorders>
            <w:shd w:val="clear" w:color="auto" w:fill="auto"/>
            <w:noWrap/>
            <w:vAlign w:val="bottom"/>
            <w:hideMark/>
          </w:tcPr>
          <w:p w14:paraId="6101D7DA"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1,231 </w:t>
            </w:r>
          </w:p>
        </w:tc>
        <w:tc>
          <w:tcPr>
            <w:tcW w:w="900" w:type="dxa"/>
            <w:tcBorders>
              <w:top w:val="single" w:sz="4" w:space="0" w:color="auto"/>
              <w:left w:val="nil"/>
              <w:bottom w:val="single" w:sz="4" w:space="0" w:color="auto"/>
              <w:right w:val="nil"/>
            </w:tcBorders>
            <w:shd w:val="clear" w:color="auto" w:fill="auto"/>
            <w:noWrap/>
            <w:vAlign w:val="bottom"/>
            <w:hideMark/>
          </w:tcPr>
          <w:p w14:paraId="1EC2A714"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1,257 </w:t>
            </w:r>
          </w:p>
        </w:tc>
      </w:tr>
    </w:tbl>
    <w:p w14:paraId="087D64B7" w14:textId="7F0F26EF" w:rsidR="002B5B49" w:rsidRDefault="002B5B49" w:rsidP="002B5B49">
      <w:pPr>
        <w:pStyle w:val="TableGraphic"/>
        <w:rPr>
          <w:iCs/>
        </w:rPr>
      </w:pPr>
    </w:p>
    <w:p w14:paraId="75E73EA2" w14:textId="77777777" w:rsidR="002D572C" w:rsidRDefault="002D572C">
      <w:pPr>
        <w:spacing w:before="0" w:after="0" w:line="240" w:lineRule="auto"/>
        <w:rPr>
          <w:rFonts w:ascii="Arial" w:hAnsi="Arial"/>
          <w:b/>
          <w:sz w:val="20"/>
        </w:rPr>
      </w:pPr>
      <w:r>
        <w:br w:type="page"/>
      </w:r>
    </w:p>
    <w:p w14:paraId="4D8D7E25" w14:textId="1554EBD0" w:rsidR="002B5B49" w:rsidRPr="00AC6239" w:rsidRDefault="002567A6" w:rsidP="00E81B71">
      <w:pPr>
        <w:pStyle w:val="TableHeading"/>
      </w:pPr>
      <w:r>
        <w:lastRenderedPageBreak/>
        <w:t>Table 2.3</w:t>
      </w:r>
      <w:r w:rsidR="002B5B49" w:rsidRPr="00AC6239">
        <w:t>.1</w:t>
      </w:r>
      <w:r>
        <w:t xml:space="preserve"> </w:t>
      </w:r>
      <w:r w:rsidR="003C1E30">
        <w:t>Variations table –</w:t>
      </w:r>
      <w:r w:rsidR="00E81B71">
        <w:t xml:space="preserve"> </w:t>
      </w:r>
      <w:r w:rsidR="00E81B71" w:rsidRPr="00D93D96">
        <w:t xml:space="preserve">Outcome </w:t>
      </w:r>
      <w:r w:rsidR="00E81B71">
        <w:t xml:space="preserve">3 </w:t>
      </w:r>
      <w:r w:rsidR="002B5B49" w:rsidRPr="00AC6239">
        <w:t>(continued)</w:t>
      </w:r>
    </w:p>
    <w:tbl>
      <w:tblPr>
        <w:tblW w:w="7660" w:type="dxa"/>
        <w:tblLook w:val="04A0" w:firstRow="1" w:lastRow="0" w:firstColumn="1" w:lastColumn="0" w:noHBand="0" w:noVBand="1"/>
      </w:tblPr>
      <w:tblGrid>
        <w:gridCol w:w="4060"/>
        <w:gridCol w:w="900"/>
        <w:gridCol w:w="900"/>
        <w:gridCol w:w="900"/>
        <w:gridCol w:w="900"/>
      </w:tblGrid>
      <w:tr w:rsidR="002567A6" w:rsidRPr="002567A6" w14:paraId="0B5629AD" w14:textId="77777777" w:rsidTr="00503717">
        <w:trPr>
          <w:trHeight w:val="397"/>
        </w:trPr>
        <w:tc>
          <w:tcPr>
            <w:tcW w:w="4060" w:type="dxa"/>
            <w:tcBorders>
              <w:top w:val="single" w:sz="4" w:space="0" w:color="auto"/>
              <w:left w:val="nil"/>
              <w:bottom w:val="nil"/>
              <w:right w:val="nil"/>
            </w:tcBorders>
            <w:shd w:val="clear" w:color="auto" w:fill="auto"/>
            <w:hideMark/>
          </w:tcPr>
          <w:p w14:paraId="5C84B32E" w14:textId="77777777" w:rsidR="002567A6" w:rsidRPr="002567A6" w:rsidRDefault="002567A6" w:rsidP="008F2E71">
            <w:pPr>
              <w:spacing w:before="24" w:after="0" w:line="240" w:lineRule="auto"/>
              <w:jc w:val="right"/>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69DACF10" w14:textId="18E6CCCF" w:rsidR="002567A6" w:rsidRPr="002567A6" w:rsidRDefault="00CB465B" w:rsidP="008F2E71">
            <w:pPr>
              <w:spacing w:before="24" w:after="0" w:line="240" w:lineRule="auto"/>
              <w:jc w:val="right"/>
              <w:rPr>
                <w:rFonts w:ascii="Arial" w:hAnsi="Arial" w:cs="Arial"/>
                <w:b/>
                <w:bCs/>
                <w:sz w:val="16"/>
                <w:szCs w:val="16"/>
              </w:rPr>
            </w:pPr>
            <w:r>
              <w:rPr>
                <w:rFonts w:ascii="Arial" w:hAnsi="Arial" w:cs="Arial"/>
                <w:b/>
                <w:bCs/>
                <w:sz w:val="16"/>
                <w:szCs w:val="16"/>
              </w:rPr>
              <w:t>2023–</w:t>
            </w:r>
            <w:r w:rsidR="002567A6" w:rsidRPr="002567A6">
              <w:rPr>
                <w:rFonts w:ascii="Arial" w:hAnsi="Arial" w:cs="Arial"/>
                <w:b/>
                <w:bCs/>
                <w:sz w:val="16"/>
                <w:szCs w:val="16"/>
              </w:rPr>
              <w:t>24</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A469379" w14:textId="6AEE1368" w:rsidR="002567A6" w:rsidRPr="002567A6" w:rsidRDefault="00CB465B" w:rsidP="008F2E71">
            <w:pPr>
              <w:spacing w:before="24" w:after="0" w:line="240" w:lineRule="auto"/>
              <w:jc w:val="right"/>
              <w:rPr>
                <w:rFonts w:ascii="Arial" w:hAnsi="Arial" w:cs="Arial"/>
                <w:b/>
                <w:bCs/>
                <w:sz w:val="16"/>
                <w:szCs w:val="16"/>
              </w:rPr>
            </w:pPr>
            <w:r>
              <w:rPr>
                <w:rFonts w:ascii="Arial" w:hAnsi="Arial" w:cs="Arial"/>
                <w:b/>
                <w:bCs/>
                <w:sz w:val="16"/>
                <w:szCs w:val="16"/>
              </w:rPr>
              <w:t>2024–</w:t>
            </w:r>
            <w:r w:rsidR="002567A6" w:rsidRPr="002567A6">
              <w:rPr>
                <w:rFonts w:ascii="Arial" w:hAnsi="Arial" w:cs="Arial"/>
                <w:b/>
                <w:bCs/>
                <w:sz w:val="16"/>
                <w:szCs w:val="16"/>
              </w:rPr>
              <w:t>25</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509449B2" w14:textId="494EAB5F" w:rsidR="002567A6" w:rsidRPr="002567A6" w:rsidRDefault="00CB465B" w:rsidP="008F2E71">
            <w:pPr>
              <w:spacing w:before="24" w:after="0" w:line="240" w:lineRule="auto"/>
              <w:jc w:val="right"/>
              <w:rPr>
                <w:rFonts w:ascii="Arial" w:hAnsi="Arial" w:cs="Arial"/>
                <w:b/>
                <w:bCs/>
                <w:sz w:val="16"/>
                <w:szCs w:val="16"/>
              </w:rPr>
            </w:pPr>
            <w:r>
              <w:rPr>
                <w:rFonts w:ascii="Arial" w:hAnsi="Arial" w:cs="Arial"/>
                <w:b/>
                <w:bCs/>
                <w:sz w:val="16"/>
                <w:szCs w:val="16"/>
              </w:rPr>
              <w:t>2025–</w:t>
            </w:r>
            <w:r w:rsidR="002567A6" w:rsidRPr="002567A6">
              <w:rPr>
                <w:rFonts w:ascii="Arial" w:hAnsi="Arial" w:cs="Arial"/>
                <w:b/>
                <w:bCs/>
                <w:sz w:val="16"/>
                <w:szCs w:val="16"/>
              </w:rPr>
              <w:t>26</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63DC091B" w14:textId="324F67AD" w:rsidR="002567A6" w:rsidRPr="002567A6" w:rsidRDefault="00CB465B" w:rsidP="008F2E71">
            <w:pPr>
              <w:spacing w:before="24" w:after="0" w:line="240" w:lineRule="auto"/>
              <w:jc w:val="right"/>
              <w:rPr>
                <w:rFonts w:ascii="Arial" w:hAnsi="Arial" w:cs="Arial"/>
                <w:b/>
                <w:bCs/>
                <w:sz w:val="16"/>
                <w:szCs w:val="16"/>
              </w:rPr>
            </w:pPr>
            <w:r>
              <w:rPr>
                <w:rFonts w:ascii="Arial" w:hAnsi="Arial" w:cs="Arial"/>
                <w:b/>
                <w:bCs/>
                <w:sz w:val="16"/>
                <w:szCs w:val="16"/>
              </w:rPr>
              <w:t>2026–</w:t>
            </w:r>
            <w:r w:rsidR="002567A6" w:rsidRPr="002567A6">
              <w:rPr>
                <w:rFonts w:ascii="Arial" w:hAnsi="Arial" w:cs="Arial"/>
                <w:b/>
                <w:bCs/>
                <w:sz w:val="16"/>
                <w:szCs w:val="16"/>
              </w:rPr>
              <w:t>27</w:t>
            </w:r>
            <w:r w:rsidR="002567A6" w:rsidRPr="002567A6">
              <w:rPr>
                <w:rFonts w:ascii="Arial" w:hAnsi="Arial" w:cs="Arial"/>
                <w:b/>
                <w:bCs/>
                <w:sz w:val="16"/>
                <w:szCs w:val="16"/>
              </w:rPr>
              <w:br/>
            </w:r>
            <w:r w:rsidR="002567A6" w:rsidRPr="002567A6">
              <w:rPr>
                <w:rFonts w:ascii="Arial" w:hAnsi="Arial" w:cs="Arial"/>
                <w:sz w:val="16"/>
                <w:szCs w:val="16"/>
              </w:rPr>
              <w:t>$'000</w:t>
            </w:r>
          </w:p>
        </w:tc>
      </w:tr>
      <w:tr w:rsidR="002567A6" w:rsidRPr="002567A6" w14:paraId="7A145085" w14:textId="77777777" w:rsidTr="000911F8">
        <w:trPr>
          <w:trHeight w:val="283"/>
        </w:trPr>
        <w:tc>
          <w:tcPr>
            <w:tcW w:w="4060" w:type="dxa"/>
            <w:tcBorders>
              <w:top w:val="nil"/>
              <w:left w:val="nil"/>
              <w:bottom w:val="nil"/>
              <w:right w:val="nil"/>
            </w:tcBorders>
            <w:shd w:val="clear" w:color="auto" w:fill="auto"/>
            <w:noWrap/>
            <w:vAlign w:val="bottom"/>
            <w:hideMark/>
          </w:tcPr>
          <w:p w14:paraId="038995A9"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Program 3.2: Aged Care Services</w:t>
            </w:r>
          </w:p>
        </w:tc>
        <w:tc>
          <w:tcPr>
            <w:tcW w:w="900" w:type="dxa"/>
            <w:tcBorders>
              <w:top w:val="nil"/>
              <w:left w:val="nil"/>
              <w:bottom w:val="nil"/>
              <w:right w:val="nil"/>
            </w:tcBorders>
            <w:shd w:val="clear" w:color="auto" w:fill="auto"/>
            <w:noWrap/>
            <w:vAlign w:val="bottom"/>
            <w:hideMark/>
          </w:tcPr>
          <w:p w14:paraId="503F36A1"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41FAE35"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E6AFA6C"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15F2E7"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77AFE0DE" w14:textId="77777777" w:rsidTr="008F2E71">
        <w:trPr>
          <w:trHeight w:val="283"/>
        </w:trPr>
        <w:tc>
          <w:tcPr>
            <w:tcW w:w="4060" w:type="dxa"/>
            <w:tcBorders>
              <w:top w:val="nil"/>
              <w:left w:val="nil"/>
              <w:bottom w:val="nil"/>
              <w:right w:val="nil"/>
            </w:tcBorders>
            <w:shd w:val="clear" w:color="auto" w:fill="auto"/>
            <w:noWrap/>
            <w:vAlign w:val="bottom"/>
            <w:hideMark/>
          </w:tcPr>
          <w:p w14:paraId="7861FEE4"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627C6557"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948A5D4"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30E8D15"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0473B03"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7CEAA601" w14:textId="77777777" w:rsidTr="008F2E71">
        <w:trPr>
          <w:trHeight w:val="283"/>
        </w:trPr>
        <w:tc>
          <w:tcPr>
            <w:tcW w:w="4060" w:type="dxa"/>
            <w:tcBorders>
              <w:top w:val="nil"/>
              <w:left w:val="nil"/>
              <w:bottom w:val="nil"/>
              <w:right w:val="nil"/>
            </w:tcBorders>
            <w:shd w:val="clear" w:color="auto" w:fill="auto"/>
            <w:noWrap/>
            <w:vAlign w:val="bottom"/>
            <w:hideMark/>
          </w:tcPr>
          <w:p w14:paraId="31528B60"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46B9BCEA" w14:textId="77777777" w:rsidR="002567A6" w:rsidRPr="002567A6" w:rsidRDefault="002567A6" w:rsidP="002567A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E912B15"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22EA8D0"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30EE16B"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3E20A1CA" w14:textId="77777777" w:rsidTr="008F2E71">
        <w:trPr>
          <w:trHeight w:val="283"/>
        </w:trPr>
        <w:tc>
          <w:tcPr>
            <w:tcW w:w="4060" w:type="dxa"/>
            <w:tcBorders>
              <w:top w:val="nil"/>
              <w:left w:val="nil"/>
              <w:bottom w:val="nil"/>
              <w:right w:val="nil"/>
            </w:tcBorders>
            <w:shd w:val="clear" w:color="auto" w:fill="auto"/>
            <w:vAlign w:val="bottom"/>
            <w:hideMark/>
          </w:tcPr>
          <w:p w14:paraId="50EF66EE"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Continuation of Aged Care Reform</w:t>
            </w:r>
          </w:p>
        </w:tc>
        <w:tc>
          <w:tcPr>
            <w:tcW w:w="900" w:type="dxa"/>
            <w:tcBorders>
              <w:top w:val="nil"/>
              <w:left w:val="nil"/>
              <w:bottom w:val="nil"/>
              <w:right w:val="nil"/>
            </w:tcBorders>
            <w:shd w:val="clear" w:color="auto" w:fill="auto"/>
            <w:noWrap/>
            <w:vAlign w:val="bottom"/>
            <w:hideMark/>
          </w:tcPr>
          <w:p w14:paraId="0B4C87F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(78,119)</w:t>
            </w:r>
          </w:p>
        </w:tc>
        <w:tc>
          <w:tcPr>
            <w:tcW w:w="900" w:type="dxa"/>
            <w:tcBorders>
              <w:top w:val="nil"/>
              <w:left w:val="nil"/>
              <w:bottom w:val="nil"/>
              <w:right w:val="nil"/>
            </w:tcBorders>
            <w:shd w:val="clear" w:color="auto" w:fill="auto"/>
            <w:noWrap/>
            <w:vAlign w:val="bottom"/>
            <w:hideMark/>
          </w:tcPr>
          <w:p w14:paraId="1208B77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2,208 </w:t>
            </w:r>
          </w:p>
        </w:tc>
        <w:tc>
          <w:tcPr>
            <w:tcW w:w="900" w:type="dxa"/>
            <w:tcBorders>
              <w:top w:val="nil"/>
              <w:left w:val="nil"/>
              <w:bottom w:val="nil"/>
              <w:right w:val="nil"/>
            </w:tcBorders>
            <w:shd w:val="clear" w:color="auto" w:fill="auto"/>
            <w:noWrap/>
            <w:vAlign w:val="bottom"/>
            <w:hideMark/>
          </w:tcPr>
          <w:p w14:paraId="73742F6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2,257 </w:t>
            </w:r>
          </w:p>
        </w:tc>
        <w:tc>
          <w:tcPr>
            <w:tcW w:w="900" w:type="dxa"/>
            <w:tcBorders>
              <w:top w:val="nil"/>
              <w:left w:val="nil"/>
              <w:bottom w:val="nil"/>
              <w:right w:val="nil"/>
            </w:tcBorders>
            <w:shd w:val="clear" w:color="auto" w:fill="auto"/>
            <w:noWrap/>
            <w:vAlign w:val="bottom"/>
            <w:hideMark/>
          </w:tcPr>
          <w:p w14:paraId="4B4C031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2,294 </w:t>
            </w:r>
          </w:p>
        </w:tc>
      </w:tr>
      <w:tr w:rsidR="002567A6" w:rsidRPr="002567A6" w14:paraId="6B20C8C0" w14:textId="77777777" w:rsidTr="008F2E71">
        <w:trPr>
          <w:trHeight w:val="454"/>
        </w:trPr>
        <w:tc>
          <w:tcPr>
            <w:tcW w:w="4060" w:type="dxa"/>
            <w:tcBorders>
              <w:top w:val="nil"/>
              <w:left w:val="nil"/>
              <w:bottom w:val="nil"/>
              <w:right w:val="nil"/>
            </w:tcBorders>
            <w:shd w:val="clear" w:color="auto" w:fill="auto"/>
            <w:vAlign w:val="bottom"/>
            <w:hideMark/>
          </w:tcPr>
          <w:p w14:paraId="04EBA0F2"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Continued Support for the COVID-19 Response</w:t>
            </w:r>
          </w:p>
        </w:tc>
        <w:tc>
          <w:tcPr>
            <w:tcW w:w="900" w:type="dxa"/>
            <w:tcBorders>
              <w:top w:val="nil"/>
              <w:left w:val="nil"/>
              <w:bottom w:val="nil"/>
              <w:right w:val="nil"/>
            </w:tcBorders>
            <w:shd w:val="clear" w:color="auto" w:fill="auto"/>
            <w:noWrap/>
            <w:vAlign w:val="bottom"/>
            <w:hideMark/>
          </w:tcPr>
          <w:p w14:paraId="5E8A203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650 </w:t>
            </w:r>
          </w:p>
        </w:tc>
        <w:tc>
          <w:tcPr>
            <w:tcW w:w="900" w:type="dxa"/>
            <w:tcBorders>
              <w:top w:val="nil"/>
              <w:left w:val="nil"/>
              <w:bottom w:val="nil"/>
              <w:right w:val="nil"/>
            </w:tcBorders>
            <w:shd w:val="clear" w:color="auto" w:fill="auto"/>
            <w:noWrap/>
            <w:vAlign w:val="bottom"/>
            <w:hideMark/>
          </w:tcPr>
          <w:p w14:paraId="740359B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671 </w:t>
            </w:r>
          </w:p>
        </w:tc>
        <w:tc>
          <w:tcPr>
            <w:tcW w:w="900" w:type="dxa"/>
            <w:tcBorders>
              <w:top w:val="nil"/>
              <w:left w:val="nil"/>
              <w:bottom w:val="nil"/>
              <w:right w:val="nil"/>
            </w:tcBorders>
            <w:shd w:val="clear" w:color="auto" w:fill="auto"/>
            <w:noWrap/>
            <w:vAlign w:val="bottom"/>
            <w:hideMark/>
          </w:tcPr>
          <w:p w14:paraId="3F968D7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DBEC88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A3659DE" w14:textId="77777777" w:rsidTr="008F2E71">
        <w:trPr>
          <w:trHeight w:val="454"/>
        </w:trPr>
        <w:tc>
          <w:tcPr>
            <w:tcW w:w="4060" w:type="dxa"/>
            <w:tcBorders>
              <w:top w:val="nil"/>
              <w:left w:val="nil"/>
              <w:bottom w:val="nil"/>
              <w:right w:val="nil"/>
            </w:tcBorders>
            <w:shd w:val="clear" w:color="auto" w:fill="auto"/>
            <w:vAlign w:val="bottom"/>
            <w:hideMark/>
          </w:tcPr>
          <w:p w14:paraId="63C24D6E"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Aged Care Workforce Bonus Payment - reprofile of funding</w:t>
            </w:r>
          </w:p>
        </w:tc>
        <w:tc>
          <w:tcPr>
            <w:tcW w:w="900" w:type="dxa"/>
            <w:tcBorders>
              <w:top w:val="nil"/>
              <w:left w:val="nil"/>
              <w:bottom w:val="nil"/>
              <w:right w:val="nil"/>
            </w:tcBorders>
            <w:shd w:val="clear" w:color="auto" w:fill="auto"/>
            <w:noWrap/>
            <w:vAlign w:val="bottom"/>
            <w:hideMark/>
          </w:tcPr>
          <w:p w14:paraId="3021738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1,000 </w:t>
            </w:r>
          </w:p>
        </w:tc>
        <w:tc>
          <w:tcPr>
            <w:tcW w:w="900" w:type="dxa"/>
            <w:tcBorders>
              <w:top w:val="nil"/>
              <w:left w:val="nil"/>
              <w:bottom w:val="nil"/>
              <w:right w:val="nil"/>
            </w:tcBorders>
            <w:shd w:val="clear" w:color="auto" w:fill="auto"/>
            <w:noWrap/>
            <w:vAlign w:val="bottom"/>
            <w:hideMark/>
          </w:tcPr>
          <w:p w14:paraId="0E5960C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5E2734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B6C70F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51C70CD" w14:textId="77777777" w:rsidTr="008F2E71">
        <w:trPr>
          <w:trHeight w:val="454"/>
        </w:trPr>
        <w:tc>
          <w:tcPr>
            <w:tcW w:w="4060" w:type="dxa"/>
            <w:tcBorders>
              <w:top w:val="nil"/>
              <w:left w:val="nil"/>
              <w:bottom w:val="nil"/>
              <w:right w:val="nil"/>
            </w:tcBorders>
            <w:shd w:val="clear" w:color="auto" w:fill="auto"/>
            <w:vAlign w:val="bottom"/>
            <w:hideMark/>
          </w:tcPr>
          <w:p w14:paraId="122284F3"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Commonwealth Home Support Program - reprofile of funding</w:t>
            </w:r>
          </w:p>
        </w:tc>
        <w:tc>
          <w:tcPr>
            <w:tcW w:w="900" w:type="dxa"/>
            <w:tcBorders>
              <w:top w:val="nil"/>
              <w:left w:val="nil"/>
              <w:bottom w:val="nil"/>
              <w:right w:val="nil"/>
            </w:tcBorders>
            <w:shd w:val="clear" w:color="auto" w:fill="auto"/>
            <w:noWrap/>
            <w:vAlign w:val="bottom"/>
            <w:hideMark/>
          </w:tcPr>
          <w:p w14:paraId="515315F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16,750 </w:t>
            </w:r>
          </w:p>
        </w:tc>
        <w:tc>
          <w:tcPr>
            <w:tcW w:w="900" w:type="dxa"/>
            <w:tcBorders>
              <w:top w:val="nil"/>
              <w:left w:val="nil"/>
              <w:bottom w:val="nil"/>
              <w:right w:val="nil"/>
            </w:tcBorders>
            <w:shd w:val="clear" w:color="auto" w:fill="auto"/>
            <w:noWrap/>
            <w:vAlign w:val="bottom"/>
            <w:hideMark/>
          </w:tcPr>
          <w:p w14:paraId="7B7DE38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78F244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96FE7C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80B8BAB" w14:textId="77777777" w:rsidTr="008F2E71">
        <w:trPr>
          <w:trHeight w:val="283"/>
        </w:trPr>
        <w:tc>
          <w:tcPr>
            <w:tcW w:w="4060" w:type="dxa"/>
            <w:tcBorders>
              <w:top w:val="nil"/>
              <w:left w:val="nil"/>
              <w:bottom w:val="nil"/>
              <w:right w:val="nil"/>
            </w:tcBorders>
            <w:shd w:val="clear" w:color="auto" w:fill="auto"/>
            <w:noWrap/>
            <w:vAlign w:val="bottom"/>
            <w:hideMark/>
          </w:tcPr>
          <w:p w14:paraId="7F202D54" w14:textId="103FCB72"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 xml:space="preserve">Correction to appropriation - to Special </w:t>
            </w:r>
            <w:r w:rsidR="008F2E71" w:rsidRPr="002567A6">
              <w:rPr>
                <w:rFonts w:ascii="Arial" w:hAnsi="Arial" w:cs="Arial"/>
                <w:sz w:val="16"/>
                <w:szCs w:val="16"/>
              </w:rPr>
              <w:t>appropriation</w:t>
            </w:r>
          </w:p>
        </w:tc>
        <w:tc>
          <w:tcPr>
            <w:tcW w:w="900" w:type="dxa"/>
            <w:tcBorders>
              <w:top w:val="nil"/>
              <w:left w:val="nil"/>
              <w:bottom w:val="nil"/>
              <w:right w:val="nil"/>
            </w:tcBorders>
            <w:shd w:val="clear" w:color="auto" w:fill="auto"/>
            <w:noWrap/>
            <w:vAlign w:val="bottom"/>
            <w:hideMark/>
          </w:tcPr>
          <w:p w14:paraId="1077ECF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(112)</w:t>
            </w:r>
          </w:p>
        </w:tc>
        <w:tc>
          <w:tcPr>
            <w:tcW w:w="900" w:type="dxa"/>
            <w:tcBorders>
              <w:top w:val="nil"/>
              <w:left w:val="nil"/>
              <w:bottom w:val="nil"/>
              <w:right w:val="nil"/>
            </w:tcBorders>
            <w:shd w:val="clear" w:color="auto" w:fill="auto"/>
            <w:noWrap/>
            <w:vAlign w:val="bottom"/>
            <w:hideMark/>
          </w:tcPr>
          <w:p w14:paraId="63C9DC7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(680)</w:t>
            </w:r>
          </w:p>
        </w:tc>
        <w:tc>
          <w:tcPr>
            <w:tcW w:w="900" w:type="dxa"/>
            <w:tcBorders>
              <w:top w:val="nil"/>
              <w:left w:val="nil"/>
              <w:bottom w:val="nil"/>
              <w:right w:val="nil"/>
            </w:tcBorders>
            <w:shd w:val="clear" w:color="auto" w:fill="auto"/>
            <w:noWrap/>
            <w:vAlign w:val="bottom"/>
            <w:hideMark/>
          </w:tcPr>
          <w:p w14:paraId="521B0E2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(866)</w:t>
            </w:r>
          </w:p>
        </w:tc>
        <w:tc>
          <w:tcPr>
            <w:tcW w:w="900" w:type="dxa"/>
            <w:tcBorders>
              <w:top w:val="nil"/>
              <w:left w:val="nil"/>
              <w:bottom w:val="nil"/>
              <w:right w:val="nil"/>
            </w:tcBorders>
            <w:shd w:val="clear" w:color="auto" w:fill="auto"/>
            <w:noWrap/>
            <w:vAlign w:val="bottom"/>
            <w:hideMark/>
          </w:tcPr>
          <w:p w14:paraId="72F9E67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(885)</w:t>
            </w:r>
          </w:p>
        </w:tc>
      </w:tr>
      <w:tr w:rsidR="002567A6" w:rsidRPr="002567A6" w14:paraId="7AD92899" w14:textId="77777777" w:rsidTr="008F2E71">
        <w:trPr>
          <w:trHeight w:val="283"/>
        </w:trPr>
        <w:tc>
          <w:tcPr>
            <w:tcW w:w="4060" w:type="dxa"/>
            <w:tcBorders>
              <w:top w:val="nil"/>
              <w:left w:val="nil"/>
              <w:bottom w:val="nil"/>
              <w:right w:val="nil"/>
            </w:tcBorders>
            <w:shd w:val="clear" w:color="auto" w:fill="auto"/>
            <w:noWrap/>
            <w:vAlign w:val="bottom"/>
            <w:hideMark/>
          </w:tcPr>
          <w:p w14:paraId="6DFA058C"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Correction to estimates</w:t>
            </w:r>
          </w:p>
        </w:tc>
        <w:tc>
          <w:tcPr>
            <w:tcW w:w="900" w:type="dxa"/>
            <w:tcBorders>
              <w:top w:val="nil"/>
              <w:left w:val="nil"/>
              <w:bottom w:val="nil"/>
              <w:right w:val="nil"/>
            </w:tcBorders>
            <w:shd w:val="clear" w:color="auto" w:fill="auto"/>
            <w:noWrap/>
            <w:vAlign w:val="bottom"/>
            <w:hideMark/>
          </w:tcPr>
          <w:p w14:paraId="2BB3B16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(7,258)</w:t>
            </w:r>
          </w:p>
        </w:tc>
        <w:tc>
          <w:tcPr>
            <w:tcW w:w="900" w:type="dxa"/>
            <w:tcBorders>
              <w:top w:val="nil"/>
              <w:left w:val="nil"/>
              <w:bottom w:val="nil"/>
              <w:right w:val="nil"/>
            </w:tcBorders>
            <w:shd w:val="clear" w:color="auto" w:fill="auto"/>
            <w:noWrap/>
            <w:vAlign w:val="bottom"/>
            <w:hideMark/>
          </w:tcPr>
          <w:p w14:paraId="27A9019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(2,771)</w:t>
            </w:r>
          </w:p>
        </w:tc>
        <w:tc>
          <w:tcPr>
            <w:tcW w:w="900" w:type="dxa"/>
            <w:tcBorders>
              <w:top w:val="nil"/>
              <w:left w:val="nil"/>
              <w:bottom w:val="nil"/>
              <w:right w:val="nil"/>
            </w:tcBorders>
            <w:shd w:val="clear" w:color="auto" w:fill="auto"/>
            <w:noWrap/>
            <w:vAlign w:val="bottom"/>
            <w:hideMark/>
          </w:tcPr>
          <w:p w14:paraId="19AF343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173999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37F65B43" w14:textId="77777777" w:rsidTr="008F2E71">
        <w:trPr>
          <w:trHeight w:val="454"/>
        </w:trPr>
        <w:tc>
          <w:tcPr>
            <w:tcW w:w="4060" w:type="dxa"/>
            <w:tcBorders>
              <w:top w:val="nil"/>
              <w:left w:val="nil"/>
              <w:bottom w:val="nil"/>
              <w:right w:val="nil"/>
            </w:tcBorders>
            <w:shd w:val="clear" w:color="auto" w:fill="auto"/>
            <w:vAlign w:val="bottom"/>
            <w:hideMark/>
          </w:tcPr>
          <w:p w14:paraId="77F76C7D"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Our Lady of Lebanon - reallocation to Department of Infrastructure</w:t>
            </w:r>
          </w:p>
        </w:tc>
        <w:tc>
          <w:tcPr>
            <w:tcW w:w="900" w:type="dxa"/>
            <w:tcBorders>
              <w:top w:val="nil"/>
              <w:left w:val="nil"/>
              <w:bottom w:val="nil"/>
              <w:right w:val="nil"/>
            </w:tcBorders>
            <w:shd w:val="clear" w:color="auto" w:fill="auto"/>
            <w:noWrap/>
            <w:vAlign w:val="bottom"/>
            <w:hideMark/>
          </w:tcPr>
          <w:p w14:paraId="6A0A01C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(2,500)</w:t>
            </w:r>
          </w:p>
        </w:tc>
        <w:tc>
          <w:tcPr>
            <w:tcW w:w="900" w:type="dxa"/>
            <w:tcBorders>
              <w:top w:val="nil"/>
              <w:left w:val="nil"/>
              <w:bottom w:val="nil"/>
              <w:right w:val="nil"/>
            </w:tcBorders>
            <w:shd w:val="clear" w:color="auto" w:fill="auto"/>
            <w:noWrap/>
            <w:vAlign w:val="bottom"/>
            <w:hideMark/>
          </w:tcPr>
          <w:p w14:paraId="1CF4023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(3,500)</w:t>
            </w:r>
          </w:p>
        </w:tc>
        <w:tc>
          <w:tcPr>
            <w:tcW w:w="900" w:type="dxa"/>
            <w:tcBorders>
              <w:top w:val="nil"/>
              <w:left w:val="nil"/>
              <w:bottom w:val="nil"/>
              <w:right w:val="nil"/>
            </w:tcBorders>
            <w:shd w:val="clear" w:color="auto" w:fill="auto"/>
            <w:noWrap/>
            <w:vAlign w:val="bottom"/>
            <w:hideMark/>
          </w:tcPr>
          <w:p w14:paraId="5805012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(4,000)</w:t>
            </w:r>
          </w:p>
        </w:tc>
        <w:tc>
          <w:tcPr>
            <w:tcW w:w="900" w:type="dxa"/>
            <w:tcBorders>
              <w:top w:val="nil"/>
              <w:left w:val="nil"/>
              <w:bottom w:val="nil"/>
              <w:right w:val="nil"/>
            </w:tcBorders>
            <w:shd w:val="clear" w:color="auto" w:fill="auto"/>
            <w:noWrap/>
            <w:vAlign w:val="bottom"/>
            <w:hideMark/>
          </w:tcPr>
          <w:p w14:paraId="5309BF2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758E4B2" w14:textId="77777777" w:rsidTr="008F2E71">
        <w:trPr>
          <w:trHeight w:val="454"/>
        </w:trPr>
        <w:tc>
          <w:tcPr>
            <w:tcW w:w="4060" w:type="dxa"/>
            <w:tcBorders>
              <w:top w:val="nil"/>
              <w:left w:val="nil"/>
              <w:bottom w:val="nil"/>
              <w:right w:val="nil"/>
            </w:tcBorders>
            <w:shd w:val="clear" w:color="auto" w:fill="auto"/>
            <w:vAlign w:val="bottom"/>
            <w:hideMark/>
          </w:tcPr>
          <w:p w14:paraId="0117E000" w14:textId="77777777" w:rsidR="002567A6" w:rsidRPr="002567A6" w:rsidRDefault="002567A6" w:rsidP="002567A6">
            <w:pPr>
              <w:spacing w:before="0" w:after="0" w:line="240" w:lineRule="auto"/>
              <w:rPr>
                <w:rFonts w:ascii="Arial" w:hAnsi="Arial" w:cs="Arial"/>
                <w:sz w:val="16"/>
                <w:szCs w:val="16"/>
              </w:rPr>
            </w:pPr>
            <w:proofErr w:type="gramStart"/>
            <w:r w:rsidRPr="002567A6">
              <w:rPr>
                <w:rFonts w:ascii="Arial" w:hAnsi="Arial" w:cs="Arial"/>
                <w:sz w:val="16"/>
                <w:szCs w:val="16"/>
              </w:rPr>
              <w:t>Rural ,</w:t>
            </w:r>
            <w:proofErr w:type="gramEnd"/>
            <w:r w:rsidRPr="002567A6">
              <w:rPr>
                <w:rFonts w:ascii="Arial" w:hAnsi="Arial" w:cs="Arial"/>
                <w:sz w:val="16"/>
                <w:szCs w:val="16"/>
              </w:rPr>
              <w:t xml:space="preserve"> Regional &amp; Special Needs Building Fund - reprofile of funding</w:t>
            </w:r>
          </w:p>
        </w:tc>
        <w:tc>
          <w:tcPr>
            <w:tcW w:w="900" w:type="dxa"/>
            <w:tcBorders>
              <w:top w:val="nil"/>
              <w:left w:val="nil"/>
              <w:bottom w:val="nil"/>
              <w:right w:val="nil"/>
            </w:tcBorders>
            <w:shd w:val="clear" w:color="auto" w:fill="auto"/>
            <w:noWrap/>
            <w:vAlign w:val="bottom"/>
            <w:hideMark/>
          </w:tcPr>
          <w:p w14:paraId="0BF91E7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20,000 </w:t>
            </w:r>
          </w:p>
        </w:tc>
        <w:tc>
          <w:tcPr>
            <w:tcW w:w="900" w:type="dxa"/>
            <w:tcBorders>
              <w:top w:val="nil"/>
              <w:left w:val="nil"/>
              <w:bottom w:val="nil"/>
              <w:right w:val="nil"/>
            </w:tcBorders>
            <w:shd w:val="clear" w:color="auto" w:fill="auto"/>
            <w:noWrap/>
            <w:vAlign w:val="bottom"/>
            <w:hideMark/>
          </w:tcPr>
          <w:p w14:paraId="6F138DF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50,000 </w:t>
            </w:r>
          </w:p>
        </w:tc>
        <w:tc>
          <w:tcPr>
            <w:tcW w:w="900" w:type="dxa"/>
            <w:tcBorders>
              <w:top w:val="nil"/>
              <w:left w:val="nil"/>
              <w:bottom w:val="nil"/>
              <w:right w:val="nil"/>
            </w:tcBorders>
            <w:shd w:val="clear" w:color="auto" w:fill="auto"/>
            <w:noWrap/>
            <w:vAlign w:val="bottom"/>
            <w:hideMark/>
          </w:tcPr>
          <w:p w14:paraId="5C3AC31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50,895 </w:t>
            </w:r>
          </w:p>
        </w:tc>
        <w:tc>
          <w:tcPr>
            <w:tcW w:w="900" w:type="dxa"/>
            <w:tcBorders>
              <w:top w:val="nil"/>
              <w:left w:val="nil"/>
              <w:bottom w:val="nil"/>
              <w:right w:val="nil"/>
            </w:tcBorders>
            <w:shd w:val="clear" w:color="auto" w:fill="auto"/>
            <w:noWrap/>
            <w:vAlign w:val="bottom"/>
            <w:hideMark/>
          </w:tcPr>
          <w:p w14:paraId="555B36F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6BB749EB" w14:textId="77777777" w:rsidTr="008F2E71">
        <w:trPr>
          <w:trHeight w:val="454"/>
        </w:trPr>
        <w:tc>
          <w:tcPr>
            <w:tcW w:w="4060" w:type="dxa"/>
            <w:tcBorders>
              <w:top w:val="nil"/>
              <w:left w:val="nil"/>
              <w:bottom w:val="nil"/>
              <w:right w:val="nil"/>
            </w:tcBorders>
            <w:shd w:val="clear" w:color="auto" w:fill="auto"/>
            <w:vAlign w:val="bottom"/>
            <w:hideMark/>
          </w:tcPr>
          <w:p w14:paraId="184A4C4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Transfer of funding from the Department of Infrastructure - various projects</w:t>
            </w:r>
          </w:p>
        </w:tc>
        <w:tc>
          <w:tcPr>
            <w:tcW w:w="900" w:type="dxa"/>
            <w:tcBorders>
              <w:top w:val="nil"/>
              <w:left w:val="nil"/>
              <w:bottom w:val="nil"/>
              <w:right w:val="nil"/>
            </w:tcBorders>
            <w:shd w:val="clear" w:color="auto" w:fill="auto"/>
            <w:noWrap/>
            <w:vAlign w:val="bottom"/>
            <w:hideMark/>
          </w:tcPr>
          <w:p w14:paraId="755CB11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2,900 </w:t>
            </w:r>
          </w:p>
        </w:tc>
        <w:tc>
          <w:tcPr>
            <w:tcW w:w="900" w:type="dxa"/>
            <w:tcBorders>
              <w:top w:val="nil"/>
              <w:left w:val="nil"/>
              <w:bottom w:val="nil"/>
              <w:right w:val="nil"/>
            </w:tcBorders>
            <w:shd w:val="clear" w:color="auto" w:fill="auto"/>
            <w:noWrap/>
            <w:vAlign w:val="bottom"/>
            <w:hideMark/>
          </w:tcPr>
          <w:p w14:paraId="000341F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80541A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CB520C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0DEF029" w14:textId="77777777" w:rsidTr="008F2E71">
        <w:trPr>
          <w:trHeight w:val="283"/>
        </w:trPr>
        <w:tc>
          <w:tcPr>
            <w:tcW w:w="4060" w:type="dxa"/>
            <w:tcBorders>
              <w:top w:val="nil"/>
              <w:left w:val="nil"/>
              <w:bottom w:val="nil"/>
              <w:right w:val="nil"/>
            </w:tcBorders>
            <w:shd w:val="clear" w:color="auto" w:fill="auto"/>
            <w:noWrap/>
            <w:vAlign w:val="bottom"/>
            <w:hideMark/>
          </w:tcPr>
          <w:p w14:paraId="719BB9D6"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Zero Real Interest Loans - reprofile of funding</w:t>
            </w:r>
          </w:p>
        </w:tc>
        <w:tc>
          <w:tcPr>
            <w:tcW w:w="900" w:type="dxa"/>
            <w:tcBorders>
              <w:top w:val="nil"/>
              <w:left w:val="nil"/>
              <w:bottom w:val="nil"/>
              <w:right w:val="nil"/>
            </w:tcBorders>
            <w:shd w:val="clear" w:color="auto" w:fill="auto"/>
            <w:noWrap/>
            <w:vAlign w:val="bottom"/>
            <w:hideMark/>
          </w:tcPr>
          <w:p w14:paraId="7E3539E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2,942 </w:t>
            </w:r>
          </w:p>
        </w:tc>
        <w:tc>
          <w:tcPr>
            <w:tcW w:w="900" w:type="dxa"/>
            <w:tcBorders>
              <w:top w:val="nil"/>
              <w:left w:val="nil"/>
              <w:bottom w:val="nil"/>
              <w:right w:val="nil"/>
            </w:tcBorders>
            <w:shd w:val="clear" w:color="auto" w:fill="auto"/>
            <w:noWrap/>
            <w:vAlign w:val="bottom"/>
            <w:hideMark/>
          </w:tcPr>
          <w:p w14:paraId="5AFB5A2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BED1D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E8574C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303D9048" w14:textId="77777777" w:rsidTr="008F2E71">
        <w:trPr>
          <w:trHeight w:val="283"/>
        </w:trPr>
        <w:tc>
          <w:tcPr>
            <w:tcW w:w="4060" w:type="dxa"/>
            <w:tcBorders>
              <w:top w:val="nil"/>
              <w:left w:val="nil"/>
              <w:bottom w:val="nil"/>
              <w:right w:val="nil"/>
            </w:tcBorders>
            <w:shd w:val="clear" w:color="auto" w:fill="auto"/>
            <w:vAlign w:val="bottom"/>
            <w:hideMark/>
          </w:tcPr>
          <w:p w14:paraId="53B008F8"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Price parameter adjustments</w:t>
            </w:r>
            <w:r w:rsidRPr="002567A6">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2354F52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(882)</w:t>
            </w:r>
          </w:p>
        </w:tc>
        <w:tc>
          <w:tcPr>
            <w:tcW w:w="900" w:type="dxa"/>
            <w:tcBorders>
              <w:top w:val="nil"/>
              <w:left w:val="nil"/>
              <w:bottom w:val="nil"/>
              <w:right w:val="nil"/>
            </w:tcBorders>
            <w:shd w:val="clear" w:color="auto" w:fill="auto"/>
            <w:noWrap/>
            <w:vAlign w:val="bottom"/>
            <w:hideMark/>
          </w:tcPr>
          <w:p w14:paraId="0D4D919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(33)</w:t>
            </w:r>
          </w:p>
        </w:tc>
        <w:tc>
          <w:tcPr>
            <w:tcW w:w="900" w:type="dxa"/>
            <w:tcBorders>
              <w:top w:val="nil"/>
              <w:left w:val="nil"/>
              <w:bottom w:val="nil"/>
              <w:right w:val="nil"/>
            </w:tcBorders>
            <w:shd w:val="clear" w:color="auto" w:fill="auto"/>
            <w:noWrap/>
            <w:vAlign w:val="bottom"/>
            <w:hideMark/>
          </w:tcPr>
          <w:p w14:paraId="73D71F1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16,835 </w:t>
            </w:r>
          </w:p>
        </w:tc>
        <w:tc>
          <w:tcPr>
            <w:tcW w:w="900" w:type="dxa"/>
            <w:tcBorders>
              <w:top w:val="nil"/>
              <w:left w:val="nil"/>
              <w:bottom w:val="nil"/>
              <w:right w:val="nil"/>
            </w:tcBorders>
            <w:shd w:val="clear" w:color="auto" w:fill="auto"/>
            <w:noWrap/>
            <w:vAlign w:val="bottom"/>
            <w:hideMark/>
          </w:tcPr>
          <w:p w14:paraId="1ED0183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18,525 </w:t>
            </w:r>
          </w:p>
        </w:tc>
      </w:tr>
      <w:tr w:rsidR="002567A6" w:rsidRPr="002567A6" w14:paraId="361470ED" w14:textId="77777777" w:rsidTr="008F2E71">
        <w:trPr>
          <w:trHeight w:val="283"/>
        </w:trPr>
        <w:tc>
          <w:tcPr>
            <w:tcW w:w="4060" w:type="dxa"/>
            <w:tcBorders>
              <w:top w:val="nil"/>
              <w:left w:val="nil"/>
              <w:bottom w:val="nil"/>
              <w:right w:val="nil"/>
            </w:tcBorders>
            <w:shd w:val="clear" w:color="auto" w:fill="auto"/>
            <w:noWrap/>
            <w:vAlign w:val="bottom"/>
            <w:hideMark/>
          </w:tcPr>
          <w:p w14:paraId="44D4EAA1" w14:textId="77777777" w:rsidR="002567A6" w:rsidRPr="002567A6" w:rsidRDefault="002567A6" w:rsidP="002567A6">
            <w:pPr>
              <w:spacing w:before="0" w:after="0" w:line="240" w:lineRule="auto"/>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14:paraId="3739FF7A"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(44,629)</w:t>
            </w:r>
          </w:p>
        </w:tc>
        <w:tc>
          <w:tcPr>
            <w:tcW w:w="900" w:type="dxa"/>
            <w:tcBorders>
              <w:top w:val="single" w:sz="4" w:space="0" w:color="auto"/>
              <w:left w:val="nil"/>
              <w:bottom w:val="single" w:sz="4" w:space="0" w:color="auto"/>
              <w:right w:val="nil"/>
            </w:tcBorders>
            <w:shd w:val="clear" w:color="auto" w:fill="auto"/>
            <w:noWrap/>
            <w:vAlign w:val="bottom"/>
            <w:hideMark/>
          </w:tcPr>
          <w:p w14:paraId="470AAEC1"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45,895 </w:t>
            </w:r>
          </w:p>
        </w:tc>
        <w:tc>
          <w:tcPr>
            <w:tcW w:w="900" w:type="dxa"/>
            <w:tcBorders>
              <w:top w:val="single" w:sz="4" w:space="0" w:color="auto"/>
              <w:left w:val="nil"/>
              <w:bottom w:val="single" w:sz="4" w:space="0" w:color="auto"/>
              <w:right w:val="nil"/>
            </w:tcBorders>
            <w:shd w:val="clear" w:color="auto" w:fill="auto"/>
            <w:noWrap/>
            <w:vAlign w:val="bottom"/>
            <w:hideMark/>
          </w:tcPr>
          <w:p w14:paraId="7FDF0E3B"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65,121 </w:t>
            </w:r>
          </w:p>
        </w:tc>
        <w:tc>
          <w:tcPr>
            <w:tcW w:w="900" w:type="dxa"/>
            <w:tcBorders>
              <w:top w:val="single" w:sz="4" w:space="0" w:color="auto"/>
              <w:left w:val="nil"/>
              <w:bottom w:val="single" w:sz="4" w:space="0" w:color="auto"/>
              <w:right w:val="nil"/>
            </w:tcBorders>
            <w:shd w:val="clear" w:color="auto" w:fill="auto"/>
            <w:noWrap/>
            <w:vAlign w:val="bottom"/>
            <w:hideMark/>
          </w:tcPr>
          <w:p w14:paraId="2B31F1C2"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19,934 </w:t>
            </w:r>
          </w:p>
        </w:tc>
      </w:tr>
    </w:tbl>
    <w:p w14:paraId="2C0182F7" w14:textId="7CF788DD" w:rsidR="002567A6" w:rsidRDefault="002567A6" w:rsidP="002B5B49">
      <w:pPr>
        <w:pStyle w:val="TableGraphic"/>
        <w:rPr>
          <w:b/>
          <w:bCs/>
          <w:color w:val="0000FF"/>
        </w:rPr>
      </w:pPr>
    </w:p>
    <w:p w14:paraId="3F4A709C" w14:textId="77777777" w:rsidR="002567A6" w:rsidRDefault="002567A6">
      <w:pPr>
        <w:spacing w:before="0" w:after="0" w:line="240" w:lineRule="auto"/>
        <w:rPr>
          <w:b/>
          <w:bCs/>
          <w:color w:val="0000FF"/>
        </w:rPr>
      </w:pPr>
      <w:r>
        <w:rPr>
          <w:b/>
          <w:bCs/>
          <w:color w:val="0000FF"/>
        </w:rPr>
        <w:br w:type="page"/>
      </w:r>
    </w:p>
    <w:p w14:paraId="038AF628" w14:textId="10E5C107" w:rsidR="002567A6" w:rsidRPr="00AC6239" w:rsidRDefault="002567A6" w:rsidP="00E81B71">
      <w:pPr>
        <w:pStyle w:val="TableHeading"/>
      </w:pPr>
      <w:r>
        <w:lastRenderedPageBreak/>
        <w:t>Table 2.3</w:t>
      </w:r>
      <w:r w:rsidRPr="00AC6239">
        <w:t>.1</w:t>
      </w:r>
      <w:r>
        <w:t xml:space="preserve"> </w:t>
      </w:r>
      <w:r w:rsidR="004F0C05">
        <w:t>Variations table –</w:t>
      </w:r>
      <w:r w:rsidR="00E81B71">
        <w:t xml:space="preserve"> </w:t>
      </w:r>
      <w:r w:rsidR="00E81B71" w:rsidRPr="00D93D96">
        <w:t xml:space="preserve">Outcome </w:t>
      </w:r>
      <w:r w:rsidR="00E81B71">
        <w:t>3</w:t>
      </w:r>
      <w:r w:rsidR="00E81B71" w:rsidRPr="00AC6239">
        <w:t xml:space="preserve"> </w:t>
      </w:r>
      <w:r w:rsidRPr="00AC6239">
        <w:t>(continued)</w:t>
      </w:r>
    </w:p>
    <w:tbl>
      <w:tblPr>
        <w:tblW w:w="7660" w:type="dxa"/>
        <w:jc w:val="center"/>
        <w:tblLayout w:type="fixed"/>
        <w:tblLook w:val="04A0" w:firstRow="1" w:lastRow="0" w:firstColumn="1" w:lastColumn="0" w:noHBand="0" w:noVBand="1"/>
      </w:tblPr>
      <w:tblGrid>
        <w:gridCol w:w="4060"/>
        <w:gridCol w:w="900"/>
        <w:gridCol w:w="900"/>
        <w:gridCol w:w="900"/>
        <w:gridCol w:w="900"/>
      </w:tblGrid>
      <w:tr w:rsidR="002567A6" w:rsidRPr="002567A6" w14:paraId="4606A3B2" w14:textId="77777777" w:rsidTr="00503717">
        <w:trPr>
          <w:trHeight w:val="397"/>
          <w:jc w:val="center"/>
        </w:trPr>
        <w:tc>
          <w:tcPr>
            <w:tcW w:w="4060" w:type="dxa"/>
            <w:tcBorders>
              <w:top w:val="single" w:sz="4" w:space="0" w:color="auto"/>
              <w:left w:val="nil"/>
              <w:bottom w:val="nil"/>
              <w:right w:val="nil"/>
            </w:tcBorders>
            <w:shd w:val="clear" w:color="auto" w:fill="auto"/>
            <w:hideMark/>
          </w:tcPr>
          <w:p w14:paraId="08C8B7D7" w14:textId="77777777" w:rsidR="002567A6" w:rsidRPr="002567A6" w:rsidRDefault="002567A6" w:rsidP="00D21F06">
            <w:pPr>
              <w:spacing w:before="24" w:after="0" w:line="240" w:lineRule="auto"/>
              <w:jc w:val="right"/>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17416190" w14:textId="763D76A3"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2023–</w:t>
            </w:r>
            <w:r w:rsidR="002567A6" w:rsidRPr="002567A6">
              <w:rPr>
                <w:rFonts w:ascii="Arial" w:hAnsi="Arial" w:cs="Arial"/>
                <w:b/>
                <w:bCs/>
                <w:sz w:val="16"/>
                <w:szCs w:val="16"/>
              </w:rPr>
              <w:t>24</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42489C77" w14:textId="306D4D11"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2024–</w:t>
            </w:r>
            <w:r w:rsidR="002567A6" w:rsidRPr="002567A6">
              <w:rPr>
                <w:rFonts w:ascii="Arial" w:hAnsi="Arial" w:cs="Arial"/>
                <w:b/>
                <w:bCs/>
                <w:sz w:val="16"/>
                <w:szCs w:val="16"/>
              </w:rPr>
              <w:t>25</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76A7622F" w14:textId="134F98FD"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2025–</w:t>
            </w:r>
            <w:r w:rsidR="002567A6" w:rsidRPr="002567A6">
              <w:rPr>
                <w:rFonts w:ascii="Arial" w:hAnsi="Arial" w:cs="Arial"/>
                <w:b/>
                <w:bCs/>
                <w:sz w:val="16"/>
                <w:szCs w:val="16"/>
              </w:rPr>
              <w:t>26</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E6EA6EE" w14:textId="349B3DEA"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2026–</w:t>
            </w:r>
            <w:r w:rsidR="002567A6" w:rsidRPr="002567A6">
              <w:rPr>
                <w:rFonts w:ascii="Arial" w:hAnsi="Arial" w:cs="Arial"/>
                <w:b/>
                <w:bCs/>
                <w:sz w:val="16"/>
                <w:szCs w:val="16"/>
              </w:rPr>
              <w:t>27</w:t>
            </w:r>
            <w:r w:rsidR="002567A6" w:rsidRPr="002567A6">
              <w:rPr>
                <w:rFonts w:ascii="Arial" w:hAnsi="Arial" w:cs="Arial"/>
                <w:b/>
                <w:bCs/>
                <w:sz w:val="16"/>
                <w:szCs w:val="16"/>
              </w:rPr>
              <w:br/>
            </w:r>
            <w:r w:rsidR="002567A6" w:rsidRPr="002567A6">
              <w:rPr>
                <w:rFonts w:ascii="Arial" w:hAnsi="Arial" w:cs="Arial"/>
                <w:sz w:val="16"/>
                <w:szCs w:val="16"/>
              </w:rPr>
              <w:t>$'000</w:t>
            </w:r>
          </w:p>
        </w:tc>
      </w:tr>
      <w:tr w:rsidR="002567A6" w:rsidRPr="002567A6" w14:paraId="1EF52191" w14:textId="77777777" w:rsidTr="000911F8">
        <w:trPr>
          <w:trHeight w:val="283"/>
          <w:jc w:val="center"/>
        </w:trPr>
        <w:tc>
          <w:tcPr>
            <w:tcW w:w="4060" w:type="dxa"/>
            <w:tcBorders>
              <w:top w:val="nil"/>
              <w:left w:val="nil"/>
              <w:bottom w:val="nil"/>
              <w:right w:val="nil"/>
            </w:tcBorders>
            <w:shd w:val="clear" w:color="auto" w:fill="auto"/>
            <w:noWrap/>
            <w:vAlign w:val="bottom"/>
            <w:hideMark/>
          </w:tcPr>
          <w:p w14:paraId="07C2B617"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Program 3.3: Aged Care Quality</w:t>
            </w:r>
          </w:p>
        </w:tc>
        <w:tc>
          <w:tcPr>
            <w:tcW w:w="900" w:type="dxa"/>
            <w:tcBorders>
              <w:top w:val="nil"/>
              <w:left w:val="nil"/>
              <w:bottom w:val="nil"/>
              <w:right w:val="nil"/>
            </w:tcBorders>
            <w:shd w:val="clear" w:color="auto" w:fill="auto"/>
            <w:noWrap/>
            <w:vAlign w:val="bottom"/>
            <w:hideMark/>
          </w:tcPr>
          <w:p w14:paraId="53D03C56"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A7A0FB"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7D7B30C"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8FCA28F" w14:textId="77777777" w:rsidR="002567A6" w:rsidRPr="002567A6" w:rsidRDefault="002567A6" w:rsidP="002567A6">
            <w:pPr>
              <w:spacing w:before="0" w:after="0" w:line="240" w:lineRule="auto"/>
              <w:jc w:val="center"/>
              <w:rPr>
                <w:rFonts w:ascii="Times New Roman" w:hAnsi="Times New Roman"/>
                <w:sz w:val="20"/>
              </w:rPr>
            </w:pPr>
          </w:p>
        </w:tc>
      </w:tr>
      <w:tr w:rsidR="002567A6" w:rsidRPr="002567A6" w14:paraId="60319E66"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3D157471"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7B20F8CD"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AF5C3F0"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16AA495"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338AC29" w14:textId="77777777" w:rsidR="002567A6" w:rsidRPr="002567A6" w:rsidRDefault="002567A6" w:rsidP="002567A6">
            <w:pPr>
              <w:spacing w:before="0" w:after="0" w:line="240" w:lineRule="auto"/>
              <w:jc w:val="center"/>
              <w:rPr>
                <w:rFonts w:ascii="Times New Roman" w:hAnsi="Times New Roman"/>
                <w:sz w:val="20"/>
              </w:rPr>
            </w:pPr>
          </w:p>
        </w:tc>
      </w:tr>
      <w:tr w:rsidR="002567A6" w:rsidRPr="002567A6" w14:paraId="088C90A1"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6A969E0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2F392665" w14:textId="77777777" w:rsidR="002567A6" w:rsidRPr="002567A6" w:rsidRDefault="002567A6" w:rsidP="002567A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E82BED8"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8E02941"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A9B72B7" w14:textId="77777777" w:rsidR="002567A6" w:rsidRPr="002567A6" w:rsidRDefault="002567A6" w:rsidP="002567A6">
            <w:pPr>
              <w:spacing w:before="0" w:after="0" w:line="240" w:lineRule="auto"/>
              <w:jc w:val="center"/>
              <w:rPr>
                <w:rFonts w:ascii="Times New Roman" w:hAnsi="Times New Roman"/>
                <w:sz w:val="20"/>
              </w:rPr>
            </w:pPr>
          </w:p>
        </w:tc>
      </w:tr>
      <w:tr w:rsidR="002567A6" w:rsidRPr="002567A6" w14:paraId="64235EEB" w14:textId="77777777" w:rsidTr="002567A6">
        <w:trPr>
          <w:trHeight w:val="283"/>
          <w:jc w:val="center"/>
        </w:trPr>
        <w:tc>
          <w:tcPr>
            <w:tcW w:w="4060" w:type="dxa"/>
            <w:tcBorders>
              <w:top w:val="nil"/>
              <w:left w:val="nil"/>
              <w:bottom w:val="nil"/>
              <w:right w:val="nil"/>
            </w:tcBorders>
            <w:shd w:val="clear" w:color="auto" w:fill="auto"/>
            <w:vAlign w:val="bottom"/>
            <w:hideMark/>
          </w:tcPr>
          <w:p w14:paraId="1395222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Continuation of Aged Care Reform</w:t>
            </w:r>
          </w:p>
        </w:tc>
        <w:tc>
          <w:tcPr>
            <w:tcW w:w="900" w:type="dxa"/>
            <w:tcBorders>
              <w:top w:val="nil"/>
              <w:left w:val="nil"/>
              <w:bottom w:val="nil"/>
              <w:right w:val="nil"/>
            </w:tcBorders>
            <w:shd w:val="clear" w:color="auto" w:fill="auto"/>
            <w:noWrap/>
            <w:vAlign w:val="bottom"/>
            <w:hideMark/>
          </w:tcPr>
          <w:p w14:paraId="5B4C8F8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81,230 </w:t>
            </w:r>
          </w:p>
        </w:tc>
        <w:tc>
          <w:tcPr>
            <w:tcW w:w="900" w:type="dxa"/>
            <w:tcBorders>
              <w:top w:val="nil"/>
              <w:left w:val="nil"/>
              <w:bottom w:val="nil"/>
              <w:right w:val="nil"/>
            </w:tcBorders>
            <w:shd w:val="clear" w:color="auto" w:fill="auto"/>
            <w:noWrap/>
            <w:vAlign w:val="bottom"/>
            <w:hideMark/>
          </w:tcPr>
          <w:p w14:paraId="232A376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15,372 </w:t>
            </w:r>
          </w:p>
        </w:tc>
        <w:tc>
          <w:tcPr>
            <w:tcW w:w="900" w:type="dxa"/>
            <w:tcBorders>
              <w:top w:val="nil"/>
              <w:left w:val="nil"/>
              <w:bottom w:val="nil"/>
              <w:right w:val="nil"/>
            </w:tcBorders>
            <w:shd w:val="clear" w:color="auto" w:fill="auto"/>
            <w:noWrap/>
            <w:vAlign w:val="bottom"/>
            <w:hideMark/>
          </w:tcPr>
          <w:p w14:paraId="259D628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14,380 </w:t>
            </w:r>
          </w:p>
        </w:tc>
        <w:tc>
          <w:tcPr>
            <w:tcW w:w="900" w:type="dxa"/>
            <w:tcBorders>
              <w:top w:val="nil"/>
              <w:left w:val="nil"/>
              <w:bottom w:val="nil"/>
              <w:right w:val="nil"/>
            </w:tcBorders>
            <w:shd w:val="clear" w:color="auto" w:fill="auto"/>
            <w:noWrap/>
            <w:vAlign w:val="bottom"/>
            <w:hideMark/>
          </w:tcPr>
          <w:p w14:paraId="21DADB7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12,088 </w:t>
            </w:r>
          </w:p>
        </w:tc>
      </w:tr>
      <w:tr w:rsidR="002567A6" w:rsidRPr="002567A6" w14:paraId="38B3B57A" w14:textId="77777777" w:rsidTr="002567A6">
        <w:trPr>
          <w:trHeight w:val="454"/>
          <w:jc w:val="center"/>
        </w:trPr>
        <w:tc>
          <w:tcPr>
            <w:tcW w:w="4060" w:type="dxa"/>
            <w:tcBorders>
              <w:top w:val="nil"/>
              <w:left w:val="nil"/>
              <w:bottom w:val="nil"/>
              <w:right w:val="nil"/>
            </w:tcBorders>
            <w:shd w:val="clear" w:color="auto" w:fill="auto"/>
            <w:vAlign w:val="bottom"/>
            <w:hideMark/>
          </w:tcPr>
          <w:p w14:paraId="3BFD37A9"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Continued Support for the COVID-19 Response</w:t>
            </w:r>
          </w:p>
        </w:tc>
        <w:tc>
          <w:tcPr>
            <w:tcW w:w="900" w:type="dxa"/>
            <w:tcBorders>
              <w:top w:val="nil"/>
              <w:left w:val="nil"/>
              <w:bottom w:val="nil"/>
              <w:right w:val="nil"/>
            </w:tcBorders>
            <w:shd w:val="clear" w:color="auto" w:fill="auto"/>
            <w:noWrap/>
            <w:vAlign w:val="bottom"/>
            <w:hideMark/>
          </w:tcPr>
          <w:p w14:paraId="7C4D238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78,901 </w:t>
            </w:r>
          </w:p>
        </w:tc>
        <w:tc>
          <w:tcPr>
            <w:tcW w:w="900" w:type="dxa"/>
            <w:tcBorders>
              <w:top w:val="nil"/>
              <w:left w:val="nil"/>
              <w:bottom w:val="nil"/>
              <w:right w:val="nil"/>
            </w:tcBorders>
            <w:shd w:val="clear" w:color="auto" w:fill="auto"/>
            <w:noWrap/>
            <w:vAlign w:val="bottom"/>
            <w:hideMark/>
          </w:tcPr>
          <w:p w14:paraId="36583F9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1,525 </w:t>
            </w:r>
          </w:p>
        </w:tc>
        <w:tc>
          <w:tcPr>
            <w:tcW w:w="900" w:type="dxa"/>
            <w:tcBorders>
              <w:top w:val="nil"/>
              <w:left w:val="nil"/>
              <w:bottom w:val="nil"/>
              <w:right w:val="nil"/>
            </w:tcBorders>
            <w:shd w:val="clear" w:color="auto" w:fill="auto"/>
            <w:noWrap/>
            <w:vAlign w:val="bottom"/>
            <w:hideMark/>
          </w:tcPr>
          <w:p w14:paraId="728D60F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4CD07D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46001E1C" w14:textId="77777777" w:rsidTr="002567A6">
        <w:trPr>
          <w:trHeight w:val="454"/>
          <w:jc w:val="center"/>
        </w:trPr>
        <w:tc>
          <w:tcPr>
            <w:tcW w:w="4060" w:type="dxa"/>
            <w:tcBorders>
              <w:top w:val="nil"/>
              <w:left w:val="nil"/>
              <w:bottom w:val="nil"/>
              <w:right w:val="nil"/>
            </w:tcBorders>
            <w:shd w:val="clear" w:color="auto" w:fill="auto"/>
            <w:vAlign w:val="bottom"/>
            <w:hideMark/>
          </w:tcPr>
          <w:p w14:paraId="6145DD63"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Aged Care Reform Communication &amp; Engagement - reprofile of funding</w:t>
            </w:r>
          </w:p>
        </w:tc>
        <w:tc>
          <w:tcPr>
            <w:tcW w:w="900" w:type="dxa"/>
            <w:tcBorders>
              <w:top w:val="nil"/>
              <w:left w:val="nil"/>
              <w:bottom w:val="nil"/>
              <w:right w:val="nil"/>
            </w:tcBorders>
            <w:shd w:val="clear" w:color="auto" w:fill="auto"/>
            <w:noWrap/>
            <w:vAlign w:val="bottom"/>
            <w:hideMark/>
          </w:tcPr>
          <w:p w14:paraId="504B178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915 </w:t>
            </w:r>
          </w:p>
        </w:tc>
        <w:tc>
          <w:tcPr>
            <w:tcW w:w="900" w:type="dxa"/>
            <w:tcBorders>
              <w:top w:val="nil"/>
              <w:left w:val="nil"/>
              <w:bottom w:val="nil"/>
              <w:right w:val="nil"/>
            </w:tcBorders>
            <w:shd w:val="clear" w:color="auto" w:fill="auto"/>
            <w:noWrap/>
            <w:vAlign w:val="bottom"/>
            <w:hideMark/>
          </w:tcPr>
          <w:p w14:paraId="6BD2537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ED993C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C077AD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48A61DE8"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0D900532"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Aged Care Surge Workforce - reprofile of funding</w:t>
            </w:r>
          </w:p>
        </w:tc>
        <w:tc>
          <w:tcPr>
            <w:tcW w:w="900" w:type="dxa"/>
            <w:tcBorders>
              <w:top w:val="nil"/>
              <w:left w:val="nil"/>
              <w:bottom w:val="nil"/>
              <w:right w:val="nil"/>
            </w:tcBorders>
            <w:shd w:val="clear" w:color="auto" w:fill="auto"/>
            <w:noWrap/>
            <w:vAlign w:val="bottom"/>
            <w:hideMark/>
          </w:tcPr>
          <w:p w14:paraId="69240DA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16,908 </w:t>
            </w:r>
          </w:p>
        </w:tc>
        <w:tc>
          <w:tcPr>
            <w:tcW w:w="900" w:type="dxa"/>
            <w:tcBorders>
              <w:top w:val="nil"/>
              <w:left w:val="nil"/>
              <w:bottom w:val="nil"/>
              <w:right w:val="nil"/>
            </w:tcBorders>
            <w:shd w:val="clear" w:color="auto" w:fill="auto"/>
            <w:noWrap/>
            <w:vAlign w:val="bottom"/>
            <w:hideMark/>
          </w:tcPr>
          <w:p w14:paraId="272CAC3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D8819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7EF769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5DAE828"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27D621F4"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Clinical and Quality Standards - reprofile of funding</w:t>
            </w:r>
          </w:p>
        </w:tc>
        <w:tc>
          <w:tcPr>
            <w:tcW w:w="900" w:type="dxa"/>
            <w:tcBorders>
              <w:top w:val="nil"/>
              <w:left w:val="nil"/>
              <w:bottom w:val="nil"/>
              <w:right w:val="nil"/>
            </w:tcBorders>
            <w:shd w:val="clear" w:color="auto" w:fill="auto"/>
            <w:noWrap/>
            <w:vAlign w:val="bottom"/>
            <w:hideMark/>
          </w:tcPr>
          <w:p w14:paraId="5CE14AD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343 </w:t>
            </w:r>
          </w:p>
        </w:tc>
        <w:tc>
          <w:tcPr>
            <w:tcW w:w="900" w:type="dxa"/>
            <w:tcBorders>
              <w:top w:val="nil"/>
              <w:left w:val="nil"/>
              <w:bottom w:val="nil"/>
              <w:right w:val="nil"/>
            </w:tcBorders>
            <w:shd w:val="clear" w:color="auto" w:fill="auto"/>
            <w:noWrap/>
            <w:vAlign w:val="bottom"/>
            <w:hideMark/>
          </w:tcPr>
          <w:p w14:paraId="4A019CC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AE7993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1EDAB8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6496098" w14:textId="77777777" w:rsidTr="002567A6">
        <w:trPr>
          <w:trHeight w:val="454"/>
          <w:jc w:val="center"/>
        </w:trPr>
        <w:tc>
          <w:tcPr>
            <w:tcW w:w="4060" w:type="dxa"/>
            <w:tcBorders>
              <w:top w:val="nil"/>
              <w:left w:val="nil"/>
              <w:bottom w:val="nil"/>
              <w:right w:val="nil"/>
            </w:tcBorders>
            <w:shd w:val="clear" w:color="auto" w:fill="auto"/>
            <w:vAlign w:val="bottom"/>
            <w:hideMark/>
          </w:tcPr>
          <w:p w14:paraId="6A093F9D"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COVID-19 Aged Care Support Program Grant - reprofile of funding</w:t>
            </w:r>
          </w:p>
        </w:tc>
        <w:tc>
          <w:tcPr>
            <w:tcW w:w="900" w:type="dxa"/>
            <w:tcBorders>
              <w:top w:val="nil"/>
              <w:left w:val="nil"/>
              <w:bottom w:val="nil"/>
              <w:right w:val="nil"/>
            </w:tcBorders>
            <w:shd w:val="clear" w:color="auto" w:fill="auto"/>
            <w:noWrap/>
            <w:vAlign w:val="bottom"/>
            <w:hideMark/>
          </w:tcPr>
          <w:p w14:paraId="7FDA584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124,049 </w:t>
            </w:r>
          </w:p>
        </w:tc>
        <w:tc>
          <w:tcPr>
            <w:tcW w:w="900" w:type="dxa"/>
            <w:tcBorders>
              <w:top w:val="nil"/>
              <w:left w:val="nil"/>
              <w:bottom w:val="nil"/>
              <w:right w:val="nil"/>
            </w:tcBorders>
            <w:shd w:val="clear" w:color="auto" w:fill="auto"/>
            <w:noWrap/>
            <w:vAlign w:val="bottom"/>
            <w:hideMark/>
          </w:tcPr>
          <w:p w14:paraId="767896D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B40BA2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D3285F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AEECBE8"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680B6C3A"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COVID-19 Viability Fund - reprofile of funding</w:t>
            </w:r>
          </w:p>
        </w:tc>
        <w:tc>
          <w:tcPr>
            <w:tcW w:w="900" w:type="dxa"/>
            <w:tcBorders>
              <w:top w:val="nil"/>
              <w:left w:val="nil"/>
              <w:bottom w:val="nil"/>
              <w:right w:val="nil"/>
            </w:tcBorders>
            <w:shd w:val="clear" w:color="auto" w:fill="auto"/>
            <w:noWrap/>
            <w:vAlign w:val="bottom"/>
            <w:hideMark/>
          </w:tcPr>
          <w:p w14:paraId="1943D21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14,520 </w:t>
            </w:r>
          </w:p>
        </w:tc>
        <w:tc>
          <w:tcPr>
            <w:tcW w:w="900" w:type="dxa"/>
            <w:tcBorders>
              <w:top w:val="nil"/>
              <w:left w:val="nil"/>
              <w:bottom w:val="nil"/>
              <w:right w:val="nil"/>
            </w:tcBorders>
            <w:shd w:val="clear" w:color="auto" w:fill="auto"/>
            <w:noWrap/>
            <w:vAlign w:val="bottom"/>
            <w:hideMark/>
          </w:tcPr>
          <w:p w14:paraId="59DEF70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9B8608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15BD45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979D952" w14:textId="77777777" w:rsidTr="002567A6">
        <w:trPr>
          <w:trHeight w:val="454"/>
          <w:jc w:val="center"/>
        </w:trPr>
        <w:tc>
          <w:tcPr>
            <w:tcW w:w="4060" w:type="dxa"/>
            <w:tcBorders>
              <w:top w:val="nil"/>
              <w:left w:val="nil"/>
              <w:bottom w:val="nil"/>
              <w:right w:val="nil"/>
            </w:tcBorders>
            <w:shd w:val="clear" w:color="auto" w:fill="auto"/>
            <w:vAlign w:val="bottom"/>
            <w:hideMark/>
          </w:tcPr>
          <w:p w14:paraId="061127C6"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Empowering Consumers of Aged Care information to exercise choice - reprofile of funding</w:t>
            </w:r>
          </w:p>
        </w:tc>
        <w:tc>
          <w:tcPr>
            <w:tcW w:w="900" w:type="dxa"/>
            <w:tcBorders>
              <w:top w:val="nil"/>
              <w:left w:val="nil"/>
              <w:bottom w:val="nil"/>
              <w:right w:val="nil"/>
            </w:tcBorders>
            <w:shd w:val="clear" w:color="auto" w:fill="auto"/>
            <w:noWrap/>
            <w:vAlign w:val="bottom"/>
            <w:hideMark/>
          </w:tcPr>
          <w:p w14:paraId="5B2F9C0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2,784 </w:t>
            </w:r>
          </w:p>
        </w:tc>
        <w:tc>
          <w:tcPr>
            <w:tcW w:w="900" w:type="dxa"/>
            <w:tcBorders>
              <w:top w:val="nil"/>
              <w:left w:val="nil"/>
              <w:bottom w:val="nil"/>
              <w:right w:val="nil"/>
            </w:tcBorders>
            <w:shd w:val="clear" w:color="auto" w:fill="auto"/>
            <w:noWrap/>
            <w:vAlign w:val="bottom"/>
            <w:hideMark/>
          </w:tcPr>
          <w:p w14:paraId="4C810B1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D9234D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D01CF4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53ACE5FA" w14:textId="77777777" w:rsidTr="002567A6">
        <w:trPr>
          <w:trHeight w:val="454"/>
          <w:jc w:val="center"/>
        </w:trPr>
        <w:tc>
          <w:tcPr>
            <w:tcW w:w="4060" w:type="dxa"/>
            <w:tcBorders>
              <w:top w:val="nil"/>
              <w:left w:val="nil"/>
              <w:bottom w:val="nil"/>
              <w:right w:val="nil"/>
            </w:tcBorders>
            <w:shd w:val="clear" w:color="auto" w:fill="auto"/>
            <w:vAlign w:val="bottom"/>
            <w:hideMark/>
          </w:tcPr>
          <w:p w14:paraId="2292E24D"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Expanding the Serious Incident Response Scheme into In-Home Care - reprofile of funding</w:t>
            </w:r>
          </w:p>
        </w:tc>
        <w:tc>
          <w:tcPr>
            <w:tcW w:w="900" w:type="dxa"/>
            <w:tcBorders>
              <w:top w:val="nil"/>
              <w:left w:val="nil"/>
              <w:bottom w:val="nil"/>
              <w:right w:val="nil"/>
            </w:tcBorders>
            <w:shd w:val="clear" w:color="auto" w:fill="auto"/>
            <w:noWrap/>
            <w:vAlign w:val="bottom"/>
            <w:hideMark/>
          </w:tcPr>
          <w:p w14:paraId="780070B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690 </w:t>
            </w:r>
          </w:p>
        </w:tc>
        <w:tc>
          <w:tcPr>
            <w:tcW w:w="900" w:type="dxa"/>
            <w:tcBorders>
              <w:top w:val="nil"/>
              <w:left w:val="nil"/>
              <w:bottom w:val="nil"/>
              <w:right w:val="nil"/>
            </w:tcBorders>
            <w:shd w:val="clear" w:color="auto" w:fill="auto"/>
            <w:noWrap/>
            <w:vAlign w:val="bottom"/>
            <w:hideMark/>
          </w:tcPr>
          <w:p w14:paraId="43F05CD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727826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1C23D0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322FE32F" w14:textId="77777777" w:rsidTr="002567A6">
        <w:trPr>
          <w:trHeight w:val="454"/>
          <w:jc w:val="center"/>
        </w:trPr>
        <w:tc>
          <w:tcPr>
            <w:tcW w:w="4060" w:type="dxa"/>
            <w:tcBorders>
              <w:top w:val="nil"/>
              <w:left w:val="nil"/>
              <w:bottom w:val="nil"/>
              <w:right w:val="nil"/>
            </w:tcBorders>
            <w:shd w:val="clear" w:color="auto" w:fill="auto"/>
            <w:vAlign w:val="bottom"/>
            <w:hideMark/>
          </w:tcPr>
          <w:p w14:paraId="2AFF81E3"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Improving access to primary care and other health services - reprofile of funding</w:t>
            </w:r>
          </w:p>
        </w:tc>
        <w:tc>
          <w:tcPr>
            <w:tcW w:w="900" w:type="dxa"/>
            <w:tcBorders>
              <w:top w:val="nil"/>
              <w:left w:val="nil"/>
              <w:bottom w:val="nil"/>
              <w:right w:val="nil"/>
            </w:tcBorders>
            <w:shd w:val="clear" w:color="auto" w:fill="auto"/>
            <w:noWrap/>
            <w:vAlign w:val="bottom"/>
            <w:hideMark/>
          </w:tcPr>
          <w:p w14:paraId="2726A1A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381 </w:t>
            </w:r>
          </w:p>
        </w:tc>
        <w:tc>
          <w:tcPr>
            <w:tcW w:w="900" w:type="dxa"/>
            <w:tcBorders>
              <w:top w:val="nil"/>
              <w:left w:val="nil"/>
              <w:bottom w:val="nil"/>
              <w:right w:val="nil"/>
            </w:tcBorders>
            <w:shd w:val="clear" w:color="auto" w:fill="auto"/>
            <w:noWrap/>
            <w:vAlign w:val="bottom"/>
            <w:hideMark/>
          </w:tcPr>
          <w:p w14:paraId="10155D3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EA6BC8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D9AAEC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3264EDA" w14:textId="77777777" w:rsidTr="002567A6">
        <w:trPr>
          <w:trHeight w:val="285"/>
          <w:jc w:val="center"/>
        </w:trPr>
        <w:tc>
          <w:tcPr>
            <w:tcW w:w="4060" w:type="dxa"/>
            <w:tcBorders>
              <w:top w:val="nil"/>
              <w:left w:val="nil"/>
              <w:bottom w:val="nil"/>
              <w:right w:val="nil"/>
            </w:tcBorders>
            <w:shd w:val="clear" w:color="auto" w:fill="auto"/>
            <w:vAlign w:val="bottom"/>
            <w:hideMark/>
          </w:tcPr>
          <w:p w14:paraId="722B4249"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Infection Prevention &amp; Control - reprofile of funding</w:t>
            </w:r>
          </w:p>
        </w:tc>
        <w:tc>
          <w:tcPr>
            <w:tcW w:w="900" w:type="dxa"/>
            <w:tcBorders>
              <w:top w:val="nil"/>
              <w:left w:val="nil"/>
              <w:bottom w:val="nil"/>
              <w:right w:val="nil"/>
            </w:tcBorders>
            <w:shd w:val="clear" w:color="auto" w:fill="auto"/>
            <w:noWrap/>
            <w:vAlign w:val="bottom"/>
            <w:hideMark/>
          </w:tcPr>
          <w:p w14:paraId="009ADDE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15,144 </w:t>
            </w:r>
          </w:p>
        </w:tc>
        <w:tc>
          <w:tcPr>
            <w:tcW w:w="900" w:type="dxa"/>
            <w:tcBorders>
              <w:top w:val="nil"/>
              <w:left w:val="nil"/>
              <w:bottom w:val="nil"/>
              <w:right w:val="nil"/>
            </w:tcBorders>
            <w:shd w:val="clear" w:color="auto" w:fill="auto"/>
            <w:noWrap/>
            <w:vAlign w:val="bottom"/>
            <w:hideMark/>
          </w:tcPr>
          <w:p w14:paraId="504002F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2BFB1D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F15D20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2E510E6" w14:textId="77777777" w:rsidTr="002567A6">
        <w:trPr>
          <w:trHeight w:val="283"/>
          <w:jc w:val="center"/>
        </w:trPr>
        <w:tc>
          <w:tcPr>
            <w:tcW w:w="4060" w:type="dxa"/>
            <w:tcBorders>
              <w:top w:val="nil"/>
              <w:left w:val="nil"/>
              <w:bottom w:val="nil"/>
              <w:right w:val="nil"/>
            </w:tcBorders>
            <w:shd w:val="clear" w:color="auto" w:fill="auto"/>
            <w:vAlign w:val="bottom"/>
            <w:hideMark/>
          </w:tcPr>
          <w:p w14:paraId="3FABB68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In-home Aged Care - correction to estimates</w:t>
            </w:r>
          </w:p>
        </w:tc>
        <w:tc>
          <w:tcPr>
            <w:tcW w:w="900" w:type="dxa"/>
            <w:tcBorders>
              <w:top w:val="nil"/>
              <w:left w:val="nil"/>
              <w:bottom w:val="nil"/>
              <w:right w:val="nil"/>
            </w:tcBorders>
            <w:shd w:val="clear" w:color="auto" w:fill="auto"/>
            <w:noWrap/>
            <w:vAlign w:val="bottom"/>
            <w:hideMark/>
          </w:tcPr>
          <w:p w14:paraId="3986D8E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53CBB3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5E5F80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2690B5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90 </w:t>
            </w:r>
          </w:p>
        </w:tc>
      </w:tr>
      <w:tr w:rsidR="002567A6" w:rsidRPr="002567A6" w14:paraId="7CE6D3E0" w14:textId="77777777" w:rsidTr="002567A6">
        <w:trPr>
          <w:trHeight w:val="454"/>
          <w:jc w:val="center"/>
        </w:trPr>
        <w:tc>
          <w:tcPr>
            <w:tcW w:w="4060" w:type="dxa"/>
            <w:tcBorders>
              <w:top w:val="nil"/>
              <w:left w:val="nil"/>
              <w:bottom w:val="nil"/>
              <w:right w:val="nil"/>
            </w:tcBorders>
            <w:shd w:val="clear" w:color="auto" w:fill="auto"/>
            <w:vAlign w:val="bottom"/>
            <w:hideMark/>
          </w:tcPr>
          <w:p w14:paraId="58C630E7"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National Care and Support Worker Regulation - reprofile of funding</w:t>
            </w:r>
          </w:p>
        </w:tc>
        <w:tc>
          <w:tcPr>
            <w:tcW w:w="900" w:type="dxa"/>
            <w:tcBorders>
              <w:top w:val="nil"/>
              <w:left w:val="nil"/>
              <w:bottom w:val="nil"/>
              <w:right w:val="nil"/>
            </w:tcBorders>
            <w:shd w:val="clear" w:color="auto" w:fill="auto"/>
            <w:noWrap/>
            <w:vAlign w:val="bottom"/>
            <w:hideMark/>
          </w:tcPr>
          <w:p w14:paraId="464EF6B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1,495 </w:t>
            </w:r>
          </w:p>
        </w:tc>
        <w:tc>
          <w:tcPr>
            <w:tcW w:w="900" w:type="dxa"/>
            <w:tcBorders>
              <w:top w:val="nil"/>
              <w:left w:val="nil"/>
              <w:bottom w:val="nil"/>
              <w:right w:val="nil"/>
            </w:tcBorders>
            <w:shd w:val="clear" w:color="auto" w:fill="auto"/>
            <w:noWrap/>
            <w:vAlign w:val="bottom"/>
            <w:hideMark/>
          </w:tcPr>
          <w:p w14:paraId="5E5CB54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900 </w:t>
            </w:r>
          </w:p>
        </w:tc>
        <w:tc>
          <w:tcPr>
            <w:tcW w:w="900" w:type="dxa"/>
            <w:tcBorders>
              <w:top w:val="nil"/>
              <w:left w:val="nil"/>
              <w:bottom w:val="nil"/>
              <w:right w:val="nil"/>
            </w:tcBorders>
            <w:shd w:val="clear" w:color="auto" w:fill="auto"/>
            <w:noWrap/>
            <w:vAlign w:val="bottom"/>
            <w:hideMark/>
          </w:tcPr>
          <w:p w14:paraId="25A3785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400 </w:t>
            </w:r>
          </w:p>
        </w:tc>
        <w:tc>
          <w:tcPr>
            <w:tcW w:w="900" w:type="dxa"/>
            <w:tcBorders>
              <w:top w:val="nil"/>
              <w:left w:val="nil"/>
              <w:bottom w:val="nil"/>
              <w:right w:val="nil"/>
            </w:tcBorders>
            <w:shd w:val="clear" w:color="auto" w:fill="auto"/>
            <w:noWrap/>
            <w:vAlign w:val="bottom"/>
            <w:hideMark/>
          </w:tcPr>
          <w:p w14:paraId="0B4BFAF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F8CB760" w14:textId="77777777" w:rsidTr="002567A6">
        <w:trPr>
          <w:trHeight w:val="285"/>
          <w:jc w:val="center"/>
        </w:trPr>
        <w:tc>
          <w:tcPr>
            <w:tcW w:w="4060" w:type="dxa"/>
            <w:tcBorders>
              <w:top w:val="nil"/>
              <w:left w:val="nil"/>
              <w:bottom w:val="nil"/>
              <w:right w:val="nil"/>
            </w:tcBorders>
            <w:shd w:val="clear" w:color="auto" w:fill="auto"/>
            <w:noWrap/>
            <w:vAlign w:val="bottom"/>
            <w:hideMark/>
          </w:tcPr>
          <w:p w14:paraId="3E5B40E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New Aged Care Act - reprofile of funding</w:t>
            </w:r>
          </w:p>
        </w:tc>
        <w:tc>
          <w:tcPr>
            <w:tcW w:w="900" w:type="dxa"/>
            <w:tcBorders>
              <w:top w:val="nil"/>
              <w:left w:val="nil"/>
              <w:bottom w:val="nil"/>
              <w:right w:val="nil"/>
            </w:tcBorders>
            <w:shd w:val="clear" w:color="auto" w:fill="auto"/>
            <w:noWrap/>
            <w:vAlign w:val="bottom"/>
            <w:hideMark/>
          </w:tcPr>
          <w:p w14:paraId="4DD5693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503 </w:t>
            </w:r>
          </w:p>
        </w:tc>
        <w:tc>
          <w:tcPr>
            <w:tcW w:w="900" w:type="dxa"/>
            <w:tcBorders>
              <w:top w:val="nil"/>
              <w:left w:val="nil"/>
              <w:bottom w:val="nil"/>
              <w:right w:val="nil"/>
            </w:tcBorders>
            <w:shd w:val="clear" w:color="auto" w:fill="auto"/>
            <w:noWrap/>
            <w:vAlign w:val="bottom"/>
            <w:hideMark/>
          </w:tcPr>
          <w:p w14:paraId="0F32E6A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EC890C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F670DE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5B470F8" w14:textId="77777777" w:rsidTr="002567A6">
        <w:trPr>
          <w:trHeight w:val="454"/>
          <w:jc w:val="center"/>
        </w:trPr>
        <w:tc>
          <w:tcPr>
            <w:tcW w:w="4060" w:type="dxa"/>
            <w:tcBorders>
              <w:top w:val="nil"/>
              <w:left w:val="nil"/>
              <w:bottom w:val="nil"/>
              <w:right w:val="nil"/>
            </w:tcBorders>
            <w:shd w:val="clear" w:color="auto" w:fill="auto"/>
            <w:vAlign w:val="bottom"/>
            <w:hideMark/>
          </w:tcPr>
          <w:p w14:paraId="2463A5A9"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New Regulatory Model for Aged Care - reprofile of funding</w:t>
            </w:r>
          </w:p>
        </w:tc>
        <w:tc>
          <w:tcPr>
            <w:tcW w:w="900" w:type="dxa"/>
            <w:tcBorders>
              <w:top w:val="nil"/>
              <w:left w:val="nil"/>
              <w:bottom w:val="nil"/>
              <w:right w:val="nil"/>
            </w:tcBorders>
            <w:shd w:val="clear" w:color="auto" w:fill="auto"/>
            <w:noWrap/>
            <w:vAlign w:val="bottom"/>
            <w:hideMark/>
          </w:tcPr>
          <w:p w14:paraId="1DD6F85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1,915 </w:t>
            </w:r>
          </w:p>
        </w:tc>
        <w:tc>
          <w:tcPr>
            <w:tcW w:w="900" w:type="dxa"/>
            <w:tcBorders>
              <w:top w:val="nil"/>
              <w:left w:val="nil"/>
              <w:bottom w:val="nil"/>
              <w:right w:val="nil"/>
            </w:tcBorders>
            <w:shd w:val="clear" w:color="auto" w:fill="auto"/>
            <w:noWrap/>
            <w:vAlign w:val="bottom"/>
            <w:hideMark/>
          </w:tcPr>
          <w:p w14:paraId="5B0136E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8A4494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19D2C2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7B3B857" w14:textId="77777777" w:rsidTr="002567A6">
        <w:trPr>
          <w:trHeight w:val="454"/>
          <w:jc w:val="center"/>
        </w:trPr>
        <w:tc>
          <w:tcPr>
            <w:tcW w:w="4060" w:type="dxa"/>
            <w:tcBorders>
              <w:top w:val="nil"/>
              <w:left w:val="nil"/>
              <w:bottom w:val="nil"/>
              <w:right w:val="nil"/>
            </w:tcBorders>
            <w:shd w:val="clear" w:color="auto" w:fill="auto"/>
            <w:vAlign w:val="bottom"/>
            <w:hideMark/>
          </w:tcPr>
          <w:p w14:paraId="265EC3E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Protecting Consumers by Strengthening Regulatory Powers and Capability - reprofile of funding</w:t>
            </w:r>
          </w:p>
        </w:tc>
        <w:tc>
          <w:tcPr>
            <w:tcW w:w="900" w:type="dxa"/>
            <w:tcBorders>
              <w:top w:val="nil"/>
              <w:left w:val="nil"/>
              <w:bottom w:val="nil"/>
              <w:right w:val="nil"/>
            </w:tcBorders>
            <w:shd w:val="clear" w:color="auto" w:fill="auto"/>
            <w:noWrap/>
            <w:vAlign w:val="bottom"/>
            <w:hideMark/>
          </w:tcPr>
          <w:p w14:paraId="1C8DEDF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692 </w:t>
            </w:r>
          </w:p>
        </w:tc>
        <w:tc>
          <w:tcPr>
            <w:tcW w:w="900" w:type="dxa"/>
            <w:tcBorders>
              <w:top w:val="nil"/>
              <w:left w:val="nil"/>
              <w:bottom w:val="nil"/>
              <w:right w:val="nil"/>
            </w:tcBorders>
            <w:shd w:val="clear" w:color="auto" w:fill="auto"/>
            <w:noWrap/>
            <w:vAlign w:val="bottom"/>
            <w:hideMark/>
          </w:tcPr>
          <w:p w14:paraId="0BEE613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315327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F3D8F6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787B3744" w14:textId="77777777" w:rsidTr="002567A6">
        <w:trPr>
          <w:trHeight w:val="454"/>
          <w:jc w:val="center"/>
        </w:trPr>
        <w:tc>
          <w:tcPr>
            <w:tcW w:w="4060" w:type="dxa"/>
            <w:tcBorders>
              <w:top w:val="nil"/>
              <w:left w:val="nil"/>
              <w:bottom w:val="nil"/>
              <w:right w:val="nil"/>
            </w:tcBorders>
            <w:shd w:val="clear" w:color="auto" w:fill="auto"/>
            <w:vAlign w:val="bottom"/>
            <w:hideMark/>
          </w:tcPr>
          <w:p w14:paraId="34B3AB90"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Registration Scheme for Personal Care Workers - reprofile of funding</w:t>
            </w:r>
          </w:p>
        </w:tc>
        <w:tc>
          <w:tcPr>
            <w:tcW w:w="900" w:type="dxa"/>
            <w:tcBorders>
              <w:top w:val="nil"/>
              <w:left w:val="nil"/>
              <w:bottom w:val="nil"/>
              <w:right w:val="nil"/>
            </w:tcBorders>
            <w:shd w:val="clear" w:color="auto" w:fill="auto"/>
            <w:noWrap/>
            <w:vAlign w:val="bottom"/>
            <w:hideMark/>
          </w:tcPr>
          <w:p w14:paraId="6BC9718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865 </w:t>
            </w:r>
          </w:p>
        </w:tc>
        <w:tc>
          <w:tcPr>
            <w:tcW w:w="900" w:type="dxa"/>
            <w:tcBorders>
              <w:top w:val="nil"/>
              <w:left w:val="nil"/>
              <w:bottom w:val="nil"/>
              <w:right w:val="nil"/>
            </w:tcBorders>
            <w:shd w:val="clear" w:color="auto" w:fill="auto"/>
            <w:noWrap/>
            <w:vAlign w:val="bottom"/>
            <w:hideMark/>
          </w:tcPr>
          <w:p w14:paraId="2A14329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544 </w:t>
            </w:r>
          </w:p>
        </w:tc>
        <w:tc>
          <w:tcPr>
            <w:tcW w:w="900" w:type="dxa"/>
            <w:tcBorders>
              <w:top w:val="nil"/>
              <w:left w:val="nil"/>
              <w:bottom w:val="nil"/>
              <w:right w:val="nil"/>
            </w:tcBorders>
            <w:shd w:val="clear" w:color="auto" w:fill="auto"/>
            <w:noWrap/>
            <w:vAlign w:val="bottom"/>
            <w:hideMark/>
          </w:tcPr>
          <w:p w14:paraId="63E489E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18BBA6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49A51E3" w14:textId="77777777" w:rsidTr="002567A6">
        <w:trPr>
          <w:trHeight w:val="454"/>
          <w:jc w:val="center"/>
        </w:trPr>
        <w:tc>
          <w:tcPr>
            <w:tcW w:w="4060" w:type="dxa"/>
            <w:tcBorders>
              <w:top w:val="nil"/>
              <w:left w:val="nil"/>
              <w:bottom w:val="nil"/>
              <w:right w:val="nil"/>
            </w:tcBorders>
            <w:shd w:val="clear" w:color="auto" w:fill="auto"/>
            <w:vAlign w:val="bottom"/>
            <w:hideMark/>
          </w:tcPr>
          <w:p w14:paraId="2A0425D7"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Strengthening Provider Governance Arrangements Business design - reprofile of funding</w:t>
            </w:r>
          </w:p>
        </w:tc>
        <w:tc>
          <w:tcPr>
            <w:tcW w:w="900" w:type="dxa"/>
            <w:tcBorders>
              <w:top w:val="nil"/>
              <w:left w:val="nil"/>
              <w:bottom w:val="nil"/>
              <w:right w:val="nil"/>
            </w:tcBorders>
            <w:shd w:val="clear" w:color="auto" w:fill="auto"/>
            <w:noWrap/>
            <w:vAlign w:val="bottom"/>
            <w:hideMark/>
          </w:tcPr>
          <w:p w14:paraId="7C2C5F9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997 </w:t>
            </w:r>
          </w:p>
        </w:tc>
        <w:tc>
          <w:tcPr>
            <w:tcW w:w="900" w:type="dxa"/>
            <w:tcBorders>
              <w:top w:val="nil"/>
              <w:left w:val="nil"/>
              <w:bottom w:val="nil"/>
              <w:right w:val="nil"/>
            </w:tcBorders>
            <w:shd w:val="clear" w:color="auto" w:fill="auto"/>
            <w:noWrap/>
            <w:vAlign w:val="bottom"/>
            <w:hideMark/>
          </w:tcPr>
          <w:p w14:paraId="4D5B8CA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C2ECAA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A20BA5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4812109" w14:textId="77777777" w:rsidTr="002567A6">
        <w:trPr>
          <w:trHeight w:val="454"/>
          <w:jc w:val="center"/>
        </w:trPr>
        <w:tc>
          <w:tcPr>
            <w:tcW w:w="4060" w:type="dxa"/>
            <w:tcBorders>
              <w:top w:val="nil"/>
              <w:left w:val="nil"/>
              <w:bottom w:val="nil"/>
              <w:right w:val="nil"/>
            </w:tcBorders>
            <w:shd w:val="clear" w:color="auto" w:fill="auto"/>
            <w:vAlign w:val="bottom"/>
            <w:hideMark/>
          </w:tcPr>
          <w:p w14:paraId="7F442B9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Structural Adjustment Fund and Business Improvement Fund - reprofile of funding</w:t>
            </w:r>
          </w:p>
        </w:tc>
        <w:tc>
          <w:tcPr>
            <w:tcW w:w="900" w:type="dxa"/>
            <w:tcBorders>
              <w:top w:val="nil"/>
              <w:left w:val="nil"/>
              <w:bottom w:val="nil"/>
              <w:right w:val="nil"/>
            </w:tcBorders>
            <w:shd w:val="clear" w:color="auto" w:fill="auto"/>
            <w:noWrap/>
            <w:vAlign w:val="bottom"/>
            <w:hideMark/>
          </w:tcPr>
          <w:p w14:paraId="7549D7B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15,103 </w:t>
            </w:r>
          </w:p>
        </w:tc>
        <w:tc>
          <w:tcPr>
            <w:tcW w:w="900" w:type="dxa"/>
            <w:tcBorders>
              <w:top w:val="nil"/>
              <w:left w:val="nil"/>
              <w:bottom w:val="nil"/>
              <w:right w:val="nil"/>
            </w:tcBorders>
            <w:shd w:val="clear" w:color="auto" w:fill="auto"/>
            <w:noWrap/>
            <w:vAlign w:val="bottom"/>
            <w:hideMark/>
          </w:tcPr>
          <w:p w14:paraId="2CE54B7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38BFE4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CA7980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61BEB500" w14:textId="77777777" w:rsidTr="002567A6">
        <w:trPr>
          <w:trHeight w:val="283"/>
          <w:jc w:val="center"/>
        </w:trPr>
        <w:tc>
          <w:tcPr>
            <w:tcW w:w="4060" w:type="dxa"/>
            <w:tcBorders>
              <w:top w:val="nil"/>
              <w:left w:val="nil"/>
              <w:bottom w:val="nil"/>
              <w:right w:val="nil"/>
            </w:tcBorders>
            <w:shd w:val="clear" w:color="auto" w:fill="auto"/>
            <w:noWrap/>
            <w:vAlign w:val="bottom"/>
            <w:hideMark/>
          </w:tcPr>
          <w:p w14:paraId="08DD28D8"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Surge Workforce - reprofile of funding</w:t>
            </w:r>
          </w:p>
        </w:tc>
        <w:tc>
          <w:tcPr>
            <w:tcW w:w="900" w:type="dxa"/>
            <w:tcBorders>
              <w:top w:val="nil"/>
              <w:left w:val="nil"/>
              <w:bottom w:val="nil"/>
              <w:right w:val="nil"/>
            </w:tcBorders>
            <w:shd w:val="clear" w:color="auto" w:fill="auto"/>
            <w:noWrap/>
            <w:vAlign w:val="bottom"/>
            <w:hideMark/>
          </w:tcPr>
          <w:p w14:paraId="2774A06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4,026 </w:t>
            </w:r>
          </w:p>
        </w:tc>
        <w:tc>
          <w:tcPr>
            <w:tcW w:w="900" w:type="dxa"/>
            <w:tcBorders>
              <w:top w:val="nil"/>
              <w:left w:val="nil"/>
              <w:bottom w:val="nil"/>
              <w:right w:val="nil"/>
            </w:tcBorders>
            <w:shd w:val="clear" w:color="auto" w:fill="auto"/>
            <w:noWrap/>
            <w:vAlign w:val="bottom"/>
            <w:hideMark/>
          </w:tcPr>
          <w:p w14:paraId="4039DF7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73EA87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9D23EC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3C19C5B7" w14:textId="77777777" w:rsidTr="002567A6">
        <w:trPr>
          <w:trHeight w:val="454"/>
          <w:jc w:val="center"/>
        </w:trPr>
        <w:tc>
          <w:tcPr>
            <w:tcW w:w="4060" w:type="dxa"/>
            <w:tcBorders>
              <w:top w:val="nil"/>
              <w:left w:val="nil"/>
              <w:bottom w:val="nil"/>
              <w:right w:val="nil"/>
            </w:tcBorders>
            <w:shd w:val="clear" w:color="auto" w:fill="auto"/>
            <w:vAlign w:val="bottom"/>
            <w:hideMark/>
          </w:tcPr>
          <w:p w14:paraId="6C32ABFF"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Transfer of funding from the Department of Infrastructure - various projects</w:t>
            </w:r>
          </w:p>
        </w:tc>
        <w:tc>
          <w:tcPr>
            <w:tcW w:w="900" w:type="dxa"/>
            <w:tcBorders>
              <w:top w:val="nil"/>
              <w:left w:val="nil"/>
              <w:bottom w:val="nil"/>
              <w:right w:val="nil"/>
            </w:tcBorders>
            <w:shd w:val="clear" w:color="auto" w:fill="auto"/>
            <w:noWrap/>
            <w:vAlign w:val="bottom"/>
            <w:hideMark/>
          </w:tcPr>
          <w:p w14:paraId="6EFD3E2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156</w:t>
            </w:r>
          </w:p>
        </w:tc>
        <w:tc>
          <w:tcPr>
            <w:tcW w:w="900" w:type="dxa"/>
            <w:tcBorders>
              <w:top w:val="nil"/>
              <w:left w:val="nil"/>
              <w:bottom w:val="nil"/>
              <w:right w:val="nil"/>
            </w:tcBorders>
            <w:shd w:val="clear" w:color="auto" w:fill="auto"/>
            <w:noWrap/>
            <w:vAlign w:val="bottom"/>
            <w:hideMark/>
          </w:tcPr>
          <w:p w14:paraId="044693B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29DD82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C7B2A7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5C85695A" w14:textId="77777777" w:rsidTr="002567A6">
        <w:trPr>
          <w:trHeight w:val="454"/>
          <w:jc w:val="center"/>
        </w:trPr>
        <w:tc>
          <w:tcPr>
            <w:tcW w:w="4060" w:type="dxa"/>
            <w:tcBorders>
              <w:top w:val="nil"/>
              <w:left w:val="nil"/>
              <w:bottom w:val="nil"/>
              <w:right w:val="nil"/>
            </w:tcBorders>
            <w:shd w:val="clear" w:color="auto" w:fill="auto"/>
            <w:vAlign w:val="bottom"/>
            <w:hideMark/>
          </w:tcPr>
          <w:p w14:paraId="43C2E22F"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Workforce Advisory Service and Business Advisory Fund - reprofile of funding</w:t>
            </w:r>
          </w:p>
        </w:tc>
        <w:tc>
          <w:tcPr>
            <w:tcW w:w="900" w:type="dxa"/>
            <w:tcBorders>
              <w:top w:val="nil"/>
              <w:left w:val="nil"/>
              <w:bottom w:val="nil"/>
              <w:right w:val="nil"/>
            </w:tcBorders>
            <w:shd w:val="clear" w:color="auto" w:fill="auto"/>
            <w:noWrap/>
            <w:vAlign w:val="bottom"/>
            <w:hideMark/>
          </w:tcPr>
          <w:p w14:paraId="266C03B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1,530 </w:t>
            </w:r>
          </w:p>
        </w:tc>
        <w:tc>
          <w:tcPr>
            <w:tcW w:w="900" w:type="dxa"/>
            <w:tcBorders>
              <w:top w:val="nil"/>
              <w:left w:val="nil"/>
              <w:bottom w:val="nil"/>
              <w:right w:val="nil"/>
            </w:tcBorders>
            <w:shd w:val="clear" w:color="auto" w:fill="auto"/>
            <w:noWrap/>
            <w:vAlign w:val="bottom"/>
            <w:hideMark/>
          </w:tcPr>
          <w:p w14:paraId="18D72068"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1,530 </w:t>
            </w:r>
          </w:p>
        </w:tc>
        <w:tc>
          <w:tcPr>
            <w:tcW w:w="900" w:type="dxa"/>
            <w:tcBorders>
              <w:top w:val="nil"/>
              <w:left w:val="nil"/>
              <w:bottom w:val="nil"/>
              <w:right w:val="nil"/>
            </w:tcBorders>
            <w:shd w:val="clear" w:color="auto" w:fill="auto"/>
            <w:noWrap/>
            <w:vAlign w:val="bottom"/>
            <w:hideMark/>
          </w:tcPr>
          <w:p w14:paraId="1002ED9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B62132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FAD3736" w14:textId="77777777" w:rsidTr="002567A6">
        <w:trPr>
          <w:trHeight w:val="285"/>
          <w:jc w:val="center"/>
        </w:trPr>
        <w:tc>
          <w:tcPr>
            <w:tcW w:w="4060" w:type="dxa"/>
            <w:tcBorders>
              <w:top w:val="nil"/>
              <w:left w:val="nil"/>
              <w:bottom w:val="nil"/>
              <w:right w:val="nil"/>
            </w:tcBorders>
            <w:shd w:val="clear" w:color="auto" w:fill="auto"/>
            <w:noWrap/>
            <w:vAlign w:val="bottom"/>
            <w:hideMark/>
          </w:tcPr>
          <w:p w14:paraId="052785A7" w14:textId="3890D1C8" w:rsidR="002567A6" w:rsidRPr="002567A6" w:rsidRDefault="002567A6" w:rsidP="000F593B">
            <w:pPr>
              <w:spacing w:before="0" w:after="0" w:line="240" w:lineRule="auto"/>
              <w:rPr>
                <w:rFonts w:ascii="Arial" w:hAnsi="Arial" w:cs="Arial"/>
                <w:sz w:val="16"/>
                <w:szCs w:val="16"/>
              </w:rPr>
            </w:pPr>
            <w:r w:rsidRPr="002567A6">
              <w:rPr>
                <w:rFonts w:ascii="Arial" w:hAnsi="Arial" w:cs="Arial"/>
                <w:sz w:val="16"/>
                <w:szCs w:val="16"/>
              </w:rPr>
              <w:t>Price parameter adjustments</w:t>
            </w:r>
            <w:r w:rsidRPr="002567A6">
              <w:rPr>
                <w:rFonts w:ascii="Arial" w:hAnsi="Arial" w:cs="Arial"/>
                <w:sz w:val="16"/>
                <w:szCs w:val="16"/>
                <w:vertAlign w:val="superscript"/>
              </w:rPr>
              <w:t>(a)</w:t>
            </w:r>
          </w:p>
        </w:tc>
        <w:tc>
          <w:tcPr>
            <w:tcW w:w="900" w:type="dxa"/>
            <w:tcBorders>
              <w:top w:val="nil"/>
              <w:left w:val="nil"/>
              <w:bottom w:val="nil"/>
              <w:right w:val="nil"/>
            </w:tcBorders>
            <w:shd w:val="clear" w:color="auto" w:fill="auto"/>
            <w:noWrap/>
            <w:vAlign w:val="bottom"/>
            <w:hideMark/>
          </w:tcPr>
          <w:p w14:paraId="583F16F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76187A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39EF8A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506 </w:t>
            </w:r>
          </w:p>
        </w:tc>
        <w:tc>
          <w:tcPr>
            <w:tcW w:w="900" w:type="dxa"/>
            <w:tcBorders>
              <w:top w:val="nil"/>
              <w:left w:val="nil"/>
              <w:bottom w:val="nil"/>
              <w:right w:val="nil"/>
            </w:tcBorders>
            <w:shd w:val="clear" w:color="auto" w:fill="auto"/>
            <w:noWrap/>
            <w:vAlign w:val="bottom"/>
            <w:hideMark/>
          </w:tcPr>
          <w:p w14:paraId="44B5DB5C"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488 </w:t>
            </w:r>
          </w:p>
        </w:tc>
      </w:tr>
      <w:tr w:rsidR="002567A6" w:rsidRPr="002567A6" w14:paraId="672CE76B" w14:textId="77777777" w:rsidTr="002567A6">
        <w:trPr>
          <w:trHeight w:val="283"/>
          <w:jc w:val="center"/>
        </w:trPr>
        <w:tc>
          <w:tcPr>
            <w:tcW w:w="4060" w:type="dxa"/>
            <w:tcBorders>
              <w:top w:val="nil"/>
              <w:left w:val="nil"/>
              <w:bottom w:val="single" w:sz="4" w:space="0" w:color="auto"/>
              <w:right w:val="nil"/>
            </w:tcBorders>
            <w:shd w:val="clear" w:color="auto" w:fill="auto"/>
            <w:noWrap/>
            <w:vAlign w:val="bottom"/>
            <w:hideMark/>
          </w:tcPr>
          <w:p w14:paraId="032BBD7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4010C743"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363,147 </w:t>
            </w:r>
          </w:p>
        </w:tc>
        <w:tc>
          <w:tcPr>
            <w:tcW w:w="900" w:type="dxa"/>
            <w:tcBorders>
              <w:top w:val="single" w:sz="4" w:space="0" w:color="auto"/>
              <w:left w:val="nil"/>
              <w:bottom w:val="single" w:sz="4" w:space="0" w:color="auto"/>
              <w:right w:val="nil"/>
            </w:tcBorders>
            <w:shd w:val="clear" w:color="auto" w:fill="auto"/>
            <w:noWrap/>
            <w:vAlign w:val="bottom"/>
            <w:hideMark/>
          </w:tcPr>
          <w:p w14:paraId="5EB93C4B"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19,871 </w:t>
            </w:r>
          </w:p>
        </w:tc>
        <w:tc>
          <w:tcPr>
            <w:tcW w:w="900" w:type="dxa"/>
            <w:tcBorders>
              <w:top w:val="single" w:sz="4" w:space="0" w:color="auto"/>
              <w:left w:val="nil"/>
              <w:bottom w:val="single" w:sz="4" w:space="0" w:color="auto"/>
              <w:right w:val="nil"/>
            </w:tcBorders>
            <w:shd w:val="clear" w:color="auto" w:fill="auto"/>
            <w:noWrap/>
            <w:vAlign w:val="bottom"/>
            <w:hideMark/>
          </w:tcPr>
          <w:p w14:paraId="034AE9C2"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14,780 </w:t>
            </w:r>
          </w:p>
        </w:tc>
        <w:tc>
          <w:tcPr>
            <w:tcW w:w="900" w:type="dxa"/>
            <w:tcBorders>
              <w:top w:val="single" w:sz="4" w:space="0" w:color="auto"/>
              <w:left w:val="nil"/>
              <w:bottom w:val="single" w:sz="4" w:space="0" w:color="auto"/>
              <w:right w:val="nil"/>
            </w:tcBorders>
            <w:shd w:val="clear" w:color="auto" w:fill="auto"/>
            <w:noWrap/>
            <w:vAlign w:val="bottom"/>
            <w:hideMark/>
          </w:tcPr>
          <w:p w14:paraId="6BF66927" w14:textId="77777777" w:rsidR="002567A6" w:rsidRPr="002567A6" w:rsidRDefault="002567A6" w:rsidP="002567A6">
            <w:pPr>
              <w:spacing w:before="0" w:after="0" w:line="240" w:lineRule="auto"/>
              <w:jc w:val="right"/>
              <w:rPr>
                <w:rFonts w:ascii="Arial" w:hAnsi="Arial" w:cs="Arial"/>
                <w:b/>
                <w:bCs/>
                <w:sz w:val="16"/>
                <w:szCs w:val="16"/>
              </w:rPr>
            </w:pPr>
            <w:r w:rsidRPr="002567A6">
              <w:rPr>
                <w:rFonts w:ascii="Arial" w:hAnsi="Arial" w:cs="Arial"/>
                <w:b/>
                <w:bCs/>
                <w:sz w:val="16"/>
                <w:szCs w:val="16"/>
              </w:rPr>
              <w:t xml:space="preserve">12,178 </w:t>
            </w:r>
          </w:p>
        </w:tc>
      </w:tr>
    </w:tbl>
    <w:p w14:paraId="7527290B" w14:textId="760CC945" w:rsidR="002B5B49" w:rsidRDefault="002B5B49" w:rsidP="002B5B49">
      <w:pPr>
        <w:pStyle w:val="SingleParagraph"/>
      </w:pPr>
    </w:p>
    <w:p w14:paraId="7A5E7E02" w14:textId="77777777" w:rsidR="002B5B49" w:rsidRPr="005A698A" w:rsidRDefault="002B5B49" w:rsidP="002B5B49">
      <w:pPr>
        <w:pStyle w:val="SingleParagraph"/>
      </w:pPr>
    </w:p>
    <w:p w14:paraId="3CDF308B" w14:textId="10DE52DB" w:rsidR="002567A6" w:rsidRPr="00AC6239" w:rsidRDefault="002567A6" w:rsidP="00E81B71">
      <w:pPr>
        <w:pStyle w:val="TableHeading"/>
      </w:pPr>
      <w:r>
        <w:lastRenderedPageBreak/>
        <w:t>Table 2.3</w:t>
      </w:r>
      <w:r w:rsidRPr="00AC6239">
        <w:t>.1</w:t>
      </w:r>
      <w:r>
        <w:t xml:space="preserve"> </w:t>
      </w:r>
      <w:r w:rsidR="004F0C05">
        <w:t>Variations table –</w:t>
      </w:r>
      <w:r w:rsidR="00E81B71">
        <w:t xml:space="preserve"> </w:t>
      </w:r>
      <w:r w:rsidR="00E81B71" w:rsidRPr="00D93D96">
        <w:t xml:space="preserve">Outcome </w:t>
      </w:r>
      <w:r w:rsidR="00E81B71">
        <w:t>3 (</w:t>
      </w:r>
      <w:r w:rsidRPr="00AC6239">
        <w:t>continued)</w:t>
      </w:r>
    </w:p>
    <w:tbl>
      <w:tblPr>
        <w:tblW w:w="7660" w:type="dxa"/>
        <w:tblLook w:val="04A0" w:firstRow="1" w:lastRow="0" w:firstColumn="1" w:lastColumn="0" w:noHBand="0" w:noVBand="1"/>
      </w:tblPr>
      <w:tblGrid>
        <w:gridCol w:w="4060"/>
        <w:gridCol w:w="900"/>
        <w:gridCol w:w="900"/>
        <w:gridCol w:w="900"/>
        <w:gridCol w:w="900"/>
      </w:tblGrid>
      <w:tr w:rsidR="002567A6" w:rsidRPr="002567A6" w14:paraId="40288B23" w14:textId="77777777" w:rsidTr="00503717">
        <w:trPr>
          <w:trHeight w:val="397"/>
        </w:trPr>
        <w:tc>
          <w:tcPr>
            <w:tcW w:w="4060" w:type="dxa"/>
            <w:tcBorders>
              <w:top w:val="single" w:sz="4" w:space="0" w:color="auto"/>
              <w:left w:val="nil"/>
              <w:bottom w:val="nil"/>
              <w:right w:val="nil"/>
            </w:tcBorders>
            <w:shd w:val="clear" w:color="auto" w:fill="auto"/>
            <w:hideMark/>
          </w:tcPr>
          <w:p w14:paraId="6D7B1551" w14:textId="77777777" w:rsidR="002567A6" w:rsidRPr="002567A6" w:rsidRDefault="002567A6" w:rsidP="00D21F06">
            <w:pPr>
              <w:spacing w:before="24" w:after="0" w:line="240" w:lineRule="auto"/>
              <w:jc w:val="right"/>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25EDB798" w14:textId="3598FA1A"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2023–</w:t>
            </w:r>
            <w:r w:rsidR="002567A6" w:rsidRPr="002567A6">
              <w:rPr>
                <w:rFonts w:ascii="Arial" w:hAnsi="Arial" w:cs="Arial"/>
                <w:b/>
                <w:bCs/>
                <w:sz w:val="16"/>
                <w:szCs w:val="16"/>
              </w:rPr>
              <w:t>24</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BA8FCBD" w14:textId="3341B4D3"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2024–</w:t>
            </w:r>
            <w:r w:rsidR="002567A6" w:rsidRPr="002567A6">
              <w:rPr>
                <w:rFonts w:ascii="Arial" w:hAnsi="Arial" w:cs="Arial"/>
                <w:b/>
                <w:bCs/>
                <w:sz w:val="16"/>
                <w:szCs w:val="16"/>
              </w:rPr>
              <w:t>25</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CF4B32F" w14:textId="1F15CD5E"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2025–</w:t>
            </w:r>
            <w:r w:rsidR="002567A6" w:rsidRPr="002567A6">
              <w:rPr>
                <w:rFonts w:ascii="Arial" w:hAnsi="Arial" w:cs="Arial"/>
                <w:b/>
                <w:bCs/>
                <w:sz w:val="16"/>
                <w:szCs w:val="16"/>
              </w:rPr>
              <w:t>26</w:t>
            </w:r>
            <w:r w:rsidR="002567A6" w:rsidRPr="002567A6">
              <w:rPr>
                <w:rFonts w:ascii="Arial" w:hAnsi="Arial" w:cs="Arial"/>
                <w:b/>
                <w:bCs/>
                <w:sz w:val="16"/>
                <w:szCs w:val="16"/>
              </w:rPr>
              <w:br/>
            </w:r>
            <w:r w:rsidR="002567A6" w:rsidRPr="002567A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228AC15B" w14:textId="6AB73427" w:rsidR="002567A6" w:rsidRPr="002567A6" w:rsidRDefault="00CB465B" w:rsidP="00D21F06">
            <w:pPr>
              <w:spacing w:before="24" w:after="0" w:line="240" w:lineRule="auto"/>
              <w:jc w:val="right"/>
              <w:rPr>
                <w:rFonts w:ascii="Arial" w:hAnsi="Arial" w:cs="Arial"/>
                <w:b/>
                <w:bCs/>
                <w:sz w:val="16"/>
                <w:szCs w:val="16"/>
              </w:rPr>
            </w:pPr>
            <w:r>
              <w:rPr>
                <w:rFonts w:ascii="Arial" w:hAnsi="Arial" w:cs="Arial"/>
                <w:b/>
                <w:bCs/>
                <w:sz w:val="16"/>
                <w:szCs w:val="16"/>
              </w:rPr>
              <w:t>2026–</w:t>
            </w:r>
            <w:r w:rsidR="002567A6" w:rsidRPr="002567A6">
              <w:rPr>
                <w:rFonts w:ascii="Arial" w:hAnsi="Arial" w:cs="Arial"/>
                <w:b/>
                <w:bCs/>
                <w:sz w:val="16"/>
                <w:szCs w:val="16"/>
              </w:rPr>
              <w:t>27</w:t>
            </w:r>
            <w:r w:rsidR="002567A6" w:rsidRPr="002567A6">
              <w:rPr>
                <w:rFonts w:ascii="Arial" w:hAnsi="Arial" w:cs="Arial"/>
                <w:b/>
                <w:bCs/>
                <w:sz w:val="16"/>
                <w:szCs w:val="16"/>
              </w:rPr>
              <w:br/>
            </w:r>
            <w:r w:rsidR="002567A6" w:rsidRPr="002567A6">
              <w:rPr>
                <w:rFonts w:ascii="Arial" w:hAnsi="Arial" w:cs="Arial"/>
                <w:sz w:val="16"/>
                <w:szCs w:val="16"/>
              </w:rPr>
              <w:t>$'000</w:t>
            </w:r>
          </w:p>
        </w:tc>
      </w:tr>
      <w:tr w:rsidR="002567A6" w:rsidRPr="002567A6" w14:paraId="725B115A" w14:textId="77777777" w:rsidTr="000911F8">
        <w:trPr>
          <w:trHeight w:val="283"/>
        </w:trPr>
        <w:tc>
          <w:tcPr>
            <w:tcW w:w="4060" w:type="dxa"/>
            <w:tcBorders>
              <w:top w:val="nil"/>
              <w:left w:val="nil"/>
              <w:bottom w:val="nil"/>
              <w:right w:val="nil"/>
            </w:tcBorders>
            <w:shd w:val="clear" w:color="auto" w:fill="auto"/>
            <w:noWrap/>
            <w:vAlign w:val="bottom"/>
            <w:hideMark/>
          </w:tcPr>
          <w:p w14:paraId="6E6E97B4"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Outcome 3: Ageing and Aged Care</w:t>
            </w:r>
          </w:p>
        </w:tc>
        <w:tc>
          <w:tcPr>
            <w:tcW w:w="900" w:type="dxa"/>
            <w:tcBorders>
              <w:top w:val="nil"/>
              <w:left w:val="nil"/>
              <w:bottom w:val="nil"/>
              <w:right w:val="nil"/>
            </w:tcBorders>
            <w:shd w:val="clear" w:color="auto" w:fill="auto"/>
            <w:noWrap/>
            <w:vAlign w:val="bottom"/>
            <w:hideMark/>
          </w:tcPr>
          <w:p w14:paraId="23BEB400"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60C3525"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D5FC1C7" w14:textId="77777777" w:rsidR="002567A6" w:rsidRPr="002567A6" w:rsidRDefault="002567A6" w:rsidP="002567A6">
            <w:pPr>
              <w:spacing w:before="0" w:after="0" w:line="240" w:lineRule="auto"/>
              <w:jc w:val="center"/>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D99DA5D" w14:textId="77777777" w:rsidR="002567A6" w:rsidRPr="002567A6" w:rsidRDefault="002567A6" w:rsidP="002567A6">
            <w:pPr>
              <w:spacing w:before="0" w:after="0" w:line="240" w:lineRule="auto"/>
              <w:jc w:val="center"/>
              <w:rPr>
                <w:rFonts w:ascii="Times New Roman" w:hAnsi="Times New Roman"/>
                <w:sz w:val="20"/>
              </w:rPr>
            </w:pPr>
          </w:p>
        </w:tc>
      </w:tr>
      <w:tr w:rsidR="002567A6" w:rsidRPr="002567A6" w14:paraId="6AC947A9" w14:textId="77777777" w:rsidTr="000911F8">
        <w:trPr>
          <w:trHeight w:val="283"/>
        </w:trPr>
        <w:tc>
          <w:tcPr>
            <w:tcW w:w="4060" w:type="dxa"/>
            <w:tcBorders>
              <w:top w:val="nil"/>
              <w:left w:val="nil"/>
              <w:bottom w:val="nil"/>
              <w:right w:val="nil"/>
            </w:tcBorders>
            <w:shd w:val="clear" w:color="auto" w:fill="auto"/>
            <w:noWrap/>
            <w:vAlign w:val="bottom"/>
            <w:hideMark/>
          </w:tcPr>
          <w:p w14:paraId="2AB5954B" w14:textId="77777777" w:rsidR="002567A6" w:rsidRPr="002567A6" w:rsidRDefault="002567A6" w:rsidP="002567A6">
            <w:pPr>
              <w:spacing w:before="0" w:after="0" w:line="240" w:lineRule="auto"/>
              <w:rPr>
                <w:rFonts w:ascii="Arial" w:hAnsi="Arial" w:cs="Arial"/>
                <w:b/>
                <w:bCs/>
                <w:sz w:val="16"/>
                <w:szCs w:val="16"/>
              </w:rPr>
            </w:pPr>
            <w:r w:rsidRPr="002567A6">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132D31CB" w14:textId="77777777" w:rsidR="002567A6" w:rsidRPr="002567A6" w:rsidRDefault="002567A6" w:rsidP="002567A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7DC0087"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E0D1554"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6F83300"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5DE4A815" w14:textId="77777777" w:rsidTr="00D21F06">
        <w:trPr>
          <w:trHeight w:val="283"/>
        </w:trPr>
        <w:tc>
          <w:tcPr>
            <w:tcW w:w="4060" w:type="dxa"/>
            <w:tcBorders>
              <w:top w:val="nil"/>
              <w:left w:val="nil"/>
              <w:bottom w:val="nil"/>
              <w:right w:val="nil"/>
            </w:tcBorders>
            <w:shd w:val="clear" w:color="auto" w:fill="auto"/>
            <w:noWrap/>
            <w:vAlign w:val="bottom"/>
            <w:hideMark/>
          </w:tcPr>
          <w:p w14:paraId="46CF153B"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116E5593" w14:textId="77777777" w:rsidR="002567A6" w:rsidRPr="002567A6" w:rsidRDefault="002567A6" w:rsidP="002567A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0D59369"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C850707"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66B4FE5"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5B5EC7D1" w14:textId="77777777" w:rsidTr="00D21F06">
        <w:trPr>
          <w:trHeight w:val="283"/>
        </w:trPr>
        <w:tc>
          <w:tcPr>
            <w:tcW w:w="4060" w:type="dxa"/>
            <w:tcBorders>
              <w:top w:val="nil"/>
              <w:left w:val="nil"/>
              <w:bottom w:val="nil"/>
              <w:right w:val="nil"/>
            </w:tcBorders>
            <w:shd w:val="clear" w:color="auto" w:fill="auto"/>
            <w:vAlign w:val="bottom"/>
            <w:hideMark/>
          </w:tcPr>
          <w:p w14:paraId="281107B2"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Continuation of Aged Care Reform</w:t>
            </w:r>
          </w:p>
        </w:tc>
        <w:tc>
          <w:tcPr>
            <w:tcW w:w="900" w:type="dxa"/>
            <w:tcBorders>
              <w:top w:val="nil"/>
              <w:left w:val="nil"/>
              <w:bottom w:val="nil"/>
              <w:right w:val="nil"/>
            </w:tcBorders>
            <w:shd w:val="clear" w:color="auto" w:fill="auto"/>
            <w:noWrap/>
            <w:vAlign w:val="bottom"/>
            <w:hideMark/>
          </w:tcPr>
          <w:p w14:paraId="3060F7E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60,909 </w:t>
            </w:r>
          </w:p>
        </w:tc>
        <w:tc>
          <w:tcPr>
            <w:tcW w:w="900" w:type="dxa"/>
            <w:tcBorders>
              <w:top w:val="nil"/>
              <w:left w:val="nil"/>
              <w:bottom w:val="nil"/>
              <w:right w:val="nil"/>
            </w:tcBorders>
            <w:shd w:val="clear" w:color="auto" w:fill="auto"/>
            <w:noWrap/>
            <w:vAlign w:val="bottom"/>
            <w:hideMark/>
          </w:tcPr>
          <w:p w14:paraId="13123FC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25,106 </w:t>
            </w:r>
          </w:p>
        </w:tc>
        <w:tc>
          <w:tcPr>
            <w:tcW w:w="900" w:type="dxa"/>
            <w:tcBorders>
              <w:top w:val="nil"/>
              <w:left w:val="nil"/>
              <w:bottom w:val="nil"/>
              <w:right w:val="nil"/>
            </w:tcBorders>
            <w:shd w:val="clear" w:color="auto" w:fill="auto"/>
            <w:noWrap/>
            <w:vAlign w:val="bottom"/>
            <w:hideMark/>
          </w:tcPr>
          <w:p w14:paraId="3E25118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13,883 </w:t>
            </w:r>
          </w:p>
        </w:tc>
        <w:tc>
          <w:tcPr>
            <w:tcW w:w="900" w:type="dxa"/>
            <w:tcBorders>
              <w:top w:val="nil"/>
              <w:left w:val="nil"/>
              <w:bottom w:val="nil"/>
              <w:right w:val="nil"/>
            </w:tcBorders>
            <w:shd w:val="clear" w:color="auto" w:fill="auto"/>
            <w:noWrap/>
            <w:vAlign w:val="bottom"/>
            <w:hideMark/>
          </w:tcPr>
          <w:p w14:paraId="2F1F35C6"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11,971 </w:t>
            </w:r>
          </w:p>
        </w:tc>
      </w:tr>
      <w:tr w:rsidR="002567A6" w:rsidRPr="002567A6" w14:paraId="151003A6" w14:textId="77777777" w:rsidTr="00D21F06">
        <w:trPr>
          <w:trHeight w:val="454"/>
        </w:trPr>
        <w:tc>
          <w:tcPr>
            <w:tcW w:w="4060" w:type="dxa"/>
            <w:tcBorders>
              <w:top w:val="nil"/>
              <w:left w:val="nil"/>
              <w:bottom w:val="nil"/>
              <w:right w:val="nil"/>
            </w:tcBorders>
            <w:shd w:val="clear" w:color="auto" w:fill="auto"/>
            <w:vAlign w:val="bottom"/>
            <w:hideMark/>
          </w:tcPr>
          <w:p w14:paraId="5E24836D"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Continued Support for the COVID-19 Response</w:t>
            </w:r>
          </w:p>
        </w:tc>
        <w:tc>
          <w:tcPr>
            <w:tcW w:w="900" w:type="dxa"/>
            <w:tcBorders>
              <w:top w:val="nil"/>
              <w:left w:val="nil"/>
              <w:bottom w:val="nil"/>
              <w:right w:val="nil"/>
            </w:tcBorders>
            <w:shd w:val="clear" w:color="auto" w:fill="auto"/>
            <w:noWrap/>
            <w:vAlign w:val="bottom"/>
            <w:hideMark/>
          </w:tcPr>
          <w:p w14:paraId="39D2D90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8,827 </w:t>
            </w:r>
          </w:p>
        </w:tc>
        <w:tc>
          <w:tcPr>
            <w:tcW w:w="900" w:type="dxa"/>
            <w:tcBorders>
              <w:top w:val="nil"/>
              <w:left w:val="nil"/>
              <w:bottom w:val="nil"/>
              <w:right w:val="nil"/>
            </w:tcBorders>
            <w:shd w:val="clear" w:color="auto" w:fill="auto"/>
            <w:noWrap/>
            <w:vAlign w:val="bottom"/>
            <w:hideMark/>
          </w:tcPr>
          <w:p w14:paraId="68DC684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4,228 </w:t>
            </w:r>
          </w:p>
        </w:tc>
        <w:tc>
          <w:tcPr>
            <w:tcW w:w="900" w:type="dxa"/>
            <w:tcBorders>
              <w:top w:val="nil"/>
              <w:left w:val="nil"/>
              <w:bottom w:val="nil"/>
              <w:right w:val="nil"/>
            </w:tcBorders>
            <w:shd w:val="clear" w:color="auto" w:fill="auto"/>
            <w:noWrap/>
            <w:vAlign w:val="bottom"/>
            <w:hideMark/>
          </w:tcPr>
          <w:p w14:paraId="6A999FB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2904E1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02B14F4E" w14:textId="77777777" w:rsidTr="00D21F06">
        <w:trPr>
          <w:trHeight w:val="454"/>
        </w:trPr>
        <w:tc>
          <w:tcPr>
            <w:tcW w:w="4060" w:type="dxa"/>
            <w:tcBorders>
              <w:top w:val="nil"/>
              <w:left w:val="nil"/>
              <w:bottom w:val="nil"/>
              <w:right w:val="nil"/>
            </w:tcBorders>
            <w:shd w:val="clear" w:color="auto" w:fill="auto"/>
            <w:vAlign w:val="bottom"/>
            <w:hideMark/>
          </w:tcPr>
          <w:p w14:paraId="2268BB7E" w14:textId="5704EE63"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National Strategy fo</w:t>
            </w:r>
            <w:r w:rsidR="00946B84">
              <w:rPr>
                <w:rFonts w:ascii="Arial" w:hAnsi="Arial" w:cs="Arial"/>
                <w:sz w:val="16"/>
                <w:szCs w:val="16"/>
              </w:rPr>
              <w:t xml:space="preserve">r the Care and Support Economy </w:t>
            </w:r>
            <w:r w:rsidR="00946B84">
              <w:rPr>
                <w:rFonts w:ascii="Arial" w:hAnsi="Arial" w:cs="Arial"/>
                <w:b/>
                <w:bCs/>
                <w:sz w:val="16"/>
                <w:szCs w:val="16"/>
              </w:rPr>
              <w:t>–</w:t>
            </w:r>
            <w:r w:rsidRPr="002567A6">
              <w:rPr>
                <w:rFonts w:ascii="Arial" w:hAnsi="Arial" w:cs="Arial"/>
                <w:sz w:val="16"/>
                <w:szCs w:val="16"/>
              </w:rPr>
              <w:t xml:space="preserve"> delivering foundational initiatives</w:t>
            </w:r>
          </w:p>
        </w:tc>
        <w:tc>
          <w:tcPr>
            <w:tcW w:w="900" w:type="dxa"/>
            <w:tcBorders>
              <w:top w:val="nil"/>
              <w:left w:val="nil"/>
              <w:bottom w:val="nil"/>
              <w:right w:val="nil"/>
            </w:tcBorders>
            <w:shd w:val="clear" w:color="auto" w:fill="auto"/>
            <w:noWrap/>
            <w:vAlign w:val="bottom"/>
            <w:hideMark/>
          </w:tcPr>
          <w:p w14:paraId="26ED8F7E"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1,371 </w:t>
            </w:r>
          </w:p>
        </w:tc>
        <w:tc>
          <w:tcPr>
            <w:tcW w:w="900" w:type="dxa"/>
            <w:tcBorders>
              <w:top w:val="nil"/>
              <w:left w:val="nil"/>
              <w:bottom w:val="nil"/>
              <w:right w:val="nil"/>
            </w:tcBorders>
            <w:shd w:val="clear" w:color="auto" w:fill="auto"/>
            <w:noWrap/>
            <w:vAlign w:val="bottom"/>
            <w:hideMark/>
          </w:tcPr>
          <w:p w14:paraId="02A6898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1,581 </w:t>
            </w:r>
          </w:p>
        </w:tc>
        <w:tc>
          <w:tcPr>
            <w:tcW w:w="900" w:type="dxa"/>
            <w:tcBorders>
              <w:top w:val="nil"/>
              <w:left w:val="nil"/>
              <w:bottom w:val="nil"/>
              <w:right w:val="nil"/>
            </w:tcBorders>
            <w:shd w:val="clear" w:color="auto" w:fill="auto"/>
            <w:noWrap/>
            <w:vAlign w:val="bottom"/>
            <w:hideMark/>
          </w:tcPr>
          <w:p w14:paraId="49F6AEB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799CF4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5140DAE" w14:textId="77777777" w:rsidTr="00D21F06">
        <w:trPr>
          <w:trHeight w:val="454"/>
        </w:trPr>
        <w:tc>
          <w:tcPr>
            <w:tcW w:w="4060" w:type="dxa"/>
            <w:tcBorders>
              <w:top w:val="nil"/>
              <w:left w:val="nil"/>
              <w:bottom w:val="nil"/>
              <w:right w:val="nil"/>
            </w:tcBorders>
            <w:shd w:val="clear" w:color="000000" w:fill="FFFFFF"/>
            <w:vAlign w:val="bottom"/>
            <w:hideMark/>
          </w:tcPr>
          <w:p w14:paraId="673C1084" w14:textId="18E12D86"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Future Aged Care ICT Platform - reallocation to the A</w:t>
            </w:r>
            <w:r w:rsidR="00BB7703">
              <w:rPr>
                <w:rFonts w:ascii="Arial" w:hAnsi="Arial" w:cs="Arial"/>
                <w:sz w:val="16"/>
                <w:szCs w:val="16"/>
              </w:rPr>
              <w:t xml:space="preserve">ustralian </w:t>
            </w:r>
            <w:r w:rsidRPr="002567A6">
              <w:rPr>
                <w:rFonts w:ascii="Arial" w:hAnsi="Arial" w:cs="Arial"/>
                <w:sz w:val="16"/>
                <w:szCs w:val="16"/>
              </w:rPr>
              <w:t>D</w:t>
            </w:r>
            <w:r w:rsidR="00BB7703">
              <w:rPr>
                <w:rFonts w:ascii="Arial" w:hAnsi="Arial" w:cs="Arial"/>
                <w:sz w:val="16"/>
                <w:szCs w:val="16"/>
              </w:rPr>
              <w:t xml:space="preserve">igital </w:t>
            </w:r>
            <w:r w:rsidRPr="002567A6">
              <w:rPr>
                <w:rFonts w:ascii="Arial" w:hAnsi="Arial" w:cs="Arial"/>
                <w:sz w:val="16"/>
                <w:szCs w:val="16"/>
              </w:rPr>
              <w:t>H</w:t>
            </w:r>
            <w:r w:rsidR="00BB7703">
              <w:rPr>
                <w:rFonts w:ascii="Arial" w:hAnsi="Arial" w:cs="Arial"/>
                <w:sz w:val="16"/>
                <w:szCs w:val="16"/>
              </w:rPr>
              <w:t xml:space="preserve">ealth </w:t>
            </w:r>
            <w:r w:rsidRPr="002567A6">
              <w:rPr>
                <w:rFonts w:ascii="Arial" w:hAnsi="Arial" w:cs="Arial"/>
                <w:sz w:val="16"/>
                <w:szCs w:val="16"/>
              </w:rPr>
              <w:t>A</w:t>
            </w:r>
            <w:r w:rsidR="00BB7703">
              <w:rPr>
                <w:rFonts w:ascii="Arial" w:hAnsi="Arial" w:cs="Arial"/>
                <w:sz w:val="16"/>
                <w:szCs w:val="16"/>
              </w:rPr>
              <w:t>gency</w:t>
            </w:r>
          </w:p>
        </w:tc>
        <w:tc>
          <w:tcPr>
            <w:tcW w:w="900" w:type="dxa"/>
            <w:tcBorders>
              <w:top w:val="nil"/>
              <w:left w:val="nil"/>
              <w:bottom w:val="nil"/>
              <w:right w:val="nil"/>
            </w:tcBorders>
            <w:shd w:val="clear" w:color="auto" w:fill="auto"/>
            <w:noWrap/>
            <w:vAlign w:val="bottom"/>
            <w:hideMark/>
          </w:tcPr>
          <w:p w14:paraId="0652861B"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(6,082)</w:t>
            </w:r>
          </w:p>
        </w:tc>
        <w:tc>
          <w:tcPr>
            <w:tcW w:w="900" w:type="dxa"/>
            <w:tcBorders>
              <w:top w:val="nil"/>
              <w:left w:val="nil"/>
              <w:bottom w:val="nil"/>
              <w:right w:val="nil"/>
            </w:tcBorders>
            <w:shd w:val="clear" w:color="auto" w:fill="auto"/>
            <w:noWrap/>
            <w:vAlign w:val="bottom"/>
            <w:hideMark/>
          </w:tcPr>
          <w:p w14:paraId="26EF5E6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(2,739)</w:t>
            </w:r>
          </w:p>
        </w:tc>
        <w:tc>
          <w:tcPr>
            <w:tcW w:w="900" w:type="dxa"/>
            <w:tcBorders>
              <w:top w:val="nil"/>
              <w:left w:val="nil"/>
              <w:bottom w:val="nil"/>
              <w:right w:val="nil"/>
            </w:tcBorders>
            <w:shd w:val="clear" w:color="auto" w:fill="auto"/>
            <w:noWrap/>
            <w:vAlign w:val="bottom"/>
            <w:hideMark/>
          </w:tcPr>
          <w:p w14:paraId="480454E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93AEFF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63F116B6" w14:textId="77777777" w:rsidTr="00D21F06">
        <w:trPr>
          <w:trHeight w:val="454"/>
        </w:trPr>
        <w:tc>
          <w:tcPr>
            <w:tcW w:w="4060" w:type="dxa"/>
            <w:tcBorders>
              <w:top w:val="nil"/>
              <w:left w:val="nil"/>
              <w:bottom w:val="nil"/>
              <w:right w:val="nil"/>
            </w:tcBorders>
            <w:shd w:val="clear" w:color="000000" w:fill="FFFFFF"/>
            <w:vAlign w:val="bottom"/>
            <w:hideMark/>
          </w:tcPr>
          <w:p w14:paraId="3D5D7BDE"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Section 75 transfer to the Office of Inspector General of Aged Care</w:t>
            </w:r>
          </w:p>
        </w:tc>
        <w:tc>
          <w:tcPr>
            <w:tcW w:w="900" w:type="dxa"/>
            <w:tcBorders>
              <w:top w:val="nil"/>
              <w:left w:val="nil"/>
              <w:bottom w:val="nil"/>
              <w:right w:val="nil"/>
            </w:tcBorders>
            <w:shd w:val="clear" w:color="auto" w:fill="auto"/>
            <w:noWrap/>
            <w:vAlign w:val="bottom"/>
            <w:hideMark/>
          </w:tcPr>
          <w:p w14:paraId="4665BB3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(6,308)</w:t>
            </w:r>
          </w:p>
        </w:tc>
        <w:tc>
          <w:tcPr>
            <w:tcW w:w="900" w:type="dxa"/>
            <w:tcBorders>
              <w:top w:val="nil"/>
              <w:left w:val="nil"/>
              <w:bottom w:val="nil"/>
              <w:right w:val="nil"/>
            </w:tcBorders>
            <w:shd w:val="clear" w:color="auto" w:fill="auto"/>
            <w:noWrap/>
            <w:vAlign w:val="bottom"/>
            <w:hideMark/>
          </w:tcPr>
          <w:p w14:paraId="47CBA5A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6A9E3FB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3FE7591"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5EB964C1" w14:textId="77777777" w:rsidTr="00D21F06">
        <w:trPr>
          <w:trHeight w:val="283"/>
        </w:trPr>
        <w:tc>
          <w:tcPr>
            <w:tcW w:w="4060" w:type="dxa"/>
            <w:tcBorders>
              <w:top w:val="nil"/>
              <w:left w:val="nil"/>
              <w:bottom w:val="nil"/>
              <w:right w:val="nil"/>
            </w:tcBorders>
            <w:shd w:val="clear" w:color="auto" w:fill="auto"/>
            <w:noWrap/>
            <w:vAlign w:val="bottom"/>
            <w:hideMark/>
          </w:tcPr>
          <w:p w14:paraId="3301388F"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Appropriation Bill (No. 4)</w:t>
            </w:r>
          </w:p>
        </w:tc>
        <w:tc>
          <w:tcPr>
            <w:tcW w:w="900" w:type="dxa"/>
            <w:tcBorders>
              <w:top w:val="nil"/>
              <w:left w:val="nil"/>
              <w:bottom w:val="nil"/>
              <w:right w:val="nil"/>
            </w:tcBorders>
            <w:shd w:val="clear" w:color="auto" w:fill="auto"/>
            <w:noWrap/>
            <w:vAlign w:val="bottom"/>
            <w:hideMark/>
          </w:tcPr>
          <w:p w14:paraId="50E383C4" w14:textId="77777777" w:rsidR="002567A6" w:rsidRPr="002567A6" w:rsidRDefault="002567A6" w:rsidP="002567A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342CA6C"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45C715D" w14:textId="77777777" w:rsidR="002567A6" w:rsidRPr="002567A6" w:rsidRDefault="002567A6" w:rsidP="002567A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975FEB7" w14:textId="77777777" w:rsidR="002567A6" w:rsidRPr="002567A6" w:rsidRDefault="002567A6" w:rsidP="002567A6">
            <w:pPr>
              <w:spacing w:before="0" w:after="0" w:line="240" w:lineRule="auto"/>
              <w:jc w:val="right"/>
              <w:rPr>
                <w:rFonts w:ascii="Times New Roman" w:hAnsi="Times New Roman"/>
                <w:sz w:val="20"/>
              </w:rPr>
            </w:pPr>
          </w:p>
        </w:tc>
      </w:tr>
      <w:tr w:rsidR="002567A6" w:rsidRPr="002567A6" w14:paraId="11C20AB4" w14:textId="77777777" w:rsidTr="00D21F06">
        <w:trPr>
          <w:trHeight w:val="283"/>
        </w:trPr>
        <w:tc>
          <w:tcPr>
            <w:tcW w:w="4060" w:type="dxa"/>
            <w:tcBorders>
              <w:top w:val="nil"/>
              <w:left w:val="nil"/>
              <w:bottom w:val="nil"/>
              <w:right w:val="nil"/>
            </w:tcBorders>
            <w:shd w:val="clear" w:color="auto" w:fill="auto"/>
            <w:vAlign w:val="bottom"/>
            <w:hideMark/>
          </w:tcPr>
          <w:p w14:paraId="095B3BC0"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Continuation of Aged Care Reform</w:t>
            </w:r>
          </w:p>
        </w:tc>
        <w:tc>
          <w:tcPr>
            <w:tcW w:w="900" w:type="dxa"/>
            <w:tcBorders>
              <w:top w:val="nil"/>
              <w:left w:val="nil"/>
              <w:bottom w:val="nil"/>
              <w:right w:val="nil"/>
            </w:tcBorders>
            <w:shd w:val="clear" w:color="auto" w:fill="auto"/>
            <w:noWrap/>
            <w:vAlign w:val="bottom"/>
            <w:hideMark/>
          </w:tcPr>
          <w:p w14:paraId="0C0FDCFD"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105,544 </w:t>
            </w:r>
          </w:p>
        </w:tc>
        <w:tc>
          <w:tcPr>
            <w:tcW w:w="900" w:type="dxa"/>
            <w:tcBorders>
              <w:top w:val="nil"/>
              <w:left w:val="nil"/>
              <w:bottom w:val="nil"/>
              <w:right w:val="nil"/>
            </w:tcBorders>
            <w:shd w:val="clear" w:color="auto" w:fill="auto"/>
            <w:noWrap/>
            <w:vAlign w:val="bottom"/>
            <w:hideMark/>
          </w:tcPr>
          <w:p w14:paraId="579D9E2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8,620 </w:t>
            </w:r>
          </w:p>
        </w:tc>
        <w:tc>
          <w:tcPr>
            <w:tcW w:w="900" w:type="dxa"/>
            <w:tcBorders>
              <w:top w:val="nil"/>
              <w:left w:val="nil"/>
              <w:bottom w:val="nil"/>
              <w:right w:val="nil"/>
            </w:tcBorders>
            <w:shd w:val="clear" w:color="auto" w:fill="auto"/>
            <w:noWrap/>
            <w:vAlign w:val="bottom"/>
            <w:hideMark/>
          </w:tcPr>
          <w:p w14:paraId="54C8A8D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4,544 </w:t>
            </w:r>
          </w:p>
        </w:tc>
        <w:tc>
          <w:tcPr>
            <w:tcW w:w="900" w:type="dxa"/>
            <w:tcBorders>
              <w:top w:val="nil"/>
              <w:left w:val="nil"/>
              <w:bottom w:val="nil"/>
              <w:right w:val="nil"/>
            </w:tcBorders>
            <w:shd w:val="clear" w:color="auto" w:fill="auto"/>
            <w:noWrap/>
            <w:vAlign w:val="bottom"/>
            <w:hideMark/>
          </w:tcPr>
          <w:p w14:paraId="3101165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490 </w:t>
            </w:r>
          </w:p>
        </w:tc>
      </w:tr>
      <w:tr w:rsidR="002567A6" w:rsidRPr="002567A6" w14:paraId="48F271B4" w14:textId="77777777" w:rsidTr="00D21F06">
        <w:trPr>
          <w:trHeight w:val="454"/>
        </w:trPr>
        <w:tc>
          <w:tcPr>
            <w:tcW w:w="4060" w:type="dxa"/>
            <w:tcBorders>
              <w:top w:val="nil"/>
              <w:left w:val="nil"/>
              <w:bottom w:val="nil"/>
              <w:right w:val="nil"/>
            </w:tcBorders>
            <w:shd w:val="clear" w:color="auto" w:fill="auto"/>
            <w:vAlign w:val="bottom"/>
            <w:hideMark/>
          </w:tcPr>
          <w:p w14:paraId="5C2156BC"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Continued Support for the COVID-19 Response</w:t>
            </w:r>
          </w:p>
        </w:tc>
        <w:tc>
          <w:tcPr>
            <w:tcW w:w="900" w:type="dxa"/>
            <w:tcBorders>
              <w:top w:val="nil"/>
              <w:left w:val="nil"/>
              <w:bottom w:val="nil"/>
              <w:right w:val="nil"/>
            </w:tcBorders>
            <w:shd w:val="clear" w:color="auto" w:fill="auto"/>
            <w:noWrap/>
            <w:vAlign w:val="bottom"/>
            <w:hideMark/>
          </w:tcPr>
          <w:p w14:paraId="06093EB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1,807 </w:t>
            </w:r>
          </w:p>
        </w:tc>
        <w:tc>
          <w:tcPr>
            <w:tcW w:w="900" w:type="dxa"/>
            <w:tcBorders>
              <w:top w:val="nil"/>
              <w:left w:val="nil"/>
              <w:bottom w:val="nil"/>
              <w:right w:val="nil"/>
            </w:tcBorders>
            <w:shd w:val="clear" w:color="auto" w:fill="auto"/>
            <w:noWrap/>
            <w:vAlign w:val="bottom"/>
            <w:hideMark/>
          </w:tcPr>
          <w:p w14:paraId="2BB8CDB3"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1,988 </w:t>
            </w:r>
          </w:p>
        </w:tc>
        <w:tc>
          <w:tcPr>
            <w:tcW w:w="900" w:type="dxa"/>
            <w:tcBorders>
              <w:top w:val="nil"/>
              <w:left w:val="nil"/>
              <w:bottom w:val="nil"/>
              <w:right w:val="nil"/>
            </w:tcBorders>
            <w:shd w:val="clear" w:color="auto" w:fill="auto"/>
            <w:noWrap/>
            <w:vAlign w:val="bottom"/>
            <w:hideMark/>
          </w:tcPr>
          <w:p w14:paraId="6BB81B3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0F959B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5746DC1" w14:textId="77777777" w:rsidTr="00D21F06">
        <w:trPr>
          <w:trHeight w:val="454"/>
        </w:trPr>
        <w:tc>
          <w:tcPr>
            <w:tcW w:w="4060" w:type="dxa"/>
            <w:tcBorders>
              <w:top w:val="nil"/>
              <w:left w:val="nil"/>
              <w:bottom w:val="nil"/>
              <w:right w:val="nil"/>
            </w:tcBorders>
            <w:shd w:val="clear" w:color="auto" w:fill="auto"/>
            <w:vAlign w:val="bottom"/>
            <w:hideMark/>
          </w:tcPr>
          <w:p w14:paraId="1800EC25"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b/>
                <w:bCs/>
                <w:sz w:val="16"/>
                <w:szCs w:val="16"/>
              </w:rPr>
              <w:t>Measure</w:t>
            </w:r>
            <w:r w:rsidRPr="002567A6">
              <w:rPr>
                <w:rFonts w:ascii="Arial" w:hAnsi="Arial" w:cs="Arial"/>
                <w:sz w:val="16"/>
                <w:szCs w:val="16"/>
              </w:rPr>
              <w:t xml:space="preserve"> - National Strategy for the Care and Support Economy - delivering foundational initiatives</w:t>
            </w:r>
          </w:p>
        </w:tc>
        <w:tc>
          <w:tcPr>
            <w:tcW w:w="900" w:type="dxa"/>
            <w:tcBorders>
              <w:top w:val="nil"/>
              <w:left w:val="nil"/>
              <w:bottom w:val="nil"/>
              <w:right w:val="nil"/>
            </w:tcBorders>
            <w:shd w:val="clear" w:color="auto" w:fill="auto"/>
            <w:noWrap/>
            <w:vAlign w:val="bottom"/>
            <w:hideMark/>
          </w:tcPr>
          <w:p w14:paraId="7670148A"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1,580 </w:t>
            </w:r>
          </w:p>
        </w:tc>
        <w:tc>
          <w:tcPr>
            <w:tcW w:w="900" w:type="dxa"/>
            <w:tcBorders>
              <w:top w:val="nil"/>
              <w:left w:val="nil"/>
              <w:bottom w:val="nil"/>
              <w:right w:val="nil"/>
            </w:tcBorders>
            <w:shd w:val="clear" w:color="auto" w:fill="auto"/>
            <w:noWrap/>
            <w:vAlign w:val="bottom"/>
            <w:hideMark/>
          </w:tcPr>
          <w:p w14:paraId="44D0EED0"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1,580 </w:t>
            </w:r>
          </w:p>
        </w:tc>
        <w:tc>
          <w:tcPr>
            <w:tcW w:w="900" w:type="dxa"/>
            <w:tcBorders>
              <w:top w:val="nil"/>
              <w:left w:val="nil"/>
              <w:bottom w:val="nil"/>
              <w:right w:val="nil"/>
            </w:tcBorders>
            <w:shd w:val="clear" w:color="auto" w:fill="auto"/>
            <w:noWrap/>
            <w:vAlign w:val="bottom"/>
            <w:hideMark/>
          </w:tcPr>
          <w:p w14:paraId="1E6684FF"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E08DF89"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12E20E33" w14:textId="77777777" w:rsidTr="00D21F06">
        <w:trPr>
          <w:trHeight w:val="454"/>
        </w:trPr>
        <w:tc>
          <w:tcPr>
            <w:tcW w:w="4060" w:type="dxa"/>
            <w:tcBorders>
              <w:top w:val="nil"/>
              <w:left w:val="nil"/>
              <w:bottom w:val="nil"/>
              <w:right w:val="nil"/>
            </w:tcBorders>
            <w:shd w:val="clear" w:color="000000" w:fill="FFFFFF"/>
            <w:vAlign w:val="bottom"/>
            <w:hideMark/>
          </w:tcPr>
          <w:p w14:paraId="2EA33691"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Section 75 transfer to the Office of Inspector General of Aged Care</w:t>
            </w:r>
          </w:p>
        </w:tc>
        <w:tc>
          <w:tcPr>
            <w:tcW w:w="900" w:type="dxa"/>
            <w:tcBorders>
              <w:top w:val="nil"/>
              <w:left w:val="nil"/>
              <w:bottom w:val="nil"/>
              <w:right w:val="nil"/>
            </w:tcBorders>
            <w:shd w:val="clear" w:color="auto" w:fill="auto"/>
            <w:noWrap/>
            <w:vAlign w:val="bottom"/>
            <w:hideMark/>
          </w:tcPr>
          <w:p w14:paraId="46712E05"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(8,787)</w:t>
            </w:r>
          </w:p>
        </w:tc>
        <w:tc>
          <w:tcPr>
            <w:tcW w:w="900" w:type="dxa"/>
            <w:tcBorders>
              <w:top w:val="nil"/>
              <w:left w:val="nil"/>
              <w:bottom w:val="nil"/>
              <w:right w:val="nil"/>
            </w:tcBorders>
            <w:shd w:val="clear" w:color="auto" w:fill="auto"/>
            <w:noWrap/>
            <w:vAlign w:val="bottom"/>
            <w:hideMark/>
          </w:tcPr>
          <w:p w14:paraId="7EFF4B62"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2FBD914"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2C38C17" w14:textId="77777777" w:rsidR="002567A6" w:rsidRPr="002567A6" w:rsidRDefault="002567A6" w:rsidP="002567A6">
            <w:pPr>
              <w:spacing w:before="0" w:after="0" w:line="240" w:lineRule="auto"/>
              <w:jc w:val="right"/>
              <w:rPr>
                <w:rFonts w:ascii="Arial" w:hAnsi="Arial" w:cs="Arial"/>
                <w:sz w:val="16"/>
                <w:szCs w:val="16"/>
              </w:rPr>
            </w:pPr>
            <w:r w:rsidRPr="002567A6">
              <w:rPr>
                <w:rFonts w:ascii="Arial" w:hAnsi="Arial" w:cs="Arial"/>
                <w:sz w:val="16"/>
                <w:szCs w:val="16"/>
              </w:rPr>
              <w:t xml:space="preserve">- </w:t>
            </w:r>
          </w:p>
        </w:tc>
      </w:tr>
      <w:tr w:rsidR="002567A6" w:rsidRPr="002567A6" w14:paraId="296B1F89" w14:textId="77777777" w:rsidTr="00D21F06">
        <w:trPr>
          <w:trHeight w:val="283"/>
        </w:trPr>
        <w:tc>
          <w:tcPr>
            <w:tcW w:w="4060" w:type="dxa"/>
            <w:tcBorders>
              <w:top w:val="nil"/>
              <w:left w:val="nil"/>
              <w:bottom w:val="single" w:sz="4" w:space="0" w:color="auto"/>
              <w:right w:val="nil"/>
            </w:tcBorders>
            <w:shd w:val="clear" w:color="auto" w:fill="auto"/>
            <w:noWrap/>
            <w:vAlign w:val="bottom"/>
            <w:hideMark/>
          </w:tcPr>
          <w:p w14:paraId="054764B7" w14:textId="77777777" w:rsidR="002567A6" w:rsidRPr="002567A6" w:rsidRDefault="002567A6" w:rsidP="002567A6">
            <w:pPr>
              <w:spacing w:before="0" w:after="0" w:line="240" w:lineRule="auto"/>
              <w:rPr>
                <w:rFonts w:ascii="Arial" w:hAnsi="Arial" w:cs="Arial"/>
                <w:sz w:val="16"/>
                <w:szCs w:val="16"/>
              </w:rPr>
            </w:pPr>
            <w:r w:rsidRPr="002567A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14:paraId="1EEF7E13" w14:textId="77777777" w:rsidR="002567A6" w:rsidRPr="002567A6" w:rsidRDefault="002567A6" w:rsidP="003C1E30">
            <w:pPr>
              <w:spacing w:before="0" w:after="24" w:line="240" w:lineRule="auto"/>
              <w:jc w:val="right"/>
              <w:rPr>
                <w:rFonts w:ascii="Arial" w:hAnsi="Arial" w:cs="Arial"/>
                <w:b/>
                <w:bCs/>
                <w:sz w:val="16"/>
                <w:szCs w:val="16"/>
              </w:rPr>
            </w:pPr>
            <w:r w:rsidRPr="002567A6">
              <w:rPr>
                <w:rFonts w:ascii="Arial" w:hAnsi="Arial" w:cs="Arial"/>
                <w:b/>
                <w:bCs/>
                <w:sz w:val="16"/>
                <w:szCs w:val="16"/>
              </w:rPr>
              <w:t xml:space="preserve">158,861 </w:t>
            </w:r>
          </w:p>
        </w:tc>
        <w:tc>
          <w:tcPr>
            <w:tcW w:w="900" w:type="dxa"/>
            <w:tcBorders>
              <w:top w:val="single" w:sz="4" w:space="0" w:color="auto"/>
              <w:left w:val="nil"/>
              <w:bottom w:val="single" w:sz="4" w:space="0" w:color="auto"/>
              <w:right w:val="nil"/>
            </w:tcBorders>
            <w:shd w:val="clear" w:color="auto" w:fill="auto"/>
            <w:noWrap/>
            <w:vAlign w:val="bottom"/>
            <w:hideMark/>
          </w:tcPr>
          <w:p w14:paraId="64C45E37" w14:textId="77777777" w:rsidR="002567A6" w:rsidRPr="002567A6" w:rsidRDefault="002567A6" w:rsidP="003C1E30">
            <w:pPr>
              <w:spacing w:before="0" w:after="24" w:line="240" w:lineRule="auto"/>
              <w:jc w:val="right"/>
              <w:rPr>
                <w:rFonts w:ascii="Arial" w:hAnsi="Arial" w:cs="Arial"/>
                <w:b/>
                <w:bCs/>
                <w:sz w:val="16"/>
                <w:szCs w:val="16"/>
              </w:rPr>
            </w:pPr>
            <w:r w:rsidRPr="002567A6">
              <w:rPr>
                <w:rFonts w:ascii="Arial" w:hAnsi="Arial" w:cs="Arial"/>
                <w:b/>
                <w:bCs/>
                <w:sz w:val="16"/>
                <w:szCs w:val="16"/>
              </w:rPr>
              <w:t xml:space="preserve">40,364 </w:t>
            </w:r>
          </w:p>
        </w:tc>
        <w:tc>
          <w:tcPr>
            <w:tcW w:w="900" w:type="dxa"/>
            <w:tcBorders>
              <w:top w:val="single" w:sz="4" w:space="0" w:color="auto"/>
              <w:left w:val="nil"/>
              <w:bottom w:val="single" w:sz="4" w:space="0" w:color="auto"/>
              <w:right w:val="nil"/>
            </w:tcBorders>
            <w:shd w:val="clear" w:color="auto" w:fill="auto"/>
            <w:noWrap/>
            <w:vAlign w:val="bottom"/>
            <w:hideMark/>
          </w:tcPr>
          <w:p w14:paraId="5C5F507A" w14:textId="77777777" w:rsidR="002567A6" w:rsidRPr="002567A6" w:rsidRDefault="002567A6" w:rsidP="003C1E30">
            <w:pPr>
              <w:spacing w:before="0" w:after="24" w:line="240" w:lineRule="auto"/>
              <w:jc w:val="right"/>
              <w:rPr>
                <w:rFonts w:ascii="Arial" w:hAnsi="Arial" w:cs="Arial"/>
                <w:b/>
                <w:bCs/>
                <w:sz w:val="16"/>
                <w:szCs w:val="16"/>
              </w:rPr>
            </w:pPr>
            <w:r w:rsidRPr="002567A6">
              <w:rPr>
                <w:rFonts w:ascii="Arial" w:hAnsi="Arial" w:cs="Arial"/>
                <w:b/>
                <w:bCs/>
                <w:sz w:val="16"/>
                <w:szCs w:val="16"/>
              </w:rPr>
              <w:t xml:space="preserve">18,427 </w:t>
            </w:r>
          </w:p>
        </w:tc>
        <w:tc>
          <w:tcPr>
            <w:tcW w:w="900" w:type="dxa"/>
            <w:tcBorders>
              <w:top w:val="single" w:sz="4" w:space="0" w:color="auto"/>
              <w:left w:val="nil"/>
              <w:bottom w:val="single" w:sz="4" w:space="0" w:color="auto"/>
              <w:right w:val="nil"/>
            </w:tcBorders>
            <w:shd w:val="clear" w:color="auto" w:fill="auto"/>
            <w:noWrap/>
            <w:vAlign w:val="bottom"/>
            <w:hideMark/>
          </w:tcPr>
          <w:p w14:paraId="4F9F32C2" w14:textId="77777777" w:rsidR="002567A6" w:rsidRPr="002567A6" w:rsidRDefault="002567A6" w:rsidP="003C1E30">
            <w:pPr>
              <w:spacing w:before="0" w:after="24" w:line="240" w:lineRule="auto"/>
              <w:jc w:val="right"/>
              <w:rPr>
                <w:rFonts w:ascii="Arial" w:hAnsi="Arial" w:cs="Arial"/>
                <w:b/>
                <w:bCs/>
                <w:sz w:val="16"/>
                <w:szCs w:val="16"/>
              </w:rPr>
            </w:pPr>
            <w:r w:rsidRPr="002567A6">
              <w:rPr>
                <w:rFonts w:ascii="Arial" w:hAnsi="Arial" w:cs="Arial"/>
                <w:b/>
                <w:bCs/>
                <w:sz w:val="16"/>
                <w:szCs w:val="16"/>
              </w:rPr>
              <w:t xml:space="preserve">12,461 </w:t>
            </w:r>
          </w:p>
        </w:tc>
      </w:tr>
    </w:tbl>
    <w:p w14:paraId="55CFEA99" w14:textId="7C785095" w:rsidR="002567A6" w:rsidRPr="00D21F06" w:rsidRDefault="002567A6" w:rsidP="003C1E30">
      <w:pPr>
        <w:pStyle w:val="FootnoteText"/>
        <w:spacing w:before="120"/>
      </w:pPr>
      <w:r w:rsidRPr="00D21F06">
        <w:rPr>
          <w:vertAlign w:val="superscript"/>
        </w:rPr>
        <w:t>(a)</w:t>
      </w:r>
      <w:r w:rsidR="00D21F06" w:rsidRPr="00D21F06">
        <w:rPr>
          <w:rFonts w:cs="Arial"/>
          <w:iCs/>
          <w:sz w:val="15"/>
          <w:szCs w:val="15"/>
        </w:rPr>
        <w:t xml:space="preserve"> </w:t>
      </w:r>
      <w:r w:rsidR="00D21F06">
        <w:rPr>
          <w:rFonts w:cs="Arial"/>
          <w:iCs/>
          <w:sz w:val="15"/>
          <w:szCs w:val="15"/>
        </w:rPr>
        <w:tab/>
      </w:r>
      <w:r w:rsidRPr="00D21F06">
        <w:t>See explanation in Portfolio Glossary.</w:t>
      </w:r>
      <w:r w:rsidR="00D21F06">
        <w:t xml:space="preserve"> </w:t>
      </w:r>
    </w:p>
    <w:p w14:paraId="6DCFE664" w14:textId="0B8EE4E4" w:rsidR="002567A6" w:rsidRPr="002567A6" w:rsidRDefault="002567A6" w:rsidP="002567A6">
      <w:pPr>
        <w:spacing w:before="0" w:after="0" w:line="240" w:lineRule="auto"/>
        <w:rPr>
          <w:rFonts w:ascii="Arial" w:hAnsi="Arial"/>
          <w:sz w:val="16"/>
        </w:rPr>
      </w:pPr>
      <w:r>
        <w:br w:type="page"/>
      </w:r>
    </w:p>
    <w:p w14:paraId="68656F41" w14:textId="67B03749" w:rsidR="002B5B49" w:rsidRDefault="0086376A" w:rsidP="002B5B49">
      <w:pPr>
        <w:pStyle w:val="TableHeading"/>
        <w:rPr>
          <w:color w:val="FF0000"/>
        </w:rPr>
      </w:pPr>
      <w:r>
        <w:lastRenderedPageBreak/>
        <w:t>Table 2.3</w:t>
      </w:r>
      <w:r w:rsidR="002B5B49" w:rsidRPr="008E5BB7">
        <w:t xml:space="preserve">.2: </w:t>
      </w:r>
      <w:r w:rsidR="00E81B71">
        <w:t xml:space="preserve">Program expenses table </w:t>
      </w:r>
      <w:r w:rsidR="004F0C05">
        <w:t>–</w:t>
      </w:r>
      <w:r w:rsidR="00E81B71">
        <w:t xml:space="preserve"> </w:t>
      </w:r>
      <w:r>
        <w:t>Outcome 3</w:t>
      </w:r>
      <w:r w:rsidR="00641A36">
        <w:t xml:space="preserve"> </w:t>
      </w:r>
    </w:p>
    <w:tbl>
      <w:tblPr>
        <w:tblW w:w="7711" w:type="dxa"/>
        <w:jc w:val="center"/>
        <w:tblLayout w:type="fixed"/>
        <w:tblLook w:val="04A0" w:firstRow="1" w:lastRow="0" w:firstColumn="1" w:lastColumn="0" w:noHBand="0" w:noVBand="1"/>
      </w:tblPr>
      <w:tblGrid>
        <w:gridCol w:w="2706"/>
        <w:gridCol w:w="994"/>
        <w:gridCol w:w="994"/>
        <w:gridCol w:w="13"/>
        <w:gridCol w:w="987"/>
        <w:gridCol w:w="21"/>
        <w:gridCol w:w="979"/>
        <w:gridCol w:w="28"/>
        <w:gridCol w:w="972"/>
        <w:gridCol w:w="17"/>
      </w:tblGrid>
      <w:tr w:rsidR="002567A6" w:rsidRPr="002567A6" w14:paraId="65004B23" w14:textId="77777777" w:rsidTr="00B001C5">
        <w:trPr>
          <w:trHeight w:val="737"/>
          <w:jc w:val="center"/>
        </w:trPr>
        <w:tc>
          <w:tcPr>
            <w:tcW w:w="2706" w:type="dxa"/>
            <w:tcBorders>
              <w:top w:val="single" w:sz="4" w:space="0" w:color="auto"/>
              <w:left w:val="nil"/>
              <w:right w:val="nil"/>
            </w:tcBorders>
            <w:shd w:val="clear" w:color="auto" w:fill="auto"/>
            <w:hideMark/>
          </w:tcPr>
          <w:p w14:paraId="2EC87F6A" w14:textId="77777777" w:rsidR="002567A6" w:rsidRPr="002567A6" w:rsidRDefault="002567A6" w:rsidP="00641A36">
            <w:pPr>
              <w:spacing w:before="24" w:after="0" w:line="240" w:lineRule="auto"/>
              <w:jc w:val="right"/>
              <w:rPr>
                <w:rFonts w:ascii="Arial" w:hAnsi="Arial" w:cs="Arial"/>
                <w:b/>
                <w:bCs/>
                <w:sz w:val="16"/>
                <w:szCs w:val="16"/>
              </w:rPr>
            </w:pPr>
            <w:r w:rsidRPr="002567A6">
              <w:rPr>
                <w:rFonts w:ascii="Arial" w:hAnsi="Arial" w:cs="Arial"/>
                <w:b/>
                <w:bCs/>
                <w:sz w:val="16"/>
                <w:szCs w:val="16"/>
              </w:rPr>
              <w:t> </w:t>
            </w:r>
          </w:p>
        </w:tc>
        <w:tc>
          <w:tcPr>
            <w:tcW w:w="994" w:type="dxa"/>
            <w:tcBorders>
              <w:top w:val="single" w:sz="4" w:space="0" w:color="auto"/>
              <w:left w:val="nil"/>
              <w:bottom w:val="single" w:sz="4" w:space="0" w:color="auto"/>
              <w:right w:val="nil"/>
            </w:tcBorders>
            <w:shd w:val="clear" w:color="auto" w:fill="auto"/>
            <w:hideMark/>
          </w:tcPr>
          <w:p w14:paraId="5CCCD6CE" w14:textId="51BB0E49" w:rsidR="002567A6" w:rsidRPr="002567A6" w:rsidRDefault="00641A36" w:rsidP="00641A36">
            <w:pPr>
              <w:spacing w:before="24" w:after="0" w:line="240" w:lineRule="auto"/>
              <w:jc w:val="right"/>
              <w:rPr>
                <w:rFonts w:ascii="Arial" w:hAnsi="Arial" w:cs="Arial"/>
                <w:b/>
                <w:bCs/>
                <w:sz w:val="16"/>
                <w:szCs w:val="16"/>
              </w:rPr>
            </w:pPr>
            <w:r>
              <w:rPr>
                <w:rFonts w:ascii="Arial" w:hAnsi="Arial" w:cs="Arial"/>
                <w:b/>
                <w:bCs/>
                <w:sz w:val="16"/>
                <w:szCs w:val="16"/>
              </w:rPr>
              <w:t>2022–</w:t>
            </w:r>
            <w:r w:rsidR="002567A6" w:rsidRPr="002567A6">
              <w:rPr>
                <w:rFonts w:ascii="Arial" w:hAnsi="Arial" w:cs="Arial"/>
                <w:b/>
                <w:bCs/>
                <w:sz w:val="16"/>
                <w:szCs w:val="16"/>
              </w:rPr>
              <w:t>23 Actual</w:t>
            </w:r>
            <w:r w:rsidR="002567A6" w:rsidRPr="002567A6">
              <w:rPr>
                <w:rFonts w:ascii="Arial" w:hAnsi="Arial" w:cs="Arial"/>
                <w:b/>
                <w:bCs/>
                <w:sz w:val="16"/>
                <w:szCs w:val="16"/>
              </w:rPr>
              <w:br/>
            </w:r>
            <w:r w:rsidR="002567A6" w:rsidRPr="002567A6">
              <w:rPr>
                <w:rFonts w:ascii="Arial" w:hAnsi="Arial" w:cs="Arial"/>
                <w:b/>
                <w:bCs/>
                <w:sz w:val="16"/>
                <w:szCs w:val="16"/>
              </w:rPr>
              <w:br/>
            </w:r>
            <w:r w:rsidR="002567A6" w:rsidRPr="002567A6">
              <w:rPr>
                <w:rFonts w:ascii="Arial" w:hAnsi="Arial" w:cs="Arial"/>
                <w:sz w:val="16"/>
                <w:szCs w:val="16"/>
              </w:rPr>
              <w:t>$'000</w:t>
            </w:r>
          </w:p>
        </w:tc>
        <w:tc>
          <w:tcPr>
            <w:tcW w:w="1007" w:type="dxa"/>
            <w:gridSpan w:val="2"/>
            <w:tcBorders>
              <w:top w:val="single" w:sz="4" w:space="0" w:color="auto"/>
              <w:left w:val="nil"/>
              <w:bottom w:val="single" w:sz="4" w:space="0" w:color="auto"/>
              <w:right w:val="nil"/>
            </w:tcBorders>
            <w:shd w:val="clear" w:color="000000" w:fill="D9D9D9"/>
            <w:hideMark/>
          </w:tcPr>
          <w:p w14:paraId="395979BF" w14:textId="094A28A7" w:rsidR="002567A6" w:rsidRPr="002567A6" w:rsidRDefault="00641A36" w:rsidP="00641A36">
            <w:pPr>
              <w:spacing w:before="24" w:after="0" w:line="240" w:lineRule="auto"/>
              <w:jc w:val="right"/>
              <w:rPr>
                <w:rFonts w:ascii="Arial" w:hAnsi="Arial" w:cs="Arial"/>
                <w:b/>
                <w:bCs/>
                <w:sz w:val="16"/>
                <w:szCs w:val="16"/>
              </w:rPr>
            </w:pPr>
            <w:r>
              <w:rPr>
                <w:rFonts w:ascii="Arial" w:hAnsi="Arial" w:cs="Arial"/>
                <w:b/>
                <w:bCs/>
                <w:sz w:val="16"/>
                <w:szCs w:val="16"/>
              </w:rPr>
              <w:t>2023–</w:t>
            </w:r>
            <w:r w:rsidR="002567A6" w:rsidRPr="002567A6">
              <w:rPr>
                <w:rFonts w:ascii="Arial" w:hAnsi="Arial" w:cs="Arial"/>
                <w:b/>
                <w:bCs/>
                <w:sz w:val="16"/>
                <w:szCs w:val="16"/>
              </w:rPr>
              <w:t>24 Revised Budget</w:t>
            </w:r>
            <w:r w:rsidR="002567A6" w:rsidRPr="002567A6">
              <w:rPr>
                <w:rFonts w:ascii="Arial" w:hAnsi="Arial" w:cs="Arial"/>
                <w:b/>
                <w:bCs/>
                <w:sz w:val="16"/>
                <w:szCs w:val="16"/>
              </w:rPr>
              <w:br/>
            </w:r>
            <w:r w:rsidR="002567A6" w:rsidRPr="002567A6">
              <w:rPr>
                <w:rFonts w:ascii="Arial" w:hAnsi="Arial" w:cs="Arial"/>
                <w:sz w:val="16"/>
                <w:szCs w:val="16"/>
              </w:rPr>
              <w:t>$'000</w:t>
            </w:r>
          </w:p>
        </w:tc>
        <w:tc>
          <w:tcPr>
            <w:tcW w:w="1008" w:type="dxa"/>
            <w:gridSpan w:val="2"/>
            <w:tcBorders>
              <w:top w:val="single" w:sz="4" w:space="0" w:color="auto"/>
              <w:left w:val="nil"/>
              <w:bottom w:val="single" w:sz="4" w:space="0" w:color="auto"/>
              <w:right w:val="nil"/>
            </w:tcBorders>
            <w:shd w:val="clear" w:color="auto" w:fill="auto"/>
            <w:hideMark/>
          </w:tcPr>
          <w:p w14:paraId="38A07738" w14:textId="1B103AD4" w:rsidR="002567A6" w:rsidRPr="002567A6" w:rsidRDefault="00641A36" w:rsidP="00641A36">
            <w:pPr>
              <w:spacing w:before="24" w:after="0" w:line="240" w:lineRule="auto"/>
              <w:jc w:val="right"/>
              <w:rPr>
                <w:rFonts w:ascii="Arial" w:hAnsi="Arial" w:cs="Arial"/>
                <w:b/>
                <w:bCs/>
                <w:sz w:val="16"/>
                <w:szCs w:val="16"/>
              </w:rPr>
            </w:pPr>
            <w:r>
              <w:rPr>
                <w:rFonts w:ascii="Arial" w:hAnsi="Arial" w:cs="Arial"/>
                <w:b/>
                <w:bCs/>
                <w:sz w:val="16"/>
                <w:szCs w:val="16"/>
              </w:rPr>
              <w:t>2024–</w:t>
            </w:r>
            <w:r w:rsidR="002567A6" w:rsidRPr="002567A6">
              <w:rPr>
                <w:rFonts w:ascii="Arial" w:hAnsi="Arial" w:cs="Arial"/>
                <w:b/>
                <w:bCs/>
                <w:sz w:val="16"/>
                <w:szCs w:val="16"/>
              </w:rPr>
              <w:t>25 Forward Estimate</w:t>
            </w:r>
            <w:r w:rsidR="002567A6" w:rsidRPr="002567A6">
              <w:rPr>
                <w:rFonts w:ascii="Arial" w:hAnsi="Arial" w:cs="Arial"/>
                <w:b/>
                <w:bCs/>
                <w:sz w:val="16"/>
                <w:szCs w:val="16"/>
              </w:rPr>
              <w:br/>
            </w:r>
            <w:r w:rsidR="002567A6" w:rsidRPr="002567A6">
              <w:rPr>
                <w:rFonts w:ascii="Arial" w:hAnsi="Arial" w:cs="Arial"/>
                <w:sz w:val="16"/>
                <w:szCs w:val="16"/>
              </w:rPr>
              <w:t>$'000</w:t>
            </w:r>
          </w:p>
        </w:tc>
        <w:tc>
          <w:tcPr>
            <w:tcW w:w="1007" w:type="dxa"/>
            <w:gridSpan w:val="2"/>
            <w:tcBorders>
              <w:top w:val="single" w:sz="4" w:space="0" w:color="auto"/>
              <w:left w:val="nil"/>
              <w:bottom w:val="single" w:sz="4" w:space="0" w:color="auto"/>
              <w:right w:val="nil"/>
            </w:tcBorders>
            <w:shd w:val="clear" w:color="auto" w:fill="auto"/>
            <w:hideMark/>
          </w:tcPr>
          <w:p w14:paraId="7F0A6938" w14:textId="2C1B7769" w:rsidR="002567A6" w:rsidRPr="002567A6" w:rsidRDefault="00641A36" w:rsidP="00641A36">
            <w:pPr>
              <w:spacing w:before="24" w:after="0" w:line="240" w:lineRule="auto"/>
              <w:jc w:val="right"/>
              <w:rPr>
                <w:rFonts w:ascii="Arial" w:hAnsi="Arial" w:cs="Arial"/>
                <w:b/>
                <w:bCs/>
                <w:sz w:val="16"/>
                <w:szCs w:val="16"/>
              </w:rPr>
            </w:pPr>
            <w:r>
              <w:rPr>
                <w:rFonts w:ascii="Arial" w:hAnsi="Arial" w:cs="Arial"/>
                <w:b/>
                <w:bCs/>
                <w:sz w:val="16"/>
                <w:szCs w:val="16"/>
              </w:rPr>
              <w:t>2025–</w:t>
            </w:r>
            <w:r w:rsidR="002567A6" w:rsidRPr="002567A6">
              <w:rPr>
                <w:rFonts w:ascii="Arial" w:hAnsi="Arial" w:cs="Arial"/>
                <w:b/>
                <w:bCs/>
                <w:sz w:val="16"/>
                <w:szCs w:val="16"/>
              </w:rPr>
              <w:t>26 Forward Estimate</w:t>
            </w:r>
            <w:r w:rsidR="002567A6" w:rsidRPr="002567A6">
              <w:rPr>
                <w:rFonts w:ascii="Arial" w:hAnsi="Arial" w:cs="Arial"/>
                <w:b/>
                <w:bCs/>
                <w:sz w:val="16"/>
                <w:szCs w:val="16"/>
              </w:rPr>
              <w:br/>
            </w:r>
            <w:r w:rsidR="002567A6" w:rsidRPr="002567A6">
              <w:rPr>
                <w:rFonts w:ascii="Arial" w:hAnsi="Arial" w:cs="Arial"/>
                <w:sz w:val="16"/>
                <w:szCs w:val="16"/>
              </w:rPr>
              <w:t>$'000</w:t>
            </w:r>
          </w:p>
        </w:tc>
        <w:tc>
          <w:tcPr>
            <w:tcW w:w="989" w:type="dxa"/>
            <w:gridSpan w:val="2"/>
            <w:tcBorders>
              <w:top w:val="single" w:sz="4" w:space="0" w:color="auto"/>
              <w:left w:val="nil"/>
              <w:bottom w:val="single" w:sz="4" w:space="0" w:color="auto"/>
              <w:right w:val="nil"/>
            </w:tcBorders>
            <w:shd w:val="clear" w:color="auto" w:fill="auto"/>
            <w:hideMark/>
          </w:tcPr>
          <w:p w14:paraId="4D738D4B" w14:textId="54002A0A" w:rsidR="002567A6" w:rsidRPr="002567A6" w:rsidRDefault="00641A36" w:rsidP="00641A36">
            <w:pPr>
              <w:spacing w:before="24" w:after="0" w:line="240" w:lineRule="auto"/>
              <w:jc w:val="right"/>
              <w:rPr>
                <w:rFonts w:ascii="Arial" w:hAnsi="Arial" w:cs="Arial"/>
                <w:b/>
                <w:bCs/>
                <w:sz w:val="16"/>
                <w:szCs w:val="16"/>
              </w:rPr>
            </w:pPr>
            <w:r>
              <w:rPr>
                <w:rFonts w:ascii="Arial" w:hAnsi="Arial" w:cs="Arial"/>
                <w:b/>
                <w:bCs/>
                <w:sz w:val="16"/>
                <w:szCs w:val="16"/>
              </w:rPr>
              <w:t>2026–</w:t>
            </w:r>
            <w:r w:rsidR="002567A6" w:rsidRPr="002567A6">
              <w:rPr>
                <w:rFonts w:ascii="Arial" w:hAnsi="Arial" w:cs="Arial"/>
                <w:b/>
                <w:bCs/>
                <w:sz w:val="16"/>
                <w:szCs w:val="16"/>
              </w:rPr>
              <w:t>27 Forward Estimate</w:t>
            </w:r>
            <w:r w:rsidR="002567A6" w:rsidRPr="002567A6">
              <w:rPr>
                <w:rFonts w:ascii="Arial" w:hAnsi="Arial" w:cs="Arial"/>
                <w:b/>
                <w:bCs/>
                <w:sz w:val="16"/>
                <w:szCs w:val="16"/>
              </w:rPr>
              <w:br/>
            </w:r>
            <w:r w:rsidR="002567A6" w:rsidRPr="002567A6">
              <w:rPr>
                <w:rFonts w:ascii="Arial" w:hAnsi="Arial" w:cs="Arial"/>
                <w:sz w:val="16"/>
                <w:szCs w:val="16"/>
              </w:rPr>
              <w:t>$'000</w:t>
            </w:r>
          </w:p>
        </w:tc>
      </w:tr>
      <w:tr w:rsidR="0086376A" w:rsidRPr="0086376A" w14:paraId="0DDF9BC9" w14:textId="77777777" w:rsidTr="000911F8">
        <w:trPr>
          <w:gridAfter w:val="1"/>
          <w:wAfter w:w="17" w:type="dxa"/>
          <w:trHeight w:val="283"/>
          <w:jc w:val="center"/>
        </w:trPr>
        <w:tc>
          <w:tcPr>
            <w:tcW w:w="7694" w:type="dxa"/>
            <w:gridSpan w:val="9"/>
            <w:tcBorders>
              <w:top w:val="nil"/>
              <w:left w:val="nil"/>
              <w:bottom w:val="nil"/>
              <w:right w:val="nil"/>
            </w:tcBorders>
            <w:shd w:val="clear" w:color="auto" w:fill="auto"/>
            <w:vAlign w:val="bottom"/>
            <w:hideMark/>
          </w:tcPr>
          <w:p w14:paraId="296B210C" w14:textId="77777777" w:rsidR="0086376A" w:rsidRPr="0086376A" w:rsidRDefault="0086376A" w:rsidP="0086376A">
            <w:pPr>
              <w:spacing w:before="0" w:after="0" w:line="240" w:lineRule="auto"/>
              <w:rPr>
                <w:rFonts w:ascii="Arial" w:hAnsi="Arial" w:cs="Arial"/>
                <w:b/>
                <w:bCs/>
                <w:sz w:val="16"/>
                <w:szCs w:val="16"/>
              </w:rPr>
            </w:pPr>
            <w:r w:rsidRPr="0086376A">
              <w:rPr>
                <w:rFonts w:ascii="Arial" w:hAnsi="Arial" w:cs="Arial"/>
                <w:b/>
                <w:bCs/>
                <w:sz w:val="16"/>
                <w:szCs w:val="16"/>
              </w:rPr>
              <w:t>Program 3.1: Access and Information</w:t>
            </w:r>
          </w:p>
        </w:tc>
      </w:tr>
      <w:tr w:rsidR="0086376A" w:rsidRPr="0086376A" w14:paraId="2FA8284C"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56681A00" w14:textId="77777777" w:rsidR="0086376A" w:rsidRPr="0086376A" w:rsidRDefault="0086376A" w:rsidP="0086376A">
            <w:pPr>
              <w:spacing w:before="0" w:after="0" w:line="240" w:lineRule="auto"/>
              <w:ind w:firstLineChars="100" w:firstLine="160"/>
              <w:rPr>
                <w:rFonts w:ascii="Arial" w:hAnsi="Arial" w:cs="Arial"/>
                <w:sz w:val="16"/>
                <w:szCs w:val="16"/>
              </w:rPr>
            </w:pPr>
            <w:r w:rsidRPr="0086376A">
              <w:rPr>
                <w:rFonts w:ascii="Arial" w:hAnsi="Arial" w:cs="Arial"/>
                <w:sz w:val="16"/>
                <w:szCs w:val="16"/>
              </w:rPr>
              <w:t>Administered expenses</w:t>
            </w:r>
          </w:p>
        </w:tc>
        <w:tc>
          <w:tcPr>
            <w:tcW w:w="994" w:type="dxa"/>
            <w:tcBorders>
              <w:top w:val="nil"/>
              <w:left w:val="nil"/>
              <w:bottom w:val="nil"/>
              <w:right w:val="nil"/>
            </w:tcBorders>
            <w:shd w:val="clear" w:color="auto" w:fill="auto"/>
            <w:noWrap/>
            <w:vAlign w:val="bottom"/>
            <w:hideMark/>
          </w:tcPr>
          <w:p w14:paraId="72BA63BD" w14:textId="77777777" w:rsidR="0086376A" w:rsidRPr="0086376A" w:rsidRDefault="0086376A" w:rsidP="0086376A">
            <w:pPr>
              <w:spacing w:before="0" w:after="0" w:line="240" w:lineRule="auto"/>
              <w:ind w:firstLineChars="100" w:firstLine="16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73913F8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263EC6E1"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51607F6D"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7E0562B1"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0B01F75A"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611EB929" w14:textId="77777777" w:rsidR="0086376A" w:rsidRPr="0086376A" w:rsidRDefault="0086376A" w:rsidP="0053679C">
            <w:pPr>
              <w:spacing w:before="0" w:after="0" w:line="240" w:lineRule="auto"/>
              <w:ind w:leftChars="150" w:left="285"/>
              <w:rPr>
                <w:rFonts w:ascii="Arial" w:hAnsi="Arial" w:cs="Arial"/>
                <w:sz w:val="16"/>
                <w:szCs w:val="16"/>
              </w:rPr>
            </w:pPr>
            <w:r w:rsidRPr="0086376A">
              <w:rPr>
                <w:rFonts w:ascii="Arial" w:hAnsi="Arial" w:cs="Arial"/>
                <w:sz w:val="16"/>
                <w:szCs w:val="16"/>
              </w:rPr>
              <w:t xml:space="preserve">Ordinary annual services </w:t>
            </w:r>
          </w:p>
        </w:tc>
        <w:tc>
          <w:tcPr>
            <w:tcW w:w="994" w:type="dxa"/>
            <w:tcBorders>
              <w:top w:val="nil"/>
              <w:left w:val="nil"/>
              <w:bottom w:val="nil"/>
              <w:right w:val="nil"/>
            </w:tcBorders>
            <w:shd w:val="clear" w:color="auto" w:fill="auto"/>
            <w:noWrap/>
            <w:vAlign w:val="bottom"/>
            <w:hideMark/>
          </w:tcPr>
          <w:p w14:paraId="72B233A8"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577,829</w:t>
            </w:r>
          </w:p>
        </w:tc>
        <w:tc>
          <w:tcPr>
            <w:tcW w:w="994" w:type="dxa"/>
            <w:tcBorders>
              <w:top w:val="nil"/>
              <w:left w:val="nil"/>
              <w:bottom w:val="nil"/>
              <w:right w:val="nil"/>
            </w:tcBorders>
            <w:shd w:val="clear" w:color="000000" w:fill="D9D9D9"/>
            <w:noWrap/>
            <w:vAlign w:val="bottom"/>
            <w:hideMark/>
          </w:tcPr>
          <w:p w14:paraId="3974A519"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694,082</w:t>
            </w:r>
          </w:p>
        </w:tc>
        <w:tc>
          <w:tcPr>
            <w:tcW w:w="1000" w:type="dxa"/>
            <w:gridSpan w:val="2"/>
            <w:tcBorders>
              <w:top w:val="nil"/>
              <w:left w:val="nil"/>
              <w:bottom w:val="nil"/>
              <w:right w:val="nil"/>
            </w:tcBorders>
            <w:shd w:val="clear" w:color="auto" w:fill="auto"/>
            <w:noWrap/>
            <w:vAlign w:val="bottom"/>
            <w:hideMark/>
          </w:tcPr>
          <w:p w14:paraId="4AEE8DA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641,470</w:t>
            </w:r>
          </w:p>
        </w:tc>
        <w:tc>
          <w:tcPr>
            <w:tcW w:w="1000" w:type="dxa"/>
            <w:gridSpan w:val="2"/>
            <w:tcBorders>
              <w:top w:val="nil"/>
              <w:left w:val="nil"/>
              <w:bottom w:val="nil"/>
              <w:right w:val="nil"/>
            </w:tcBorders>
            <w:shd w:val="clear" w:color="auto" w:fill="auto"/>
            <w:noWrap/>
            <w:vAlign w:val="bottom"/>
            <w:hideMark/>
          </w:tcPr>
          <w:p w14:paraId="3CBDADF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631,758</w:t>
            </w:r>
          </w:p>
        </w:tc>
        <w:tc>
          <w:tcPr>
            <w:tcW w:w="1000" w:type="dxa"/>
            <w:gridSpan w:val="2"/>
            <w:tcBorders>
              <w:top w:val="nil"/>
              <w:left w:val="nil"/>
              <w:bottom w:val="nil"/>
              <w:right w:val="nil"/>
            </w:tcBorders>
            <w:shd w:val="clear" w:color="auto" w:fill="auto"/>
            <w:noWrap/>
            <w:vAlign w:val="bottom"/>
            <w:hideMark/>
          </w:tcPr>
          <w:p w14:paraId="53C6C1B4"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644,780</w:t>
            </w:r>
          </w:p>
        </w:tc>
      </w:tr>
      <w:tr w:rsidR="0086376A" w:rsidRPr="0086376A" w14:paraId="458C42F1"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657AECD1" w14:textId="77777777" w:rsidR="0086376A" w:rsidRPr="0086376A" w:rsidRDefault="0086376A" w:rsidP="0086376A">
            <w:pPr>
              <w:spacing w:before="0" w:after="0" w:line="240" w:lineRule="auto"/>
              <w:ind w:firstLineChars="100" w:firstLine="161"/>
              <w:rPr>
                <w:rFonts w:ascii="Arial" w:hAnsi="Arial" w:cs="Arial"/>
                <w:b/>
                <w:bCs/>
                <w:sz w:val="16"/>
                <w:szCs w:val="16"/>
              </w:rPr>
            </w:pPr>
            <w:r w:rsidRPr="0086376A">
              <w:rPr>
                <w:rFonts w:ascii="Arial" w:hAnsi="Arial" w:cs="Arial"/>
                <w:b/>
                <w:bCs/>
                <w:sz w:val="16"/>
                <w:szCs w:val="16"/>
              </w:rPr>
              <w:t>Total for Program 3.1</w:t>
            </w:r>
          </w:p>
        </w:tc>
        <w:tc>
          <w:tcPr>
            <w:tcW w:w="994" w:type="dxa"/>
            <w:tcBorders>
              <w:top w:val="single" w:sz="4" w:space="0" w:color="auto"/>
              <w:left w:val="nil"/>
              <w:bottom w:val="single" w:sz="4" w:space="0" w:color="auto"/>
              <w:right w:val="nil"/>
            </w:tcBorders>
            <w:shd w:val="clear" w:color="auto" w:fill="auto"/>
            <w:noWrap/>
            <w:vAlign w:val="bottom"/>
            <w:hideMark/>
          </w:tcPr>
          <w:p w14:paraId="37DC05D0"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577,829</w:t>
            </w:r>
          </w:p>
        </w:tc>
        <w:tc>
          <w:tcPr>
            <w:tcW w:w="994" w:type="dxa"/>
            <w:tcBorders>
              <w:top w:val="single" w:sz="4" w:space="0" w:color="auto"/>
              <w:left w:val="nil"/>
              <w:bottom w:val="single" w:sz="4" w:space="0" w:color="auto"/>
              <w:right w:val="nil"/>
            </w:tcBorders>
            <w:shd w:val="clear" w:color="000000" w:fill="D9D9D9"/>
            <w:noWrap/>
            <w:vAlign w:val="bottom"/>
            <w:hideMark/>
          </w:tcPr>
          <w:p w14:paraId="0ED7C805"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694,082</w:t>
            </w:r>
          </w:p>
        </w:tc>
        <w:tc>
          <w:tcPr>
            <w:tcW w:w="1000" w:type="dxa"/>
            <w:gridSpan w:val="2"/>
            <w:tcBorders>
              <w:top w:val="single" w:sz="4" w:space="0" w:color="auto"/>
              <w:left w:val="nil"/>
              <w:bottom w:val="single" w:sz="4" w:space="0" w:color="auto"/>
              <w:right w:val="nil"/>
            </w:tcBorders>
            <w:shd w:val="clear" w:color="auto" w:fill="auto"/>
            <w:noWrap/>
            <w:vAlign w:val="bottom"/>
            <w:hideMark/>
          </w:tcPr>
          <w:p w14:paraId="072117ED"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641,470</w:t>
            </w:r>
          </w:p>
        </w:tc>
        <w:tc>
          <w:tcPr>
            <w:tcW w:w="1000" w:type="dxa"/>
            <w:gridSpan w:val="2"/>
            <w:tcBorders>
              <w:top w:val="single" w:sz="4" w:space="0" w:color="auto"/>
              <w:left w:val="nil"/>
              <w:bottom w:val="single" w:sz="4" w:space="0" w:color="auto"/>
              <w:right w:val="nil"/>
            </w:tcBorders>
            <w:shd w:val="clear" w:color="auto" w:fill="auto"/>
            <w:noWrap/>
            <w:vAlign w:val="bottom"/>
            <w:hideMark/>
          </w:tcPr>
          <w:p w14:paraId="1B9F83BD"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631,758</w:t>
            </w:r>
          </w:p>
        </w:tc>
        <w:tc>
          <w:tcPr>
            <w:tcW w:w="1000" w:type="dxa"/>
            <w:gridSpan w:val="2"/>
            <w:tcBorders>
              <w:top w:val="single" w:sz="4" w:space="0" w:color="auto"/>
              <w:left w:val="nil"/>
              <w:bottom w:val="single" w:sz="4" w:space="0" w:color="auto"/>
              <w:right w:val="nil"/>
            </w:tcBorders>
            <w:shd w:val="clear" w:color="auto" w:fill="auto"/>
            <w:noWrap/>
            <w:vAlign w:val="bottom"/>
            <w:hideMark/>
          </w:tcPr>
          <w:p w14:paraId="518DBCAE"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644,780</w:t>
            </w:r>
          </w:p>
        </w:tc>
      </w:tr>
      <w:tr w:rsidR="0086376A" w:rsidRPr="0086376A" w14:paraId="250D8AA6" w14:textId="77777777" w:rsidTr="000911F8">
        <w:trPr>
          <w:gridAfter w:val="1"/>
          <w:wAfter w:w="17" w:type="dxa"/>
          <w:trHeight w:val="283"/>
          <w:jc w:val="center"/>
        </w:trPr>
        <w:tc>
          <w:tcPr>
            <w:tcW w:w="7694" w:type="dxa"/>
            <w:gridSpan w:val="9"/>
            <w:tcBorders>
              <w:top w:val="nil"/>
              <w:left w:val="nil"/>
              <w:bottom w:val="nil"/>
              <w:right w:val="nil"/>
            </w:tcBorders>
            <w:shd w:val="clear" w:color="auto" w:fill="auto"/>
            <w:vAlign w:val="bottom"/>
            <w:hideMark/>
          </w:tcPr>
          <w:p w14:paraId="30F0E853" w14:textId="77777777" w:rsidR="0086376A" w:rsidRPr="0086376A" w:rsidRDefault="0086376A" w:rsidP="0086376A">
            <w:pPr>
              <w:spacing w:before="0" w:after="0" w:line="240" w:lineRule="auto"/>
              <w:rPr>
                <w:rFonts w:ascii="Arial" w:hAnsi="Arial" w:cs="Arial"/>
                <w:b/>
                <w:bCs/>
                <w:sz w:val="16"/>
                <w:szCs w:val="16"/>
              </w:rPr>
            </w:pPr>
            <w:r w:rsidRPr="0086376A">
              <w:rPr>
                <w:rFonts w:ascii="Arial" w:hAnsi="Arial" w:cs="Arial"/>
                <w:b/>
                <w:bCs/>
                <w:sz w:val="16"/>
                <w:szCs w:val="16"/>
              </w:rPr>
              <w:t>Program 3.2: Aged Care Services</w:t>
            </w:r>
            <w:r w:rsidRPr="0086376A">
              <w:rPr>
                <w:rFonts w:ascii="Arial" w:hAnsi="Arial" w:cs="Arial"/>
                <w:sz w:val="16"/>
                <w:szCs w:val="16"/>
                <w:vertAlign w:val="superscript"/>
              </w:rPr>
              <w:t xml:space="preserve"> </w:t>
            </w:r>
          </w:p>
        </w:tc>
      </w:tr>
      <w:tr w:rsidR="0086376A" w:rsidRPr="0086376A" w14:paraId="051A56C8"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138CDB9F" w14:textId="77777777" w:rsidR="0086376A" w:rsidRPr="0086376A" w:rsidRDefault="0086376A" w:rsidP="0086376A">
            <w:pPr>
              <w:spacing w:before="0" w:after="0" w:line="240" w:lineRule="auto"/>
              <w:ind w:firstLineChars="100" w:firstLine="160"/>
              <w:rPr>
                <w:rFonts w:ascii="Arial" w:hAnsi="Arial" w:cs="Arial"/>
                <w:sz w:val="16"/>
                <w:szCs w:val="16"/>
              </w:rPr>
            </w:pPr>
            <w:r w:rsidRPr="0086376A">
              <w:rPr>
                <w:rFonts w:ascii="Arial" w:hAnsi="Arial" w:cs="Arial"/>
                <w:sz w:val="16"/>
                <w:szCs w:val="16"/>
              </w:rPr>
              <w:t>Administered expenses</w:t>
            </w:r>
          </w:p>
        </w:tc>
        <w:tc>
          <w:tcPr>
            <w:tcW w:w="994" w:type="dxa"/>
            <w:tcBorders>
              <w:top w:val="nil"/>
              <w:left w:val="nil"/>
              <w:bottom w:val="nil"/>
              <w:right w:val="nil"/>
            </w:tcBorders>
            <w:shd w:val="clear" w:color="auto" w:fill="auto"/>
            <w:noWrap/>
            <w:vAlign w:val="bottom"/>
            <w:hideMark/>
          </w:tcPr>
          <w:p w14:paraId="1DD22A05" w14:textId="77777777" w:rsidR="0086376A" w:rsidRPr="0086376A" w:rsidRDefault="0086376A" w:rsidP="0086376A">
            <w:pPr>
              <w:spacing w:before="0" w:after="0" w:line="240" w:lineRule="auto"/>
              <w:ind w:firstLineChars="100" w:firstLine="16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22A2D1B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5B533EE7"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23A10853"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73C91AE9"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4EC0DBF2"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5E7FED21" w14:textId="77777777" w:rsidR="0086376A" w:rsidRPr="0086376A" w:rsidRDefault="0086376A" w:rsidP="00641A36">
            <w:pPr>
              <w:spacing w:before="0" w:after="0" w:line="240" w:lineRule="auto"/>
              <w:ind w:leftChars="150" w:left="285"/>
              <w:rPr>
                <w:rFonts w:ascii="Arial" w:hAnsi="Arial" w:cs="Arial"/>
                <w:sz w:val="16"/>
                <w:szCs w:val="16"/>
              </w:rPr>
            </w:pPr>
            <w:r w:rsidRPr="0086376A">
              <w:rPr>
                <w:rFonts w:ascii="Arial" w:hAnsi="Arial" w:cs="Arial"/>
                <w:sz w:val="16"/>
                <w:szCs w:val="16"/>
              </w:rPr>
              <w:t xml:space="preserve">Ordinary annual services </w:t>
            </w:r>
          </w:p>
        </w:tc>
        <w:tc>
          <w:tcPr>
            <w:tcW w:w="994" w:type="dxa"/>
            <w:tcBorders>
              <w:top w:val="nil"/>
              <w:left w:val="nil"/>
              <w:bottom w:val="nil"/>
              <w:right w:val="nil"/>
            </w:tcBorders>
            <w:shd w:val="clear" w:color="auto" w:fill="auto"/>
            <w:noWrap/>
            <w:vAlign w:val="bottom"/>
            <w:hideMark/>
          </w:tcPr>
          <w:p w14:paraId="6CB8E6D9"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3,734,750</w:t>
            </w:r>
          </w:p>
        </w:tc>
        <w:tc>
          <w:tcPr>
            <w:tcW w:w="994" w:type="dxa"/>
            <w:tcBorders>
              <w:top w:val="nil"/>
              <w:left w:val="nil"/>
              <w:bottom w:val="nil"/>
              <w:right w:val="nil"/>
            </w:tcBorders>
            <w:shd w:val="clear" w:color="000000" w:fill="D9D9D9"/>
            <w:noWrap/>
            <w:vAlign w:val="bottom"/>
            <w:hideMark/>
          </w:tcPr>
          <w:p w14:paraId="0C7D073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4,096,715</w:t>
            </w:r>
          </w:p>
        </w:tc>
        <w:tc>
          <w:tcPr>
            <w:tcW w:w="1000" w:type="dxa"/>
            <w:gridSpan w:val="2"/>
            <w:tcBorders>
              <w:top w:val="nil"/>
              <w:left w:val="nil"/>
              <w:bottom w:val="nil"/>
              <w:right w:val="nil"/>
            </w:tcBorders>
            <w:shd w:val="clear" w:color="auto" w:fill="auto"/>
            <w:noWrap/>
            <w:vAlign w:val="bottom"/>
            <w:hideMark/>
          </w:tcPr>
          <w:p w14:paraId="3389E67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4,435,510</w:t>
            </w:r>
          </w:p>
        </w:tc>
        <w:tc>
          <w:tcPr>
            <w:tcW w:w="1000" w:type="dxa"/>
            <w:gridSpan w:val="2"/>
            <w:tcBorders>
              <w:top w:val="nil"/>
              <w:left w:val="nil"/>
              <w:bottom w:val="nil"/>
              <w:right w:val="nil"/>
            </w:tcBorders>
            <w:shd w:val="clear" w:color="auto" w:fill="auto"/>
            <w:noWrap/>
            <w:vAlign w:val="bottom"/>
            <w:hideMark/>
          </w:tcPr>
          <w:p w14:paraId="4C5AA916"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4,611,891</w:t>
            </w:r>
          </w:p>
        </w:tc>
        <w:tc>
          <w:tcPr>
            <w:tcW w:w="1000" w:type="dxa"/>
            <w:gridSpan w:val="2"/>
            <w:tcBorders>
              <w:top w:val="nil"/>
              <w:left w:val="nil"/>
              <w:bottom w:val="nil"/>
              <w:right w:val="nil"/>
            </w:tcBorders>
            <w:shd w:val="clear" w:color="auto" w:fill="auto"/>
            <w:noWrap/>
            <w:vAlign w:val="bottom"/>
            <w:hideMark/>
          </w:tcPr>
          <w:p w14:paraId="4D158CA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4,753,297</w:t>
            </w:r>
          </w:p>
        </w:tc>
      </w:tr>
      <w:tr w:rsidR="0086376A" w:rsidRPr="0086376A" w14:paraId="6D7D5787"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57C2BC7D" w14:textId="77777777" w:rsidR="0086376A" w:rsidRPr="0086376A" w:rsidRDefault="0086376A" w:rsidP="00641A36">
            <w:pPr>
              <w:spacing w:before="0" w:after="0" w:line="240" w:lineRule="auto"/>
              <w:ind w:leftChars="150" w:left="285"/>
              <w:rPr>
                <w:rFonts w:ascii="Arial" w:hAnsi="Arial" w:cs="Arial"/>
                <w:sz w:val="16"/>
                <w:szCs w:val="16"/>
              </w:rPr>
            </w:pPr>
            <w:r w:rsidRPr="0086376A">
              <w:rPr>
                <w:rFonts w:ascii="Arial" w:hAnsi="Arial" w:cs="Arial"/>
                <w:sz w:val="16"/>
                <w:szCs w:val="16"/>
              </w:rPr>
              <w:t>Zero Real Interest Loans</w:t>
            </w:r>
          </w:p>
        </w:tc>
        <w:tc>
          <w:tcPr>
            <w:tcW w:w="994" w:type="dxa"/>
            <w:tcBorders>
              <w:top w:val="nil"/>
              <w:left w:val="nil"/>
              <w:bottom w:val="nil"/>
              <w:right w:val="nil"/>
            </w:tcBorders>
            <w:shd w:val="clear" w:color="auto" w:fill="auto"/>
            <w:noWrap/>
            <w:vAlign w:val="bottom"/>
            <w:hideMark/>
          </w:tcPr>
          <w:p w14:paraId="64C5DEA0" w14:textId="77777777" w:rsidR="0086376A" w:rsidRPr="0086376A" w:rsidRDefault="0086376A" w:rsidP="0086376A">
            <w:pPr>
              <w:spacing w:before="0" w:after="0" w:line="240" w:lineRule="auto"/>
              <w:ind w:firstLineChars="200" w:firstLine="32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15FA8A7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479E2DF3"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1A55AAC2"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63848208"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163D6BD1"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7C93C216" w14:textId="77777777" w:rsidR="0086376A" w:rsidRPr="0086376A" w:rsidRDefault="0086376A" w:rsidP="0053679C">
            <w:pPr>
              <w:spacing w:before="0" w:after="0" w:line="240" w:lineRule="auto"/>
              <w:ind w:leftChars="225" w:left="428"/>
              <w:rPr>
                <w:rFonts w:ascii="Arial" w:hAnsi="Arial" w:cs="Arial"/>
                <w:sz w:val="16"/>
                <w:szCs w:val="16"/>
              </w:rPr>
            </w:pPr>
            <w:r w:rsidRPr="0086376A">
              <w:rPr>
                <w:rFonts w:ascii="Arial" w:hAnsi="Arial" w:cs="Arial"/>
                <w:sz w:val="16"/>
                <w:szCs w:val="16"/>
              </w:rPr>
              <w:t>- appropriation</w:t>
            </w:r>
          </w:p>
        </w:tc>
        <w:tc>
          <w:tcPr>
            <w:tcW w:w="994" w:type="dxa"/>
            <w:tcBorders>
              <w:top w:val="nil"/>
              <w:left w:val="nil"/>
              <w:bottom w:val="nil"/>
              <w:right w:val="nil"/>
            </w:tcBorders>
            <w:shd w:val="clear" w:color="auto" w:fill="auto"/>
            <w:noWrap/>
            <w:vAlign w:val="bottom"/>
            <w:hideMark/>
          </w:tcPr>
          <w:p w14:paraId="4B89C37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994" w:type="dxa"/>
            <w:tcBorders>
              <w:top w:val="nil"/>
              <w:left w:val="nil"/>
              <w:bottom w:val="nil"/>
              <w:right w:val="nil"/>
            </w:tcBorders>
            <w:shd w:val="clear" w:color="000000" w:fill="D9D9D9"/>
            <w:noWrap/>
            <w:vAlign w:val="bottom"/>
            <w:hideMark/>
          </w:tcPr>
          <w:p w14:paraId="7F1DC29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2,942</w:t>
            </w:r>
          </w:p>
        </w:tc>
        <w:tc>
          <w:tcPr>
            <w:tcW w:w="1000" w:type="dxa"/>
            <w:gridSpan w:val="2"/>
            <w:tcBorders>
              <w:top w:val="nil"/>
              <w:left w:val="nil"/>
              <w:bottom w:val="nil"/>
              <w:right w:val="nil"/>
            </w:tcBorders>
            <w:shd w:val="clear" w:color="auto" w:fill="auto"/>
            <w:noWrap/>
            <w:vAlign w:val="bottom"/>
            <w:hideMark/>
          </w:tcPr>
          <w:p w14:paraId="33BE0FF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1D764D52"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5E81022D"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2845BF0C"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4D5DE0E1" w14:textId="535292FD" w:rsidR="0086376A" w:rsidRPr="0086376A" w:rsidRDefault="007B018B" w:rsidP="0053679C">
            <w:pPr>
              <w:spacing w:before="0" w:after="0" w:line="240" w:lineRule="auto"/>
              <w:ind w:leftChars="225" w:left="428"/>
              <w:rPr>
                <w:rFonts w:ascii="Arial" w:hAnsi="Arial" w:cs="Arial"/>
                <w:sz w:val="16"/>
                <w:szCs w:val="16"/>
              </w:rPr>
            </w:pPr>
            <w:r>
              <w:rPr>
                <w:rFonts w:ascii="Arial" w:hAnsi="Arial" w:cs="Arial"/>
                <w:sz w:val="16"/>
                <w:szCs w:val="16"/>
              </w:rPr>
              <w:t>- expense adjustment</w:t>
            </w:r>
            <w:r w:rsidR="0086376A" w:rsidRPr="0086376A">
              <w:rPr>
                <w:rFonts w:ascii="Arial" w:hAnsi="Arial" w:cs="Arial"/>
                <w:sz w:val="16"/>
                <w:szCs w:val="16"/>
                <w:vertAlign w:val="superscript"/>
              </w:rPr>
              <w:t>(a)</w:t>
            </w:r>
          </w:p>
        </w:tc>
        <w:tc>
          <w:tcPr>
            <w:tcW w:w="994" w:type="dxa"/>
            <w:tcBorders>
              <w:top w:val="nil"/>
              <w:left w:val="nil"/>
              <w:bottom w:val="nil"/>
              <w:right w:val="nil"/>
            </w:tcBorders>
            <w:shd w:val="clear" w:color="auto" w:fill="auto"/>
            <w:noWrap/>
            <w:vAlign w:val="bottom"/>
            <w:hideMark/>
          </w:tcPr>
          <w:p w14:paraId="2588FB2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1,342</w:t>
            </w:r>
          </w:p>
        </w:tc>
        <w:tc>
          <w:tcPr>
            <w:tcW w:w="994" w:type="dxa"/>
            <w:tcBorders>
              <w:top w:val="nil"/>
              <w:left w:val="nil"/>
              <w:bottom w:val="nil"/>
              <w:right w:val="nil"/>
            </w:tcBorders>
            <w:shd w:val="clear" w:color="000000" w:fill="D9D9D9"/>
            <w:noWrap/>
            <w:vAlign w:val="bottom"/>
            <w:hideMark/>
          </w:tcPr>
          <w:p w14:paraId="13187BE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(2,268)</w:t>
            </w:r>
          </w:p>
        </w:tc>
        <w:tc>
          <w:tcPr>
            <w:tcW w:w="1000" w:type="dxa"/>
            <w:gridSpan w:val="2"/>
            <w:tcBorders>
              <w:top w:val="nil"/>
              <w:left w:val="nil"/>
              <w:bottom w:val="nil"/>
              <w:right w:val="nil"/>
            </w:tcBorders>
            <w:shd w:val="clear" w:color="auto" w:fill="auto"/>
            <w:noWrap/>
            <w:vAlign w:val="bottom"/>
            <w:hideMark/>
          </w:tcPr>
          <w:p w14:paraId="2D55701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41B9AD72"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0B3FC3C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19F1B170"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16BEF379" w14:textId="77777777" w:rsidR="0086376A" w:rsidRPr="0086376A" w:rsidRDefault="0086376A" w:rsidP="00641A36">
            <w:pPr>
              <w:spacing w:before="0" w:after="0" w:line="240" w:lineRule="auto"/>
              <w:ind w:leftChars="150" w:left="285"/>
              <w:rPr>
                <w:rFonts w:ascii="Arial" w:hAnsi="Arial" w:cs="Arial"/>
                <w:sz w:val="16"/>
                <w:szCs w:val="16"/>
              </w:rPr>
            </w:pPr>
            <w:r w:rsidRPr="0086376A">
              <w:rPr>
                <w:rFonts w:ascii="Arial" w:hAnsi="Arial" w:cs="Arial"/>
                <w:sz w:val="16"/>
                <w:szCs w:val="16"/>
              </w:rPr>
              <w:t>Other services</w:t>
            </w:r>
          </w:p>
        </w:tc>
        <w:tc>
          <w:tcPr>
            <w:tcW w:w="994" w:type="dxa"/>
            <w:tcBorders>
              <w:top w:val="nil"/>
              <w:left w:val="nil"/>
              <w:bottom w:val="nil"/>
              <w:right w:val="nil"/>
            </w:tcBorders>
            <w:shd w:val="clear" w:color="auto" w:fill="auto"/>
            <w:noWrap/>
            <w:vAlign w:val="bottom"/>
            <w:hideMark/>
          </w:tcPr>
          <w:p w14:paraId="368F20B4" w14:textId="77777777" w:rsidR="0086376A" w:rsidRPr="0086376A" w:rsidRDefault="0086376A" w:rsidP="0086376A">
            <w:pPr>
              <w:spacing w:before="0" w:after="0" w:line="240" w:lineRule="auto"/>
              <w:ind w:firstLineChars="200" w:firstLine="32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2BE678A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43AE66CB"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14AA5D54"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66CB225A"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4A7A0AB9" w14:textId="77777777" w:rsidTr="00641A36">
        <w:trPr>
          <w:gridAfter w:val="1"/>
          <w:wAfter w:w="17" w:type="dxa"/>
          <w:trHeight w:val="425"/>
          <w:jc w:val="center"/>
        </w:trPr>
        <w:tc>
          <w:tcPr>
            <w:tcW w:w="2706" w:type="dxa"/>
            <w:tcBorders>
              <w:top w:val="nil"/>
              <w:left w:val="nil"/>
              <w:bottom w:val="nil"/>
              <w:right w:val="nil"/>
            </w:tcBorders>
            <w:shd w:val="clear" w:color="auto" w:fill="auto"/>
            <w:vAlign w:val="bottom"/>
            <w:hideMark/>
          </w:tcPr>
          <w:p w14:paraId="6830C7E3" w14:textId="77777777" w:rsidR="0086376A" w:rsidRPr="0086376A" w:rsidRDefault="0086376A" w:rsidP="00641A36">
            <w:pPr>
              <w:spacing w:before="0" w:after="0" w:line="240" w:lineRule="auto"/>
              <w:ind w:leftChars="150" w:left="285"/>
              <w:rPr>
                <w:rFonts w:ascii="Arial" w:hAnsi="Arial" w:cs="Arial"/>
                <w:sz w:val="16"/>
                <w:szCs w:val="16"/>
              </w:rPr>
            </w:pPr>
            <w:r w:rsidRPr="0086376A">
              <w:rPr>
                <w:rFonts w:ascii="Arial" w:hAnsi="Arial" w:cs="Arial"/>
                <w:sz w:val="16"/>
                <w:szCs w:val="16"/>
              </w:rPr>
              <w:t>Refundable Accommodation Deposit Concessional Loan</w:t>
            </w:r>
          </w:p>
        </w:tc>
        <w:tc>
          <w:tcPr>
            <w:tcW w:w="994" w:type="dxa"/>
            <w:tcBorders>
              <w:top w:val="nil"/>
              <w:left w:val="nil"/>
              <w:bottom w:val="nil"/>
              <w:right w:val="nil"/>
            </w:tcBorders>
            <w:shd w:val="clear" w:color="auto" w:fill="auto"/>
            <w:noWrap/>
            <w:vAlign w:val="bottom"/>
            <w:hideMark/>
          </w:tcPr>
          <w:p w14:paraId="32714421" w14:textId="77777777" w:rsidR="0086376A" w:rsidRPr="0086376A" w:rsidRDefault="0086376A" w:rsidP="0086376A">
            <w:pPr>
              <w:spacing w:before="0" w:after="0" w:line="240" w:lineRule="auto"/>
              <w:ind w:firstLineChars="200" w:firstLine="32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3E4F78B6"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09D6A5FA"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0AAA22B8"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3C02977B"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56195426"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46FA2829" w14:textId="77777777" w:rsidR="0086376A" w:rsidRPr="0086376A" w:rsidRDefault="0086376A" w:rsidP="0053679C">
            <w:pPr>
              <w:spacing w:before="0" w:after="0" w:line="240" w:lineRule="auto"/>
              <w:ind w:leftChars="225" w:left="428"/>
              <w:rPr>
                <w:rFonts w:ascii="Arial" w:hAnsi="Arial" w:cs="Arial"/>
                <w:sz w:val="16"/>
                <w:szCs w:val="16"/>
              </w:rPr>
            </w:pPr>
            <w:r w:rsidRPr="0086376A">
              <w:rPr>
                <w:rFonts w:ascii="Arial" w:hAnsi="Arial" w:cs="Arial"/>
                <w:sz w:val="16"/>
                <w:szCs w:val="16"/>
              </w:rPr>
              <w:t>- appropriation</w:t>
            </w:r>
          </w:p>
        </w:tc>
        <w:tc>
          <w:tcPr>
            <w:tcW w:w="994" w:type="dxa"/>
            <w:tcBorders>
              <w:top w:val="nil"/>
              <w:left w:val="nil"/>
              <w:bottom w:val="nil"/>
              <w:right w:val="nil"/>
            </w:tcBorders>
            <w:shd w:val="clear" w:color="auto" w:fill="auto"/>
            <w:noWrap/>
            <w:vAlign w:val="bottom"/>
            <w:hideMark/>
          </w:tcPr>
          <w:p w14:paraId="05E37547"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994" w:type="dxa"/>
            <w:tcBorders>
              <w:top w:val="nil"/>
              <w:left w:val="nil"/>
              <w:bottom w:val="nil"/>
              <w:right w:val="nil"/>
            </w:tcBorders>
            <w:shd w:val="clear" w:color="000000" w:fill="D9D9D9"/>
            <w:noWrap/>
            <w:vAlign w:val="bottom"/>
            <w:hideMark/>
          </w:tcPr>
          <w:p w14:paraId="0216EA1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441FC1F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1160BE08"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47670436"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7CAF91C3" w14:textId="77777777" w:rsidTr="00641A36">
        <w:trPr>
          <w:gridAfter w:val="1"/>
          <w:wAfter w:w="17" w:type="dxa"/>
          <w:trHeight w:val="225"/>
          <w:jc w:val="center"/>
        </w:trPr>
        <w:tc>
          <w:tcPr>
            <w:tcW w:w="2706" w:type="dxa"/>
            <w:tcBorders>
              <w:top w:val="nil"/>
              <w:left w:val="nil"/>
              <w:bottom w:val="nil"/>
              <w:right w:val="nil"/>
            </w:tcBorders>
            <w:shd w:val="clear" w:color="auto" w:fill="auto"/>
            <w:noWrap/>
            <w:vAlign w:val="bottom"/>
            <w:hideMark/>
          </w:tcPr>
          <w:p w14:paraId="24BE090D" w14:textId="37064DAE" w:rsidR="0086376A" w:rsidRPr="0086376A" w:rsidRDefault="007B018B" w:rsidP="0053679C">
            <w:pPr>
              <w:spacing w:before="0" w:after="0" w:line="240" w:lineRule="auto"/>
              <w:ind w:leftChars="225" w:left="428"/>
              <w:rPr>
                <w:rFonts w:ascii="Arial" w:hAnsi="Arial" w:cs="Arial"/>
                <w:sz w:val="16"/>
                <w:szCs w:val="16"/>
              </w:rPr>
            </w:pPr>
            <w:r>
              <w:rPr>
                <w:rFonts w:ascii="Arial" w:hAnsi="Arial" w:cs="Arial"/>
                <w:sz w:val="16"/>
                <w:szCs w:val="16"/>
              </w:rPr>
              <w:t>- expense adjustment</w:t>
            </w:r>
            <w:r w:rsidR="0086376A" w:rsidRPr="0086376A">
              <w:rPr>
                <w:rFonts w:ascii="Arial" w:hAnsi="Arial" w:cs="Arial"/>
                <w:sz w:val="16"/>
                <w:szCs w:val="16"/>
                <w:vertAlign w:val="superscript"/>
              </w:rPr>
              <w:t>(b)</w:t>
            </w:r>
          </w:p>
        </w:tc>
        <w:tc>
          <w:tcPr>
            <w:tcW w:w="994" w:type="dxa"/>
            <w:tcBorders>
              <w:top w:val="nil"/>
              <w:left w:val="nil"/>
              <w:bottom w:val="nil"/>
              <w:right w:val="nil"/>
            </w:tcBorders>
            <w:shd w:val="clear" w:color="auto" w:fill="auto"/>
            <w:noWrap/>
            <w:vAlign w:val="bottom"/>
            <w:hideMark/>
          </w:tcPr>
          <w:p w14:paraId="296E09F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994" w:type="dxa"/>
            <w:tcBorders>
              <w:top w:val="nil"/>
              <w:left w:val="nil"/>
              <w:bottom w:val="nil"/>
              <w:right w:val="nil"/>
            </w:tcBorders>
            <w:shd w:val="clear" w:color="000000" w:fill="D9D9D9"/>
            <w:noWrap/>
            <w:vAlign w:val="bottom"/>
            <w:hideMark/>
          </w:tcPr>
          <w:p w14:paraId="7D82400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531</w:t>
            </w:r>
          </w:p>
        </w:tc>
        <w:tc>
          <w:tcPr>
            <w:tcW w:w="1000" w:type="dxa"/>
            <w:gridSpan w:val="2"/>
            <w:tcBorders>
              <w:top w:val="nil"/>
              <w:left w:val="nil"/>
              <w:bottom w:val="nil"/>
              <w:right w:val="nil"/>
            </w:tcBorders>
            <w:shd w:val="clear" w:color="auto" w:fill="auto"/>
            <w:noWrap/>
            <w:vAlign w:val="bottom"/>
            <w:hideMark/>
          </w:tcPr>
          <w:p w14:paraId="08DFDFF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0FA06EF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18CC9CF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7F8A6AD0"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7677EFB4" w14:textId="77777777" w:rsidR="0086376A" w:rsidRPr="0086376A" w:rsidRDefault="0086376A" w:rsidP="00641A36">
            <w:pPr>
              <w:spacing w:before="0" w:after="0" w:line="240" w:lineRule="auto"/>
              <w:ind w:leftChars="150" w:left="285"/>
              <w:rPr>
                <w:rFonts w:ascii="Arial" w:hAnsi="Arial" w:cs="Arial"/>
                <w:sz w:val="16"/>
                <w:szCs w:val="16"/>
              </w:rPr>
            </w:pPr>
            <w:r w:rsidRPr="0086376A">
              <w:rPr>
                <w:rFonts w:ascii="Arial" w:hAnsi="Arial" w:cs="Arial"/>
                <w:sz w:val="16"/>
                <w:szCs w:val="16"/>
              </w:rPr>
              <w:t>Special appropriations</w:t>
            </w:r>
          </w:p>
        </w:tc>
        <w:tc>
          <w:tcPr>
            <w:tcW w:w="994" w:type="dxa"/>
            <w:tcBorders>
              <w:top w:val="nil"/>
              <w:left w:val="nil"/>
              <w:bottom w:val="nil"/>
              <w:right w:val="nil"/>
            </w:tcBorders>
            <w:shd w:val="clear" w:color="auto" w:fill="auto"/>
            <w:noWrap/>
            <w:vAlign w:val="bottom"/>
            <w:hideMark/>
          </w:tcPr>
          <w:p w14:paraId="7233D4FB" w14:textId="77777777" w:rsidR="0086376A" w:rsidRPr="0086376A" w:rsidRDefault="0086376A" w:rsidP="0086376A">
            <w:pPr>
              <w:spacing w:before="0" w:after="0" w:line="240" w:lineRule="auto"/>
              <w:ind w:firstLineChars="200" w:firstLine="320"/>
              <w:rPr>
                <w:rFonts w:ascii="Arial" w:hAnsi="Arial" w:cs="Arial"/>
                <w:sz w:val="16"/>
                <w:szCs w:val="16"/>
              </w:rPr>
            </w:pPr>
          </w:p>
        </w:tc>
        <w:tc>
          <w:tcPr>
            <w:tcW w:w="994" w:type="dxa"/>
            <w:tcBorders>
              <w:top w:val="nil"/>
              <w:left w:val="nil"/>
              <w:bottom w:val="nil"/>
              <w:right w:val="nil"/>
            </w:tcBorders>
            <w:shd w:val="clear" w:color="000000" w:fill="D9D9D9"/>
            <w:noWrap/>
            <w:vAlign w:val="bottom"/>
            <w:hideMark/>
          </w:tcPr>
          <w:p w14:paraId="497EA67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00" w:type="dxa"/>
            <w:gridSpan w:val="2"/>
            <w:tcBorders>
              <w:top w:val="nil"/>
              <w:left w:val="nil"/>
              <w:bottom w:val="nil"/>
              <w:right w:val="nil"/>
            </w:tcBorders>
            <w:shd w:val="clear" w:color="auto" w:fill="auto"/>
            <w:noWrap/>
            <w:vAlign w:val="bottom"/>
            <w:hideMark/>
          </w:tcPr>
          <w:p w14:paraId="1AC59BEC" w14:textId="77777777" w:rsidR="0086376A" w:rsidRPr="0086376A" w:rsidRDefault="0086376A" w:rsidP="0086376A">
            <w:pPr>
              <w:spacing w:before="0" w:after="0" w:line="240" w:lineRule="auto"/>
              <w:jc w:val="right"/>
              <w:rPr>
                <w:rFonts w:ascii="Arial" w:hAnsi="Arial" w:cs="Arial"/>
                <w:sz w:val="16"/>
                <w:szCs w:val="16"/>
              </w:rPr>
            </w:pPr>
          </w:p>
        </w:tc>
        <w:tc>
          <w:tcPr>
            <w:tcW w:w="1000" w:type="dxa"/>
            <w:gridSpan w:val="2"/>
            <w:tcBorders>
              <w:top w:val="nil"/>
              <w:left w:val="nil"/>
              <w:bottom w:val="nil"/>
              <w:right w:val="nil"/>
            </w:tcBorders>
            <w:shd w:val="clear" w:color="auto" w:fill="auto"/>
            <w:noWrap/>
            <w:vAlign w:val="bottom"/>
            <w:hideMark/>
          </w:tcPr>
          <w:p w14:paraId="29FB5B0B" w14:textId="77777777" w:rsidR="0086376A" w:rsidRPr="0086376A" w:rsidRDefault="0086376A" w:rsidP="0086376A">
            <w:pPr>
              <w:spacing w:before="0" w:after="0" w:line="240" w:lineRule="auto"/>
              <w:jc w:val="right"/>
              <w:rPr>
                <w:rFonts w:ascii="Times New Roman" w:hAnsi="Times New Roman"/>
                <w:sz w:val="20"/>
              </w:rPr>
            </w:pPr>
          </w:p>
        </w:tc>
        <w:tc>
          <w:tcPr>
            <w:tcW w:w="1000" w:type="dxa"/>
            <w:gridSpan w:val="2"/>
            <w:tcBorders>
              <w:top w:val="nil"/>
              <w:left w:val="nil"/>
              <w:bottom w:val="nil"/>
              <w:right w:val="nil"/>
            </w:tcBorders>
            <w:shd w:val="clear" w:color="auto" w:fill="auto"/>
            <w:noWrap/>
            <w:vAlign w:val="bottom"/>
            <w:hideMark/>
          </w:tcPr>
          <w:p w14:paraId="2AE07237"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562A169C" w14:textId="77777777" w:rsidTr="00641A36">
        <w:trPr>
          <w:gridAfter w:val="1"/>
          <w:wAfter w:w="17" w:type="dxa"/>
          <w:trHeight w:val="454"/>
          <w:jc w:val="center"/>
        </w:trPr>
        <w:tc>
          <w:tcPr>
            <w:tcW w:w="2706" w:type="dxa"/>
            <w:tcBorders>
              <w:top w:val="nil"/>
              <w:left w:val="nil"/>
              <w:bottom w:val="nil"/>
              <w:right w:val="nil"/>
            </w:tcBorders>
            <w:shd w:val="clear" w:color="auto" w:fill="auto"/>
            <w:vAlign w:val="bottom"/>
            <w:hideMark/>
          </w:tcPr>
          <w:p w14:paraId="7C30AEA9" w14:textId="77777777" w:rsidR="0086376A" w:rsidRPr="0086376A" w:rsidRDefault="0086376A" w:rsidP="0053679C">
            <w:pPr>
              <w:spacing w:before="0" w:after="0" w:line="240" w:lineRule="auto"/>
              <w:ind w:leftChars="225" w:left="428"/>
              <w:rPr>
                <w:rFonts w:ascii="Arial" w:hAnsi="Arial" w:cs="Arial"/>
                <w:sz w:val="16"/>
                <w:szCs w:val="16"/>
              </w:rPr>
            </w:pPr>
            <w:r w:rsidRPr="0086376A">
              <w:rPr>
                <w:rFonts w:ascii="Arial" w:hAnsi="Arial" w:cs="Arial"/>
                <w:i/>
                <w:iCs/>
                <w:sz w:val="16"/>
                <w:szCs w:val="16"/>
              </w:rPr>
              <w:t>Aged Care Act 1997</w:t>
            </w:r>
            <w:r w:rsidRPr="0086376A">
              <w:rPr>
                <w:rFonts w:ascii="Arial" w:hAnsi="Arial" w:cs="Arial"/>
                <w:sz w:val="16"/>
                <w:szCs w:val="16"/>
              </w:rPr>
              <w:t xml:space="preserve"> </w:t>
            </w:r>
            <w:r w:rsidRPr="0086376A">
              <w:rPr>
                <w:rFonts w:ascii="Arial" w:hAnsi="Arial" w:cs="Arial"/>
                <w:sz w:val="16"/>
                <w:szCs w:val="16"/>
              </w:rPr>
              <w:br/>
              <w:t>- flexible care</w:t>
            </w:r>
          </w:p>
        </w:tc>
        <w:tc>
          <w:tcPr>
            <w:tcW w:w="994" w:type="dxa"/>
            <w:tcBorders>
              <w:top w:val="nil"/>
              <w:left w:val="nil"/>
              <w:bottom w:val="nil"/>
              <w:right w:val="nil"/>
            </w:tcBorders>
            <w:shd w:val="clear" w:color="auto" w:fill="auto"/>
            <w:noWrap/>
            <w:vAlign w:val="bottom"/>
            <w:hideMark/>
          </w:tcPr>
          <w:p w14:paraId="72A9886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645,258</w:t>
            </w:r>
          </w:p>
        </w:tc>
        <w:tc>
          <w:tcPr>
            <w:tcW w:w="994" w:type="dxa"/>
            <w:tcBorders>
              <w:top w:val="nil"/>
              <w:left w:val="nil"/>
              <w:bottom w:val="nil"/>
              <w:right w:val="nil"/>
            </w:tcBorders>
            <w:shd w:val="clear" w:color="000000" w:fill="D9D9D9"/>
            <w:noWrap/>
            <w:vAlign w:val="bottom"/>
            <w:hideMark/>
          </w:tcPr>
          <w:p w14:paraId="6CE2866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831,976</w:t>
            </w:r>
          </w:p>
        </w:tc>
        <w:tc>
          <w:tcPr>
            <w:tcW w:w="1000" w:type="dxa"/>
            <w:gridSpan w:val="2"/>
            <w:tcBorders>
              <w:top w:val="nil"/>
              <w:left w:val="nil"/>
              <w:bottom w:val="nil"/>
              <w:right w:val="nil"/>
            </w:tcBorders>
            <w:shd w:val="clear" w:color="auto" w:fill="auto"/>
            <w:noWrap/>
            <w:vAlign w:val="bottom"/>
            <w:hideMark/>
          </w:tcPr>
          <w:p w14:paraId="494ACCB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908,936</w:t>
            </w:r>
          </w:p>
        </w:tc>
        <w:tc>
          <w:tcPr>
            <w:tcW w:w="1000" w:type="dxa"/>
            <w:gridSpan w:val="2"/>
            <w:tcBorders>
              <w:top w:val="nil"/>
              <w:left w:val="nil"/>
              <w:bottom w:val="nil"/>
              <w:right w:val="nil"/>
            </w:tcBorders>
            <w:shd w:val="clear" w:color="auto" w:fill="auto"/>
            <w:noWrap/>
            <w:vAlign w:val="bottom"/>
            <w:hideMark/>
          </w:tcPr>
          <w:p w14:paraId="559BBA2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965,140</w:t>
            </w:r>
          </w:p>
        </w:tc>
        <w:tc>
          <w:tcPr>
            <w:tcW w:w="1000" w:type="dxa"/>
            <w:gridSpan w:val="2"/>
            <w:tcBorders>
              <w:top w:val="nil"/>
              <w:left w:val="nil"/>
              <w:bottom w:val="nil"/>
              <w:right w:val="nil"/>
            </w:tcBorders>
            <w:shd w:val="clear" w:color="auto" w:fill="auto"/>
            <w:noWrap/>
            <w:vAlign w:val="bottom"/>
            <w:hideMark/>
          </w:tcPr>
          <w:p w14:paraId="524257A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1,005,158</w:t>
            </w:r>
          </w:p>
        </w:tc>
      </w:tr>
      <w:tr w:rsidR="0086376A" w:rsidRPr="0086376A" w14:paraId="3113B657" w14:textId="77777777" w:rsidTr="00641A36">
        <w:trPr>
          <w:gridAfter w:val="1"/>
          <w:wAfter w:w="17" w:type="dxa"/>
          <w:trHeight w:val="454"/>
          <w:jc w:val="center"/>
        </w:trPr>
        <w:tc>
          <w:tcPr>
            <w:tcW w:w="2706" w:type="dxa"/>
            <w:tcBorders>
              <w:top w:val="nil"/>
              <w:left w:val="nil"/>
              <w:bottom w:val="nil"/>
              <w:right w:val="nil"/>
            </w:tcBorders>
            <w:shd w:val="clear" w:color="auto" w:fill="auto"/>
            <w:vAlign w:val="bottom"/>
            <w:hideMark/>
          </w:tcPr>
          <w:p w14:paraId="27B23032" w14:textId="77777777" w:rsidR="0086376A" w:rsidRPr="0086376A" w:rsidRDefault="0086376A" w:rsidP="0053679C">
            <w:pPr>
              <w:spacing w:before="0" w:after="0" w:line="240" w:lineRule="auto"/>
              <w:ind w:leftChars="225" w:left="428"/>
              <w:rPr>
                <w:rFonts w:ascii="Arial" w:hAnsi="Arial" w:cs="Arial"/>
                <w:sz w:val="16"/>
                <w:szCs w:val="16"/>
              </w:rPr>
            </w:pPr>
            <w:r w:rsidRPr="0086376A">
              <w:rPr>
                <w:rFonts w:ascii="Arial" w:hAnsi="Arial" w:cs="Arial"/>
                <w:i/>
                <w:iCs/>
                <w:sz w:val="16"/>
                <w:szCs w:val="16"/>
              </w:rPr>
              <w:t>Aged Care Act 1997</w:t>
            </w:r>
            <w:r w:rsidRPr="0086376A">
              <w:rPr>
                <w:rFonts w:ascii="Arial" w:hAnsi="Arial" w:cs="Arial"/>
                <w:sz w:val="16"/>
                <w:szCs w:val="16"/>
              </w:rPr>
              <w:t xml:space="preserve"> </w:t>
            </w:r>
            <w:r w:rsidRPr="0086376A">
              <w:rPr>
                <w:rFonts w:ascii="Arial" w:hAnsi="Arial" w:cs="Arial"/>
                <w:sz w:val="16"/>
                <w:szCs w:val="16"/>
              </w:rPr>
              <w:br/>
              <w:t>- residential and home care</w:t>
            </w:r>
          </w:p>
        </w:tc>
        <w:tc>
          <w:tcPr>
            <w:tcW w:w="994" w:type="dxa"/>
            <w:tcBorders>
              <w:top w:val="nil"/>
              <w:left w:val="nil"/>
              <w:bottom w:val="nil"/>
              <w:right w:val="nil"/>
            </w:tcBorders>
            <w:shd w:val="clear" w:color="auto" w:fill="auto"/>
            <w:noWrap/>
            <w:tcMar>
              <w:left w:w="0" w:type="dxa"/>
            </w:tcMar>
            <w:vAlign w:val="bottom"/>
            <w:hideMark/>
          </w:tcPr>
          <w:p w14:paraId="79EFB99D"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21,062,392</w:t>
            </w:r>
          </w:p>
        </w:tc>
        <w:tc>
          <w:tcPr>
            <w:tcW w:w="994" w:type="dxa"/>
            <w:tcBorders>
              <w:top w:val="nil"/>
              <w:left w:val="nil"/>
              <w:bottom w:val="nil"/>
              <w:right w:val="nil"/>
            </w:tcBorders>
            <w:shd w:val="clear" w:color="000000" w:fill="D9D9D9"/>
            <w:noWrap/>
            <w:tcMar>
              <w:left w:w="0" w:type="dxa"/>
            </w:tcMar>
            <w:vAlign w:val="bottom"/>
            <w:hideMark/>
          </w:tcPr>
          <w:p w14:paraId="7CB0B8DD"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27,016,330</w:t>
            </w:r>
          </w:p>
        </w:tc>
        <w:tc>
          <w:tcPr>
            <w:tcW w:w="1000" w:type="dxa"/>
            <w:gridSpan w:val="2"/>
            <w:tcBorders>
              <w:top w:val="nil"/>
              <w:left w:val="nil"/>
              <w:bottom w:val="nil"/>
              <w:right w:val="nil"/>
            </w:tcBorders>
            <w:shd w:val="clear" w:color="auto" w:fill="auto"/>
            <w:noWrap/>
            <w:tcMar>
              <w:left w:w="0" w:type="dxa"/>
            </w:tcMar>
            <w:vAlign w:val="bottom"/>
            <w:hideMark/>
          </w:tcPr>
          <w:p w14:paraId="22B0E7C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30,023,819</w:t>
            </w:r>
          </w:p>
        </w:tc>
        <w:tc>
          <w:tcPr>
            <w:tcW w:w="1000" w:type="dxa"/>
            <w:gridSpan w:val="2"/>
            <w:tcBorders>
              <w:top w:val="nil"/>
              <w:left w:val="nil"/>
              <w:bottom w:val="nil"/>
              <w:right w:val="nil"/>
            </w:tcBorders>
            <w:shd w:val="clear" w:color="auto" w:fill="auto"/>
            <w:noWrap/>
            <w:tcMar>
              <w:left w:w="0" w:type="dxa"/>
            </w:tcMar>
            <w:vAlign w:val="bottom"/>
            <w:hideMark/>
          </w:tcPr>
          <w:p w14:paraId="77B9848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32,073,367</w:t>
            </w:r>
          </w:p>
        </w:tc>
        <w:tc>
          <w:tcPr>
            <w:tcW w:w="1000" w:type="dxa"/>
            <w:gridSpan w:val="2"/>
            <w:tcBorders>
              <w:top w:val="nil"/>
              <w:left w:val="nil"/>
              <w:bottom w:val="nil"/>
              <w:right w:val="nil"/>
            </w:tcBorders>
            <w:shd w:val="clear" w:color="auto" w:fill="auto"/>
            <w:noWrap/>
            <w:tcMar>
              <w:left w:w="0" w:type="dxa"/>
            </w:tcMar>
            <w:vAlign w:val="bottom"/>
            <w:hideMark/>
          </w:tcPr>
          <w:p w14:paraId="231D2B52"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33,903,369</w:t>
            </w:r>
          </w:p>
        </w:tc>
      </w:tr>
      <w:tr w:rsidR="0086376A" w:rsidRPr="0086376A" w14:paraId="7D140C38" w14:textId="77777777" w:rsidTr="00641A36">
        <w:trPr>
          <w:gridAfter w:val="1"/>
          <w:wAfter w:w="17" w:type="dxa"/>
          <w:trHeight w:val="454"/>
          <w:jc w:val="center"/>
        </w:trPr>
        <w:tc>
          <w:tcPr>
            <w:tcW w:w="2706" w:type="dxa"/>
            <w:tcBorders>
              <w:top w:val="nil"/>
              <w:left w:val="nil"/>
              <w:bottom w:val="nil"/>
              <w:right w:val="nil"/>
            </w:tcBorders>
            <w:shd w:val="clear" w:color="auto" w:fill="auto"/>
            <w:vAlign w:val="bottom"/>
            <w:hideMark/>
          </w:tcPr>
          <w:p w14:paraId="5C47015E" w14:textId="77777777" w:rsidR="0086376A" w:rsidRPr="0086376A" w:rsidRDefault="0086376A" w:rsidP="0053679C">
            <w:pPr>
              <w:spacing w:before="0" w:after="0" w:line="240" w:lineRule="auto"/>
              <w:ind w:leftChars="225" w:left="428"/>
              <w:rPr>
                <w:rFonts w:ascii="Arial" w:hAnsi="Arial" w:cs="Arial"/>
                <w:sz w:val="16"/>
                <w:szCs w:val="16"/>
              </w:rPr>
            </w:pPr>
            <w:r w:rsidRPr="0086376A">
              <w:rPr>
                <w:rFonts w:ascii="Arial" w:hAnsi="Arial" w:cs="Arial"/>
                <w:i/>
                <w:iCs/>
                <w:sz w:val="16"/>
                <w:szCs w:val="16"/>
              </w:rPr>
              <w:t xml:space="preserve">National Health Act 1953 </w:t>
            </w:r>
            <w:r w:rsidRPr="0086376A">
              <w:rPr>
                <w:rFonts w:ascii="Arial" w:hAnsi="Arial" w:cs="Arial"/>
                <w:i/>
                <w:iCs/>
                <w:sz w:val="16"/>
                <w:szCs w:val="16"/>
              </w:rPr>
              <w:br/>
              <w:t>-</w:t>
            </w:r>
            <w:r w:rsidRPr="0086376A">
              <w:rPr>
                <w:rFonts w:ascii="Arial" w:hAnsi="Arial" w:cs="Arial"/>
                <w:sz w:val="16"/>
                <w:szCs w:val="16"/>
              </w:rPr>
              <w:t xml:space="preserve"> continence aids payments</w:t>
            </w:r>
          </w:p>
        </w:tc>
        <w:tc>
          <w:tcPr>
            <w:tcW w:w="994" w:type="dxa"/>
            <w:tcBorders>
              <w:top w:val="nil"/>
              <w:left w:val="nil"/>
              <w:bottom w:val="nil"/>
              <w:right w:val="nil"/>
            </w:tcBorders>
            <w:shd w:val="clear" w:color="auto" w:fill="auto"/>
            <w:noWrap/>
            <w:vAlign w:val="bottom"/>
            <w:hideMark/>
          </w:tcPr>
          <w:p w14:paraId="2B0C6438"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103,059</w:t>
            </w:r>
          </w:p>
        </w:tc>
        <w:tc>
          <w:tcPr>
            <w:tcW w:w="994" w:type="dxa"/>
            <w:tcBorders>
              <w:top w:val="nil"/>
              <w:left w:val="nil"/>
              <w:bottom w:val="nil"/>
              <w:right w:val="nil"/>
            </w:tcBorders>
            <w:shd w:val="clear" w:color="000000" w:fill="D9D9D9"/>
            <w:noWrap/>
            <w:vAlign w:val="bottom"/>
            <w:hideMark/>
          </w:tcPr>
          <w:p w14:paraId="156D6F7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110,455</w:t>
            </w:r>
          </w:p>
        </w:tc>
        <w:tc>
          <w:tcPr>
            <w:tcW w:w="1000" w:type="dxa"/>
            <w:gridSpan w:val="2"/>
            <w:tcBorders>
              <w:top w:val="nil"/>
              <w:left w:val="nil"/>
              <w:bottom w:val="nil"/>
              <w:right w:val="nil"/>
            </w:tcBorders>
            <w:shd w:val="clear" w:color="auto" w:fill="auto"/>
            <w:noWrap/>
            <w:vAlign w:val="bottom"/>
            <w:hideMark/>
          </w:tcPr>
          <w:p w14:paraId="225B02A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106,192</w:t>
            </w:r>
          </w:p>
        </w:tc>
        <w:tc>
          <w:tcPr>
            <w:tcW w:w="1000" w:type="dxa"/>
            <w:gridSpan w:val="2"/>
            <w:tcBorders>
              <w:top w:val="nil"/>
              <w:left w:val="nil"/>
              <w:bottom w:val="nil"/>
              <w:right w:val="nil"/>
            </w:tcBorders>
            <w:shd w:val="clear" w:color="auto" w:fill="auto"/>
            <w:noWrap/>
            <w:vAlign w:val="bottom"/>
            <w:hideMark/>
          </w:tcPr>
          <w:p w14:paraId="18808367"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108,771</w:t>
            </w:r>
          </w:p>
        </w:tc>
        <w:tc>
          <w:tcPr>
            <w:tcW w:w="1000" w:type="dxa"/>
            <w:gridSpan w:val="2"/>
            <w:tcBorders>
              <w:top w:val="nil"/>
              <w:left w:val="nil"/>
              <w:bottom w:val="nil"/>
              <w:right w:val="nil"/>
            </w:tcBorders>
            <w:shd w:val="clear" w:color="auto" w:fill="auto"/>
            <w:noWrap/>
            <w:vAlign w:val="bottom"/>
            <w:hideMark/>
          </w:tcPr>
          <w:p w14:paraId="153DC0A4"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112,211</w:t>
            </w:r>
          </w:p>
        </w:tc>
      </w:tr>
      <w:tr w:rsidR="0086376A" w:rsidRPr="0086376A" w14:paraId="1361F228" w14:textId="77777777" w:rsidTr="00641A36">
        <w:trPr>
          <w:gridAfter w:val="1"/>
          <w:wAfter w:w="17" w:type="dxa"/>
          <w:trHeight w:val="454"/>
          <w:jc w:val="center"/>
        </w:trPr>
        <w:tc>
          <w:tcPr>
            <w:tcW w:w="2706" w:type="dxa"/>
            <w:tcBorders>
              <w:top w:val="nil"/>
              <w:left w:val="nil"/>
              <w:bottom w:val="nil"/>
              <w:right w:val="nil"/>
            </w:tcBorders>
            <w:shd w:val="clear" w:color="auto" w:fill="auto"/>
            <w:vAlign w:val="bottom"/>
            <w:hideMark/>
          </w:tcPr>
          <w:p w14:paraId="0525CCD7" w14:textId="77777777" w:rsidR="0086376A" w:rsidRPr="0086376A" w:rsidRDefault="0086376A" w:rsidP="0053679C">
            <w:pPr>
              <w:spacing w:before="0" w:after="0" w:line="240" w:lineRule="auto"/>
              <w:ind w:leftChars="225" w:left="428"/>
              <w:rPr>
                <w:rFonts w:ascii="Arial" w:hAnsi="Arial" w:cs="Arial"/>
                <w:i/>
                <w:iCs/>
                <w:sz w:val="16"/>
                <w:szCs w:val="16"/>
              </w:rPr>
            </w:pPr>
            <w:r w:rsidRPr="0086376A">
              <w:rPr>
                <w:rFonts w:ascii="Arial" w:hAnsi="Arial" w:cs="Arial"/>
                <w:i/>
                <w:iCs/>
                <w:sz w:val="16"/>
                <w:szCs w:val="16"/>
              </w:rPr>
              <w:t>Aged Care (Accommodation Payment Security) Act 2006</w:t>
            </w:r>
          </w:p>
        </w:tc>
        <w:tc>
          <w:tcPr>
            <w:tcW w:w="994" w:type="dxa"/>
            <w:tcBorders>
              <w:top w:val="nil"/>
              <w:left w:val="nil"/>
              <w:bottom w:val="nil"/>
              <w:right w:val="nil"/>
            </w:tcBorders>
            <w:shd w:val="clear" w:color="auto" w:fill="auto"/>
            <w:noWrap/>
            <w:vAlign w:val="bottom"/>
            <w:hideMark/>
          </w:tcPr>
          <w:p w14:paraId="162FF766"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9,984</w:t>
            </w:r>
          </w:p>
        </w:tc>
        <w:tc>
          <w:tcPr>
            <w:tcW w:w="994" w:type="dxa"/>
            <w:tcBorders>
              <w:top w:val="nil"/>
              <w:left w:val="nil"/>
              <w:bottom w:val="nil"/>
              <w:right w:val="nil"/>
            </w:tcBorders>
            <w:shd w:val="clear" w:color="000000" w:fill="D9D9D9"/>
            <w:noWrap/>
            <w:vAlign w:val="bottom"/>
            <w:hideMark/>
          </w:tcPr>
          <w:p w14:paraId="4932CCB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2,180</w:t>
            </w:r>
          </w:p>
        </w:tc>
        <w:tc>
          <w:tcPr>
            <w:tcW w:w="1000" w:type="dxa"/>
            <w:gridSpan w:val="2"/>
            <w:tcBorders>
              <w:top w:val="nil"/>
              <w:left w:val="nil"/>
              <w:bottom w:val="nil"/>
              <w:right w:val="nil"/>
            </w:tcBorders>
            <w:shd w:val="clear" w:color="auto" w:fill="auto"/>
            <w:noWrap/>
            <w:vAlign w:val="bottom"/>
            <w:hideMark/>
          </w:tcPr>
          <w:p w14:paraId="3CE5297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3E751DB7"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00" w:type="dxa"/>
            <w:gridSpan w:val="2"/>
            <w:tcBorders>
              <w:top w:val="nil"/>
              <w:left w:val="nil"/>
              <w:bottom w:val="nil"/>
              <w:right w:val="nil"/>
            </w:tcBorders>
            <w:shd w:val="clear" w:color="auto" w:fill="auto"/>
            <w:noWrap/>
            <w:vAlign w:val="bottom"/>
            <w:hideMark/>
          </w:tcPr>
          <w:p w14:paraId="2E01BAA4"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217876BE" w14:textId="77777777" w:rsidTr="00641A36">
        <w:trPr>
          <w:gridAfter w:val="1"/>
          <w:wAfter w:w="17" w:type="dxa"/>
          <w:trHeight w:val="283"/>
          <w:jc w:val="center"/>
        </w:trPr>
        <w:tc>
          <w:tcPr>
            <w:tcW w:w="2706" w:type="dxa"/>
            <w:tcBorders>
              <w:top w:val="nil"/>
              <w:left w:val="nil"/>
              <w:bottom w:val="nil"/>
              <w:right w:val="nil"/>
            </w:tcBorders>
            <w:shd w:val="clear" w:color="auto" w:fill="auto"/>
            <w:noWrap/>
            <w:vAlign w:val="bottom"/>
            <w:hideMark/>
          </w:tcPr>
          <w:p w14:paraId="2F93B46F" w14:textId="77777777" w:rsidR="0086376A" w:rsidRPr="0086376A" w:rsidRDefault="0086376A" w:rsidP="004F0C05">
            <w:pPr>
              <w:spacing w:before="0" w:after="12" w:line="240" w:lineRule="auto"/>
              <w:ind w:firstLineChars="100" w:firstLine="161"/>
              <w:rPr>
                <w:rFonts w:ascii="Arial" w:hAnsi="Arial" w:cs="Arial"/>
                <w:b/>
                <w:bCs/>
                <w:sz w:val="16"/>
                <w:szCs w:val="16"/>
              </w:rPr>
            </w:pPr>
            <w:r w:rsidRPr="0086376A">
              <w:rPr>
                <w:rFonts w:ascii="Arial" w:hAnsi="Arial" w:cs="Arial"/>
                <w:b/>
                <w:bCs/>
                <w:sz w:val="16"/>
                <w:szCs w:val="16"/>
              </w:rPr>
              <w:t>Total for Program 3.2</w:t>
            </w:r>
          </w:p>
        </w:tc>
        <w:tc>
          <w:tcPr>
            <w:tcW w:w="994" w:type="dxa"/>
            <w:tcBorders>
              <w:top w:val="single" w:sz="4" w:space="0" w:color="auto"/>
              <w:left w:val="nil"/>
              <w:bottom w:val="single" w:sz="4" w:space="0" w:color="auto"/>
              <w:right w:val="nil"/>
            </w:tcBorders>
            <w:shd w:val="clear" w:color="auto" w:fill="auto"/>
            <w:noWrap/>
            <w:tcMar>
              <w:left w:w="0" w:type="dxa"/>
            </w:tcMar>
            <w:vAlign w:val="bottom"/>
            <w:hideMark/>
          </w:tcPr>
          <w:p w14:paraId="507DE03D"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25,556,785</w:t>
            </w:r>
          </w:p>
        </w:tc>
        <w:tc>
          <w:tcPr>
            <w:tcW w:w="994" w:type="dxa"/>
            <w:tcBorders>
              <w:top w:val="single" w:sz="4" w:space="0" w:color="auto"/>
              <w:left w:val="nil"/>
              <w:bottom w:val="single" w:sz="4" w:space="0" w:color="auto"/>
              <w:right w:val="nil"/>
            </w:tcBorders>
            <w:shd w:val="clear" w:color="000000" w:fill="D9D9D9"/>
            <w:noWrap/>
            <w:tcMar>
              <w:left w:w="0" w:type="dxa"/>
            </w:tcMar>
            <w:vAlign w:val="bottom"/>
            <w:hideMark/>
          </w:tcPr>
          <w:p w14:paraId="08105CCE"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32,058,861</w:t>
            </w:r>
          </w:p>
        </w:tc>
        <w:tc>
          <w:tcPr>
            <w:tcW w:w="1000" w:type="dxa"/>
            <w:gridSpan w:val="2"/>
            <w:tcBorders>
              <w:top w:val="single" w:sz="4" w:space="0" w:color="auto"/>
              <w:left w:val="nil"/>
              <w:bottom w:val="single" w:sz="4" w:space="0" w:color="auto"/>
              <w:right w:val="nil"/>
            </w:tcBorders>
            <w:shd w:val="clear" w:color="auto" w:fill="auto"/>
            <w:noWrap/>
            <w:tcMar>
              <w:left w:w="0" w:type="dxa"/>
            </w:tcMar>
            <w:vAlign w:val="bottom"/>
            <w:hideMark/>
          </w:tcPr>
          <w:p w14:paraId="76C4F9BD"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35,474,457</w:t>
            </w:r>
          </w:p>
        </w:tc>
        <w:tc>
          <w:tcPr>
            <w:tcW w:w="1000" w:type="dxa"/>
            <w:gridSpan w:val="2"/>
            <w:tcBorders>
              <w:top w:val="single" w:sz="4" w:space="0" w:color="auto"/>
              <w:left w:val="nil"/>
              <w:bottom w:val="single" w:sz="4" w:space="0" w:color="auto"/>
              <w:right w:val="nil"/>
            </w:tcBorders>
            <w:shd w:val="clear" w:color="auto" w:fill="auto"/>
            <w:noWrap/>
            <w:tcMar>
              <w:left w:w="0" w:type="dxa"/>
            </w:tcMar>
            <w:vAlign w:val="bottom"/>
            <w:hideMark/>
          </w:tcPr>
          <w:p w14:paraId="7DADBC9F"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37,759,169</w:t>
            </w:r>
          </w:p>
        </w:tc>
        <w:tc>
          <w:tcPr>
            <w:tcW w:w="1000" w:type="dxa"/>
            <w:gridSpan w:val="2"/>
            <w:tcBorders>
              <w:top w:val="single" w:sz="4" w:space="0" w:color="auto"/>
              <w:left w:val="nil"/>
              <w:bottom w:val="single" w:sz="4" w:space="0" w:color="auto"/>
              <w:right w:val="nil"/>
            </w:tcBorders>
            <w:shd w:val="clear" w:color="auto" w:fill="auto"/>
            <w:noWrap/>
            <w:tcMar>
              <w:left w:w="0" w:type="dxa"/>
            </w:tcMar>
            <w:vAlign w:val="bottom"/>
            <w:hideMark/>
          </w:tcPr>
          <w:p w14:paraId="0D2A0E6F"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39,774,035</w:t>
            </w:r>
          </w:p>
        </w:tc>
      </w:tr>
    </w:tbl>
    <w:p w14:paraId="7DDA762E" w14:textId="36CC885F" w:rsidR="0086376A" w:rsidRDefault="0086376A" w:rsidP="002B5B49">
      <w:pPr>
        <w:pStyle w:val="TableGraphic"/>
      </w:pPr>
    </w:p>
    <w:p w14:paraId="5F987EA6" w14:textId="77777777" w:rsidR="0086376A" w:rsidRDefault="0086376A">
      <w:pPr>
        <w:spacing w:before="0" w:after="0" w:line="240" w:lineRule="auto"/>
      </w:pPr>
      <w:r>
        <w:br w:type="page"/>
      </w:r>
    </w:p>
    <w:p w14:paraId="39229BB7" w14:textId="5A555BE2" w:rsidR="00E81B71" w:rsidRDefault="00E81B71" w:rsidP="00E81B71">
      <w:pPr>
        <w:pStyle w:val="TableHeading"/>
        <w:rPr>
          <w:color w:val="FF0000"/>
        </w:rPr>
      </w:pPr>
      <w:r>
        <w:lastRenderedPageBreak/>
        <w:t>Table 2.3</w:t>
      </w:r>
      <w:r w:rsidRPr="008E5BB7">
        <w:t xml:space="preserve">.2: </w:t>
      </w:r>
      <w:r w:rsidR="004F0C05">
        <w:t>Program expenses table –</w:t>
      </w:r>
      <w:r>
        <w:t xml:space="preserve"> Outcome 3 </w:t>
      </w:r>
      <w:r w:rsidR="00464575">
        <w:t>(continued)</w:t>
      </w:r>
    </w:p>
    <w:tbl>
      <w:tblPr>
        <w:tblW w:w="7881" w:type="dxa"/>
        <w:jc w:val="center"/>
        <w:tblLayout w:type="fixed"/>
        <w:tblLook w:val="04A0" w:firstRow="1" w:lastRow="0" w:firstColumn="1" w:lastColumn="0" w:noHBand="0" w:noVBand="1"/>
      </w:tblPr>
      <w:tblGrid>
        <w:gridCol w:w="2796"/>
        <w:gridCol w:w="1017"/>
        <w:gridCol w:w="1017"/>
        <w:gridCol w:w="1017"/>
        <w:gridCol w:w="1017"/>
        <w:gridCol w:w="1017"/>
      </w:tblGrid>
      <w:tr w:rsidR="0086376A" w:rsidRPr="0086376A" w14:paraId="5929E5FB" w14:textId="77777777" w:rsidTr="00B92CB8">
        <w:trPr>
          <w:trHeight w:val="737"/>
          <w:jc w:val="center"/>
        </w:trPr>
        <w:tc>
          <w:tcPr>
            <w:tcW w:w="2796" w:type="dxa"/>
            <w:tcBorders>
              <w:top w:val="single" w:sz="4" w:space="0" w:color="auto"/>
              <w:left w:val="nil"/>
              <w:bottom w:val="nil"/>
              <w:right w:val="nil"/>
            </w:tcBorders>
            <w:shd w:val="clear" w:color="auto" w:fill="auto"/>
            <w:noWrap/>
          </w:tcPr>
          <w:p w14:paraId="46396FD8" w14:textId="00E1C6A6" w:rsidR="0086376A" w:rsidRPr="0086376A" w:rsidRDefault="0086376A" w:rsidP="009A3B36">
            <w:pPr>
              <w:spacing w:before="24" w:after="0" w:line="240" w:lineRule="auto"/>
              <w:jc w:val="right"/>
              <w:rPr>
                <w:rFonts w:ascii="Arial" w:hAnsi="Arial" w:cs="Arial"/>
                <w:b/>
                <w:bCs/>
                <w:sz w:val="16"/>
                <w:szCs w:val="16"/>
              </w:rPr>
            </w:pPr>
          </w:p>
        </w:tc>
        <w:tc>
          <w:tcPr>
            <w:tcW w:w="1017" w:type="dxa"/>
            <w:tcBorders>
              <w:top w:val="single" w:sz="4" w:space="0" w:color="auto"/>
              <w:left w:val="nil"/>
              <w:bottom w:val="single" w:sz="4" w:space="0" w:color="auto"/>
              <w:right w:val="nil"/>
            </w:tcBorders>
            <w:shd w:val="clear" w:color="auto" w:fill="auto"/>
            <w:noWrap/>
          </w:tcPr>
          <w:p w14:paraId="24847DD3" w14:textId="1CAB4B06" w:rsidR="0086376A" w:rsidRPr="0086376A" w:rsidRDefault="00641A36" w:rsidP="009A3B36">
            <w:pPr>
              <w:spacing w:before="24" w:after="0" w:line="240" w:lineRule="auto"/>
              <w:jc w:val="right"/>
              <w:rPr>
                <w:rFonts w:ascii="Arial" w:hAnsi="Arial" w:cs="Arial"/>
                <w:b/>
                <w:bCs/>
                <w:sz w:val="16"/>
                <w:szCs w:val="16"/>
              </w:rPr>
            </w:pPr>
            <w:r>
              <w:rPr>
                <w:rFonts w:ascii="Arial" w:hAnsi="Arial" w:cs="Arial"/>
                <w:b/>
                <w:bCs/>
                <w:sz w:val="16"/>
                <w:szCs w:val="16"/>
              </w:rPr>
              <w:t>2022–</w:t>
            </w:r>
            <w:r w:rsidR="0086376A" w:rsidRPr="002567A6">
              <w:rPr>
                <w:rFonts w:ascii="Arial" w:hAnsi="Arial" w:cs="Arial"/>
                <w:b/>
                <w:bCs/>
                <w:sz w:val="16"/>
                <w:szCs w:val="16"/>
              </w:rPr>
              <w:t>23 Actual</w:t>
            </w:r>
            <w:r w:rsidR="0086376A" w:rsidRPr="002567A6">
              <w:rPr>
                <w:rFonts w:ascii="Arial" w:hAnsi="Arial" w:cs="Arial"/>
                <w:b/>
                <w:bCs/>
                <w:sz w:val="16"/>
                <w:szCs w:val="16"/>
              </w:rPr>
              <w:br/>
            </w:r>
            <w:r w:rsidR="0086376A" w:rsidRPr="002567A6">
              <w:rPr>
                <w:rFonts w:ascii="Arial" w:hAnsi="Arial" w:cs="Arial"/>
                <w:b/>
                <w:bCs/>
                <w:sz w:val="16"/>
                <w:szCs w:val="16"/>
              </w:rPr>
              <w:br/>
            </w:r>
            <w:r w:rsidR="0086376A" w:rsidRPr="002567A6">
              <w:rPr>
                <w:rFonts w:ascii="Arial" w:hAnsi="Arial" w:cs="Arial"/>
                <w:sz w:val="16"/>
                <w:szCs w:val="16"/>
              </w:rPr>
              <w:t>$'000</w:t>
            </w:r>
          </w:p>
        </w:tc>
        <w:tc>
          <w:tcPr>
            <w:tcW w:w="1017" w:type="dxa"/>
            <w:tcBorders>
              <w:top w:val="single" w:sz="4" w:space="0" w:color="auto"/>
              <w:left w:val="nil"/>
              <w:bottom w:val="single" w:sz="4" w:space="0" w:color="auto"/>
              <w:right w:val="nil"/>
            </w:tcBorders>
            <w:shd w:val="clear" w:color="auto" w:fill="D9D9D9" w:themeFill="background1" w:themeFillShade="D9"/>
            <w:noWrap/>
          </w:tcPr>
          <w:p w14:paraId="09DBBEA7" w14:textId="3D59BFBC" w:rsidR="0086376A" w:rsidRPr="0086376A" w:rsidRDefault="00641A36" w:rsidP="009A3B36">
            <w:pPr>
              <w:spacing w:before="24" w:after="0" w:line="240" w:lineRule="auto"/>
              <w:jc w:val="right"/>
              <w:rPr>
                <w:rFonts w:ascii="Times New Roman" w:hAnsi="Times New Roman"/>
                <w:sz w:val="20"/>
              </w:rPr>
            </w:pPr>
            <w:r>
              <w:rPr>
                <w:rFonts w:ascii="Arial" w:hAnsi="Arial" w:cs="Arial"/>
                <w:b/>
                <w:bCs/>
                <w:sz w:val="16"/>
                <w:szCs w:val="16"/>
              </w:rPr>
              <w:t>2023–</w:t>
            </w:r>
            <w:r w:rsidR="0086376A" w:rsidRPr="002567A6">
              <w:rPr>
                <w:rFonts w:ascii="Arial" w:hAnsi="Arial" w:cs="Arial"/>
                <w:b/>
                <w:bCs/>
                <w:sz w:val="16"/>
                <w:szCs w:val="16"/>
              </w:rPr>
              <w:t>24 Revised Budget</w:t>
            </w:r>
            <w:r w:rsidR="0086376A" w:rsidRPr="002567A6">
              <w:rPr>
                <w:rFonts w:ascii="Arial" w:hAnsi="Arial" w:cs="Arial"/>
                <w:b/>
                <w:bCs/>
                <w:sz w:val="16"/>
                <w:szCs w:val="16"/>
              </w:rPr>
              <w:br/>
            </w:r>
            <w:r w:rsidR="0086376A" w:rsidRPr="002567A6">
              <w:rPr>
                <w:rFonts w:ascii="Arial" w:hAnsi="Arial" w:cs="Arial"/>
                <w:sz w:val="16"/>
                <w:szCs w:val="16"/>
              </w:rPr>
              <w:t>$'000</w:t>
            </w:r>
          </w:p>
        </w:tc>
        <w:tc>
          <w:tcPr>
            <w:tcW w:w="1017" w:type="dxa"/>
            <w:tcBorders>
              <w:top w:val="single" w:sz="4" w:space="0" w:color="auto"/>
              <w:left w:val="nil"/>
              <w:bottom w:val="single" w:sz="4" w:space="0" w:color="auto"/>
              <w:right w:val="nil"/>
            </w:tcBorders>
            <w:shd w:val="clear" w:color="auto" w:fill="auto"/>
            <w:noWrap/>
          </w:tcPr>
          <w:p w14:paraId="4E2DCC95" w14:textId="1F68968F" w:rsidR="0086376A" w:rsidRPr="0086376A" w:rsidRDefault="00641A36" w:rsidP="009A3B36">
            <w:pPr>
              <w:spacing w:before="24" w:after="0" w:line="240" w:lineRule="auto"/>
              <w:jc w:val="right"/>
              <w:rPr>
                <w:rFonts w:ascii="Times New Roman" w:hAnsi="Times New Roman"/>
                <w:sz w:val="20"/>
              </w:rPr>
            </w:pPr>
            <w:r>
              <w:rPr>
                <w:rFonts w:ascii="Arial" w:hAnsi="Arial" w:cs="Arial"/>
                <w:b/>
                <w:bCs/>
                <w:sz w:val="16"/>
                <w:szCs w:val="16"/>
              </w:rPr>
              <w:t>2024–</w:t>
            </w:r>
            <w:r w:rsidR="0086376A" w:rsidRPr="002567A6">
              <w:rPr>
                <w:rFonts w:ascii="Arial" w:hAnsi="Arial" w:cs="Arial"/>
                <w:b/>
                <w:bCs/>
                <w:sz w:val="16"/>
                <w:szCs w:val="16"/>
              </w:rPr>
              <w:t>25 Forward Estimate</w:t>
            </w:r>
            <w:r w:rsidR="0086376A" w:rsidRPr="002567A6">
              <w:rPr>
                <w:rFonts w:ascii="Arial" w:hAnsi="Arial" w:cs="Arial"/>
                <w:b/>
                <w:bCs/>
                <w:sz w:val="16"/>
                <w:szCs w:val="16"/>
              </w:rPr>
              <w:br/>
            </w:r>
            <w:r w:rsidR="0086376A" w:rsidRPr="002567A6">
              <w:rPr>
                <w:rFonts w:ascii="Arial" w:hAnsi="Arial" w:cs="Arial"/>
                <w:sz w:val="16"/>
                <w:szCs w:val="16"/>
              </w:rPr>
              <w:t>$'000</w:t>
            </w:r>
          </w:p>
        </w:tc>
        <w:tc>
          <w:tcPr>
            <w:tcW w:w="1017" w:type="dxa"/>
            <w:tcBorders>
              <w:top w:val="single" w:sz="4" w:space="0" w:color="auto"/>
              <w:left w:val="nil"/>
              <w:bottom w:val="single" w:sz="4" w:space="0" w:color="auto"/>
              <w:right w:val="nil"/>
            </w:tcBorders>
            <w:shd w:val="clear" w:color="auto" w:fill="auto"/>
            <w:noWrap/>
          </w:tcPr>
          <w:p w14:paraId="4E0E47A5" w14:textId="2D7B6F1B" w:rsidR="0086376A" w:rsidRPr="0086376A" w:rsidRDefault="00641A36" w:rsidP="009A3B36">
            <w:pPr>
              <w:spacing w:before="24" w:after="0" w:line="240" w:lineRule="auto"/>
              <w:jc w:val="right"/>
              <w:rPr>
                <w:rFonts w:ascii="Times New Roman" w:hAnsi="Times New Roman"/>
                <w:sz w:val="20"/>
              </w:rPr>
            </w:pPr>
            <w:r>
              <w:rPr>
                <w:rFonts w:ascii="Arial" w:hAnsi="Arial" w:cs="Arial"/>
                <w:b/>
                <w:bCs/>
                <w:sz w:val="16"/>
                <w:szCs w:val="16"/>
              </w:rPr>
              <w:t>2025–</w:t>
            </w:r>
            <w:r w:rsidR="0086376A" w:rsidRPr="002567A6">
              <w:rPr>
                <w:rFonts w:ascii="Arial" w:hAnsi="Arial" w:cs="Arial"/>
                <w:b/>
                <w:bCs/>
                <w:sz w:val="16"/>
                <w:szCs w:val="16"/>
              </w:rPr>
              <w:t>26 Forward Estimate</w:t>
            </w:r>
            <w:r w:rsidR="0086376A" w:rsidRPr="002567A6">
              <w:rPr>
                <w:rFonts w:ascii="Arial" w:hAnsi="Arial" w:cs="Arial"/>
                <w:b/>
                <w:bCs/>
                <w:sz w:val="16"/>
                <w:szCs w:val="16"/>
              </w:rPr>
              <w:br/>
            </w:r>
            <w:r w:rsidR="0086376A" w:rsidRPr="002567A6">
              <w:rPr>
                <w:rFonts w:ascii="Arial" w:hAnsi="Arial" w:cs="Arial"/>
                <w:sz w:val="16"/>
                <w:szCs w:val="16"/>
              </w:rPr>
              <w:t>$'000</w:t>
            </w:r>
          </w:p>
        </w:tc>
        <w:tc>
          <w:tcPr>
            <w:tcW w:w="1017" w:type="dxa"/>
            <w:tcBorders>
              <w:top w:val="single" w:sz="4" w:space="0" w:color="auto"/>
              <w:left w:val="nil"/>
              <w:bottom w:val="single" w:sz="4" w:space="0" w:color="auto"/>
              <w:right w:val="nil"/>
            </w:tcBorders>
            <w:shd w:val="clear" w:color="auto" w:fill="auto"/>
            <w:noWrap/>
          </w:tcPr>
          <w:p w14:paraId="14DF64C7" w14:textId="698DA394" w:rsidR="0086376A" w:rsidRPr="0086376A" w:rsidRDefault="00641A36" w:rsidP="009A3B36">
            <w:pPr>
              <w:spacing w:before="24" w:after="0" w:line="240" w:lineRule="auto"/>
              <w:jc w:val="right"/>
              <w:rPr>
                <w:rFonts w:ascii="Times New Roman" w:hAnsi="Times New Roman"/>
                <w:sz w:val="20"/>
              </w:rPr>
            </w:pPr>
            <w:r>
              <w:rPr>
                <w:rFonts w:ascii="Arial" w:hAnsi="Arial" w:cs="Arial"/>
                <w:b/>
                <w:bCs/>
                <w:sz w:val="16"/>
                <w:szCs w:val="16"/>
              </w:rPr>
              <w:t>2026–</w:t>
            </w:r>
            <w:r w:rsidR="0086376A" w:rsidRPr="002567A6">
              <w:rPr>
                <w:rFonts w:ascii="Arial" w:hAnsi="Arial" w:cs="Arial"/>
                <w:b/>
                <w:bCs/>
                <w:sz w:val="16"/>
                <w:szCs w:val="16"/>
              </w:rPr>
              <w:t>27 Forward Estimate</w:t>
            </w:r>
            <w:r w:rsidR="0086376A" w:rsidRPr="002567A6">
              <w:rPr>
                <w:rFonts w:ascii="Arial" w:hAnsi="Arial" w:cs="Arial"/>
                <w:b/>
                <w:bCs/>
                <w:sz w:val="16"/>
                <w:szCs w:val="16"/>
              </w:rPr>
              <w:br/>
            </w:r>
            <w:r w:rsidR="0086376A" w:rsidRPr="002567A6">
              <w:rPr>
                <w:rFonts w:ascii="Arial" w:hAnsi="Arial" w:cs="Arial"/>
                <w:sz w:val="16"/>
                <w:szCs w:val="16"/>
              </w:rPr>
              <w:t>$'000</w:t>
            </w:r>
          </w:p>
        </w:tc>
      </w:tr>
      <w:tr w:rsidR="0086376A" w:rsidRPr="0086376A" w14:paraId="044BBF13" w14:textId="77777777" w:rsidTr="00045C8F">
        <w:trPr>
          <w:trHeight w:val="283"/>
          <w:jc w:val="center"/>
        </w:trPr>
        <w:tc>
          <w:tcPr>
            <w:tcW w:w="2796" w:type="dxa"/>
            <w:tcBorders>
              <w:top w:val="nil"/>
              <w:left w:val="nil"/>
              <w:bottom w:val="nil"/>
              <w:right w:val="nil"/>
            </w:tcBorders>
            <w:shd w:val="clear" w:color="auto" w:fill="auto"/>
            <w:noWrap/>
            <w:vAlign w:val="bottom"/>
            <w:hideMark/>
          </w:tcPr>
          <w:p w14:paraId="52490220" w14:textId="77777777" w:rsidR="0086376A" w:rsidRPr="0086376A" w:rsidRDefault="0086376A" w:rsidP="0086376A">
            <w:pPr>
              <w:spacing w:before="0" w:after="0" w:line="240" w:lineRule="auto"/>
              <w:rPr>
                <w:rFonts w:ascii="Arial" w:hAnsi="Arial" w:cs="Arial"/>
                <w:b/>
                <w:bCs/>
                <w:sz w:val="16"/>
                <w:szCs w:val="16"/>
              </w:rPr>
            </w:pPr>
            <w:r w:rsidRPr="0086376A">
              <w:rPr>
                <w:rFonts w:ascii="Arial" w:hAnsi="Arial" w:cs="Arial"/>
                <w:b/>
                <w:bCs/>
                <w:sz w:val="16"/>
                <w:szCs w:val="16"/>
              </w:rPr>
              <w:t>Program 3.3: Aged Care Quality</w:t>
            </w:r>
          </w:p>
        </w:tc>
        <w:tc>
          <w:tcPr>
            <w:tcW w:w="1017" w:type="dxa"/>
            <w:tcBorders>
              <w:top w:val="single" w:sz="4" w:space="0" w:color="auto"/>
              <w:left w:val="nil"/>
              <w:bottom w:val="nil"/>
              <w:right w:val="nil"/>
            </w:tcBorders>
            <w:shd w:val="clear" w:color="auto" w:fill="auto"/>
            <w:noWrap/>
            <w:vAlign w:val="bottom"/>
            <w:hideMark/>
          </w:tcPr>
          <w:p w14:paraId="55E375DE" w14:textId="77777777" w:rsidR="0086376A" w:rsidRPr="0086376A" w:rsidRDefault="0086376A" w:rsidP="0086376A">
            <w:pPr>
              <w:spacing w:before="0" w:after="0" w:line="240" w:lineRule="auto"/>
              <w:rPr>
                <w:rFonts w:ascii="Arial" w:hAnsi="Arial" w:cs="Arial"/>
                <w:b/>
                <w:bCs/>
                <w:sz w:val="16"/>
                <w:szCs w:val="16"/>
              </w:rPr>
            </w:pPr>
          </w:p>
        </w:tc>
        <w:tc>
          <w:tcPr>
            <w:tcW w:w="1017" w:type="dxa"/>
            <w:tcBorders>
              <w:top w:val="single" w:sz="4" w:space="0" w:color="auto"/>
              <w:left w:val="nil"/>
              <w:bottom w:val="nil"/>
              <w:right w:val="nil"/>
            </w:tcBorders>
            <w:shd w:val="clear" w:color="auto" w:fill="auto"/>
            <w:noWrap/>
            <w:vAlign w:val="bottom"/>
            <w:hideMark/>
          </w:tcPr>
          <w:p w14:paraId="122DA33D" w14:textId="77777777" w:rsidR="0086376A" w:rsidRPr="0086376A" w:rsidRDefault="0086376A" w:rsidP="0086376A">
            <w:pPr>
              <w:spacing w:before="0" w:after="0" w:line="240" w:lineRule="auto"/>
              <w:jc w:val="right"/>
              <w:rPr>
                <w:rFonts w:ascii="Times New Roman" w:hAnsi="Times New Roman"/>
                <w:sz w:val="20"/>
              </w:rPr>
            </w:pPr>
          </w:p>
        </w:tc>
        <w:tc>
          <w:tcPr>
            <w:tcW w:w="1017" w:type="dxa"/>
            <w:tcBorders>
              <w:top w:val="single" w:sz="4" w:space="0" w:color="auto"/>
              <w:left w:val="nil"/>
              <w:bottom w:val="nil"/>
              <w:right w:val="nil"/>
            </w:tcBorders>
            <w:shd w:val="clear" w:color="auto" w:fill="auto"/>
            <w:noWrap/>
            <w:vAlign w:val="bottom"/>
            <w:hideMark/>
          </w:tcPr>
          <w:p w14:paraId="7BDC099D" w14:textId="77777777" w:rsidR="0086376A" w:rsidRPr="0086376A" w:rsidRDefault="0086376A" w:rsidP="0086376A">
            <w:pPr>
              <w:spacing w:before="0" w:after="0" w:line="240" w:lineRule="auto"/>
              <w:jc w:val="right"/>
              <w:rPr>
                <w:rFonts w:ascii="Times New Roman" w:hAnsi="Times New Roman"/>
                <w:sz w:val="20"/>
              </w:rPr>
            </w:pPr>
          </w:p>
        </w:tc>
        <w:tc>
          <w:tcPr>
            <w:tcW w:w="1017" w:type="dxa"/>
            <w:tcBorders>
              <w:top w:val="single" w:sz="4" w:space="0" w:color="auto"/>
              <w:left w:val="nil"/>
              <w:bottom w:val="nil"/>
              <w:right w:val="nil"/>
            </w:tcBorders>
            <w:shd w:val="clear" w:color="auto" w:fill="auto"/>
            <w:noWrap/>
            <w:vAlign w:val="bottom"/>
            <w:hideMark/>
          </w:tcPr>
          <w:p w14:paraId="4369BD8D" w14:textId="77777777" w:rsidR="0086376A" w:rsidRPr="0086376A" w:rsidRDefault="0086376A" w:rsidP="0086376A">
            <w:pPr>
              <w:spacing w:before="0" w:after="0" w:line="240" w:lineRule="auto"/>
              <w:jc w:val="right"/>
              <w:rPr>
                <w:rFonts w:ascii="Times New Roman" w:hAnsi="Times New Roman"/>
                <w:sz w:val="20"/>
              </w:rPr>
            </w:pPr>
          </w:p>
        </w:tc>
        <w:tc>
          <w:tcPr>
            <w:tcW w:w="1017" w:type="dxa"/>
            <w:tcBorders>
              <w:top w:val="single" w:sz="4" w:space="0" w:color="auto"/>
              <w:left w:val="nil"/>
              <w:bottom w:val="nil"/>
              <w:right w:val="nil"/>
            </w:tcBorders>
            <w:shd w:val="clear" w:color="auto" w:fill="auto"/>
            <w:noWrap/>
            <w:vAlign w:val="bottom"/>
            <w:hideMark/>
          </w:tcPr>
          <w:p w14:paraId="4A99AB41"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17817F07" w14:textId="77777777" w:rsidTr="00641A36">
        <w:trPr>
          <w:trHeight w:val="283"/>
          <w:jc w:val="center"/>
        </w:trPr>
        <w:tc>
          <w:tcPr>
            <w:tcW w:w="2796" w:type="dxa"/>
            <w:tcBorders>
              <w:top w:val="nil"/>
              <w:left w:val="nil"/>
              <w:bottom w:val="nil"/>
              <w:right w:val="nil"/>
            </w:tcBorders>
            <w:shd w:val="clear" w:color="auto" w:fill="auto"/>
            <w:noWrap/>
            <w:vAlign w:val="bottom"/>
            <w:hideMark/>
          </w:tcPr>
          <w:p w14:paraId="68EDE2F0" w14:textId="77777777" w:rsidR="0086376A" w:rsidRPr="0086376A" w:rsidRDefault="0086376A" w:rsidP="0086376A">
            <w:pPr>
              <w:spacing w:before="0" w:after="0" w:line="240" w:lineRule="auto"/>
              <w:ind w:firstLineChars="100" w:firstLine="160"/>
              <w:rPr>
                <w:rFonts w:ascii="Arial" w:hAnsi="Arial" w:cs="Arial"/>
                <w:sz w:val="16"/>
                <w:szCs w:val="16"/>
              </w:rPr>
            </w:pPr>
            <w:r w:rsidRPr="0086376A">
              <w:rPr>
                <w:rFonts w:ascii="Arial" w:hAnsi="Arial" w:cs="Arial"/>
                <w:sz w:val="16"/>
                <w:szCs w:val="16"/>
              </w:rPr>
              <w:t>Administered expenses</w:t>
            </w:r>
          </w:p>
        </w:tc>
        <w:tc>
          <w:tcPr>
            <w:tcW w:w="1017" w:type="dxa"/>
            <w:tcBorders>
              <w:top w:val="nil"/>
              <w:left w:val="nil"/>
              <w:bottom w:val="nil"/>
              <w:right w:val="nil"/>
            </w:tcBorders>
            <w:shd w:val="clear" w:color="auto" w:fill="auto"/>
            <w:noWrap/>
            <w:vAlign w:val="bottom"/>
            <w:hideMark/>
          </w:tcPr>
          <w:p w14:paraId="09280362" w14:textId="77777777" w:rsidR="0086376A" w:rsidRPr="0086376A" w:rsidRDefault="0086376A" w:rsidP="0086376A">
            <w:pPr>
              <w:spacing w:before="0" w:after="0" w:line="240" w:lineRule="auto"/>
              <w:ind w:firstLineChars="100" w:firstLine="160"/>
              <w:rPr>
                <w:rFonts w:ascii="Arial" w:hAnsi="Arial" w:cs="Arial"/>
                <w:sz w:val="16"/>
                <w:szCs w:val="16"/>
              </w:rPr>
            </w:pPr>
          </w:p>
        </w:tc>
        <w:tc>
          <w:tcPr>
            <w:tcW w:w="1017" w:type="dxa"/>
            <w:tcBorders>
              <w:top w:val="nil"/>
              <w:left w:val="nil"/>
              <w:bottom w:val="nil"/>
              <w:right w:val="nil"/>
            </w:tcBorders>
            <w:shd w:val="clear" w:color="000000" w:fill="D9D9D9"/>
            <w:noWrap/>
            <w:vAlign w:val="bottom"/>
            <w:hideMark/>
          </w:tcPr>
          <w:p w14:paraId="5F16732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17" w:type="dxa"/>
            <w:tcBorders>
              <w:top w:val="nil"/>
              <w:left w:val="nil"/>
              <w:bottom w:val="nil"/>
              <w:right w:val="nil"/>
            </w:tcBorders>
            <w:shd w:val="clear" w:color="auto" w:fill="auto"/>
            <w:noWrap/>
            <w:vAlign w:val="bottom"/>
            <w:hideMark/>
          </w:tcPr>
          <w:p w14:paraId="7B4DAED5" w14:textId="77777777" w:rsidR="0086376A" w:rsidRPr="0086376A" w:rsidRDefault="0086376A" w:rsidP="0086376A">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6E391CA2" w14:textId="77777777" w:rsidR="0086376A" w:rsidRPr="0086376A" w:rsidRDefault="0086376A" w:rsidP="0086376A">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00C6B6A"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5EDD0DC6" w14:textId="77777777" w:rsidTr="00641A36">
        <w:trPr>
          <w:trHeight w:val="425"/>
          <w:jc w:val="center"/>
        </w:trPr>
        <w:tc>
          <w:tcPr>
            <w:tcW w:w="2796" w:type="dxa"/>
            <w:tcBorders>
              <w:top w:val="nil"/>
              <w:left w:val="nil"/>
              <w:bottom w:val="nil"/>
              <w:right w:val="nil"/>
            </w:tcBorders>
            <w:shd w:val="clear" w:color="auto" w:fill="auto"/>
            <w:vAlign w:val="bottom"/>
            <w:hideMark/>
          </w:tcPr>
          <w:p w14:paraId="5DF2E7E3" w14:textId="77777777" w:rsidR="0086376A" w:rsidRPr="0086376A" w:rsidRDefault="0086376A" w:rsidP="009A3B36">
            <w:pPr>
              <w:spacing w:before="0" w:after="0" w:line="240" w:lineRule="auto"/>
              <w:ind w:leftChars="150" w:left="285"/>
              <w:rPr>
                <w:rFonts w:ascii="Arial" w:hAnsi="Arial" w:cs="Arial"/>
                <w:sz w:val="16"/>
                <w:szCs w:val="16"/>
              </w:rPr>
            </w:pPr>
            <w:r w:rsidRPr="0086376A">
              <w:rPr>
                <w:rFonts w:ascii="Arial" w:hAnsi="Arial" w:cs="Arial"/>
                <w:sz w:val="16"/>
                <w:szCs w:val="16"/>
              </w:rPr>
              <w:t xml:space="preserve">Ordinary annual services (Appropriation Act No. 1 and 3) </w:t>
            </w:r>
          </w:p>
        </w:tc>
        <w:tc>
          <w:tcPr>
            <w:tcW w:w="1017" w:type="dxa"/>
            <w:tcBorders>
              <w:top w:val="nil"/>
              <w:left w:val="nil"/>
              <w:bottom w:val="nil"/>
              <w:right w:val="nil"/>
            </w:tcBorders>
            <w:shd w:val="clear" w:color="auto" w:fill="auto"/>
            <w:noWrap/>
            <w:vAlign w:val="bottom"/>
            <w:hideMark/>
          </w:tcPr>
          <w:p w14:paraId="4AB6E01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962,702</w:t>
            </w:r>
          </w:p>
        </w:tc>
        <w:tc>
          <w:tcPr>
            <w:tcW w:w="1017" w:type="dxa"/>
            <w:tcBorders>
              <w:top w:val="nil"/>
              <w:left w:val="nil"/>
              <w:bottom w:val="nil"/>
              <w:right w:val="nil"/>
            </w:tcBorders>
            <w:shd w:val="clear" w:color="000000" w:fill="D9D9D9"/>
            <w:noWrap/>
            <w:vAlign w:val="bottom"/>
            <w:hideMark/>
          </w:tcPr>
          <w:p w14:paraId="64BF5FB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1,867,252</w:t>
            </w:r>
          </w:p>
        </w:tc>
        <w:tc>
          <w:tcPr>
            <w:tcW w:w="1017" w:type="dxa"/>
            <w:tcBorders>
              <w:top w:val="nil"/>
              <w:left w:val="nil"/>
              <w:bottom w:val="nil"/>
              <w:right w:val="nil"/>
            </w:tcBorders>
            <w:shd w:val="clear" w:color="auto" w:fill="auto"/>
            <w:noWrap/>
            <w:vAlign w:val="bottom"/>
            <w:hideMark/>
          </w:tcPr>
          <w:p w14:paraId="1CC6EFE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340,315</w:t>
            </w:r>
          </w:p>
        </w:tc>
        <w:tc>
          <w:tcPr>
            <w:tcW w:w="1017" w:type="dxa"/>
            <w:tcBorders>
              <w:top w:val="nil"/>
              <w:left w:val="nil"/>
              <w:bottom w:val="nil"/>
              <w:right w:val="nil"/>
            </w:tcBorders>
            <w:shd w:val="clear" w:color="auto" w:fill="auto"/>
            <w:noWrap/>
            <w:vAlign w:val="bottom"/>
            <w:hideMark/>
          </w:tcPr>
          <w:p w14:paraId="16ED57C4"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274,242</w:t>
            </w:r>
          </w:p>
        </w:tc>
        <w:tc>
          <w:tcPr>
            <w:tcW w:w="1017" w:type="dxa"/>
            <w:tcBorders>
              <w:top w:val="nil"/>
              <w:left w:val="nil"/>
              <w:bottom w:val="nil"/>
              <w:right w:val="nil"/>
            </w:tcBorders>
            <w:shd w:val="clear" w:color="auto" w:fill="auto"/>
            <w:noWrap/>
            <w:vAlign w:val="bottom"/>
            <w:hideMark/>
          </w:tcPr>
          <w:p w14:paraId="2A4CC98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262,172</w:t>
            </w:r>
          </w:p>
        </w:tc>
      </w:tr>
      <w:tr w:rsidR="0086376A" w:rsidRPr="0086376A" w14:paraId="170287DD" w14:textId="77777777" w:rsidTr="00641A36">
        <w:trPr>
          <w:trHeight w:val="283"/>
          <w:jc w:val="center"/>
        </w:trPr>
        <w:tc>
          <w:tcPr>
            <w:tcW w:w="2796" w:type="dxa"/>
            <w:tcBorders>
              <w:top w:val="nil"/>
              <w:left w:val="nil"/>
              <w:bottom w:val="nil"/>
              <w:right w:val="nil"/>
            </w:tcBorders>
            <w:shd w:val="clear" w:color="auto" w:fill="auto"/>
            <w:noWrap/>
            <w:vAlign w:val="bottom"/>
            <w:hideMark/>
          </w:tcPr>
          <w:p w14:paraId="61663FD1" w14:textId="77777777" w:rsidR="0086376A" w:rsidRPr="0086376A" w:rsidRDefault="0086376A" w:rsidP="0086376A">
            <w:pPr>
              <w:spacing w:before="0" w:after="0" w:line="240" w:lineRule="auto"/>
              <w:ind w:firstLineChars="100" w:firstLine="161"/>
              <w:rPr>
                <w:rFonts w:ascii="Arial" w:hAnsi="Arial" w:cs="Arial"/>
                <w:b/>
                <w:bCs/>
                <w:sz w:val="16"/>
                <w:szCs w:val="16"/>
              </w:rPr>
            </w:pPr>
            <w:r w:rsidRPr="0086376A">
              <w:rPr>
                <w:rFonts w:ascii="Arial" w:hAnsi="Arial" w:cs="Arial"/>
                <w:b/>
                <w:bCs/>
                <w:sz w:val="16"/>
                <w:szCs w:val="16"/>
              </w:rPr>
              <w:t>Total for Program 3.3</w:t>
            </w:r>
          </w:p>
        </w:tc>
        <w:tc>
          <w:tcPr>
            <w:tcW w:w="1017" w:type="dxa"/>
            <w:tcBorders>
              <w:top w:val="single" w:sz="4" w:space="0" w:color="auto"/>
              <w:left w:val="nil"/>
              <w:bottom w:val="single" w:sz="4" w:space="0" w:color="auto"/>
              <w:right w:val="nil"/>
            </w:tcBorders>
            <w:shd w:val="clear" w:color="auto" w:fill="auto"/>
            <w:noWrap/>
            <w:vAlign w:val="bottom"/>
            <w:hideMark/>
          </w:tcPr>
          <w:p w14:paraId="2AAB1B6E"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962,702</w:t>
            </w:r>
          </w:p>
        </w:tc>
        <w:tc>
          <w:tcPr>
            <w:tcW w:w="1017" w:type="dxa"/>
            <w:tcBorders>
              <w:top w:val="single" w:sz="4" w:space="0" w:color="auto"/>
              <w:left w:val="nil"/>
              <w:bottom w:val="single" w:sz="4" w:space="0" w:color="auto"/>
              <w:right w:val="nil"/>
            </w:tcBorders>
            <w:shd w:val="clear" w:color="000000" w:fill="D9D9D9"/>
            <w:noWrap/>
            <w:vAlign w:val="bottom"/>
            <w:hideMark/>
          </w:tcPr>
          <w:p w14:paraId="01481106"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1,867,252</w:t>
            </w:r>
          </w:p>
        </w:tc>
        <w:tc>
          <w:tcPr>
            <w:tcW w:w="1017" w:type="dxa"/>
            <w:tcBorders>
              <w:top w:val="single" w:sz="4" w:space="0" w:color="auto"/>
              <w:left w:val="nil"/>
              <w:bottom w:val="single" w:sz="4" w:space="0" w:color="auto"/>
              <w:right w:val="nil"/>
            </w:tcBorders>
            <w:shd w:val="clear" w:color="auto" w:fill="auto"/>
            <w:noWrap/>
            <w:vAlign w:val="bottom"/>
            <w:hideMark/>
          </w:tcPr>
          <w:p w14:paraId="44C1C049"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340,315</w:t>
            </w:r>
          </w:p>
        </w:tc>
        <w:tc>
          <w:tcPr>
            <w:tcW w:w="1017" w:type="dxa"/>
            <w:tcBorders>
              <w:top w:val="single" w:sz="4" w:space="0" w:color="auto"/>
              <w:left w:val="nil"/>
              <w:bottom w:val="single" w:sz="4" w:space="0" w:color="auto"/>
              <w:right w:val="nil"/>
            </w:tcBorders>
            <w:shd w:val="clear" w:color="auto" w:fill="auto"/>
            <w:noWrap/>
            <w:vAlign w:val="bottom"/>
            <w:hideMark/>
          </w:tcPr>
          <w:p w14:paraId="57FA97B2"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274,242</w:t>
            </w:r>
          </w:p>
        </w:tc>
        <w:tc>
          <w:tcPr>
            <w:tcW w:w="1017" w:type="dxa"/>
            <w:tcBorders>
              <w:top w:val="single" w:sz="4" w:space="0" w:color="auto"/>
              <w:left w:val="nil"/>
              <w:bottom w:val="single" w:sz="4" w:space="0" w:color="auto"/>
              <w:right w:val="nil"/>
            </w:tcBorders>
            <w:shd w:val="clear" w:color="auto" w:fill="auto"/>
            <w:noWrap/>
            <w:vAlign w:val="bottom"/>
            <w:hideMark/>
          </w:tcPr>
          <w:p w14:paraId="439A718A" w14:textId="77777777" w:rsidR="0086376A" w:rsidRPr="0086376A" w:rsidRDefault="0086376A" w:rsidP="0086376A">
            <w:pPr>
              <w:spacing w:before="0" w:after="0" w:line="240" w:lineRule="auto"/>
              <w:jc w:val="right"/>
              <w:rPr>
                <w:rFonts w:ascii="Arial" w:hAnsi="Arial" w:cs="Arial"/>
                <w:b/>
                <w:bCs/>
                <w:sz w:val="16"/>
                <w:szCs w:val="16"/>
              </w:rPr>
            </w:pPr>
            <w:r w:rsidRPr="0086376A">
              <w:rPr>
                <w:rFonts w:ascii="Arial" w:hAnsi="Arial" w:cs="Arial"/>
                <w:b/>
                <w:bCs/>
                <w:sz w:val="16"/>
                <w:szCs w:val="16"/>
              </w:rPr>
              <w:t>262,172</w:t>
            </w:r>
          </w:p>
        </w:tc>
      </w:tr>
      <w:tr w:rsidR="0086376A" w:rsidRPr="0086376A" w14:paraId="20920A6E" w14:textId="77777777" w:rsidTr="00641A36">
        <w:trPr>
          <w:trHeight w:val="283"/>
          <w:jc w:val="center"/>
        </w:trPr>
        <w:tc>
          <w:tcPr>
            <w:tcW w:w="3813" w:type="dxa"/>
            <w:gridSpan w:val="2"/>
            <w:tcBorders>
              <w:top w:val="nil"/>
              <w:left w:val="nil"/>
              <w:bottom w:val="nil"/>
              <w:right w:val="nil"/>
            </w:tcBorders>
            <w:shd w:val="clear" w:color="auto" w:fill="auto"/>
            <w:noWrap/>
            <w:vAlign w:val="bottom"/>
            <w:hideMark/>
          </w:tcPr>
          <w:p w14:paraId="5722DCC3" w14:textId="77777777" w:rsidR="0086376A" w:rsidRPr="0086376A" w:rsidRDefault="0086376A" w:rsidP="0086376A">
            <w:pPr>
              <w:spacing w:before="0" w:after="0" w:line="240" w:lineRule="auto"/>
              <w:rPr>
                <w:rFonts w:ascii="Arial" w:hAnsi="Arial" w:cs="Arial"/>
                <w:b/>
                <w:bCs/>
                <w:sz w:val="16"/>
                <w:szCs w:val="16"/>
              </w:rPr>
            </w:pPr>
            <w:r w:rsidRPr="0086376A">
              <w:rPr>
                <w:rFonts w:ascii="Arial" w:hAnsi="Arial" w:cs="Arial"/>
                <w:b/>
                <w:bCs/>
                <w:sz w:val="16"/>
                <w:szCs w:val="16"/>
              </w:rPr>
              <w:t>Outcome 3 totals by appropriation type</w:t>
            </w:r>
          </w:p>
        </w:tc>
        <w:tc>
          <w:tcPr>
            <w:tcW w:w="1017" w:type="dxa"/>
            <w:tcBorders>
              <w:top w:val="nil"/>
              <w:left w:val="nil"/>
              <w:bottom w:val="nil"/>
              <w:right w:val="nil"/>
            </w:tcBorders>
            <w:shd w:val="clear" w:color="auto" w:fill="auto"/>
            <w:noWrap/>
            <w:vAlign w:val="bottom"/>
            <w:hideMark/>
          </w:tcPr>
          <w:p w14:paraId="6F7BF682" w14:textId="77777777" w:rsidR="0086376A" w:rsidRPr="0086376A" w:rsidRDefault="0086376A" w:rsidP="0086376A">
            <w:pPr>
              <w:spacing w:before="0" w:after="0" w:line="240" w:lineRule="auto"/>
              <w:rPr>
                <w:rFonts w:ascii="Arial" w:hAnsi="Arial" w:cs="Arial"/>
                <w:b/>
                <w:bCs/>
                <w:sz w:val="16"/>
                <w:szCs w:val="16"/>
              </w:rPr>
            </w:pPr>
          </w:p>
        </w:tc>
        <w:tc>
          <w:tcPr>
            <w:tcW w:w="1017" w:type="dxa"/>
            <w:tcBorders>
              <w:top w:val="nil"/>
              <w:left w:val="nil"/>
              <w:bottom w:val="nil"/>
              <w:right w:val="nil"/>
            </w:tcBorders>
            <w:shd w:val="clear" w:color="auto" w:fill="auto"/>
            <w:noWrap/>
            <w:vAlign w:val="bottom"/>
            <w:hideMark/>
          </w:tcPr>
          <w:p w14:paraId="01ACD8FC" w14:textId="77777777" w:rsidR="0086376A" w:rsidRPr="0086376A" w:rsidRDefault="0086376A" w:rsidP="0086376A">
            <w:pPr>
              <w:spacing w:before="0" w:after="0" w:line="240" w:lineRule="auto"/>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5F0CE37B" w14:textId="77777777" w:rsidR="0086376A" w:rsidRPr="0086376A" w:rsidRDefault="0086376A" w:rsidP="0086376A">
            <w:pPr>
              <w:spacing w:before="0" w:after="0" w:line="240" w:lineRule="auto"/>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0C7FDEC6" w14:textId="77777777" w:rsidR="0086376A" w:rsidRPr="0086376A" w:rsidRDefault="0086376A" w:rsidP="0086376A">
            <w:pPr>
              <w:spacing w:before="0" w:after="0" w:line="240" w:lineRule="auto"/>
              <w:rPr>
                <w:rFonts w:ascii="Times New Roman" w:hAnsi="Times New Roman"/>
                <w:sz w:val="20"/>
              </w:rPr>
            </w:pPr>
          </w:p>
        </w:tc>
      </w:tr>
      <w:tr w:rsidR="0086376A" w:rsidRPr="0086376A" w14:paraId="16AFF8CA" w14:textId="77777777" w:rsidTr="00641A36">
        <w:trPr>
          <w:trHeight w:val="283"/>
          <w:jc w:val="center"/>
        </w:trPr>
        <w:tc>
          <w:tcPr>
            <w:tcW w:w="2796" w:type="dxa"/>
            <w:tcBorders>
              <w:top w:val="nil"/>
              <w:left w:val="nil"/>
              <w:bottom w:val="nil"/>
              <w:right w:val="nil"/>
            </w:tcBorders>
            <w:shd w:val="clear" w:color="auto" w:fill="auto"/>
            <w:noWrap/>
            <w:vAlign w:val="bottom"/>
            <w:hideMark/>
          </w:tcPr>
          <w:p w14:paraId="1DA6CFCA" w14:textId="77777777" w:rsidR="0086376A" w:rsidRPr="0086376A" w:rsidRDefault="0086376A" w:rsidP="0086376A">
            <w:pPr>
              <w:spacing w:before="0" w:after="0" w:line="240" w:lineRule="auto"/>
              <w:ind w:firstLineChars="100" w:firstLine="160"/>
              <w:rPr>
                <w:rFonts w:ascii="Arial" w:hAnsi="Arial" w:cs="Arial"/>
                <w:sz w:val="16"/>
                <w:szCs w:val="16"/>
              </w:rPr>
            </w:pPr>
            <w:r w:rsidRPr="0086376A">
              <w:rPr>
                <w:rFonts w:ascii="Arial" w:hAnsi="Arial" w:cs="Arial"/>
                <w:sz w:val="16"/>
                <w:szCs w:val="16"/>
              </w:rPr>
              <w:t>Administered expenses</w:t>
            </w:r>
          </w:p>
        </w:tc>
        <w:tc>
          <w:tcPr>
            <w:tcW w:w="1017" w:type="dxa"/>
            <w:tcBorders>
              <w:top w:val="nil"/>
              <w:left w:val="nil"/>
              <w:bottom w:val="nil"/>
              <w:right w:val="nil"/>
            </w:tcBorders>
            <w:shd w:val="clear" w:color="auto" w:fill="auto"/>
            <w:noWrap/>
            <w:vAlign w:val="bottom"/>
            <w:hideMark/>
          </w:tcPr>
          <w:p w14:paraId="237E4A35" w14:textId="77777777" w:rsidR="0086376A" w:rsidRPr="0086376A" w:rsidRDefault="0086376A" w:rsidP="0086376A">
            <w:pPr>
              <w:spacing w:before="0" w:after="0" w:line="240" w:lineRule="auto"/>
              <w:ind w:firstLineChars="100" w:firstLine="160"/>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3EF19438" w14:textId="77777777" w:rsidR="0086376A" w:rsidRPr="0086376A" w:rsidRDefault="0086376A" w:rsidP="0086376A">
            <w:pPr>
              <w:spacing w:before="0" w:after="0" w:line="240" w:lineRule="auto"/>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54CFEE53" w14:textId="77777777" w:rsidR="0086376A" w:rsidRPr="0086376A" w:rsidRDefault="0086376A" w:rsidP="0086376A">
            <w:pPr>
              <w:spacing w:before="0" w:after="0" w:line="240" w:lineRule="auto"/>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47F6D904" w14:textId="77777777" w:rsidR="0086376A" w:rsidRPr="0086376A" w:rsidRDefault="0086376A" w:rsidP="0086376A">
            <w:pPr>
              <w:spacing w:before="0" w:after="0" w:line="240" w:lineRule="auto"/>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63F059C0" w14:textId="77777777" w:rsidR="0086376A" w:rsidRPr="0086376A" w:rsidRDefault="0086376A" w:rsidP="0086376A">
            <w:pPr>
              <w:spacing w:before="0" w:after="0" w:line="240" w:lineRule="auto"/>
              <w:rPr>
                <w:rFonts w:ascii="Times New Roman" w:hAnsi="Times New Roman"/>
                <w:sz w:val="20"/>
              </w:rPr>
            </w:pPr>
          </w:p>
        </w:tc>
      </w:tr>
      <w:tr w:rsidR="0086376A" w:rsidRPr="0086376A" w14:paraId="6F6B61CC" w14:textId="77777777" w:rsidTr="00641A36">
        <w:trPr>
          <w:trHeight w:val="227"/>
          <w:jc w:val="center"/>
        </w:trPr>
        <w:tc>
          <w:tcPr>
            <w:tcW w:w="2796" w:type="dxa"/>
            <w:tcBorders>
              <w:top w:val="nil"/>
              <w:left w:val="nil"/>
              <w:bottom w:val="nil"/>
              <w:right w:val="nil"/>
            </w:tcBorders>
            <w:shd w:val="clear" w:color="auto" w:fill="auto"/>
            <w:noWrap/>
            <w:vAlign w:val="bottom"/>
            <w:hideMark/>
          </w:tcPr>
          <w:p w14:paraId="77E80F48" w14:textId="45763B18" w:rsidR="0086376A" w:rsidRPr="0086376A" w:rsidRDefault="0086376A" w:rsidP="00947B83">
            <w:pPr>
              <w:spacing w:before="0" w:after="0" w:line="240" w:lineRule="auto"/>
              <w:ind w:leftChars="150" w:left="285"/>
              <w:rPr>
                <w:rFonts w:ascii="Arial" w:hAnsi="Arial" w:cs="Arial"/>
                <w:sz w:val="16"/>
                <w:szCs w:val="16"/>
              </w:rPr>
            </w:pPr>
            <w:r w:rsidRPr="0086376A">
              <w:rPr>
                <w:rFonts w:ascii="Arial" w:hAnsi="Arial" w:cs="Arial"/>
                <w:sz w:val="16"/>
                <w:szCs w:val="16"/>
              </w:rPr>
              <w:t>Ordinary annual services</w:t>
            </w:r>
          </w:p>
        </w:tc>
        <w:tc>
          <w:tcPr>
            <w:tcW w:w="1017" w:type="dxa"/>
            <w:tcBorders>
              <w:top w:val="nil"/>
              <w:left w:val="nil"/>
              <w:bottom w:val="nil"/>
              <w:right w:val="nil"/>
            </w:tcBorders>
            <w:shd w:val="clear" w:color="auto" w:fill="auto"/>
            <w:noWrap/>
            <w:vAlign w:val="bottom"/>
            <w:hideMark/>
          </w:tcPr>
          <w:p w14:paraId="1C9F3C5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5,275,281</w:t>
            </w:r>
          </w:p>
        </w:tc>
        <w:tc>
          <w:tcPr>
            <w:tcW w:w="1017" w:type="dxa"/>
            <w:tcBorders>
              <w:top w:val="nil"/>
              <w:left w:val="nil"/>
              <w:bottom w:val="nil"/>
              <w:right w:val="nil"/>
            </w:tcBorders>
            <w:shd w:val="clear" w:color="000000" w:fill="D9D9D9"/>
            <w:noWrap/>
            <w:vAlign w:val="bottom"/>
            <w:hideMark/>
          </w:tcPr>
          <w:p w14:paraId="23D985FB"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6,660,991</w:t>
            </w:r>
          </w:p>
        </w:tc>
        <w:tc>
          <w:tcPr>
            <w:tcW w:w="1017" w:type="dxa"/>
            <w:tcBorders>
              <w:top w:val="nil"/>
              <w:left w:val="nil"/>
              <w:bottom w:val="nil"/>
              <w:right w:val="nil"/>
            </w:tcBorders>
            <w:shd w:val="clear" w:color="auto" w:fill="auto"/>
            <w:noWrap/>
            <w:vAlign w:val="bottom"/>
            <w:hideMark/>
          </w:tcPr>
          <w:p w14:paraId="6AF5BB82"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5,417,295</w:t>
            </w:r>
          </w:p>
        </w:tc>
        <w:tc>
          <w:tcPr>
            <w:tcW w:w="1017" w:type="dxa"/>
            <w:tcBorders>
              <w:top w:val="nil"/>
              <w:left w:val="nil"/>
              <w:bottom w:val="nil"/>
              <w:right w:val="nil"/>
            </w:tcBorders>
            <w:shd w:val="clear" w:color="auto" w:fill="auto"/>
            <w:noWrap/>
            <w:vAlign w:val="bottom"/>
            <w:hideMark/>
          </w:tcPr>
          <w:p w14:paraId="70275572"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5,517,891</w:t>
            </w:r>
          </w:p>
        </w:tc>
        <w:tc>
          <w:tcPr>
            <w:tcW w:w="1017" w:type="dxa"/>
            <w:tcBorders>
              <w:top w:val="nil"/>
              <w:left w:val="nil"/>
              <w:bottom w:val="nil"/>
              <w:right w:val="nil"/>
            </w:tcBorders>
            <w:shd w:val="clear" w:color="auto" w:fill="auto"/>
            <w:noWrap/>
            <w:vAlign w:val="bottom"/>
            <w:hideMark/>
          </w:tcPr>
          <w:p w14:paraId="3005F3E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5,660,249</w:t>
            </w:r>
          </w:p>
        </w:tc>
      </w:tr>
      <w:tr w:rsidR="0086376A" w:rsidRPr="0086376A" w14:paraId="779A0FCD" w14:textId="77777777" w:rsidTr="00641A36">
        <w:trPr>
          <w:trHeight w:val="225"/>
          <w:jc w:val="center"/>
        </w:trPr>
        <w:tc>
          <w:tcPr>
            <w:tcW w:w="2796" w:type="dxa"/>
            <w:tcBorders>
              <w:top w:val="nil"/>
              <w:left w:val="nil"/>
              <w:bottom w:val="nil"/>
              <w:right w:val="nil"/>
            </w:tcBorders>
            <w:shd w:val="clear" w:color="auto" w:fill="auto"/>
            <w:noWrap/>
            <w:vAlign w:val="bottom"/>
            <w:hideMark/>
          </w:tcPr>
          <w:p w14:paraId="0593D0BD" w14:textId="3F2A1C6F" w:rsidR="0086376A" w:rsidRPr="0086376A" w:rsidRDefault="00947B83" w:rsidP="0086376A">
            <w:pPr>
              <w:spacing w:before="0" w:after="0" w:line="240" w:lineRule="auto"/>
              <w:ind w:firstLineChars="300" w:firstLine="480"/>
              <w:rPr>
                <w:rFonts w:ascii="Arial" w:hAnsi="Arial" w:cs="Arial"/>
                <w:sz w:val="16"/>
                <w:szCs w:val="16"/>
              </w:rPr>
            </w:pPr>
            <w:r>
              <w:rPr>
                <w:rFonts w:ascii="Arial" w:hAnsi="Arial" w:cs="Arial"/>
                <w:sz w:val="16"/>
                <w:szCs w:val="16"/>
              </w:rPr>
              <w:t>- expense adjustment</w:t>
            </w:r>
            <w:r w:rsidR="00BF5B46">
              <w:rPr>
                <w:rFonts w:ascii="Arial" w:hAnsi="Arial" w:cs="Arial"/>
                <w:sz w:val="16"/>
                <w:szCs w:val="16"/>
                <w:vertAlign w:val="superscript"/>
              </w:rPr>
              <w:t>(a</w:t>
            </w:r>
            <w:r w:rsidR="0086376A" w:rsidRPr="0086376A">
              <w:rPr>
                <w:rFonts w:ascii="Arial" w:hAnsi="Arial" w:cs="Arial"/>
                <w:sz w:val="16"/>
                <w:szCs w:val="16"/>
                <w:vertAlign w:val="superscript"/>
              </w:rPr>
              <w:t>)</w:t>
            </w:r>
          </w:p>
        </w:tc>
        <w:tc>
          <w:tcPr>
            <w:tcW w:w="1017" w:type="dxa"/>
            <w:tcBorders>
              <w:top w:val="nil"/>
              <w:left w:val="nil"/>
              <w:bottom w:val="nil"/>
              <w:right w:val="nil"/>
            </w:tcBorders>
            <w:shd w:val="clear" w:color="auto" w:fill="auto"/>
            <w:noWrap/>
            <w:vAlign w:val="bottom"/>
            <w:hideMark/>
          </w:tcPr>
          <w:p w14:paraId="12BB9F6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1,342</w:t>
            </w:r>
          </w:p>
        </w:tc>
        <w:tc>
          <w:tcPr>
            <w:tcW w:w="1017" w:type="dxa"/>
            <w:tcBorders>
              <w:top w:val="nil"/>
              <w:left w:val="nil"/>
              <w:bottom w:val="nil"/>
              <w:right w:val="nil"/>
            </w:tcBorders>
            <w:shd w:val="clear" w:color="000000" w:fill="D9D9D9"/>
            <w:noWrap/>
            <w:vAlign w:val="bottom"/>
            <w:hideMark/>
          </w:tcPr>
          <w:p w14:paraId="42DFFE5A"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(2,268)</w:t>
            </w:r>
          </w:p>
        </w:tc>
        <w:tc>
          <w:tcPr>
            <w:tcW w:w="1017" w:type="dxa"/>
            <w:tcBorders>
              <w:top w:val="nil"/>
              <w:left w:val="nil"/>
              <w:bottom w:val="nil"/>
              <w:right w:val="nil"/>
            </w:tcBorders>
            <w:shd w:val="clear" w:color="auto" w:fill="auto"/>
            <w:noWrap/>
            <w:vAlign w:val="bottom"/>
            <w:hideMark/>
          </w:tcPr>
          <w:p w14:paraId="262D8FC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3CF25B6D"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38AA4807"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78348942" w14:textId="77777777" w:rsidTr="00641A36">
        <w:trPr>
          <w:trHeight w:val="225"/>
          <w:jc w:val="center"/>
        </w:trPr>
        <w:tc>
          <w:tcPr>
            <w:tcW w:w="2796" w:type="dxa"/>
            <w:tcBorders>
              <w:top w:val="nil"/>
              <w:left w:val="nil"/>
              <w:bottom w:val="nil"/>
              <w:right w:val="nil"/>
            </w:tcBorders>
            <w:shd w:val="clear" w:color="auto" w:fill="auto"/>
            <w:noWrap/>
            <w:vAlign w:val="bottom"/>
            <w:hideMark/>
          </w:tcPr>
          <w:p w14:paraId="6C5D34D0" w14:textId="77777777" w:rsidR="0086376A" w:rsidRPr="0086376A" w:rsidRDefault="0086376A" w:rsidP="009A3B36">
            <w:pPr>
              <w:spacing w:before="0" w:after="0" w:line="240" w:lineRule="auto"/>
              <w:ind w:leftChars="150" w:left="285"/>
              <w:rPr>
                <w:rFonts w:ascii="Arial" w:hAnsi="Arial" w:cs="Arial"/>
                <w:sz w:val="16"/>
                <w:szCs w:val="16"/>
              </w:rPr>
            </w:pPr>
            <w:r w:rsidRPr="0086376A">
              <w:rPr>
                <w:rFonts w:ascii="Arial" w:hAnsi="Arial" w:cs="Arial"/>
                <w:sz w:val="16"/>
                <w:szCs w:val="16"/>
              </w:rPr>
              <w:t>Other services</w:t>
            </w:r>
          </w:p>
        </w:tc>
        <w:tc>
          <w:tcPr>
            <w:tcW w:w="1017" w:type="dxa"/>
            <w:tcBorders>
              <w:top w:val="nil"/>
              <w:left w:val="nil"/>
              <w:bottom w:val="nil"/>
              <w:right w:val="nil"/>
            </w:tcBorders>
            <w:shd w:val="clear" w:color="auto" w:fill="auto"/>
            <w:noWrap/>
            <w:vAlign w:val="bottom"/>
            <w:hideMark/>
          </w:tcPr>
          <w:p w14:paraId="4EC00DD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000000" w:fill="D9D9D9"/>
            <w:noWrap/>
            <w:vAlign w:val="bottom"/>
            <w:hideMark/>
          </w:tcPr>
          <w:p w14:paraId="38DEE75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5A5CC07A"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3350EF0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42EF7A5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52157C77" w14:textId="77777777" w:rsidTr="00641A36">
        <w:trPr>
          <w:trHeight w:val="225"/>
          <w:jc w:val="center"/>
        </w:trPr>
        <w:tc>
          <w:tcPr>
            <w:tcW w:w="2796" w:type="dxa"/>
            <w:tcBorders>
              <w:top w:val="nil"/>
              <w:left w:val="nil"/>
              <w:bottom w:val="nil"/>
              <w:right w:val="nil"/>
            </w:tcBorders>
            <w:shd w:val="clear" w:color="auto" w:fill="auto"/>
            <w:noWrap/>
            <w:vAlign w:val="bottom"/>
            <w:hideMark/>
          </w:tcPr>
          <w:p w14:paraId="12829148" w14:textId="5DBC136F" w:rsidR="0086376A" w:rsidRPr="0086376A" w:rsidRDefault="0086376A" w:rsidP="00947B83">
            <w:pPr>
              <w:spacing w:before="0" w:after="0" w:line="240" w:lineRule="auto"/>
              <w:ind w:firstLineChars="300" w:firstLine="480"/>
              <w:rPr>
                <w:rFonts w:ascii="Arial" w:hAnsi="Arial" w:cs="Arial"/>
                <w:sz w:val="16"/>
                <w:szCs w:val="16"/>
              </w:rPr>
            </w:pPr>
            <w:r w:rsidRPr="0086376A">
              <w:rPr>
                <w:rFonts w:ascii="Arial" w:hAnsi="Arial" w:cs="Arial"/>
                <w:sz w:val="16"/>
                <w:szCs w:val="16"/>
              </w:rPr>
              <w:t>- expense adjustment</w:t>
            </w:r>
            <w:r w:rsidR="00BF5B46">
              <w:rPr>
                <w:rFonts w:ascii="Arial" w:hAnsi="Arial" w:cs="Arial"/>
                <w:sz w:val="16"/>
                <w:szCs w:val="16"/>
                <w:vertAlign w:val="superscript"/>
              </w:rPr>
              <w:t>(b</w:t>
            </w:r>
            <w:r w:rsidRPr="0086376A">
              <w:rPr>
                <w:rFonts w:ascii="Arial" w:hAnsi="Arial" w:cs="Arial"/>
                <w:sz w:val="16"/>
                <w:szCs w:val="16"/>
                <w:vertAlign w:val="superscript"/>
              </w:rPr>
              <w:t>)</w:t>
            </w:r>
          </w:p>
        </w:tc>
        <w:tc>
          <w:tcPr>
            <w:tcW w:w="1017" w:type="dxa"/>
            <w:tcBorders>
              <w:top w:val="nil"/>
              <w:left w:val="nil"/>
              <w:bottom w:val="nil"/>
              <w:right w:val="nil"/>
            </w:tcBorders>
            <w:shd w:val="clear" w:color="auto" w:fill="auto"/>
            <w:noWrap/>
            <w:vAlign w:val="bottom"/>
            <w:hideMark/>
          </w:tcPr>
          <w:p w14:paraId="360C24A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000000" w:fill="D9D9D9"/>
            <w:noWrap/>
            <w:vAlign w:val="bottom"/>
            <w:hideMark/>
          </w:tcPr>
          <w:p w14:paraId="0AE664D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531</w:t>
            </w:r>
          </w:p>
        </w:tc>
        <w:tc>
          <w:tcPr>
            <w:tcW w:w="1017" w:type="dxa"/>
            <w:tcBorders>
              <w:top w:val="nil"/>
              <w:left w:val="nil"/>
              <w:bottom w:val="nil"/>
              <w:right w:val="nil"/>
            </w:tcBorders>
            <w:shd w:val="clear" w:color="auto" w:fill="auto"/>
            <w:noWrap/>
            <w:vAlign w:val="bottom"/>
            <w:hideMark/>
          </w:tcPr>
          <w:p w14:paraId="43B888D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1965908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c>
          <w:tcPr>
            <w:tcW w:w="1017" w:type="dxa"/>
            <w:tcBorders>
              <w:top w:val="nil"/>
              <w:left w:val="nil"/>
              <w:bottom w:val="nil"/>
              <w:right w:val="nil"/>
            </w:tcBorders>
            <w:shd w:val="clear" w:color="auto" w:fill="auto"/>
            <w:noWrap/>
            <w:vAlign w:val="bottom"/>
            <w:hideMark/>
          </w:tcPr>
          <w:p w14:paraId="6866FD6F"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w:t>
            </w:r>
          </w:p>
        </w:tc>
      </w:tr>
      <w:tr w:rsidR="0086376A" w:rsidRPr="0086376A" w14:paraId="3266FB4F" w14:textId="77777777" w:rsidTr="00641A36">
        <w:trPr>
          <w:trHeight w:val="225"/>
          <w:jc w:val="center"/>
        </w:trPr>
        <w:tc>
          <w:tcPr>
            <w:tcW w:w="2796" w:type="dxa"/>
            <w:tcBorders>
              <w:top w:val="nil"/>
              <w:left w:val="nil"/>
              <w:bottom w:val="nil"/>
              <w:right w:val="nil"/>
            </w:tcBorders>
            <w:shd w:val="clear" w:color="auto" w:fill="auto"/>
            <w:noWrap/>
            <w:vAlign w:val="bottom"/>
            <w:hideMark/>
          </w:tcPr>
          <w:p w14:paraId="1D54C5B6" w14:textId="77777777" w:rsidR="0086376A" w:rsidRPr="0086376A" w:rsidRDefault="0086376A" w:rsidP="009A3B36">
            <w:pPr>
              <w:spacing w:before="0" w:after="0" w:line="240" w:lineRule="auto"/>
              <w:ind w:leftChars="150" w:left="285"/>
              <w:rPr>
                <w:rFonts w:ascii="Arial" w:hAnsi="Arial" w:cs="Arial"/>
                <w:sz w:val="16"/>
                <w:szCs w:val="16"/>
              </w:rPr>
            </w:pPr>
            <w:r w:rsidRPr="0086376A">
              <w:rPr>
                <w:rFonts w:ascii="Arial" w:hAnsi="Arial" w:cs="Arial"/>
                <w:sz w:val="16"/>
                <w:szCs w:val="16"/>
              </w:rPr>
              <w:t>Special appropriations</w:t>
            </w:r>
          </w:p>
        </w:tc>
        <w:tc>
          <w:tcPr>
            <w:tcW w:w="1017" w:type="dxa"/>
            <w:tcBorders>
              <w:top w:val="nil"/>
              <w:left w:val="nil"/>
              <w:bottom w:val="nil"/>
              <w:right w:val="nil"/>
            </w:tcBorders>
            <w:shd w:val="clear" w:color="auto" w:fill="auto"/>
            <w:noWrap/>
            <w:vAlign w:val="bottom"/>
            <w:hideMark/>
          </w:tcPr>
          <w:p w14:paraId="5831A0D8"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21,820,693</w:t>
            </w:r>
          </w:p>
        </w:tc>
        <w:tc>
          <w:tcPr>
            <w:tcW w:w="1017" w:type="dxa"/>
            <w:tcBorders>
              <w:top w:val="nil"/>
              <w:left w:val="nil"/>
              <w:bottom w:val="nil"/>
              <w:right w:val="nil"/>
            </w:tcBorders>
            <w:shd w:val="clear" w:color="000000" w:fill="D9D9D9"/>
            <w:noWrap/>
            <w:vAlign w:val="bottom"/>
            <w:hideMark/>
          </w:tcPr>
          <w:p w14:paraId="02F4747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27,960,941</w:t>
            </w:r>
          </w:p>
        </w:tc>
        <w:tc>
          <w:tcPr>
            <w:tcW w:w="1017" w:type="dxa"/>
            <w:tcBorders>
              <w:top w:val="nil"/>
              <w:left w:val="nil"/>
              <w:bottom w:val="nil"/>
              <w:right w:val="nil"/>
            </w:tcBorders>
            <w:shd w:val="clear" w:color="auto" w:fill="auto"/>
            <w:noWrap/>
            <w:vAlign w:val="bottom"/>
            <w:hideMark/>
          </w:tcPr>
          <w:p w14:paraId="77256FB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31,038,947</w:t>
            </w:r>
          </w:p>
        </w:tc>
        <w:tc>
          <w:tcPr>
            <w:tcW w:w="1017" w:type="dxa"/>
            <w:tcBorders>
              <w:top w:val="nil"/>
              <w:left w:val="nil"/>
              <w:bottom w:val="nil"/>
              <w:right w:val="nil"/>
            </w:tcBorders>
            <w:shd w:val="clear" w:color="auto" w:fill="auto"/>
            <w:noWrap/>
            <w:vAlign w:val="bottom"/>
            <w:hideMark/>
          </w:tcPr>
          <w:p w14:paraId="723CBCCA"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33,147,278</w:t>
            </w:r>
          </w:p>
        </w:tc>
        <w:tc>
          <w:tcPr>
            <w:tcW w:w="1017" w:type="dxa"/>
            <w:tcBorders>
              <w:top w:val="nil"/>
              <w:left w:val="nil"/>
              <w:bottom w:val="nil"/>
              <w:right w:val="nil"/>
            </w:tcBorders>
            <w:shd w:val="clear" w:color="auto" w:fill="auto"/>
            <w:noWrap/>
            <w:vAlign w:val="bottom"/>
            <w:hideMark/>
          </w:tcPr>
          <w:p w14:paraId="1F239063"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35,020,738</w:t>
            </w:r>
          </w:p>
        </w:tc>
      </w:tr>
      <w:tr w:rsidR="0086376A" w:rsidRPr="0086376A" w14:paraId="1619AC38" w14:textId="77777777" w:rsidTr="00641A36">
        <w:trPr>
          <w:trHeight w:val="283"/>
          <w:jc w:val="center"/>
        </w:trPr>
        <w:tc>
          <w:tcPr>
            <w:tcW w:w="2796" w:type="dxa"/>
            <w:tcBorders>
              <w:top w:val="nil"/>
              <w:left w:val="nil"/>
              <w:bottom w:val="nil"/>
              <w:right w:val="nil"/>
            </w:tcBorders>
            <w:shd w:val="clear" w:color="auto" w:fill="auto"/>
            <w:noWrap/>
            <w:vAlign w:val="bottom"/>
            <w:hideMark/>
          </w:tcPr>
          <w:p w14:paraId="33C3DB45" w14:textId="77777777" w:rsidR="0086376A" w:rsidRPr="0086376A" w:rsidRDefault="0086376A" w:rsidP="0086376A">
            <w:pPr>
              <w:spacing w:before="0" w:after="0" w:line="240" w:lineRule="auto"/>
              <w:ind w:firstLineChars="100" w:firstLine="160"/>
              <w:rPr>
                <w:rFonts w:ascii="Arial" w:hAnsi="Arial" w:cs="Arial"/>
                <w:sz w:val="16"/>
                <w:szCs w:val="16"/>
              </w:rPr>
            </w:pPr>
            <w:r w:rsidRPr="0086376A">
              <w:rPr>
                <w:rFonts w:ascii="Arial" w:hAnsi="Arial" w:cs="Arial"/>
                <w:sz w:val="16"/>
                <w:szCs w:val="16"/>
              </w:rPr>
              <w:t>Departmental expenses</w:t>
            </w:r>
          </w:p>
        </w:tc>
        <w:tc>
          <w:tcPr>
            <w:tcW w:w="1017" w:type="dxa"/>
            <w:tcBorders>
              <w:top w:val="nil"/>
              <w:left w:val="nil"/>
              <w:bottom w:val="nil"/>
              <w:right w:val="nil"/>
            </w:tcBorders>
            <w:shd w:val="clear" w:color="auto" w:fill="auto"/>
            <w:noWrap/>
            <w:vAlign w:val="bottom"/>
            <w:hideMark/>
          </w:tcPr>
          <w:p w14:paraId="7BBFAA2C" w14:textId="77777777" w:rsidR="0086376A" w:rsidRPr="0086376A" w:rsidRDefault="0086376A" w:rsidP="0086376A">
            <w:pPr>
              <w:spacing w:before="0" w:after="0" w:line="240" w:lineRule="auto"/>
              <w:ind w:firstLineChars="100" w:firstLine="160"/>
              <w:rPr>
                <w:rFonts w:ascii="Arial" w:hAnsi="Arial" w:cs="Arial"/>
                <w:sz w:val="16"/>
                <w:szCs w:val="16"/>
              </w:rPr>
            </w:pPr>
          </w:p>
        </w:tc>
        <w:tc>
          <w:tcPr>
            <w:tcW w:w="1017" w:type="dxa"/>
            <w:tcBorders>
              <w:top w:val="nil"/>
              <w:left w:val="nil"/>
              <w:bottom w:val="nil"/>
              <w:right w:val="nil"/>
            </w:tcBorders>
            <w:shd w:val="clear" w:color="000000" w:fill="D9D9D9"/>
            <w:noWrap/>
            <w:vAlign w:val="bottom"/>
            <w:hideMark/>
          </w:tcPr>
          <w:p w14:paraId="02F05E76"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 </w:t>
            </w:r>
          </w:p>
        </w:tc>
        <w:tc>
          <w:tcPr>
            <w:tcW w:w="1017" w:type="dxa"/>
            <w:tcBorders>
              <w:top w:val="nil"/>
              <w:left w:val="nil"/>
              <w:bottom w:val="nil"/>
              <w:right w:val="nil"/>
            </w:tcBorders>
            <w:shd w:val="clear" w:color="auto" w:fill="auto"/>
            <w:noWrap/>
            <w:vAlign w:val="bottom"/>
            <w:hideMark/>
          </w:tcPr>
          <w:p w14:paraId="5A648DBD" w14:textId="77777777" w:rsidR="0086376A" w:rsidRPr="0086376A" w:rsidRDefault="0086376A" w:rsidP="0086376A">
            <w:pPr>
              <w:spacing w:before="0" w:after="0" w:line="240" w:lineRule="auto"/>
              <w:jc w:val="right"/>
              <w:rPr>
                <w:rFonts w:ascii="Arial" w:hAnsi="Arial" w:cs="Arial"/>
                <w:sz w:val="16"/>
                <w:szCs w:val="16"/>
              </w:rPr>
            </w:pPr>
          </w:p>
        </w:tc>
        <w:tc>
          <w:tcPr>
            <w:tcW w:w="1017" w:type="dxa"/>
            <w:tcBorders>
              <w:top w:val="nil"/>
              <w:left w:val="nil"/>
              <w:bottom w:val="nil"/>
              <w:right w:val="nil"/>
            </w:tcBorders>
            <w:shd w:val="clear" w:color="auto" w:fill="auto"/>
            <w:noWrap/>
            <w:vAlign w:val="bottom"/>
            <w:hideMark/>
          </w:tcPr>
          <w:p w14:paraId="5E9E6054" w14:textId="77777777" w:rsidR="0086376A" w:rsidRPr="0086376A" w:rsidRDefault="0086376A" w:rsidP="0086376A">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7CE27118" w14:textId="77777777" w:rsidR="0086376A" w:rsidRPr="0086376A" w:rsidRDefault="0086376A" w:rsidP="0086376A">
            <w:pPr>
              <w:spacing w:before="0" w:after="0" w:line="240" w:lineRule="auto"/>
              <w:jc w:val="right"/>
              <w:rPr>
                <w:rFonts w:ascii="Times New Roman" w:hAnsi="Times New Roman"/>
                <w:sz w:val="20"/>
              </w:rPr>
            </w:pPr>
          </w:p>
        </w:tc>
      </w:tr>
      <w:tr w:rsidR="0086376A" w:rsidRPr="0086376A" w14:paraId="7FB9D5B2" w14:textId="77777777" w:rsidTr="00641A36">
        <w:trPr>
          <w:trHeight w:val="225"/>
          <w:jc w:val="center"/>
        </w:trPr>
        <w:tc>
          <w:tcPr>
            <w:tcW w:w="2796" w:type="dxa"/>
            <w:tcBorders>
              <w:top w:val="nil"/>
              <w:left w:val="nil"/>
              <w:bottom w:val="nil"/>
              <w:right w:val="nil"/>
            </w:tcBorders>
            <w:shd w:val="clear" w:color="auto" w:fill="auto"/>
            <w:noWrap/>
            <w:vAlign w:val="bottom"/>
            <w:hideMark/>
          </w:tcPr>
          <w:p w14:paraId="71F0959D" w14:textId="016BB9A0" w:rsidR="0086376A" w:rsidRPr="0086376A" w:rsidRDefault="0086376A" w:rsidP="00947B83">
            <w:pPr>
              <w:spacing w:before="0" w:after="0" w:line="240" w:lineRule="auto"/>
              <w:ind w:leftChars="150" w:left="285"/>
              <w:rPr>
                <w:rFonts w:ascii="Arial" w:hAnsi="Arial" w:cs="Arial"/>
                <w:sz w:val="16"/>
                <w:szCs w:val="16"/>
              </w:rPr>
            </w:pPr>
            <w:r w:rsidRPr="0086376A">
              <w:rPr>
                <w:rFonts w:ascii="Arial" w:hAnsi="Arial" w:cs="Arial"/>
                <w:sz w:val="16"/>
                <w:szCs w:val="16"/>
              </w:rPr>
              <w:t>Departmental appropriation</w:t>
            </w:r>
          </w:p>
        </w:tc>
        <w:tc>
          <w:tcPr>
            <w:tcW w:w="1017" w:type="dxa"/>
            <w:tcBorders>
              <w:top w:val="nil"/>
              <w:left w:val="nil"/>
              <w:bottom w:val="nil"/>
              <w:right w:val="nil"/>
            </w:tcBorders>
            <w:shd w:val="clear" w:color="auto" w:fill="auto"/>
            <w:noWrap/>
            <w:vAlign w:val="bottom"/>
            <w:hideMark/>
          </w:tcPr>
          <w:p w14:paraId="35A8ADDC"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358,166</w:t>
            </w:r>
          </w:p>
        </w:tc>
        <w:tc>
          <w:tcPr>
            <w:tcW w:w="1017" w:type="dxa"/>
            <w:tcBorders>
              <w:top w:val="nil"/>
              <w:left w:val="nil"/>
              <w:bottom w:val="nil"/>
              <w:right w:val="nil"/>
            </w:tcBorders>
            <w:shd w:val="clear" w:color="000000" w:fill="D9D9D9"/>
            <w:noWrap/>
            <w:vAlign w:val="bottom"/>
            <w:hideMark/>
          </w:tcPr>
          <w:p w14:paraId="23229449"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549,988</w:t>
            </w:r>
          </w:p>
        </w:tc>
        <w:tc>
          <w:tcPr>
            <w:tcW w:w="1017" w:type="dxa"/>
            <w:tcBorders>
              <w:top w:val="nil"/>
              <w:left w:val="nil"/>
              <w:bottom w:val="nil"/>
              <w:right w:val="nil"/>
            </w:tcBorders>
            <w:shd w:val="clear" w:color="auto" w:fill="auto"/>
            <w:noWrap/>
            <w:vAlign w:val="bottom"/>
            <w:hideMark/>
          </w:tcPr>
          <w:p w14:paraId="009F7350"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343,085</w:t>
            </w:r>
          </w:p>
        </w:tc>
        <w:tc>
          <w:tcPr>
            <w:tcW w:w="1017" w:type="dxa"/>
            <w:tcBorders>
              <w:top w:val="nil"/>
              <w:left w:val="nil"/>
              <w:bottom w:val="nil"/>
              <w:right w:val="nil"/>
            </w:tcBorders>
            <w:shd w:val="clear" w:color="auto" w:fill="auto"/>
            <w:noWrap/>
            <w:vAlign w:val="bottom"/>
            <w:hideMark/>
          </w:tcPr>
          <w:p w14:paraId="00177FC9"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248,370</w:t>
            </w:r>
          </w:p>
        </w:tc>
        <w:tc>
          <w:tcPr>
            <w:tcW w:w="1017" w:type="dxa"/>
            <w:tcBorders>
              <w:top w:val="nil"/>
              <w:left w:val="nil"/>
              <w:bottom w:val="nil"/>
              <w:right w:val="nil"/>
            </w:tcBorders>
            <w:shd w:val="clear" w:color="auto" w:fill="auto"/>
            <w:noWrap/>
            <w:vAlign w:val="bottom"/>
            <w:hideMark/>
          </w:tcPr>
          <w:p w14:paraId="208DEC95"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226,269</w:t>
            </w:r>
          </w:p>
        </w:tc>
      </w:tr>
      <w:tr w:rsidR="0086376A" w:rsidRPr="0086376A" w14:paraId="52FE2590" w14:textId="77777777" w:rsidTr="00641A36">
        <w:trPr>
          <w:trHeight w:val="595"/>
          <w:jc w:val="center"/>
        </w:trPr>
        <w:tc>
          <w:tcPr>
            <w:tcW w:w="2796" w:type="dxa"/>
            <w:tcBorders>
              <w:top w:val="nil"/>
              <w:left w:val="nil"/>
              <w:bottom w:val="nil"/>
              <w:right w:val="nil"/>
            </w:tcBorders>
            <w:shd w:val="clear" w:color="auto" w:fill="auto"/>
            <w:vAlign w:val="bottom"/>
            <w:hideMark/>
          </w:tcPr>
          <w:p w14:paraId="1747FEEC" w14:textId="6852CFBC" w:rsidR="0086376A" w:rsidRPr="0086376A" w:rsidRDefault="0086376A" w:rsidP="00947B83">
            <w:pPr>
              <w:spacing w:before="0" w:after="0" w:line="240" w:lineRule="auto"/>
              <w:ind w:leftChars="150" w:left="285"/>
              <w:rPr>
                <w:rFonts w:ascii="Arial" w:hAnsi="Arial" w:cs="Arial"/>
                <w:sz w:val="16"/>
                <w:szCs w:val="16"/>
              </w:rPr>
            </w:pPr>
            <w:r w:rsidRPr="0086376A">
              <w:rPr>
                <w:rFonts w:ascii="Arial" w:hAnsi="Arial" w:cs="Arial"/>
                <w:sz w:val="16"/>
                <w:szCs w:val="16"/>
              </w:rPr>
              <w:t>Expenses not requiring appropriation in the Budget year</w:t>
            </w:r>
          </w:p>
        </w:tc>
        <w:tc>
          <w:tcPr>
            <w:tcW w:w="1017" w:type="dxa"/>
            <w:tcBorders>
              <w:top w:val="nil"/>
              <w:left w:val="nil"/>
              <w:bottom w:val="nil"/>
              <w:right w:val="nil"/>
            </w:tcBorders>
            <w:shd w:val="clear" w:color="auto" w:fill="auto"/>
            <w:noWrap/>
            <w:vAlign w:val="bottom"/>
            <w:hideMark/>
          </w:tcPr>
          <w:p w14:paraId="400B5929"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7,801</w:t>
            </w:r>
          </w:p>
        </w:tc>
        <w:tc>
          <w:tcPr>
            <w:tcW w:w="1017" w:type="dxa"/>
            <w:tcBorders>
              <w:top w:val="nil"/>
              <w:left w:val="nil"/>
              <w:bottom w:val="nil"/>
              <w:right w:val="nil"/>
            </w:tcBorders>
            <w:shd w:val="clear" w:color="000000" w:fill="D9D9D9"/>
            <w:noWrap/>
            <w:vAlign w:val="bottom"/>
            <w:hideMark/>
          </w:tcPr>
          <w:p w14:paraId="0E6840E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8,554</w:t>
            </w:r>
          </w:p>
        </w:tc>
        <w:tc>
          <w:tcPr>
            <w:tcW w:w="1017" w:type="dxa"/>
            <w:tcBorders>
              <w:top w:val="nil"/>
              <w:left w:val="nil"/>
              <w:bottom w:val="nil"/>
              <w:right w:val="nil"/>
            </w:tcBorders>
            <w:shd w:val="clear" w:color="auto" w:fill="auto"/>
            <w:noWrap/>
            <w:vAlign w:val="bottom"/>
            <w:hideMark/>
          </w:tcPr>
          <w:p w14:paraId="508FA56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39,722</w:t>
            </w:r>
          </w:p>
        </w:tc>
        <w:tc>
          <w:tcPr>
            <w:tcW w:w="1017" w:type="dxa"/>
            <w:tcBorders>
              <w:top w:val="nil"/>
              <w:left w:val="nil"/>
              <w:bottom w:val="nil"/>
              <w:right w:val="nil"/>
            </w:tcBorders>
            <w:shd w:val="clear" w:color="auto" w:fill="auto"/>
            <w:noWrap/>
            <w:vAlign w:val="bottom"/>
            <w:hideMark/>
          </w:tcPr>
          <w:p w14:paraId="31CA44EE"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30,436</w:t>
            </w:r>
          </w:p>
        </w:tc>
        <w:tc>
          <w:tcPr>
            <w:tcW w:w="1017" w:type="dxa"/>
            <w:tcBorders>
              <w:top w:val="nil"/>
              <w:left w:val="nil"/>
              <w:bottom w:val="nil"/>
              <w:right w:val="nil"/>
            </w:tcBorders>
            <w:shd w:val="clear" w:color="auto" w:fill="auto"/>
            <w:noWrap/>
            <w:vAlign w:val="bottom"/>
            <w:hideMark/>
          </w:tcPr>
          <w:p w14:paraId="37C31B61" w14:textId="77777777" w:rsidR="0086376A" w:rsidRPr="0086376A" w:rsidRDefault="0086376A" w:rsidP="0086376A">
            <w:pPr>
              <w:spacing w:before="0" w:after="0" w:line="240" w:lineRule="auto"/>
              <w:jc w:val="right"/>
              <w:rPr>
                <w:rFonts w:ascii="Arial" w:hAnsi="Arial" w:cs="Arial"/>
                <w:sz w:val="16"/>
                <w:szCs w:val="16"/>
              </w:rPr>
            </w:pPr>
            <w:r w:rsidRPr="0086376A">
              <w:rPr>
                <w:rFonts w:ascii="Arial" w:hAnsi="Arial" w:cs="Arial"/>
                <w:sz w:val="16"/>
                <w:szCs w:val="16"/>
              </w:rPr>
              <w:t>29,550</w:t>
            </w:r>
          </w:p>
        </w:tc>
      </w:tr>
      <w:tr w:rsidR="0086376A" w:rsidRPr="0086376A" w14:paraId="7192B154" w14:textId="77777777" w:rsidTr="00641A36">
        <w:trPr>
          <w:trHeight w:val="283"/>
          <w:jc w:val="center"/>
        </w:trPr>
        <w:tc>
          <w:tcPr>
            <w:tcW w:w="2796" w:type="dxa"/>
            <w:tcBorders>
              <w:top w:val="nil"/>
              <w:left w:val="nil"/>
              <w:bottom w:val="single" w:sz="4" w:space="0" w:color="auto"/>
              <w:right w:val="nil"/>
            </w:tcBorders>
            <w:shd w:val="clear" w:color="auto" w:fill="auto"/>
            <w:noWrap/>
            <w:vAlign w:val="bottom"/>
            <w:hideMark/>
          </w:tcPr>
          <w:p w14:paraId="7AF3F088" w14:textId="77777777" w:rsidR="0086376A" w:rsidRPr="0086376A" w:rsidRDefault="0086376A" w:rsidP="004F0C05">
            <w:pPr>
              <w:spacing w:before="0" w:after="12" w:line="240" w:lineRule="auto"/>
              <w:rPr>
                <w:rFonts w:ascii="Arial" w:hAnsi="Arial" w:cs="Arial"/>
                <w:b/>
                <w:bCs/>
                <w:sz w:val="16"/>
                <w:szCs w:val="16"/>
              </w:rPr>
            </w:pPr>
            <w:r w:rsidRPr="0086376A">
              <w:rPr>
                <w:rFonts w:ascii="Arial" w:hAnsi="Arial" w:cs="Arial"/>
                <w:b/>
                <w:bCs/>
                <w:sz w:val="16"/>
                <w:szCs w:val="16"/>
              </w:rPr>
              <w:t>Total expenses for Outcome 3</w:t>
            </w:r>
          </w:p>
        </w:tc>
        <w:tc>
          <w:tcPr>
            <w:tcW w:w="1017" w:type="dxa"/>
            <w:tcBorders>
              <w:top w:val="single" w:sz="4" w:space="0" w:color="auto"/>
              <w:left w:val="nil"/>
              <w:bottom w:val="single" w:sz="4" w:space="0" w:color="auto"/>
              <w:right w:val="nil"/>
            </w:tcBorders>
            <w:shd w:val="clear" w:color="auto" w:fill="auto"/>
            <w:noWrap/>
            <w:vAlign w:val="bottom"/>
            <w:hideMark/>
          </w:tcPr>
          <w:p w14:paraId="7B5F8ED5"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27,463,283</w:t>
            </w:r>
          </w:p>
        </w:tc>
        <w:tc>
          <w:tcPr>
            <w:tcW w:w="1017" w:type="dxa"/>
            <w:tcBorders>
              <w:top w:val="single" w:sz="4" w:space="0" w:color="auto"/>
              <w:left w:val="nil"/>
              <w:bottom w:val="single" w:sz="4" w:space="0" w:color="auto"/>
              <w:right w:val="nil"/>
            </w:tcBorders>
            <w:shd w:val="clear" w:color="000000" w:fill="D9D9D9"/>
            <w:noWrap/>
            <w:vAlign w:val="bottom"/>
            <w:hideMark/>
          </w:tcPr>
          <w:p w14:paraId="1BF78448"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35,178,737</w:t>
            </w:r>
          </w:p>
        </w:tc>
        <w:tc>
          <w:tcPr>
            <w:tcW w:w="1017" w:type="dxa"/>
            <w:tcBorders>
              <w:top w:val="single" w:sz="4" w:space="0" w:color="auto"/>
              <w:left w:val="nil"/>
              <w:bottom w:val="single" w:sz="4" w:space="0" w:color="auto"/>
              <w:right w:val="nil"/>
            </w:tcBorders>
            <w:shd w:val="clear" w:color="auto" w:fill="auto"/>
            <w:noWrap/>
            <w:vAlign w:val="bottom"/>
            <w:hideMark/>
          </w:tcPr>
          <w:p w14:paraId="019A7E39"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36,839,048</w:t>
            </w:r>
          </w:p>
        </w:tc>
        <w:tc>
          <w:tcPr>
            <w:tcW w:w="1017" w:type="dxa"/>
            <w:tcBorders>
              <w:top w:val="single" w:sz="4" w:space="0" w:color="auto"/>
              <w:left w:val="nil"/>
              <w:bottom w:val="single" w:sz="4" w:space="0" w:color="auto"/>
              <w:right w:val="nil"/>
            </w:tcBorders>
            <w:shd w:val="clear" w:color="auto" w:fill="auto"/>
            <w:noWrap/>
            <w:vAlign w:val="bottom"/>
            <w:hideMark/>
          </w:tcPr>
          <w:p w14:paraId="1EE90FCD"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38,943,975</w:t>
            </w:r>
          </w:p>
        </w:tc>
        <w:tc>
          <w:tcPr>
            <w:tcW w:w="1017" w:type="dxa"/>
            <w:tcBorders>
              <w:top w:val="single" w:sz="4" w:space="0" w:color="auto"/>
              <w:left w:val="nil"/>
              <w:bottom w:val="single" w:sz="4" w:space="0" w:color="auto"/>
              <w:right w:val="nil"/>
            </w:tcBorders>
            <w:shd w:val="clear" w:color="auto" w:fill="auto"/>
            <w:noWrap/>
            <w:vAlign w:val="bottom"/>
            <w:hideMark/>
          </w:tcPr>
          <w:p w14:paraId="6E0FDCB3" w14:textId="77777777" w:rsidR="0086376A" w:rsidRPr="0086376A" w:rsidRDefault="0086376A" w:rsidP="004F0C05">
            <w:pPr>
              <w:spacing w:before="0" w:after="12" w:line="240" w:lineRule="auto"/>
              <w:jc w:val="right"/>
              <w:rPr>
                <w:rFonts w:ascii="Arial" w:hAnsi="Arial" w:cs="Arial"/>
                <w:b/>
                <w:bCs/>
                <w:sz w:val="16"/>
                <w:szCs w:val="16"/>
              </w:rPr>
            </w:pPr>
            <w:r w:rsidRPr="0086376A">
              <w:rPr>
                <w:rFonts w:ascii="Arial" w:hAnsi="Arial" w:cs="Arial"/>
                <w:b/>
                <w:bCs/>
                <w:sz w:val="16"/>
                <w:szCs w:val="16"/>
              </w:rPr>
              <w:t>40,936,806</w:t>
            </w:r>
          </w:p>
        </w:tc>
      </w:tr>
    </w:tbl>
    <w:p w14:paraId="7F76C8B4" w14:textId="2DA5C8D1" w:rsidR="004F0C05" w:rsidRPr="004F0C05" w:rsidRDefault="004F0C05" w:rsidP="004F0C05">
      <w:pPr>
        <w:pStyle w:val="FootnoteText"/>
        <w:spacing w:before="120"/>
      </w:pPr>
      <w:r w:rsidRPr="004F0C05">
        <w:rPr>
          <w:vertAlign w:val="superscript"/>
        </w:rPr>
        <w:t>(a)</w:t>
      </w:r>
      <w:r w:rsidRPr="004F0C05">
        <w:tab/>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14:paraId="0AFE9875" w14:textId="11B91491" w:rsidR="004F0C05" w:rsidRPr="004F0C05" w:rsidRDefault="004F0C05" w:rsidP="004F0C05">
      <w:pPr>
        <w:pStyle w:val="FootnoteText"/>
      </w:pPr>
      <w:r w:rsidRPr="004F0C05">
        <w:rPr>
          <w:vertAlign w:val="superscript"/>
        </w:rPr>
        <w:t>(b)</w:t>
      </w:r>
      <w:r w:rsidRPr="004F0C05">
        <w:tab/>
        <w:t xml:space="preserve">Payments under the Refundable Accommodation Deposit (RAD) loan support program are a loan to support aged care providers who face insolvency risks </w:t>
      </w:r>
      <w:proofErr w:type="gramStart"/>
      <w:r w:rsidRPr="004F0C05">
        <w:t>as a result of</w:t>
      </w:r>
      <w:proofErr w:type="gramEnd"/>
      <w:r w:rsidRPr="004F0C05">
        <w:t xml:space="preserve"> an outflow of refundable accommodation deposits. This adjustment recognises the difference between the appropriation and the concessional loan discount and unwinding of the concessional discount loan expense. </w:t>
      </w:r>
    </w:p>
    <w:p w14:paraId="6C334D15" w14:textId="77777777" w:rsidR="00D53603" w:rsidRDefault="00D53603">
      <w:pPr>
        <w:spacing w:before="0" w:after="0" w:line="240" w:lineRule="auto"/>
        <w:rPr>
          <w:rFonts w:ascii="Arial" w:hAnsi="Arial" w:cs="Arial"/>
          <w:sz w:val="22"/>
          <w:szCs w:val="22"/>
        </w:rPr>
      </w:pPr>
      <w:r>
        <w:rPr>
          <w:rFonts w:ascii="Arial" w:hAnsi="Arial" w:cs="Arial"/>
          <w:b/>
          <w:szCs w:val="22"/>
        </w:rPr>
        <w:br w:type="page"/>
      </w:r>
    </w:p>
    <w:p w14:paraId="7BC7DE7A" w14:textId="0A6F5598" w:rsidR="002B5B49" w:rsidRPr="004F0C05" w:rsidRDefault="00670727" w:rsidP="0001438D">
      <w:pPr>
        <w:pStyle w:val="Heading3"/>
        <w:spacing w:after="240"/>
        <w:rPr>
          <w:sz w:val="24"/>
          <w:szCs w:val="24"/>
        </w:rPr>
      </w:pPr>
      <w:r w:rsidRPr="004F0C05">
        <w:rPr>
          <w:rFonts w:ascii="Arial" w:hAnsi="Arial" w:cs="Arial"/>
          <w:b w:val="0"/>
          <w:sz w:val="24"/>
          <w:szCs w:val="24"/>
        </w:rPr>
        <w:lastRenderedPageBreak/>
        <w:fldChar w:fldCharType="begin"/>
      </w:r>
      <w:r w:rsidRPr="004F0C05">
        <w:rPr>
          <w:rFonts w:ascii="Arial" w:hAnsi="Arial" w:cs="Arial"/>
          <w:b w:val="0"/>
          <w:sz w:val="24"/>
          <w:szCs w:val="24"/>
        </w:rPr>
        <w:instrText xml:space="preserve"> </w:instrText>
      </w:r>
      <w:proofErr w:type="gramStart"/>
      <w:r w:rsidRPr="004F0C05">
        <w:rPr>
          <w:rFonts w:ascii="Arial" w:hAnsi="Arial" w:cs="Arial"/>
          <w:b w:val="0"/>
          <w:sz w:val="24"/>
          <w:szCs w:val="24"/>
        </w:rPr>
        <w:instrText>TC  "</w:instrText>
      </w:r>
      <w:bookmarkStart w:id="316" w:name="_Toc155882374"/>
      <w:proofErr w:type="gramEnd"/>
      <w:r w:rsidRPr="004F0C05">
        <w:rPr>
          <w:rFonts w:ascii="Arial" w:hAnsi="Arial" w:cs="Arial"/>
          <w:b w:val="0"/>
          <w:sz w:val="24"/>
          <w:szCs w:val="24"/>
        </w:rPr>
        <w:instrText>2.4</w:instrText>
      </w:r>
      <w:r w:rsidRPr="004F0C05">
        <w:rPr>
          <w:rFonts w:ascii="Arial" w:hAnsi="Arial" w:cs="Arial"/>
          <w:b w:val="0"/>
          <w:sz w:val="24"/>
          <w:szCs w:val="24"/>
        </w:rPr>
        <w:tab/>
        <w:instrText>Budgeted expenses and performance for Outcome 4</w:instrText>
      </w:r>
      <w:bookmarkEnd w:id="316"/>
      <w:r w:rsidRPr="004F0C05">
        <w:rPr>
          <w:rFonts w:ascii="Arial" w:hAnsi="Arial" w:cs="Arial"/>
          <w:b w:val="0"/>
          <w:sz w:val="24"/>
          <w:szCs w:val="24"/>
        </w:rPr>
        <w:instrText xml:space="preserve">" \f </w:instrText>
      </w:r>
      <w:proofErr w:type="spellStart"/>
      <w:r w:rsidRPr="004F0C05">
        <w:rPr>
          <w:rFonts w:ascii="Arial" w:hAnsi="Arial" w:cs="Arial"/>
          <w:b w:val="0"/>
          <w:sz w:val="24"/>
          <w:szCs w:val="24"/>
        </w:rPr>
        <w:instrText>dohac</w:instrText>
      </w:r>
      <w:proofErr w:type="spellEnd"/>
      <w:r w:rsidRPr="004F0C05">
        <w:rPr>
          <w:rFonts w:ascii="Arial" w:hAnsi="Arial" w:cs="Arial"/>
          <w:b w:val="0"/>
          <w:sz w:val="24"/>
          <w:szCs w:val="24"/>
        </w:rPr>
        <w:instrText xml:space="preserve"> \l 2 </w:instrText>
      </w:r>
      <w:r w:rsidRPr="004F0C05">
        <w:rPr>
          <w:rFonts w:ascii="Arial" w:hAnsi="Arial" w:cs="Arial"/>
          <w:b w:val="0"/>
          <w:sz w:val="24"/>
          <w:szCs w:val="24"/>
        </w:rPr>
        <w:fldChar w:fldCharType="end"/>
      </w:r>
      <w:bookmarkStart w:id="317" w:name="_Toc157591999"/>
      <w:bookmarkStart w:id="318" w:name="_Toc157592182"/>
      <w:r w:rsidR="002B5B49" w:rsidRPr="004F0C05">
        <w:rPr>
          <w:sz w:val="24"/>
          <w:szCs w:val="24"/>
        </w:rPr>
        <w:t>2.4</w:t>
      </w:r>
      <w:r w:rsidR="002B5B49" w:rsidRPr="004F0C05">
        <w:rPr>
          <w:sz w:val="24"/>
          <w:szCs w:val="24"/>
        </w:rPr>
        <w:tab/>
        <w:t>Budgeted expenses and performance for Outcome 4</w:t>
      </w:r>
      <w:bookmarkEnd w:id="317"/>
      <w:bookmarkEnd w:id="3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B5B49" w:rsidRPr="005E6F2B" w14:paraId="7B57988B" w14:textId="77777777" w:rsidTr="00E70AF2">
        <w:tc>
          <w:tcPr>
            <w:tcW w:w="7713" w:type="dxa"/>
            <w:shd w:val="clear" w:color="auto" w:fill="E6E6E6"/>
          </w:tcPr>
          <w:p w14:paraId="3F8F22F0" w14:textId="2DA608A7" w:rsidR="009F6937" w:rsidRPr="009F6937" w:rsidRDefault="009F6937" w:rsidP="004D28BA">
            <w:pPr>
              <w:pStyle w:val="TableColumnHeadingLeft"/>
              <w:spacing w:before="24" w:after="0"/>
              <w:rPr>
                <w:sz w:val="20"/>
              </w:rPr>
            </w:pPr>
            <w:r>
              <w:rPr>
                <w:sz w:val="20"/>
              </w:rPr>
              <w:t>Outcome</w:t>
            </w:r>
            <w:r w:rsidRPr="009F6937">
              <w:rPr>
                <w:sz w:val="20"/>
              </w:rPr>
              <w:t xml:space="preserve"> 4: Sport and Physical Activity</w:t>
            </w:r>
          </w:p>
          <w:p w14:paraId="3DAEF0C5" w14:textId="54BACCD3" w:rsidR="002B5B49" w:rsidRPr="005E6F2B" w:rsidRDefault="009F6937" w:rsidP="004D28BA">
            <w:pPr>
              <w:pStyle w:val="TableColumnHeadingLeft"/>
              <w:spacing w:before="74" w:after="24"/>
            </w:pPr>
            <w:r w:rsidRPr="00C91F7B">
              <w:rPr>
                <w:rFonts w:ascii="Arial" w:hAnsi="Arial" w:cs="Arial"/>
                <w:b w:val="0"/>
                <w:sz w:val="20"/>
              </w:rPr>
              <w:t>Improved opportunities for community participation in sport and physical activity, excellence</w:t>
            </w:r>
            <w:r>
              <w:rPr>
                <w:rFonts w:ascii="Arial" w:hAnsi="Arial" w:cs="Arial"/>
                <w:b w:val="0"/>
                <w:sz w:val="20"/>
              </w:rPr>
              <w:t xml:space="preserve"> </w:t>
            </w:r>
            <w:r w:rsidRPr="00C91F7B">
              <w:rPr>
                <w:rFonts w:ascii="Arial" w:hAnsi="Arial" w:cs="Arial"/>
                <w:b w:val="0"/>
                <w:sz w:val="20"/>
              </w:rPr>
              <w:t>in high-performance athletes, and protecting the integrity of sport through investment in</w:t>
            </w:r>
            <w:r>
              <w:rPr>
                <w:rFonts w:ascii="Arial" w:hAnsi="Arial" w:cs="Arial"/>
                <w:b w:val="0"/>
                <w:sz w:val="20"/>
              </w:rPr>
              <w:t xml:space="preserve"> </w:t>
            </w:r>
            <w:r w:rsidRPr="00C91F7B">
              <w:rPr>
                <w:rFonts w:ascii="Arial" w:hAnsi="Arial" w:cs="Arial"/>
                <w:b w:val="0"/>
                <w:sz w:val="20"/>
              </w:rPr>
              <w:t>sport infrastructure, coordination of Commonwealth involvement in major sporting events,</w:t>
            </w:r>
            <w:r>
              <w:rPr>
                <w:rFonts w:ascii="Arial" w:hAnsi="Arial" w:cs="Arial"/>
                <w:b w:val="0"/>
                <w:sz w:val="20"/>
              </w:rPr>
              <w:t xml:space="preserve"> </w:t>
            </w:r>
            <w:r w:rsidRPr="00C91F7B">
              <w:rPr>
                <w:rFonts w:ascii="Arial" w:hAnsi="Arial" w:cs="Arial"/>
                <w:b w:val="0"/>
                <w:sz w:val="20"/>
              </w:rPr>
              <w:t>and research and international cooperation on sport issues.</w:t>
            </w:r>
          </w:p>
        </w:tc>
      </w:tr>
    </w:tbl>
    <w:p w14:paraId="6A840AAC" w14:textId="77777777" w:rsidR="002B5B49" w:rsidRPr="005E6F2B" w:rsidRDefault="002B5B49" w:rsidP="002B5B49">
      <w:pPr>
        <w:pStyle w:val="NoSpacing"/>
      </w:pPr>
    </w:p>
    <w:p w14:paraId="16C3347A" w14:textId="3BB13E44" w:rsidR="002B5B49" w:rsidRPr="00CF2F45" w:rsidRDefault="002B5B49" w:rsidP="002B5B49">
      <w:pPr>
        <w:pStyle w:val="Heading5"/>
        <w:rPr>
          <w:b/>
          <w:i w:val="0"/>
        </w:rPr>
      </w:pPr>
      <w:r w:rsidRPr="00CF2F45">
        <w:rPr>
          <w:b/>
          <w:i w:val="0"/>
        </w:rPr>
        <w:t xml:space="preserve">Budgeted expenses for Outcome </w:t>
      </w:r>
      <w:r w:rsidR="0001438D" w:rsidRPr="00CF2F45">
        <w:rPr>
          <w:b/>
          <w:i w:val="0"/>
        </w:rPr>
        <w:t>4</w:t>
      </w:r>
    </w:p>
    <w:p w14:paraId="59C0D84D" w14:textId="77777777" w:rsidR="002B5B49" w:rsidRPr="00CF2F45" w:rsidRDefault="002B5B49" w:rsidP="002B5B49">
      <w:pPr>
        <w:rPr>
          <w:sz w:val="20"/>
        </w:rPr>
      </w:pPr>
      <w:r w:rsidRPr="00CF2F45">
        <w:rPr>
          <w:sz w:val="20"/>
        </w:rPr>
        <w:t>This table shows how much the entity intends to spend (on an accrual basis) on achieving the outcome, broken down by program, as well as by Administered and Departmental funding sources.</w:t>
      </w:r>
    </w:p>
    <w:p w14:paraId="5636F3B6" w14:textId="6222F108" w:rsidR="002B5B49" w:rsidRDefault="002B5B49" w:rsidP="002B5B49">
      <w:pPr>
        <w:pStyle w:val="TableHeading"/>
      </w:pPr>
      <w:r w:rsidRPr="00D93D96">
        <w:t>Table 2.</w:t>
      </w:r>
      <w:r w:rsidR="00B50F66">
        <w:t>4</w:t>
      </w:r>
      <w:r>
        <w:t>.</w:t>
      </w:r>
      <w:r w:rsidR="00E81B71">
        <w:t xml:space="preserve">1: Variations table </w:t>
      </w:r>
      <w:r w:rsidR="004F0C05">
        <w:t>–</w:t>
      </w:r>
      <w:r w:rsidR="00E81B71">
        <w:t xml:space="preserve"> </w:t>
      </w:r>
      <w:r w:rsidRPr="00D93D96">
        <w:t xml:space="preserve">Outcome </w:t>
      </w:r>
      <w:r w:rsidR="00B50F66">
        <w:t>4</w:t>
      </w:r>
      <w:r w:rsidR="00270951">
        <w:t xml:space="preserve"> </w:t>
      </w:r>
    </w:p>
    <w:tbl>
      <w:tblPr>
        <w:tblW w:w="7660" w:type="dxa"/>
        <w:jc w:val="center"/>
        <w:tblLayout w:type="fixed"/>
        <w:tblLook w:val="04A0" w:firstRow="1" w:lastRow="0" w:firstColumn="1" w:lastColumn="0" w:noHBand="0" w:noVBand="1"/>
      </w:tblPr>
      <w:tblGrid>
        <w:gridCol w:w="4060"/>
        <w:gridCol w:w="900"/>
        <w:gridCol w:w="900"/>
        <w:gridCol w:w="900"/>
        <w:gridCol w:w="900"/>
      </w:tblGrid>
      <w:tr w:rsidR="00B50F66" w:rsidRPr="00B50F66" w14:paraId="4FD33F5C" w14:textId="77777777" w:rsidTr="00503717">
        <w:trPr>
          <w:trHeight w:val="397"/>
          <w:jc w:val="center"/>
        </w:trPr>
        <w:tc>
          <w:tcPr>
            <w:tcW w:w="4060" w:type="dxa"/>
            <w:tcBorders>
              <w:top w:val="single" w:sz="4" w:space="0" w:color="auto"/>
              <w:left w:val="nil"/>
              <w:bottom w:val="nil"/>
              <w:right w:val="nil"/>
            </w:tcBorders>
            <w:shd w:val="clear" w:color="auto" w:fill="auto"/>
            <w:hideMark/>
          </w:tcPr>
          <w:p w14:paraId="2DD98632" w14:textId="77777777" w:rsidR="00B50F66" w:rsidRPr="00B50F66" w:rsidRDefault="00B50F66" w:rsidP="00B50F66">
            <w:pPr>
              <w:spacing w:before="24" w:after="0" w:line="240" w:lineRule="auto"/>
              <w:jc w:val="right"/>
              <w:rPr>
                <w:rFonts w:ascii="Arial" w:hAnsi="Arial" w:cs="Arial"/>
                <w:sz w:val="16"/>
                <w:szCs w:val="16"/>
              </w:rPr>
            </w:pPr>
            <w:r w:rsidRPr="00B50F66">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14:paraId="0CFE0A6D" w14:textId="1860BFD2" w:rsidR="00B50F66" w:rsidRPr="00B50F66" w:rsidRDefault="00270951" w:rsidP="00B50F66">
            <w:pPr>
              <w:spacing w:before="24" w:after="0" w:line="240" w:lineRule="auto"/>
              <w:jc w:val="right"/>
              <w:rPr>
                <w:rFonts w:ascii="Arial" w:hAnsi="Arial" w:cs="Arial"/>
                <w:b/>
                <w:bCs/>
                <w:sz w:val="16"/>
                <w:szCs w:val="16"/>
              </w:rPr>
            </w:pPr>
            <w:r>
              <w:rPr>
                <w:rFonts w:ascii="Arial" w:hAnsi="Arial" w:cs="Arial"/>
                <w:b/>
                <w:bCs/>
                <w:sz w:val="16"/>
                <w:szCs w:val="16"/>
              </w:rPr>
              <w:t>2023–</w:t>
            </w:r>
            <w:r w:rsidR="00B50F66" w:rsidRPr="00B50F66">
              <w:rPr>
                <w:rFonts w:ascii="Arial" w:hAnsi="Arial" w:cs="Arial"/>
                <w:b/>
                <w:bCs/>
                <w:sz w:val="16"/>
                <w:szCs w:val="16"/>
              </w:rPr>
              <w:t>24</w:t>
            </w:r>
            <w:r w:rsidR="00B50F66" w:rsidRPr="00B50F66">
              <w:rPr>
                <w:rFonts w:ascii="Arial" w:hAnsi="Arial" w:cs="Arial"/>
                <w:b/>
                <w:bCs/>
                <w:sz w:val="16"/>
                <w:szCs w:val="16"/>
              </w:rPr>
              <w:br/>
            </w:r>
            <w:r w:rsidR="00B50F66" w:rsidRPr="00B50F6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08E2BE69" w14:textId="30FDE76F" w:rsidR="00B50F66" w:rsidRPr="00B50F66" w:rsidRDefault="00270951" w:rsidP="00B50F66">
            <w:pPr>
              <w:spacing w:before="24" w:after="0" w:line="240" w:lineRule="auto"/>
              <w:jc w:val="right"/>
              <w:rPr>
                <w:rFonts w:ascii="Arial" w:hAnsi="Arial" w:cs="Arial"/>
                <w:b/>
                <w:bCs/>
                <w:sz w:val="16"/>
                <w:szCs w:val="16"/>
              </w:rPr>
            </w:pPr>
            <w:r>
              <w:rPr>
                <w:rFonts w:ascii="Arial" w:hAnsi="Arial" w:cs="Arial"/>
                <w:b/>
                <w:bCs/>
                <w:sz w:val="16"/>
                <w:szCs w:val="16"/>
              </w:rPr>
              <w:t>2024–</w:t>
            </w:r>
            <w:r w:rsidR="00B50F66" w:rsidRPr="00B50F66">
              <w:rPr>
                <w:rFonts w:ascii="Arial" w:hAnsi="Arial" w:cs="Arial"/>
                <w:b/>
                <w:bCs/>
                <w:sz w:val="16"/>
                <w:szCs w:val="16"/>
              </w:rPr>
              <w:t>25</w:t>
            </w:r>
            <w:r w:rsidR="00B50F66" w:rsidRPr="00B50F66">
              <w:rPr>
                <w:rFonts w:ascii="Arial" w:hAnsi="Arial" w:cs="Arial"/>
                <w:b/>
                <w:bCs/>
                <w:sz w:val="16"/>
                <w:szCs w:val="16"/>
              </w:rPr>
              <w:br/>
            </w:r>
            <w:r w:rsidR="00B50F66" w:rsidRPr="00B50F6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7DAF6834" w14:textId="161EF4A7" w:rsidR="00B50F66" w:rsidRPr="00B50F66" w:rsidRDefault="00270951" w:rsidP="00B50F66">
            <w:pPr>
              <w:spacing w:before="24" w:after="0" w:line="240" w:lineRule="auto"/>
              <w:jc w:val="right"/>
              <w:rPr>
                <w:rFonts w:ascii="Arial" w:hAnsi="Arial" w:cs="Arial"/>
                <w:b/>
                <w:bCs/>
                <w:sz w:val="16"/>
                <w:szCs w:val="16"/>
              </w:rPr>
            </w:pPr>
            <w:r>
              <w:rPr>
                <w:rFonts w:ascii="Arial" w:hAnsi="Arial" w:cs="Arial"/>
                <w:b/>
                <w:bCs/>
                <w:sz w:val="16"/>
                <w:szCs w:val="16"/>
              </w:rPr>
              <w:t>2025–</w:t>
            </w:r>
            <w:r w:rsidR="00B50F66" w:rsidRPr="00B50F66">
              <w:rPr>
                <w:rFonts w:ascii="Arial" w:hAnsi="Arial" w:cs="Arial"/>
                <w:b/>
                <w:bCs/>
                <w:sz w:val="16"/>
                <w:szCs w:val="16"/>
              </w:rPr>
              <w:t>26</w:t>
            </w:r>
            <w:r w:rsidR="00B50F66" w:rsidRPr="00B50F66">
              <w:rPr>
                <w:rFonts w:ascii="Arial" w:hAnsi="Arial" w:cs="Arial"/>
                <w:b/>
                <w:bCs/>
                <w:sz w:val="16"/>
                <w:szCs w:val="16"/>
              </w:rPr>
              <w:br/>
            </w:r>
            <w:r w:rsidR="00B50F66" w:rsidRPr="00B50F66">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4D3D9D95" w14:textId="0F05B6AA" w:rsidR="00B50F66" w:rsidRPr="00B50F66" w:rsidRDefault="00270951" w:rsidP="00B50F66">
            <w:pPr>
              <w:spacing w:before="24" w:after="0" w:line="240" w:lineRule="auto"/>
              <w:jc w:val="right"/>
              <w:rPr>
                <w:rFonts w:ascii="Arial" w:hAnsi="Arial" w:cs="Arial"/>
                <w:b/>
                <w:bCs/>
                <w:sz w:val="16"/>
                <w:szCs w:val="16"/>
              </w:rPr>
            </w:pPr>
            <w:r>
              <w:rPr>
                <w:rFonts w:ascii="Arial" w:hAnsi="Arial" w:cs="Arial"/>
                <w:b/>
                <w:bCs/>
                <w:sz w:val="16"/>
                <w:szCs w:val="16"/>
              </w:rPr>
              <w:t>2026–</w:t>
            </w:r>
            <w:r w:rsidR="00B50F66" w:rsidRPr="00B50F66">
              <w:rPr>
                <w:rFonts w:ascii="Arial" w:hAnsi="Arial" w:cs="Arial"/>
                <w:b/>
                <w:bCs/>
                <w:sz w:val="16"/>
                <w:szCs w:val="16"/>
              </w:rPr>
              <w:t>27</w:t>
            </w:r>
            <w:r w:rsidR="00B50F66" w:rsidRPr="00B50F66">
              <w:rPr>
                <w:rFonts w:ascii="Arial" w:hAnsi="Arial" w:cs="Arial"/>
                <w:b/>
                <w:bCs/>
                <w:sz w:val="16"/>
                <w:szCs w:val="16"/>
              </w:rPr>
              <w:br/>
            </w:r>
            <w:r w:rsidR="00B50F66" w:rsidRPr="00B50F66">
              <w:rPr>
                <w:rFonts w:ascii="Arial" w:hAnsi="Arial" w:cs="Arial"/>
                <w:sz w:val="16"/>
                <w:szCs w:val="16"/>
              </w:rPr>
              <w:t>$'000</w:t>
            </w:r>
          </w:p>
        </w:tc>
      </w:tr>
      <w:tr w:rsidR="00B50F66" w:rsidRPr="00B50F66" w14:paraId="1F5547F8" w14:textId="77777777" w:rsidTr="000911F8">
        <w:trPr>
          <w:trHeight w:val="283"/>
          <w:jc w:val="center"/>
        </w:trPr>
        <w:tc>
          <w:tcPr>
            <w:tcW w:w="4060" w:type="dxa"/>
            <w:tcBorders>
              <w:top w:val="nil"/>
              <w:left w:val="nil"/>
              <w:bottom w:val="nil"/>
              <w:right w:val="nil"/>
            </w:tcBorders>
            <w:shd w:val="clear" w:color="auto" w:fill="auto"/>
            <w:noWrap/>
            <w:vAlign w:val="bottom"/>
            <w:hideMark/>
          </w:tcPr>
          <w:p w14:paraId="76328B47" w14:textId="77777777" w:rsidR="00B50F66" w:rsidRPr="00B50F66" w:rsidRDefault="00B50F66" w:rsidP="00B50F66">
            <w:pPr>
              <w:spacing w:before="0" w:after="0" w:line="240" w:lineRule="auto"/>
              <w:rPr>
                <w:rFonts w:ascii="Arial" w:hAnsi="Arial" w:cs="Arial"/>
                <w:b/>
                <w:bCs/>
                <w:sz w:val="16"/>
                <w:szCs w:val="16"/>
              </w:rPr>
            </w:pPr>
            <w:r w:rsidRPr="00B50F66">
              <w:rPr>
                <w:rFonts w:ascii="Arial" w:hAnsi="Arial" w:cs="Arial"/>
                <w:b/>
                <w:bCs/>
                <w:sz w:val="16"/>
                <w:szCs w:val="16"/>
              </w:rPr>
              <w:t>Program 4.1: Sport and Physical Activity</w:t>
            </w:r>
          </w:p>
        </w:tc>
        <w:tc>
          <w:tcPr>
            <w:tcW w:w="900" w:type="dxa"/>
            <w:tcBorders>
              <w:top w:val="nil"/>
              <w:left w:val="nil"/>
              <w:bottom w:val="nil"/>
              <w:right w:val="nil"/>
            </w:tcBorders>
            <w:shd w:val="clear" w:color="auto" w:fill="auto"/>
            <w:vAlign w:val="bottom"/>
            <w:hideMark/>
          </w:tcPr>
          <w:p w14:paraId="0C16215A" w14:textId="77777777" w:rsidR="00B50F66" w:rsidRPr="00B50F66" w:rsidRDefault="00B50F66" w:rsidP="00B50F6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vAlign w:val="bottom"/>
            <w:hideMark/>
          </w:tcPr>
          <w:p w14:paraId="480A253A"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vAlign w:val="bottom"/>
            <w:hideMark/>
          </w:tcPr>
          <w:p w14:paraId="4843105D"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vAlign w:val="bottom"/>
            <w:hideMark/>
          </w:tcPr>
          <w:p w14:paraId="4FD7A803" w14:textId="77777777" w:rsidR="00B50F66" w:rsidRPr="00B50F66" w:rsidRDefault="00B50F66" w:rsidP="00B50F66">
            <w:pPr>
              <w:spacing w:before="0" w:after="0" w:line="240" w:lineRule="auto"/>
              <w:jc w:val="right"/>
              <w:rPr>
                <w:rFonts w:ascii="Times New Roman" w:hAnsi="Times New Roman"/>
                <w:sz w:val="20"/>
              </w:rPr>
            </w:pPr>
          </w:p>
        </w:tc>
      </w:tr>
      <w:tr w:rsidR="00B50F66" w:rsidRPr="00B50F66" w14:paraId="191042CF" w14:textId="77777777" w:rsidTr="00907B53">
        <w:trPr>
          <w:trHeight w:val="283"/>
          <w:jc w:val="center"/>
        </w:trPr>
        <w:tc>
          <w:tcPr>
            <w:tcW w:w="4060" w:type="dxa"/>
            <w:tcBorders>
              <w:top w:val="nil"/>
              <w:left w:val="nil"/>
              <w:bottom w:val="nil"/>
              <w:right w:val="nil"/>
            </w:tcBorders>
            <w:shd w:val="clear" w:color="auto" w:fill="auto"/>
            <w:noWrap/>
            <w:vAlign w:val="bottom"/>
            <w:hideMark/>
          </w:tcPr>
          <w:p w14:paraId="25B6B682" w14:textId="77777777" w:rsidR="00B50F66" w:rsidRPr="00B50F66" w:rsidRDefault="00B50F66" w:rsidP="00B50F66">
            <w:pPr>
              <w:spacing w:before="0" w:after="0" w:line="240" w:lineRule="auto"/>
              <w:rPr>
                <w:rFonts w:ascii="Arial" w:hAnsi="Arial" w:cs="Arial"/>
                <w:b/>
                <w:bCs/>
                <w:sz w:val="16"/>
                <w:szCs w:val="16"/>
              </w:rPr>
            </w:pPr>
            <w:r w:rsidRPr="00B50F66">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6D8462A7" w14:textId="77777777" w:rsidR="00B50F66" w:rsidRPr="00B50F66" w:rsidRDefault="00B50F66" w:rsidP="00B50F6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AC9A12C"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7438DC3D"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4660666" w14:textId="77777777" w:rsidR="00B50F66" w:rsidRPr="00B50F66" w:rsidRDefault="00B50F66" w:rsidP="00B50F66">
            <w:pPr>
              <w:spacing w:before="0" w:after="0" w:line="240" w:lineRule="auto"/>
              <w:jc w:val="right"/>
              <w:rPr>
                <w:rFonts w:ascii="Times New Roman" w:hAnsi="Times New Roman"/>
                <w:sz w:val="20"/>
              </w:rPr>
            </w:pPr>
          </w:p>
        </w:tc>
      </w:tr>
      <w:tr w:rsidR="00B50F66" w:rsidRPr="00B50F66" w14:paraId="7FE0E191" w14:textId="77777777" w:rsidTr="00907B53">
        <w:trPr>
          <w:trHeight w:val="283"/>
          <w:jc w:val="center"/>
        </w:trPr>
        <w:tc>
          <w:tcPr>
            <w:tcW w:w="4060" w:type="dxa"/>
            <w:tcBorders>
              <w:top w:val="nil"/>
              <w:left w:val="nil"/>
              <w:bottom w:val="nil"/>
              <w:right w:val="nil"/>
            </w:tcBorders>
            <w:shd w:val="clear" w:color="auto" w:fill="auto"/>
            <w:noWrap/>
            <w:vAlign w:val="bottom"/>
            <w:hideMark/>
          </w:tcPr>
          <w:p w14:paraId="1FDFCB2E"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Appropriation Bill (No. 3)</w:t>
            </w:r>
          </w:p>
        </w:tc>
        <w:tc>
          <w:tcPr>
            <w:tcW w:w="900" w:type="dxa"/>
            <w:tcBorders>
              <w:top w:val="nil"/>
              <w:left w:val="nil"/>
              <w:bottom w:val="nil"/>
              <w:right w:val="nil"/>
            </w:tcBorders>
            <w:shd w:val="clear" w:color="auto" w:fill="auto"/>
            <w:noWrap/>
            <w:vAlign w:val="bottom"/>
            <w:hideMark/>
          </w:tcPr>
          <w:p w14:paraId="67825E3A" w14:textId="77777777" w:rsidR="00B50F66" w:rsidRPr="00B50F66" w:rsidRDefault="00B50F66" w:rsidP="00B50F66">
            <w:pPr>
              <w:spacing w:before="0" w:after="0" w:line="240" w:lineRule="auto"/>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F65D1F5"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0345348" w14:textId="77777777" w:rsidR="00B50F66" w:rsidRPr="00B50F66" w:rsidRDefault="00B50F66" w:rsidP="00B50F6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26BE29A" w14:textId="77777777" w:rsidR="00B50F66" w:rsidRPr="00B50F66" w:rsidRDefault="00B50F66" w:rsidP="00B50F66">
            <w:pPr>
              <w:spacing w:before="0" w:after="0" w:line="240" w:lineRule="auto"/>
              <w:jc w:val="right"/>
              <w:rPr>
                <w:rFonts w:ascii="Times New Roman" w:hAnsi="Times New Roman"/>
                <w:sz w:val="20"/>
              </w:rPr>
            </w:pPr>
          </w:p>
        </w:tc>
      </w:tr>
      <w:tr w:rsidR="00B50F66" w:rsidRPr="00B50F66" w14:paraId="6E4F03B7" w14:textId="77777777" w:rsidTr="00907B53">
        <w:trPr>
          <w:trHeight w:val="454"/>
          <w:jc w:val="center"/>
        </w:trPr>
        <w:tc>
          <w:tcPr>
            <w:tcW w:w="4060" w:type="dxa"/>
            <w:tcBorders>
              <w:top w:val="nil"/>
              <w:left w:val="nil"/>
              <w:bottom w:val="nil"/>
              <w:right w:val="nil"/>
            </w:tcBorders>
            <w:shd w:val="clear" w:color="auto" w:fill="auto"/>
            <w:vAlign w:val="bottom"/>
            <w:hideMark/>
          </w:tcPr>
          <w:p w14:paraId="713A7DA6"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b/>
                <w:bCs/>
                <w:sz w:val="16"/>
                <w:szCs w:val="16"/>
              </w:rPr>
              <w:t>Measure</w:t>
            </w:r>
            <w:r w:rsidRPr="00B50F66">
              <w:rPr>
                <w:rFonts w:ascii="Arial" w:hAnsi="Arial" w:cs="Arial"/>
                <w:sz w:val="16"/>
                <w:szCs w:val="16"/>
              </w:rPr>
              <w:t xml:space="preserve"> - Supporting Physical Activity and Equitable Access for Women and Girls to Participate in Sport</w:t>
            </w:r>
          </w:p>
        </w:tc>
        <w:tc>
          <w:tcPr>
            <w:tcW w:w="900" w:type="dxa"/>
            <w:tcBorders>
              <w:top w:val="nil"/>
              <w:left w:val="nil"/>
              <w:bottom w:val="nil"/>
              <w:right w:val="nil"/>
            </w:tcBorders>
            <w:shd w:val="clear" w:color="auto" w:fill="auto"/>
            <w:noWrap/>
            <w:vAlign w:val="bottom"/>
            <w:hideMark/>
          </w:tcPr>
          <w:p w14:paraId="6BF33187"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75 </w:t>
            </w:r>
          </w:p>
        </w:tc>
        <w:tc>
          <w:tcPr>
            <w:tcW w:w="900" w:type="dxa"/>
            <w:tcBorders>
              <w:top w:val="nil"/>
              <w:left w:val="nil"/>
              <w:bottom w:val="nil"/>
              <w:right w:val="nil"/>
            </w:tcBorders>
            <w:shd w:val="clear" w:color="auto" w:fill="auto"/>
            <w:noWrap/>
            <w:vAlign w:val="bottom"/>
            <w:hideMark/>
          </w:tcPr>
          <w:p w14:paraId="6BBFFB5B"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90,030 </w:t>
            </w:r>
          </w:p>
        </w:tc>
        <w:tc>
          <w:tcPr>
            <w:tcW w:w="900" w:type="dxa"/>
            <w:tcBorders>
              <w:top w:val="nil"/>
              <w:left w:val="nil"/>
              <w:bottom w:val="nil"/>
              <w:right w:val="nil"/>
            </w:tcBorders>
            <w:shd w:val="clear" w:color="auto" w:fill="auto"/>
            <w:noWrap/>
            <w:vAlign w:val="bottom"/>
            <w:hideMark/>
          </w:tcPr>
          <w:p w14:paraId="3F1AC0E1"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70,020 </w:t>
            </w:r>
          </w:p>
        </w:tc>
        <w:tc>
          <w:tcPr>
            <w:tcW w:w="900" w:type="dxa"/>
            <w:tcBorders>
              <w:top w:val="nil"/>
              <w:left w:val="nil"/>
              <w:bottom w:val="nil"/>
              <w:right w:val="nil"/>
            </w:tcBorders>
            <w:shd w:val="clear" w:color="auto" w:fill="auto"/>
            <w:noWrap/>
            <w:vAlign w:val="bottom"/>
            <w:hideMark/>
          </w:tcPr>
          <w:p w14:paraId="00664418"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32,116 </w:t>
            </w:r>
          </w:p>
        </w:tc>
      </w:tr>
      <w:tr w:rsidR="00B50F66" w:rsidRPr="00B50F66" w14:paraId="2BBE529B" w14:textId="77777777" w:rsidTr="00907B53">
        <w:trPr>
          <w:trHeight w:val="454"/>
          <w:jc w:val="center"/>
        </w:trPr>
        <w:tc>
          <w:tcPr>
            <w:tcW w:w="4060" w:type="dxa"/>
            <w:tcBorders>
              <w:top w:val="nil"/>
              <w:left w:val="nil"/>
              <w:bottom w:val="nil"/>
              <w:right w:val="nil"/>
            </w:tcBorders>
            <w:shd w:val="clear" w:color="000000" w:fill="FFFFFF"/>
            <w:vAlign w:val="bottom"/>
            <w:hideMark/>
          </w:tcPr>
          <w:p w14:paraId="684E69C2"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Community Development Grants Program - reprofile of funding</w:t>
            </w:r>
          </w:p>
        </w:tc>
        <w:tc>
          <w:tcPr>
            <w:tcW w:w="900" w:type="dxa"/>
            <w:tcBorders>
              <w:top w:val="nil"/>
              <w:left w:val="nil"/>
              <w:bottom w:val="nil"/>
              <w:right w:val="nil"/>
            </w:tcBorders>
            <w:shd w:val="clear" w:color="auto" w:fill="auto"/>
            <w:noWrap/>
            <w:vAlign w:val="bottom"/>
            <w:hideMark/>
          </w:tcPr>
          <w:p w14:paraId="233C1D75"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1,200 </w:t>
            </w:r>
          </w:p>
        </w:tc>
        <w:tc>
          <w:tcPr>
            <w:tcW w:w="900" w:type="dxa"/>
            <w:tcBorders>
              <w:top w:val="nil"/>
              <w:left w:val="nil"/>
              <w:bottom w:val="nil"/>
              <w:right w:val="nil"/>
            </w:tcBorders>
            <w:shd w:val="clear" w:color="auto" w:fill="auto"/>
            <w:noWrap/>
            <w:vAlign w:val="bottom"/>
            <w:hideMark/>
          </w:tcPr>
          <w:p w14:paraId="5442CD25"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1C4F4C3"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BEE9B08"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r>
      <w:tr w:rsidR="00B50F66" w:rsidRPr="00B50F66" w14:paraId="524C9B0E" w14:textId="77777777" w:rsidTr="00907B53">
        <w:trPr>
          <w:trHeight w:val="454"/>
          <w:jc w:val="center"/>
        </w:trPr>
        <w:tc>
          <w:tcPr>
            <w:tcW w:w="4060" w:type="dxa"/>
            <w:tcBorders>
              <w:top w:val="nil"/>
              <w:left w:val="nil"/>
              <w:bottom w:val="nil"/>
              <w:right w:val="nil"/>
            </w:tcBorders>
            <w:shd w:val="clear" w:color="000000" w:fill="FFFFFF"/>
            <w:vAlign w:val="bottom"/>
            <w:hideMark/>
          </w:tcPr>
          <w:p w14:paraId="3F73CFD6"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Female Facilities and Water Safety Stream - reprofile of funding</w:t>
            </w:r>
          </w:p>
        </w:tc>
        <w:tc>
          <w:tcPr>
            <w:tcW w:w="900" w:type="dxa"/>
            <w:tcBorders>
              <w:top w:val="nil"/>
              <w:left w:val="nil"/>
              <w:bottom w:val="nil"/>
              <w:right w:val="nil"/>
            </w:tcBorders>
            <w:shd w:val="clear" w:color="auto" w:fill="auto"/>
            <w:noWrap/>
            <w:vAlign w:val="bottom"/>
            <w:hideMark/>
          </w:tcPr>
          <w:p w14:paraId="58F9222D"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34,000 </w:t>
            </w:r>
          </w:p>
        </w:tc>
        <w:tc>
          <w:tcPr>
            <w:tcW w:w="900" w:type="dxa"/>
            <w:tcBorders>
              <w:top w:val="nil"/>
              <w:left w:val="nil"/>
              <w:bottom w:val="nil"/>
              <w:right w:val="nil"/>
            </w:tcBorders>
            <w:shd w:val="clear" w:color="auto" w:fill="auto"/>
            <w:noWrap/>
            <w:vAlign w:val="bottom"/>
            <w:hideMark/>
          </w:tcPr>
          <w:p w14:paraId="68A10597"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4606B9E"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5,000 </w:t>
            </w:r>
          </w:p>
        </w:tc>
        <w:tc>
          <w:tcPr>
            <w:tcW w:w="900" w:type="dxa"/>
            <w:tcBorders>
              <w:top w:val="nil"/>
              <w:left w:val="nil"/>
              <w:bottom w:val="nil"/>
              <w:right w:val="nil"/>
            </w:tcBorders>
            <w:shd w:val="clear" w:color="auto" w:fill="auto"/>
            <w:noWrap/>
            <w:vAlign w:val="bottom"/>
            <w:hideMark/>
          </w:tcPr>
          <w:p w14:paraId="020D463F"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15,000 </w:t>
            </w:r>
          </w:p>
        </w:tc>
      </w:tr>
      <w:tr w:rsidR="00B50F66" w:rsidRPr="00B50F66" w14:paraId="3919A56B" w14:textId="77777777" w:rsidTr="00907B53">
        <w:trPr>
          <w:trHeight w:val="283"/>
          <w:jc w:val="center"/>
        </w:trPr>
        <w:tc>
          <w:tcPr>
            <w:tcW w:w="4060" w:type="dxa"/>
            <w:tcBorders>
              <w:top w:val="nil"/>
              <w:left w:val="nil"/>
              <w:bottom w:val="nil"/>
              <w:right w:val="nil"/>
            </w:tcBorders>
            <w:shd w:val="clear" w:color="000000" w:fill="FFFFFF"/>
            <w:vAlign w:val="bottom"/>
            <w:hideMark/>
          </w:tcPr>
          <w:p w14:paraId="5FE53C75"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Funding for the Deloraine Junior Football Club</w:t>
            </w:r>
          </w:p>
        </w:tc>
        <w:tc>
          <w:tcPr>
            <w:tcW w:w="900" w:type="dxa"/>
            <w:tcBorders>
              <w:top w:val="nil"/>
              <w:left w:val="nil"/>
              <w:bottom w:val="nil"/>
              <w:right w:val="nil"/>
            </w:tcBorders>
            <w:shd w:val="clear" w:color="auto" w:fill="auto"/>
            <w:noWrap/>
            <w:vAlign w:val="bottom"/>
            <w:hideMark/>
          </w:tcPr>
          <w:p w14:paraId="784D3336"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8 </w:t>
            </w:r>
          </w:p>
        </w:tc>
        <w:tc>
          <w:tcPr>
            <w:tcW w:w="900" w:type="dxa"/>
            <w:tcBorders>
              <w:top w:val="nil"/>
              <w:left w:val="nil"/>
              <w:bottom w:val="nil"/>
              <w:right w:val="nil"/>
            </w:tcBorders>
            <w:shd w:val="clear" w:color="auto" w:fill="auto"/>
            <w:noWrap/>
            <w:vAlign w:val="bottom"/>
            <w:hideMark/>
          </w:tcPr>
          <w:p w14:paraId="44B28F3C"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12DCAF0"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4CF205F"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r>
      <w:tr w:rsidR="00B50F66" w:rsidRPr="00B50F66" w14:paraId="6FEF5420" w14:textId="77777777" w:rsidTr="00907B53">
        <w:trPr>
          <w:trHeight w:val="283"/>
          <w:jc w:val="center"/>
        </w:trPr>
        <w:tc>
          <w:tcPr>
            <w:tcW w:w="4060" w:type="dxa"/>
            <w:tcBorders>
              <w:top w:val="nil"/>
              <w:left w:val="nil"/>
              <w:bottom w:val="nil"/>
              <w:right w:val="nil"/>
            </w:tcBorders>
            <w:shd w:val="clear" w:color="000000" w:fill="FFFFFF"/>
            <w:vAlign w:val="bottom"/>
            <w:hideMark/>
          </w:tcPr>
          <w:p w14:paraId="27EBC999"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Netball Australia - reprofile of funding</w:t>
            </w:r>
          </w:p>
        </w:tc>
        <w:tc>
          <w:tcPr>
            <w:tcW w:w="900" w:type="dxa"/>
            <w:tcBorders>
              <w:top w:val="nil"/>
              <w:left w:val="nil"/>
              <w:bottom w:val="nil"/>
              <w:right w:val="nil"/>
            </w:tcBorders>
            <w:shd w:val="clear" w:color="auto" w:fill="auto"/>
            <w:noWrap/>
            <w:vAlign w:val="bottom"/>
            <w:hideMark/>
          </w:tcPr>
          <w:p w14:paraId="1BA1B040"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17,825 </w:t>
            </w:r>
          </w:p>
        </w:tc>
        <w:tc>
          <w:tcPr>
            <w:tcW w:w="900" w:type="dxa"/>
            <w:tcBorders>
              <w:top w:val="nil"/>
              <w:left w:val="nil"/>
              <w:bottom w:val="nil"/>
              <w:right w:val="nil"/>
            </w:tcBorders>
            <w:shd w:val="clear" w:color="auto" w:fill="auto"/>
            <w:noWrap/>
            <w:vAlign w:val="bottom"/>
            <w:hideMark/>
          </w:tcPr>
          <w:p w14:paraId="24F34D89"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4F242C9"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CF8CD77"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r>
      <w:tr w:rsidR="00B50F66" w:rsidRPr="00B50F66" w14:paraId="16C7071A" w14:textId="77777777" w:rsidTr="00907B53">
        <w:trPr>
          <w:trHeight w:val="454"/>
          <w:jc w:val="center"/>
        </w:trPr>
        <w:tc>
          <w:tcPr>
            <w:tcW w:w="4060" w:type="dxa"/>
            <w:tcBorders>
              <w:top w:val="nil"/>
              <w:left w:val="nil"/>
              <w:bottom w:val="nil"/>
              <w:right w:val="nil"/>
            </w:tcBorders>
            <w:shd w:val="clear" w:color="000000" w:fill="FFFFFF"/>
            <w:vAlign w:val="bottom"/>
            <w:hideMark/>
          </w:tcPr>
          <w:p w14:paraId="4B7B403E"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Rugby World Cup &amp; Women's Rugby World Cup - reprofile of funding</w:t>
            </w:r>
          </w:p>
        </w:tc>
        <w:tc>
          <w:tcPr>
            <w:tcW w:w="900" w:type="dxa"/>
            <w:tcBorders>
              <w:top w:val="nil"/>
              <w:left w:val="nil"/>
              <w:bottom w:val="nil"/>
              <w:right w:val="nil"/>
            </w:tcBorders>
            <w:shd w:val="clear" w:color="auto" w:fill="auto"/>
            <w:noWrap/>
            <w:vAlign w:val="bottom"/>
            <w:hideMark/>
          </w:tcPr>
          <w:p w14:paraId="525C64A9"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2,500 </w:t>
            </w:r>
          </w:p>
        </w:tc>
        <w:tc>
          <w:tcPr>
            <w:tcW w:w="900" w:type="dxa"/>
            <w:tcBorders>
              <w:top w:val="nil"/>
              <w:left w:val="nil"/>
              <w:bottom w:val="nil"/>
              <w:right w:val="nil"/>
            </w:tcBorders>
            <w:shd w:val="clear" w:color="auto" w:fill="auto"/>
            <w:noWrap/>
            <w:vAlign w:val="bottom"/>
            <w:hideMark/>
          </w:tcPr>
          <w:p w14:paraId="3D8E94F1"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1F4AA75"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23C1A3A"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r>
      <w:tr w:rsidR="00B50F66" w:rsidRPr="00B50F66" w14:paraId="7864DA19" w14:textId="77777777" w:rsidTr="00907B53">
        <w:trPr>
          <w:trHeight w:val="454"/>
          <w:jc w:val="center"/>
        </w:trPr>
        <w:tc>
          <w:tcPr>
            <w:tcW w:w="4060" w:type="dxa"/>
            <w:tcBorders>
              <w:top w:val="nil"/>
              <w:left w:val="nil"/>
              <w:bottom w:val="nil"/>
              <w:right w:val="nil"/>
            </w:tcBorders>
            <w:shd w:val="clear" w:color="000000" w:fill="FFFFFF"/>
            <w:vAlign w:val="bottom"/>
            <w:hideMark/>
          </w:tcPr>
          <w:p w14:paraId="6C6836BA"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Transfer of funding from the Department of Infrastructure - various projects</w:t>
            </w:r>
          </w:p>
        </w:tc>
        <w:tc>
          <w:tcPr>
            <w:tcW w:w="900" w:type="dxa"/>
            <w:tcBorders>
              <w:top w:val="nil"/>
              <w:left w:val="nil"/>
              <w:bottom w:val="nil"/>
              <w:right w:val="nil"/>
            </w:tcBorders>
            <w:shd w:val="clear" w:color="auto" w:fill="auto"/>
            <w:noWrap/>
            <w:vAlign w:val="bottom"/>
            <w:hideMark/>
          </w:tcPr>
          <w:p w14:paraId="750865F1"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1,134 </w:t>
            </w:r>
          </w:p>
        </w:tc>
        <w:tc>
          <w:tcPr>
            <w:tcW w:w="900" w:type="dxa"/>
            <w:tcBorders>
              <w:top w:val="nil"/>
              <w:left w:val="nil"/>
              <w:bottom w:val="nil"/>
              <w:right w:val="nil"/>
            </w:tcBorders>
            <w:shd w:val="clear" w:color="auto" w:fill="auto"/>
            <w:noWrap/>
            <w:vAlign w:val="bottom"/>
            <w:hideMark/>
          </w:tcPr>
          <w:p w14:paraId="5E3BCFCD"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379FD20D"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094A09C1"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r>
      <w:tr w:rsidR="00B50F66" w:rsidRPr="00B50F66" w14:paraId="3BC3A41B" w14:textId="77777777" w:rsidTr="000C6AD5">
        <w:trPr>
          <w:trHeight w:val="283"/>
          <w:jc w:val="center"/>
        </w:trPr>
        <w:tc>
          <w:tcPr>
            <w:tcW w:w="4060" w:type="dxa"/>
            <w:tcBorders>
              <w:top w:val="nil"/>
              <w:left w:val="nil"/>
              <w:bottom w:val="nil"/>
              <w:right w:val="nil"/>
            </w:tcBorders>
            <w:shd w:val="clear" w:color="000000" w:fill="FFFFFF"/>
            <w:noWrap/>
            <w:vAlign w:val="bottom"/>
            <w:hideMark/>
          </w:tcPr>
          <w:p w14:paraId="500FD8A2"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 xml:space="preserve">Price parameter adjustments </w:t>
            </w:r>
            <w:r w:rsidRPr="00B50F66">
              <w:rPr>
                <w:rFonts w:ascii="Arial" w:hAnsi="Arial" w:cs="Arial"/>
                <w:sz w:val="16"/>
                <w:szCs w:val="16"/>
                <w:vertAlign w:val="superscript"/>
              </w:rPr>
              <w:t>(a)</w:t>
            </w:r>
          </w:p>
        </w:tc>
        <w:tc>
          <w:tcPr>
            <w:tcW w:w="900" w:type="dxa"/>
            <w:tcBorders>
              <w:top w:val="nil"/>
              <w:left w:val="nil"/>
              <w:bottom w:val="single" w:sz="4" w:space="0" w:color="auto"/>
              <w:right w:val="nil"/>
            </w:tcBorders>
            <w:shd w:val="clear" w:color="auto" w:fill="auto"/>
            <w:noWrap/>
            <w:vAlign w:val="bottom"/>
            <w:hideMark/>
          </w:tcPr>
          <w:p w14:paraId="0AF699E5"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 </w:t>
            </w:r>
          </w:p>
        </w:tc>
        <w:tc>
          <w:tcPr>
            <w:tcW w:w="900" w:type="dxa"/>
            <w:tcBorders>
              <w:top w:val="nil"/>
              <w:left w:val="nil"/>
              <w:bottom w:val="single" w:sz="4" w:space="0" w:color="auto"/>
              <w:right w:val="nil"/>
            </w:tcBorders>
            <w:shd w:val="clear" w:color="auto" w:fill="auto"/>
            <w:noWrap/>
            <w:vAlign w:val="bottom"/>
            <w:hideMark/>
          </w:tcPr>
          <w:p w14:paraId="317A8DE8"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36 </w:t>
            </w:r>
          </w:p>
        </w:tc>
        <w:tc>
          <w:tcPr>
            <w:tcW w:w="900" w:type="dxa"/>
            <w:tcBorders>
              <w:top w:val="nil"/>
              <w:left w:val="nil"/>
              <w:bottom w:val="single" w:sz="4" w:space="0" w:color="auto"/>
              <w:right w:val="nil"/>
            </w:tcBorders>
            <w:shd w:val="clear" w:color="auto" w:fill="auto"/>
            <w:noWrap/>
            <w:vAlign w:val="bottom"/>
            <w:hideMark/>
          </w:tcPr>
          <w:p w14:paraId="45A2BB19"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80 </w:t>
            </w:r>
          </w:p>
        </w:tc>
        <w:tc>
          <w:tcPr>
            <w:tcW w:w="900" w:type="dxa"/>
            <w:tcBorders>
              <w:top w:val="nil"/>
              <w:left w:val="nil"/>
              <w:bottom w:val="single" w:sz="4" w:space="0" w:color="auto"/>
              <w:right w:val="nil"/>
            </w:tcBorders>
            <w:shd w:val="clear" w:color="auto" w:fill="auto"/>
            <w:noWrap/>
            <w:vAlign w:val="bottom"/>
            <w:hideMark/>
          </w:tcPr>
          <w:p w14:paraId="0EF0824E" w14:textId="77777777" w:rsidR="00B50F66" w:rsidRPr="00B50F66" w:rsidRDefault="00B50F66" w:rsidP="00B50F66">
            <w:pPr>
              <w:spacing w:before="0" w:after="0" w:line="240" w:lineRule="auto"/>
              <w:jc w:val="right"/>
              <w:rPr>
                <w:rFonts w:ascii="Arial" w:hAnsi="Arial" w:cs="Arial"/>
                <w:sz w:val="16"/>
                <w:szCs w:val="16"/>
              </w:rPr>
            </w:pPr>
            <w:r w:rsidRPr="00B50F66">
              <w:rPr>
                <w:rFonts w:ascii="Arial" w:hAnsi="Arial" w:cs="Arial"/>
                <w:sz w:val="16"/>
                <w:szCs w:val="16"/>
              </w:rPr>
              <w:t xml:space="preserve">92 </w:t>
            </w:r>
          </w:p>
        </w:tc>
      </w:tr>
      <w:tr w:rsidR="00B50F66" w:rsidRPr="00B50F66" w14:paraId="12057EAF" w14:textId="77777777" w:rsidTr="000C6AD5">
        <w:trPr>
          <w:trHeight w:val="283"/>
          <w:jc w:val="center"/>
        </w:trPr>
        <w:tc>
          <w:tcPr>
            <w:tcW w:w="4060" w:type="dxa"/>
            <w:tcBorders>
              <w:top w:val="nil"/>
              <w:left w:val="nil"/>
              <w:right w:val="nil"/>
            </w:tcBorders>
            <w:shd w:val="clear" w:color="auto" w:fill="auto"/>
            <w:noWrap/>
            <w:vAlign w:val="bottom"/>
            <w:hideMark/>
          </w:tcPr>
          <w:p w14:paraId="5B7B7B5F" w14:textId="77777777" w:rsidR="00B50F66" w:rsidRPr="00B50F66" w:rsidRDefault="00B50F66" w:rsidP="00B50F66">
            <w:pPr>
              <w:spacing w:before="0" w:after="0" w:line="240" w:lineRule="auto"/>
              <w:rPr>
                <w:rFonts w:ascii="Arial" w:hAnsi="Arial" w:cs="Arial"/>
                <w:sz w:val="16"/>
                <w:szCs w:val="16"/>
              </w:rPr>
            </w:pPr>
            <w:r w:rsidRPr="00B50F66">
              <w:rPr>
                <w:rFonts w:ascii="Arial" w:hAnsi="Arial" w:cs="Arial"/>
                <w:sz w:val="16"/>
                <w:szCs w:val="16"/>
              </w:rPr>
              <w:t> </w:t>
            </w:r>
          </w:p>
        </w:tc>
        <w:tc>
          <w:tcPr>
            <w:tcW w:w="900" w:type="dxa"/>
            <w:tcBorders>
              <w:top w:val="single" w:sz="4" w:space="0" w:color="auto"/>
              <w:left w:val="nil"/>
              <w:bottom w:val="single" w:sz="4" w:space="0" w:color="auto"/>
              <w:right w:val="nil"/>
            </w:tcBorders>
            <w:shd w:val="clear" w:color="000000" w:fill="FFFFFF"/>
            <w:noWrap/>
            <w:vAlign w:val="bottom"/>
            <w:hideMark/>
          </w:tcPr>
          <w:p w14:paraId="2B38C401" w14:textId="77777777" w:rsidR="00B50F66" w:rsidRPr="00B50F66" w:rsidRDefault="00B50F66" w:rsidP="00B50F66">
            <w:pPr>
              <w:spacing w:before="0" w:after="0" w:line="240" w:lineRule="auto"/>
              <w:jc w:val="right"/>
              <w:rPr>
                <w:rFonts w:ascii="Arial" w:hAnsi="Arial" w:cs="Arial"/>
                <w:b/>
                <w:bCs/>
                <w:sz w:val="16"/>
                <w:szCs w:val="16"/>
              </w:rPr>
            </w:pPr>
            <w:r w:rsidRPr="00B50F66">
              <w:rPr>
                <w:rFonts w:ascii="Arial" w:hAnsi="Arial" w:cs="Arial"/>
                <w:b/>
                <w:bCs/>
                <w:sz w:val="16"/>
                <w:szCs w:val="16"/>
              </w:rPr>
              <w:t xml:space="preserve">56,742 </w:t>
            </w:r>
          </w:p>
        </w:tc>
        <w:tc>
          <w:tcPr>
            <w:tcW w:w="900" w:type="dxa"/>
            <w:tcBorders>
              <w:top w:val="single" w:sz="4" w:space="0" w:color="auto"/>
              <w:left w:val="nil"/>
              <w:bottom w:val="single" w:sz="4" w:space="0" w:color="auto"/>
              <w:right w:val="nil"/>
            </w:tcBorders>
            <w:shd w:val="clear" w:color="000000" w:fill="FFFFFF"/>
            <w:noWrap/>
            <w:vAlign w:val="bottom"/>
            <w:hideMark/>
          </w:tcPr>
          <w:p w14:paraId="3BC421B2" w14:textId="77777777" w:rsidR="00B50F66" w:rsidRPr="00B50F66" w:rsidRDefault="00B50F66" w:rsidP="00B50F66">
            <w:pPr>
              <w:spacing w:before="0" w:after="0" w:line="240" w:lineRule="auto"/>
              <w:jc w:val="right"/>
              <w:rPr>
                <w:rFonts w:ascii="Arial" w:hAnsi="Arial" w:cs="Arial"/>
                <w:b/>
                <w:bCs/>
                <w:sz w:val="16"/>
                <w:szCs w:val="16"/>
              </w:rPr>
            </w:pPr>
            <w:r w:rsidRPr="00B50F66">
              <w:rPr>
                <w:rFonts w:ascii="Arial" w:hAnsi="Arial" w:cs="Arial"/>
                <w:b/>
                <w:bCs/>
                <w:sz w:val="16"/>
                <w:szCs w:val="16"/>
              </w:rPr>
              <w:t xml:space="preserve">90,066 </w:t>
            </w:r>
          </w:p>
        </w:tc>
        <w:tc>
          <w:tcPr>
            <w:tcW w:w="900" w:type="dxa"/>
            <w:tcBorders>
              <w:top w:val="single" w:sz="4" w:space="0" w:color="auto"/>
              <w:left w:val="nil"/>
              <w:bottom w:val="single" w:sz="4" w:space="0" w:color="auto"/>
              <w:right w:val="nil"/>
            </w:tcBorders>
            <w:shd w:val="clear" w:color="000000" w:fill="FFFFFF"/>
            <w:noWrap/>
            <w:vAlign w:val="bottom"/>
            <w:hideMark/>
          </w:tcPr>
          <w:p w14:paraId="6E4D8081" w14:textId="77777777" w:rsidR="00B50F66" w:rsidRPr="00B50F66" w:rsidRDefault="00B50F66" w:rsidP="00B50F66">
            <w:pPr>
              <w:spacing w:before="0" w:after="0" w:line="240" w:lineRule="auto"/>
              <w:jc w:val="right"/>
              <w:rPr>
                <w:rFonts w:ascii="Arial" w:hAnsi="Arial" w:cs="Arial"/>
                <w:b/>
                <w:bCs/>
                <w:sz w:val="16"/>
                <w:szCs w:val="16"/>
              </w:rPr>
            </w:pPr>
            <w:r w:rsidRPr="00B50F66">
              <w:rPr>
                <w:rFonts w:ascii="Arial" w:hAnsi="Arial" w:cs="Arial"/>
                <w:b/>
                <w:bCs/>
                <w:sz w:val="16"/>
                <w:szCs w:val="16"/>
              </w:rPr>
              <w:t xml:space="preserve">75,100 </w:t>
            </w:r>
          </w:p>
        </w:tc>
        <w:tc>
          <w:tcPr>
            <w:tcW w:w="900" w:type="dxa"/>
            <w:tcBorders>
              <w:top w:val="single" w:sz="4" w:space="0" w:color="auto"/>
              <w:left w:val="nil"/>
              <w:bottom w:val="single" w:sz="4" w:space="0" w:color="auto"/>
              <w:right w:val="nil"/>
            </w:tcBorders>
            <w:shd w:val="clear" w:color="000000" w:fill="FFFFFF"/>
            <w:noWrap/>
            <w:vAlign w:val="bottom"/>
            <w:hideMark/>
          </w:tcPr>
          <w:p w14:paraId="2E47C2B6" w14:textId="77777777" w:rsidR="00B50F66" w:rsidRPr="00B50F66" w:rsidRDefault="00B50F66" w:rsidP="00B50F66">
            <w:pPr>
              <w:spacing w:before="0" w:after="0" w:line="240" w:lineRule="auto"/>
              <w:jc w:val="right"/>
              <w:rPr>
                <w:rFonts w:ascii="Arial" w:hAnsi="Arial" w:cs="Arial"/>
                <w:b/>
                <w:bCs/>
                <w:sz w:val="16"/>
                <w:szCs w:val="16"/>
              </w:rPr>
            </w:pPr>
            <w:r w:rsidRPr="00B50F66">
              <w:rPr>
                <w:rFonts w:ascii="Arial" w:hAnsi="Arial" w:cs="Arial"/>
                <w:b/>
                <w:bCs/>
                <w:sz w:val="16"/>
                <w:szCs w:val="16"/>
              </w:rPr>
              <w:t xml:space="preserve">47,208 </w:t>
            </w:r>
          </w:p>
        </w:tc>
      </w:tr>
      <w:tr w:rsidR="00693AEB" w:rsidRPr="00693AEB" w14:paraId="3AF621D3" w14:textId="77777777" w:rsidTr="000C6AD5">
        <w:trPr>
          <w:trHeight w:val="283"/>
          <w:jc w:val="center"/>
        </w:trPr>
        <w:tc>
          <w:tcPr>
            <w:tcW w:w="4060" w:type="dxa"/>
            <w:tcBorders>
              <w:left w:val="nil"/>
              <w:right w:val="nil"/>
            </w:tcBorders>
            <w:shd w:val="clear" w:color="auto" w:fill="auto"/>
            <w:noWrap/>
            <w:vAlign w:val="bottom"/>
            <w:hideMark/>
          </w:tcPr>
          <w:p w14:paraId="7945D4A8" w14:textId="77777777" w:rsidR="00693AEB" w:rsidRPr="00693AEB" w:rsidRDefault="00693AEB" w:rsidP="00693AEB">
            <w:pPr>
              <w:spacing w:before="0" w:after="0" w:line="240" w:lineRule="auto"/>
              <w:rPr>
                <w:rFonts w:ascii="Arial" w:hAnsi="Arial" w:cs="Arial"/>
                <w:b/>
                <w:sz w:val="16"/>
                <w:szCs w:val="16"/>
              </w:rPr>
            </w:pPr>
            <w:r w:rsidRPr="00693AEB">
              <w:rPr>
                <w:rFonts w:ascii="Arial" w:hAnsi="Arial" w:cs="Arial"/>
                <w:b/>
                <w:sz w:val="16"/>
                <w:szCs w:val="16"/>
              </w:rPr>
              <w:t>Outcome 4: Sport and Physical Activity</w:t>
            </w:r>
          </w:p>
        </w:tc>
        <w:tc>
          <w:tcPr>
            <w:tcW w:w="900" w:type="dxa"/>
            <w:tcBorders>
              <w:top w:val="single" w:sz="4" w:space="0" w:color="auto"/>
              <w:left w:val="nil"/>
              <w:right w:val="nil"/>
            </w:tcBorders>
            <w:shd w:val="clear" w:color="000000" w:fill="FFFFFF"/>
            <w:noWrap/>
            <w:vAlign w:val="bottom"/>
            <w:hideMark/>
          </w:tcPr>
          <w:p w14:paraId="06FC216D"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000000" w:fill="FFFFFF"/>
            <w:noWrap/>
            <w:vAlign w:val="bottom"/>
            <w:hideMark/>
          </w:tcPr>
          <w:p w14:paraId="119B17C2"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000000" w:fill="FFFFFF"/>
            <w:noWrap/>
            <w:vAlign w:val="bottom"/>
            <w:hideMark/>
          </w:tcPr>
          <w:p w14:paraId="05EB3A0F"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top w:val="single" w:sz="4" w:space="0" w:color="auto"/>
              <w:left w:val="nil"/>
              <w:right w:val="nil"/>
            </w:tcBorders>
            <w:shd w:val="clear" w:color="000000" w:fill="FFFFFF"/>
            <w:noWrap/>
            <w:vAlign w:val="bottom"/>
            <w:hideMark/>
          </w:tcPr>
          <w:p w14:paraId="2C1EF6FD" w14:textId="77777777" w:rsidR="00693AEB" w:rsidRPr="00693AEB" w:rsidRDefault="00693AEB" w:rsidP="00693AEB">
            <w:pPr>
              <w:spacing w:before="0" w:after="0" w:line="240" w:lineRule="auto"/>
              <w:jc w:val="right"/>
              <w:rPr>
                <w:rFonts w:ascii="Arial" w:hAnsi="Arial" w:cs="Arial"/>
                <w:b/>
                <w:bCs/>
                <w:sz w:val="16"/>
                <w:szCs w:val="16"/>
              </w:rPr>
            </w:pPr>
          </w:p>
        </w:tc>
      </w:tr>
      <w:tr w:rsidR="00693AEB" w:rsidRPr="00693AEB" w14:paraId="6D1D1426" w14:textId="77777777" w:rsidTr="00A65113">
        <w:trPr>
          <w:trHeight w:val="283"/>
          <w:jc w:val="center"/>
        </w:trPr>
        <w:tc>
          <w:tcPr>
            <w:tcW w:w="4060" w:type="dxa"/>
            <w:tcBorders>
              <w:left w:val="nil"/>
              <w:right w:val="nil"/>
            </w:tcBorders>
            <w:shd w:val="clear" w:color="auto" w:fill="auto"/>
            <w:noWrap/>
            <w:vAlign w:val="bottom"/>
            <w:hideMark/>
          </w:tcPr>
          <w:p w14:paraId="0F7C744C" w14:textId="77777777" w:rsidR="00693AEB" w:rsidRPr="00693AEB" w:rsidRDefault="00693AEB" w:rsidP="00693AEB">
            <w:pPr>
              <w:spacing w:before="0" w:after="0" w:line="240" w:lineRule="auto"/>
              <w:rPr>
                <w:rFonts w:ascii="Arial" w:hAnsi="Arial" w:cs="Arial"/>
                <w:b/>
                <w:sz w:val="16"/>
                <w:szCs w:val="16"/>
              </w:rPr>
            </w:pPr>
            <w:r w:rsidRPr="00693AEB">
              <w:rPr>
                <w:rFonts w:ascii="Arial" w:hAnsi="Arial" w:cs="Arial"/>
                <w:b/>
                <w:sz w:val="16"/>
                <w:szCs w:val="16"/>
              </w:rPr>
              <w:t>Changes to departmental appropriations</w:t>
            </w:r>
          </w:p>
        </w:tc>
        <w:tc>
          <w:tcPr>
            <w:tcW w:w="900" w:type="dxa"/>
            <w:tcBorders>
              <w:left w:val="nil"/>
              <w:right w:val="nil"/>
            </w:tcBorders>
            <w:shd w:val="clear" w:color="000000" w:fill="FFFFFF"/>
            <w:noWrap/>
            <w:vAlign w:val="bottom"/>
            <w:hideMark/>
          </w:tcPr>
          <w:p w14:paraId="34863684"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1BE6348E"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697AF3D1"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2CE876AA" w14:textId="77777777" w:rsidR="00693AEB" w:rsidRPr="00693AEB" w:rsidRDefault="00693AEB" w:rsidP="00693AEB">
            <w:pPr>
              <w:spacing w:before="0" w:after="0" w:line="240" w:lineRule="auto"/>
              <w:jc w:val="right"/>
              <w:rPr>
                <w:rFonts w:ascii="Arial" w:hAnsi="Arial" w:cs="Arial"/>
                <w:b/>
                <w:bCs/>
                <w:sz w:val="16"/>
                <w:szCs w:val="16"/>
              </w:rPr>
            </w:pPr>
          </w:p>
        </w:tc>
      </w:tr>
      <w:tr w:rsidR="00693AEB" w:rsidRPr="00693AEB" w14:paraId="503C0ADB" w14:textId="77777777" w:rsidTr="00A65113">
        <w:trPr>
          <w:trHeight w:val="283"/>
          <w:jc w:val="center"/>
        </w:trPr>
        <w:tc>
          <w:tcPr>
            <w:tcW w:w="4060" w:type="dxa"/>
            <w:tcBorders>
              <w:left w:val="nil"/>
              <w:right w:val="nil"/>
            </w:tcBorders>
            <w:shd w:val="clear" w:color="auto" w:fill="auto"/>
            <w:noWrap/>
            <w:vAlign w:val="bottom"/>
            <w:hideMark/>
          </w:tcPr>
          <w:p w14:paraId="0F9ADF15" w14:textId="77777777" w:rsidR="00693AEB" w:rsidRPr="00693AEB" w:rsidRDefault="00693AEB" w:rsidP="00693AEB">
            <w:pPr>
              <w:spacing w:before="0" w:after="0" w:line="240" w:lineRule="auto"/>
              <w:rPr>
                <w:rFonts w:ascii="Arial" w:hAnsi="Arial" w:cs="Arial"/>
                <w:sz w:val="16"/>
                <w:szCs w:val="16"/>
              </w:rPr>
            </w:pPr>
            <w:r w:rsidRPr="00693AEB">
              <w:rPr>
                <w:rFonts w:ascii="Arial" w:hAnsi="Arial" w:cs="Arial"/>
                <w:sz w:val="16"/>
                <w:szCs w:val="16"/>
              </w:rPr>
              <w:t>Appropriation Bill (No. 3)</w:t>
            </w:r>
          </w:p>
        </w:tc>
        <w:tc>
          <w:tcPr>
            <w:tcW w:w="900" w:type="dxa"/>
            <w:tcBorders>
              <w:left w:val="nil"/>
              <w:right w:val="nil"/>
            </w:tcBorders>
            <w:shd w:val="clear" w:color="000000" w:fill="FFFFFF"/>
            <w:noWrap/>
            <w:vAlign w:val="bottom"/>
            <w:hideMark/>
          </w:tcPr>
          <w:p w14:paraId="436CE40C"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43757BC6"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0D1A257D" w14:textId="77777777" w:rsidR="00693AEB" w:rsidRPr="00693AEB" w:rsidRDefault="00693AEB" w:rsidP="00693AEB">
            <w:pPr>
              <w:spacing w:before="0" w:after="0" w:line="240" w:lineRule="auto"/>
              <w:jc w:val="right"/>
              <w:rPr>
                <w:rFonts w:ascii="Arial" w:hAnsi="Arial" w:cs="Arial"/>
                <w:b/>
                <w:bCs/>
                <w:sz w:val="16"/>
                <w:szCs w:val="16"/>
              </w:rPr>
            </w:pPr>
          </w:p>
        </w:tc>
        <w:tc>
          <w:tcPr>
            <w:tcW w:w="900" w:type="dxa"/>
            <w:tcBorders>
              <w:left w:val="nil"/>
              <w:right w:val="nil"/>
            </w:tcBorders>
            <w:shd w:val="clear" w:color="000000" w:fill="FFFFFF"/>
            <w:noWrap/>
            <w:vAlign w:val="bottom"/>
            <w:hideMark/>
          </w:tcPr>
          <w:p w14:paraId="3F1CD59F" w14:textId="77777777" w:rsidR="00693AEB" w:rsidRPr="00693AEB" w:rsidRDefault="00693AEB" w:rsidP="00693AEB">
            <w:pPr>
              <w:spacing w:before="0" w:after="0" w:line="240" w:lineRule="auto"/>
              <w:jc w:val="right"/>
              <w:rPr>
                <w:rFonts w:ascii="Arial" w:hAnsi="Arial" w:cs="Arial"/>
                <w:b/>
                <w:bCs/>
                <w:sz w:val="16"/>
                <w:szCs w:val="16"/>
              </w:rPr>
            </w:pPr>
          </w:p>
        </w:tc>
      </w:tr>
      <w:tr w:rsidR="00693AEB" w:rsidRPr="00693AEB" w14:paraId="1184ED70" w14:textId="77777777" w:rsidTr="00A65113">
        <w:trPr>
          <w:trHeight w:val="283"/>
          <w:jc w:val="center"/>
        </w:trPr>
        <w:tc>
          <w:tcPr>
            <w:tcW w:w="4060" w:type="dxa"/>
            <w:tcBorders>
              <w:left w:val="nil"/>
              <w:right w:val="nil"/>
            </w:tcBorders>
            <w:shd w:val="clear" w:color="auto" w:fill="auto"/>
            <w:noWrap/>
            <w:vAlign w:val="bottom"/>
            <w:hideMark/>
          </w:tcPr>
          <w:p w14:paraId="2A794216" w14:textId="77777777" w:rsidR="00693AEB" w:rsidRPr="00693AEB" w:rsidRDefault="00693AEB" w:rsidP="00693AEB">
            <w:pPr>
              <w:spacing w:before="0" w:after="0" w:line="240" w:lineRule="auto"/>
              <w:rPr>
                <w:rFonts w:ascii="Arial" w:hAnsi="Arial" w:cs="Arial"/>
                <w:sz w:val="16"/>
                <w:szCs w:val="16"/>
              </w:rPr>
            </w:pPr>
            <w:r w:rsidRPr="00693AEB">
              <w:rPr>
                <w:rFonts w:ascii="Arial" w:hAnsi="Arial" w:cs="Arial"/>
                <w:b/>
                <w:sz w:val="16"/>
                <w:szCs w:val="16"/>
              </w:rPr>
              <w:t>Measure</w:t>
            </w:r>
            <w:r w:rsidRPr="00693AEB">
              <w:rPr>
                <w:rFonts w:ascii="Arial" w:hAnsi="Arial" w:cs="Arial"/>
                <w:sz w:val="16"/>
                <w:szCs w:val="16"/>
              </w:rPr>
              <w:t xml:space="preserve"> - Supporting Physical Activity and Equitable Access for Women and Girls to Participate in Sport</w:t>
            </w:r>
          </w:p>
        </w:tc>
        <w:tc>
          <w:tcPr>
            <w:tcW w:w="900" w:type="dxa"/>
            <w:tcBorders>
              <w:left w:val="nil"/>
              <w:bottom w:val="single" w:sz="4" w:space="0" w:color="auto"/>
              <w:right w:val="nil"/>
            </w:tcBorders>
            <w:shd w:val="clear" w:color="000000" w:fill="FFFFFF"/>
            <w:noWrap/>
            <w:vAlign w:val="bottom"/>
            <w:hideMark/>
          </w:tcPr>
          <w:p w14:paraId="08E90742" w14:textId="77777777" w:rsidR="00693AEB" w:rsidRPr="00BF5B46" w:rsidRDefault="00693AEB" w:rsidP="00693AEB">
            <w:pPr>
              <w:spacing w:before="0" w:after="0" w:line="240" w:lineRule="auto"/>
              <w:jc w:val="right"/>
              <w:rPr>
                <w:rFonts w:ascii="Arial" w:hAnsi="Arial" w:cs="Arial"/>
                <w:bCs/>
                <w:sz w:val="16"/>
                <w:szCs w:val="16"/>
              </w:rPr>
            </w:pPr>
            <w:r w:rsidRPr="00BF5B46">
              <w:rPr>
                <w:rFonts w:ascii="Arial" w:hAnsi="Arial" w:cs="Arial"/>
                <w:bCs/>
                <w:sz w:val="16"/>
                <w:szCs w:val="16"/>
              </w:rPr>
              <w:t xml:space="preserve">1,641 </w:t>
            </w:r>
          </w:p>
        </w:tc>
        <w:tc>
          <w:tcPr>
            <w:tcW w:w="900" w:type="dxa"/>
            <w:tcBorders>
              <w:left w:val="nil"/>
              <w:bottom w:val="single" w:sz="4" w:space="0" w:color="auto"/>
              <w:right w:val="nil"/>
            </w:tcBorders>
            <w:shd w:val="clear" w:color="000000" w:fill="FFFFFF"/>
            <w:noWrap/>
            <w:vAlign w:val="bottom"/>
            <w:hideMark/>
          </w:tcPr>
          <w:p w14:paraId="6EC82A78" w14:textId="77777777" w:rsidR="00693AEB" w:rsidRPr="00BF5B46" w:rsidRDefault="00693AEB" w:rsidP="00693AEB">
            <w:pPr>
              <w:spacing w:before="0" w:after="0" w:line="240" w:lineRule="auto"/>
              <w:jc w:val="right"/>
              <w:rPr>
                <w:rFonts w:ascii="Arial" w:hAnsi="Arial" w:cs="Arial"/>
                <w:bCs/>
                <w:sz w:val="16"/>
                <w:szCs w:val="16"/>
              </w:rPr>
            </w:pPr>
            <w:r w:rsidRPr="00BF5B46">
              <w:rPr>
                <w:rFonts w:ascii="Arial" w:hAnsi="Arial" w:cs="Arial"/>
                <w:bCs/>
                <w:sz w:val="16"/>
                <w:szCs w:val="16"/>
              </w:rPr>
              <w:t xml:space="preserve">2,062 </w:t>
            </w:r>
          </w:p>
        </w:tc>
        <w:tc>
          <w:tcPr>
            <w:tcW w:w="900" w:type="dxa"/>
            <w:tcBorders>
              <w:left w:val="nil"/>
              <w:bottom w:val="single" w:sz="4" w:space="0" w:color="auto"/>
              <w:right w:val="nil"/>
            </w:tcBorders>
            <w:shd w:val="clear" w:color="000000" w:fill="FFFFFF"/>
            <w:noWrap/>
            <w:vAlign w:val="bottom"/>
            <w:hideMark/>
          </w:tcPr>
          <w:p w14:paraId="10121FFA" w14:textId="77777777" w:rsidR="00693AEB" w:rsidRPr="00BF5B46" w:rsidRDefault="00693AEB" w:rsidP="00693AEB">
            <w:pPr>
              <w:spacing w:before="0" w:after="0" w:line="240" w:lineRule="auto"/>
              <w:jc w:val="right"/>
              <w:rPr>
                <w:rFonts w:ascii="Arial" w:hAnsi="Arial" w:cs="Arial"/>
                <w:bCs/>
                <w:sz w:val="16"/>
                <w:szCs w:val="16"/>
              </w:rPr>
            </w:pPr>
            <w:r w:rsidRPr="00BF5B46">
              <w:rPr>
                <w:rFonts w:ascii="Arial" w:hAnsi="Arial" w:cs="Arial"/>
                <w:bCs/>
                <w:sz w:val="16"/>
                <w:szCs w:val="16"/>
              </w:rPr>
              <w:t xml:space="preserve">2,046 </w:t>
            </w:r>
          </w:p>
        </w:tc>
        <w:tc>
          <w:tcPr>
            <w:tcW w:w="900" w:type="dxa"/>
            <w:tcBorders>
              <w:left w:val="nil"/>
              <w:bottom w:val="single" w:sz="4" w:space="0" w:color="auto"/>
              <w:right w:val="nil"/>
            </w:tcBorders>
            <w:shd w:val="clear" w:color="000000" w:fill="FFFFFF"/>
            <w:noWrap/>
            <w:vAlign w:val="bottom"/>
            <w:hideMark/>
          </w:tcPr>
          <w:p w14:paraId="22618054" w14:textId="77777777" w:rsidR="00693AEB" w:rsidRPr="00BF5B46" w:rsidRDefault="00693AEB" w:rsidP="00693AEB">
            <w:pPr>
              <w:spacing w:before="0" w:after="0" w:line="240" w:lineRule="auto"/>
              <w:jc w:val="right"/>
              <w:rPr>
                <w:rFonts w:ascii="Arial" w:hAnsi="Arial" w:cs="Arial"/>
                <w:bCs/>
                <w:sz w:val="16"/>
                <w:szCs w:val="16"/>
              </w:rPr>
            </w:pPr>
            <w:r w:rsidRPr="00BF5B46">
              <w:rPr>
                <w:rFonts w:ascii="Arial" w:hAnsi="Arial" w:cs="Arial"/>
                <w:bCs/>
                <w:sz w:val="16"/>
                <w:szCs w:val="16"/>
              </w:rPr>
              <w:t xml:space="preserve">2,010 </w:t>
            </w:r>
          </w:p>
        </w:tc>
      </w:tr>
      <w:tr w:rsidR="00693AEB" w:rsidRPr="00693AEB" w14:paraId="08362B1D" w14:textId="77777777" w:rsidTr="00A65113">
        <w:trPr>
          <w:trHeight w:val="283"/>
          <w:jc w:val="center"/>
        </w:trPr>
        <w:tc>
          <w:tcPr>
            <w:tcW w:w="4060" w:type="dxa"/>
            <w:tcBorders>
              <w:left w:val="nil"/>
              <w:bottom w:val="single" w:sz="4" w:space="0" w:color="auto"/>
              <w:right w:val="nil"/>
            </w:tcBorders>
            <w:shd w:val="clear" w:color="auto" w:fill="auto"/>
            <w:noWrap/>
            <w:vAlign w:val="bottom"/>
            <w:hideMark/>
          </w:tcPr>
          <w:p w14:paraId="339589C6" w14:textId="77777777" w:rsidR="00693AEB" w:rsidRPr="00693AEB" w:rsidRDefault="00693AEB" w:rsidP="00693AEB">
            <w:pPr>
              <w:spacing w:before="0" w:after="0" w:line="240" w:lineRule="auto"/>
              <w:rPr>
                <w:rFonts w:ascii="Arial" w:hAnsi="Arial" w:cs="Arial"/>
                <w:sz w:val="16"/>
                <w:szCs w:val="16"/>
              </w:rPr>
            </w:pPr>
            <w:r w:rsidRPr="00693AEB">
              <w:rPr>
                <w:rFonts w:ascii="Arial" w:hAnsi="Arial" w:cs="Arial"/>
                <w:sz w:val="16"/>
                <w:szCs w:val="16"/>
              </w:rPr>
              <w:t> </w:t>
            </w:r>
          </w:p>
        </w:tc>
        <w:tc>
          <w:tcPr>
            <w:tcW w:w="900" w:type="dxa"/>
            <w:tcBorders>
              <w:top w:val="single" w:sz="4" w:space="0" w:color="auto"/>
              <w:left w:val="nil"/>
              <w:bottom w:val="single" w:sz="4" w:space="0" w:color="auto"/>
              <w:right w:val="nil"/>
            </w:tcBorders>
            <w:shd w:val="clear" w:color="000000" w:fill="FFFFFF"/>
            <w:noWrap/>
            <w:vAlign w:val="bottom"/>
            <w:hideMark/>
          </w:tcPr>
          <w:p w14:paraId="0AD35197" w14:textId="77777777" w:rsidR="00693AEB" w:rsidRPr="00693AEB" w:rsidRDefault="00693AEB" w:rsidP="00693AEB">
            <w:pPr>
              <w:spacing w:before="0" w:after="0" w:line="240" w:lineRule="auto"/>
              <w:jc w:val="right"/>
              <w:rPr>
                <w:rFonts w:ascii="Arial" w:hAnsi="Arial" w:cs="Arial"/>
                <w:b/>
                <w:bCs/>
                <w:sz w:val="16"/>
                <w:szCs w:val="16"/>
              </w:rPr>
            </w:pPr>
            <w:r w:rsidRPr="00693AEB">
              <w:rPr>
                <w:rFonts w:ascii="Arial" w:hAnsi="Arial" w:cs="Arial"/>
                <w:b/>
                <w:bCs/>
                <w:sz w:val="16"/>
                <w:szCs w:val="16"/>
              </w:rPr>
              <w:t xml:space="preserve">1,641 </w:t>
            </w:r>
          </w:p>
        </w:tc>
        <w:tc>
          <w:tcPr>
            <w:tcW w:w="900" w:type="dxa"/>
            <w:tcBorders>
              <w:top w:val="single" w:sz="4" w:space="0" w:color="auto"/>
              <w:left w:val="nil"/>
              <w:bottom w:val="single" w:sz="4" w:space="0" w:color="auto"/>
              <w:right w:val="nil"/>
            </w:tcBorders>
            <w:shd w:val="clear" w:color="000000" w:fill="FFFFFF"/>
            <w:noWrap/>
            <w:vAlign w:val="bottom"/>
            <w:hideMark/>
          </w:tcPr>
          <w:p w14:paraId="67EDCD78" w14:textId="77777777" w:rsidR="00693AEB" w:rsidRPr="00693AEB" w:rsidRDefault="00693AEB" w:rsidP="00693AEB">
            <w:pPr>
              <w:spacing w:before="0" w:after="0" w:line="240" w:lineRule="auto"/>
              <w:jc w:val="right"/>
              <w:rPr>
                <w:rFonts w:ascii="Arial" w:hAnsi="Arial" w:cs="Arial"/>
                <w:b/>
                <w:bCs/>
                <w:sz w:val="16"/>
                <w:szCs w:val="16"/>
              </w:rPr>
            </w:pPr>
            <w:r w:rsidRPr="00693AEB">
              <w:rPr>
                <w:rFonts w:ascii="Arial" w:hAnsi="Arial" w:cs="Arial"/>
                <w:b/>
                <w:bCs/>
                <w:sz w:val="16"/>
                <w:szCs w:val="16"/>
              </w:rPr>
              <w:t xml:space="preserve">2,062 </w:t>
            </w:r>
          </w:p>
        </w:tc>
        <w:tc>
          <w:tcPr>
            <w:tcW w:w="900" w:type="dxa"/>
            <w:tcBorders>
              <w:top w:val="single" w:sz="4" w:space="0" w:color="auto"/>
              <w:left w:val="nil"/>
              <w:bottom w:val="single" w:sz="4" w:space="0" w:color="auto"/>
              <w:right w:val="nil"/>
            </w:tcBorders>
            <w:shd w:val="clear" w:color="000000" w:fill="FFFFFF"/>
            <w:noWrap/>
            <w:vAlign w:val="bottom"/>
            <w:hideMark/>
          </w:tcPr>
          <w:p w14:paraId="28F0569A" w14:textId="77777777" w:rsidR="00693AEB" w:rsidRPr="00693AEB" w:rsidRDefault="00693AEB" w:rsidP="00693AEB">
            <w:pPr>
              <w:spacing w:before="0" w:after="0" w:line="240" w:lineRule="auto"/>
              <w:jc w:val="right"/>
              <w:rPr>
                <w:rFonts w:ascii="Arial" w:hAnsi="Arial" w:cs="Arial"/>
                <w:b/>
                <w:bCs/>
                <w:sz w:val="16"/>
                <w:szCs w:val="16"/>
              </w:rPr>
            </w:pPr>
            <w:r w:rsidRPr="00693AEB">
              <w:rPr>
                <w:rFonts w:ascii="Arial" w:hAnsi="Arial" w:cs="Arial"/>
                <w:b/>
                <w:bCs/>
                <w:sz w:val="16"/>
                <w:szCs w:val="16"/>
              </w:rPr>
              <w:t xml:space="preserve">2,046 </w:t>
            </w:r>
          </w:p>
        </w:tc>
        <w:tc>
          <w:tcPr>
            <w:tcW w:w="900" w:type="dxa"/>
            <w:tcBorders>
              <w:top w:val="single" w:sz="4" w:space="0" w:color="auto"/>
              <w:left w:val="nil"/>
              <w:bottom w:val="single" w:sz="4" w:space="0" w:color="auto"/>
              <w:right w:val="nil"/>
            </w:tcBorders>
            <w:shd w:val="clear" w:color="000000" w:fill="FFFFFF"/>
            <w:noWrap/>
            <w:vAlign w:val="bottom"/>
            <w:hideMark/>
          </w:tcPr>
          <w:p w14:paraId="27371BE7" w14:textId="77777777" w:rsidR="00693AEB" w:rsidRPr="00693AEB" w:rsidRDefault="00693AEB" w:rsidP="00693AEB">
            <w:pPr>
              <w:spacing w:before="0" w:after="0" w:line="240" w:lineRule="auto"/>
              <w:jc w:val="right"/>
              <w:rPr>
                <w:rFonts w:ascii="Arial" w:hAnsi="Arial" w:cs="Arial"/>
                <w:b/>
                <w:bCs/>
                <w:sz w:val="16"/>
                <w:szCs w:val="16"/>
              </w:rPr>
            </w:pPr>
            <w:r w:rsidRPr="00693AEB">
              <w:rPr>
                <w:rFonts w:ascii="Arial" w:hAnsi="Arial" w:cs="Arial"/>
                <w:b/>
                <w:bCs/>
                <w:sz w:val="16"/>
                <w:szCs w:val="16"/>
              </w:rPr>
              <w:t xml:space="preserve">2,010 </w:t>
            </w:r>
          </w:p>
        </w:tc>
      </w:tr>
    </w:tbl>
    <w:p w14:paraId="011DA650" w14:textId="7DED8CA2" w:rsidR="002B5B49" w:rsidRDefault="00693AEB" w:rsidP="00693AEB">
      <w:pPr>
        <w:pStyle w:val="FootnoteText"/>
        <w:numPr>
          <w:ilvl w:val="0"/>
          <w:numId w:val="54"/>
        </w:numPr>
      </w:pPr>
      <w:r w:rsidRPr="00693AEB">
        <w:t>See ex</w:t>
      </w:r>
      <w:r>
        <w:t>planation in Portfolio Glossary.</w:t>
      </w:r>
    </w:p>
    <w:p w14:paraId="665F9F2F" w14:textId="77777777" w:rsidR="002B5B49" w:rsidRDefault="002B5B49" w:rsidP="002B5B49">
      <w:pPr>
        <w:pStyle w:val="TableGraphic"/>
        <w:rPr>
          <w:b/>
          <w:bCs/>
          <w:color w:val="0000FF"/>
        </w:rPr>
      </w:pPr>
    </w:p>
    <w:p w14:paraId="1C5FAC5B" w14:textId="4C56CE4D" w:rsidR="002B5B49" w:rsidRDefault="002B5B49" w:rsidP="002B5B49">
      <w:pPr>
        <w:pStyle w:val="TableGraphic"/>
        <w:rPr>
          <w:iCs/>
        </w:rPr>
      </w:pPr>
    </w:p>
    <w:p w14:paraId="1D63DFCD" w14:textId="77777777" w:rsidR="002B5B49" w:rsidRDefault="002B5B49" w:rsidP="002B5B49">
      <w:pPr>
        <w:pStyle w:val="SingleParagraph"/>
      </w:pPr>
    </w:p>
    <w:p w14:paraId="4C27C2F7" w14:textId="66D101F7" w:rsidR="002B5B49" w:rsidRDefault="000F123C" w:rsidP="002B5B49">
      <w:pPr>
        <w:pStyle w:val="TableHeading"/>
        <w:rPr>
          <w:color w:val="FF0000"/>
        </w:rPr>
      </w:pPr>
      <w:r>
        <w:lastRenderedPageBreak/>
        <w:t>Table 2.4</w:t>
      </w:r>
      <w:r w:rsidR="002B5B49" w:rsidRPr="008E5BB7">
        <w:t xml:space="preserve">.2: </w:t>
      </w:r>
      <w:r>
        <w:t xml:space="preserve">Program </w:t>
      </w:r>
      <w:r w:rsidR="004F0C05">
        <w:t>E</w:t>
      </w:r>
      <w:r w:rsidR="00E81B71">
        <w:t xml:space="preserve">xpense table </w:t>
      </w:r>
      <w:r w:rsidR="004F0C05">
        <w:t>–</w:t>
      </w:r>
      <w:r w:rsidR="00E81B71">
        <w:t xml:space="preserve"> </w:t>
      </w:r>
      <w:r>
        <w:t>Outcome 4</w:t>
      </w:r>
      <w:r w:rsidR="002B5B49">
        <w:t xml:space="preserve"> </w:t>
      </w:r>
      <w:r w:rsidR="002B5B49" w:rsidRPr="000B4F23">
        <w:rPr>
          <w:color w:val="FF0000"/>
        </w:rPr>
        <w:t xml:space="preserve"> </w:t>
      </w:r>
    </w:p>
    <w:tbl>
      <w:tblPr>
        <w:tblW w:w="7680" w:type="dxa"/>
        <w:jc w:val="center"/>
        <w:tblLayout w:type="fixed"/>
        <w:tblLook w:val="04A0" w:firstRow="1" w:lastRow="0" w:firstColumn="1" w:lastColumn="0" w:noHBand="0" w:noVBand="1"/>
      </w:tblPr>
      <w:tblGrid>
        <w:gridCol w:w="2980"/>
        <w:gridCol w:w="934"/>
        <w:gridCol w:w="937"/>
        <w:gridCol w:w="943"/>
        <w:gridCol w:w="943"/>
        <w:gridCol w:w="943"/>
      </w:tblGrid>
      <w:tr w:rsidR="000F123C" w:rsidRPr="000F123C" w14:paraId="3B7006BA" w14:textId="77777777" w:rsidTr="000F123C">
        <w:trPr>
          <w:trHeight w:val="737"/>
          <w:jc w:val="center"/>
        </w:trPr>
        <w:tc>
          <w:tcPr>
            <w:tcW w:w="2980" w:type="dxa"/>
            <w:tcBorders>
              <w:top w:val="single" w:sz="4" w:space="0" w:color="auto"/>
              <w:left w:val="nil"/>
              <w:bottom w:val="nil"/>
              <w:right w:val="nil"/>
            </w:tcBorders>
            <w:shd w:val="clear" w:color="auto" w:fill="auto"/>
            <w:hideMark/>
          </w:tcPr>
          <w:p w14:paraId="1060E115" w14:textId="77777777" w:rsidR="000F123C" w:rsidRPr="000F123C" w:rsidRDefault="000F123C" w:rsidP="000F123C">
            <w:pPr>
              <w:spacing w:before="24" w:after="0" w:line="240" w:lineRule="auto"/>
              <w:jc w:val="right"/>
              <w:rPr>
                <w:rFonts w:ascii="Arial" w:hAnsi="Arial" w:cs="Arial"/>
                <w:b/>
                <w:bCs/>
                <w:sz w:val="16"/>
                <w:szCs w:val="16"/>
              </w:rPr>
            </w:pPr>
            <w:r w:rsidRPr="000F123C">
              <w:rPr>
                <w:rFonts w:ascii="Arial" w:hAnsi="Arial" w:cs="Arial"/>
                <w:b/>
                <w:bCs/>
                <w:sz w:val="16"/>
                <w:szCs w:val="16"/>
              </w:rPr>
              <w:t> </w:t>
            </w:r>
          </w:p>
        </w:tc>
        <w:tc>
          <w:tcPr>
            <w:tcW w:w="934" w:type="dxa"/>
            <w:tcBorders>
              <w:top w:val="single" w:sz="4" w:space="0" w:color="auto"/>
              <w:left w:val="nil"/>
              <w:bottom w:val="single" w:sz="4" w:space="0" w:color="auto"/>
              <w:right w:val="nil"/>
            </w:tcBorders>
            <w:shd w:val="clear" w:color="auto" w:fill="auto"/>
            <w:hideMark/>
          </w:tcPr>
          <w:p w14:paraId="6FA7AB4F" w14:textId="7A083E4F" w:rsidR="000F123C" w:rsidRPr="000F123C" w:rsidRDefault="00D87B92" w:rsidP="000F123C">
            <w:pPr>
              <w:spacing w:before="24" w:after="0" w:line="240" w:lineRule="auto"/>
              <w:jc w:val="right"/>
              <w:rPr>
                <w:rFonts w:ascii="Arial" w:hAnsi="Arial" w:cs="Arial"/>
                <w:b/>
                <w:bCs/>
                <w:sz w:val="16"/>
                <w:szCs w:val="16"/>
              </w:rPr>
            </w:pPr>
            <w:r>
              <w:rPr>
                <w:rFonts w:ascii="Arial" w:hAnsi="Arial" w:cs="Arial"/>
                <w:b/>
                <w:bCs/>
                <w:sz w:val="16"/>
                <w:szCs w:val="16"/>
              </w:rPr>
              <w:t>2022–</w:t>
            </w:r>
            <w:r w:rsidR="000F123C" w:rsidRPr="000F123C">
              <w:rPr>
                <w:rFonts w:ascii="Arial" w:hAnsi="Arial" w:cs="Arial"/>
                <w:b/>
                <w:bCs/>
                <w:sz w:val="16"/>
                <w:szCs w:val="16"/>
              </w:rPr>
              <w:t>23 Actual</w:t>
            </w:r>
            <w:r w:rsidR="000F123C" w:rsidRPr="000F123C">
              <w:rPr>
                <w:rFonts w:ascii="Arial" w:hAnsi="Arial" w:cs="Arial"/>
                <w:b/>
                <w:bCs/>
                <w:sz w:val="16"/>
                <w:szCs w:val="16"/>
              </w:rPr>
              <w:br/>
            </w:r>
            <w:r w:rsidR="000F123C" w:rsidRPr="000F123C">
              <w:rPr>
                <w:rFonts w:ascii="Arial" w:hAnsi="Arial" w:cs="Arial"/>
                <w:b/>
                <w:bCs/>
                <w:sz w:val="16"/>
                <w:szCs w:val="16"/>
              </w:rPr>
              <w:br/>
            </w:r>
            <w:r w:rsidR="000F123C" w:rsidRPr="000F123C">
              <w:rPr>
                <w:rFonts w:ascii="Arial" w:hAnsi="Arial" w:cs="Arial"/>
                <w:sz w:val="16"/>
                <w:szCs w:val="16"/>
              </w:rPr>
              <w:t>$'000</w:t>
            </w:r>
          </w:p>
        </w:tc>
        <w:tc>
          <w:tcPr>
            <w:tcW w:w="937" w:type="dxa"/>
            <w:tcBorders>
              <w:top w:val="single" w:sz="4" w:space="0" w:color="auto"/>
              <w:left w:val="nil"/>
              <w:bottom w:val="single" w:sz="4" w:space="0" w:color="auto"/>
              <w:right w:val="nil"/>
            </w:tcBorders>
            <w:shd w:val="clear" w:color="000000" w:fill="D9D9D9"/>
            <w:hideMark/>
          </w:tcPr>
          <w:p w14:paraId="0E63D6E2" w14:textId="68254A50" w:rsidR="000F123C" w:rsidRPr="000F123C" w:rsidRDefault="005E257D" w:rsidP="000F123C">
            <w:pPr>
              <w:spacing w:before="24" w:after="0" w:line="240" w:lineRule="auto"/>
              <w:jc w:val="right"/>
              <w:rPr>
                <w:rFonts w:ascii="Arial" w:hAnsi="Arial" w:cs="Arial"/>
                <w:b/>
                <w:bCs/>
                <w:sz w:val="16"/>
                <w:szCs w:val="16"/>
              </w:rPr>
            </w:pPr>
            <w:r>
              <w:rPr>
                <w:rFonts w:ascii="Arial" w:hAnsi="Arial" w:cs="Arial"/>
                <w:b/>
                <w:bCs/>
                <w:sz w:val="16"/>
                <w:szCs w:val="16"/>
              </w:rPr>
              <w:t>2023–2</w:t>
            </w:r>
            <w:r w:rsidR="000F123C" w:rsidRPr="000F123C">
              <w:rPr>
                <w:rFonts w:ascii="Arial" w:hAnsi="Arial" w:cs="Arial"/>
                <w:b/>
                <w:bCs/>
                <w:sz w:val="16"/>
                <w:szCs w:val="16"/>
              </w:rPr>
              <w:t>4 Revised Budget</w:t>
            </w:r>
            <w:r w:rsidR="000F123C" w:rsidRPr="000F123C">
              <w:rPr>
                <w:rFonts w:ascii="Arial" w:hAnsi="Arial" w:cs="Arial"/>
                <w:b/>
                <w:bCs/>
                <w:sz w:val="16"/>
                <w:szCs w:val="16"/>
              </w:rPr>
              <w:br/>
            </w:r>
            <w:r w:rsidR="000F123C" w:rsidRPr="000F123C">
              <w:rPr>
                <w:rFonts w:ascii="Arial" w:hAnsi="Arial" w:cs="Arial"/>
                <w:sz w:val="16"/>
                <w:szCs w:val="16"/>
              </w:rPr>
              <w:t>$'000</w:t>
            </w:r>
          </w:p>
        </w:tc>
        <w:tc>
          <w:tcPr>
            <w:tcW w:w="943" w:type="dxa"/>
            <w:tcBorders>
              <w:top w:val="single" w:sz="4" w:space="0" w:color="auto"/>
              <w:left w:val="nil"/>
              <w:bottom w:val="single" w:sz="4" w:space="0" w:color="auto"/>
              <w:right w:val="nil"/>
            </w:tcBorders>
            <w:shd w:val="clear" w:color="auto" w:fill="auto"/>
            <w:hideMark/>
          </w:tcPr>
          <w:p w14:paraId="27376635" w14:textId="3D7C6838" w:rsidR="000F123C" w:rsidRPr="000F123C" w:rsidRDefault="00D87B92" w:rsidP="000F123C">
            <w:pPr>
              <w:spacing w:before="24" w:after="0" w:line="240" w:lineRule="auto"/>
              <w:jc w:val="right"/>
              <w:rPr>
                <w:rFonts w:ascii="Arial" w:hAnsi="Arial" w:cs="Arial"/>
                <w:b/>
                <w:bCs/>
                <w:sz w:val="16"/>
                <w:szCs w:val="16"/>
              </w:rPr>
            </w:pPr>
            <w:r>
              <w:rPr>
                <w:rFonts w:ascii="Arial" w:hAnsi="Arial" w:cs="Arial"/>
                <w:b/>
                <w:bCs/>
                <w:sz w:val="16"/>
                <w:szCs w:val="16"/>
              </w:rPr>
              <w:t>2024–</w:t>
            </w:r>
            <w:r w:rsidR="000F123C" w:rsidRPr="000F123C">
              <w:rPr>
                <w:rFonts w:ascii="Arial" w:hAnsi="Arial" w:cs="Arial"/>
                <w:b/>
                <w:bCs/>
                <w:sz w:val="16"/>
                <w:szCs w:val="16"/>
              </w:rPr>
              <w:t>25 Forward Estimate</w:t>
            </w:r>
            <w:r w:rsidR="000F123C" w:rsidRPr="000F123C">
              <w:rPr>
                <w:rFonts w:ascii="Arial" w:hAnsi="Arial" w:cs="Arial"/>
                <w:b/>
                <w:bCs/>
                <w:sz w:val="16"/>
                <w:szCs w:val="16"/>
              </w:rPr>
              <w:br/>
            </w:r>
            <w:r w:rsidR="000F123C" w:rsidRPr="000F123C">
              <w:rPr>
                <w:rFonts w:ascii="Arial" w:hAnsi="Arial" w:cs="Arial"/>
                <w:sz w:val="16"/>
                <w:szCs w:val="16"/>
              </w:rPr>
              <w:t>$'000</w:t>
            </w:r>
          </w:p>
        </w:tc>
        <w:tc>
          <w:tcPr>
            <w:tcW w:w="943" w:type="dxa"/>
            <w:tcBorders>
              <w:top w:val="single" w:sz="4" w:space="0" w:color="auto"/>
              <w:left w:val="nil"/>
              <w:bottom w:val="single" w:sz="4" w:space="0" w:color="auto"/>
              <w:right w:val="nil"/>
            </w:tcBorders>
            <w:shd w:val="clear" w:color="auto" w:fill="auto"/>
            <w:hideMark/>
          </w:tcPr>
          <w:p w14:paraId="1358CB62" w14:textId="14B3942E" w:rsidR="000F123C" w:rsidRPr="000F123C" w:rsidRDefault="00D87B92" w:rsidP="000F123C">
            <w:pPr>
              <w:spacing w:before="24" w:after="0" w:line="240" w:lineRule="auto"/>
              <w:jc w:val="right"/>
              <w:rPr>
                <w:rFonts w:ascii="Arial" w:hAnsi="Arial" w:cs="Arial"/>
                <w:b/>
                <w:bCs/>
                <w:sz w:val="16"/>
                <w:szCs w:val="16"/>
              </w:rPr>
            </w:pPr>
            <w:r>
              <w:rPr>
                <w:rFonts w:ascii="Arial" w:hAnsi="Arial" w:cs="Arial"/>
                <w:b/>
                <w:bCs/>
                <w:sz w:val="16"/>
                <w:szCs w:val="16"/>
              </w:rPr>
              <w:t>2025–</w:t>
            </w:r>
            <w:r w:rsidR="000F123C" w:rsidRPr="000F123C">
              <w:rPr>
                <w:rFonts w:ascii="Arial" w:hAnsi="Arial" w:cs="Arial"/>
                <w:b/>
                <w:bCs/>
                <w:sz w:val="16"/>
                <w:szCs w:val="16"/>
              </w:rPr>
              <w:t>26 Forward Estimate</w:t>
            </w:r>
            <w:r w:rsidR="000F123C" w:rsidRPr="000F123C">
              <w:rPr>
                <w:rFonts w:ascii="Arial" w:hAnsi="Arial" w:cs="Arial"/>
                <w:b/>
                <w:bCs/>
                <w:sz w:val="16"/>
                <w:szCs w:val="16"/>
              </w:rPr>
              <w:br/>
            </w:r>
            <w:r w:rsidR="000F123C" w:rsidRPr="000F123C">
              <w:rPr>
                <w:rFonts w:ascii="Arial" w:hAnsi="Arial" w:cs="Arial"/>
                <w:sz w:val="16"/>
                <w:szCs w:val="16"/>
              </w:rPr>
              <w:t>$'000</w:t>
            </w:r>
          </w:p>
        </w:tc>
        <w:tc>
          <w:tcPr>
            <w:tcW w:w="943" w:type="dxa"/>
            <w:tcBorders>
              <w:top w:val="single" w:sz="4" w:space="0" w:color="auto"/>
              <w:left w:val="nil"/>
              <w:bottom w:val="single" w:sz="4" w:space="0" w:color="auto"/>
              <w:right w:val="nil"/>
            </w:tcBorders>
            <w:shd w:val="clear" w:color="auto" w:fill="auto"/>
            <w:hideMark/>
          </w:tcPr>
          <w:p w14:paraId="507F370E" w14:textId="73F4E82E" w:rsidR="000F123C" w:rsidRPr="000F123C" w:rsidRDefault="00D87B92" w:rsidP="000F123C">
            <w:pPr>
              <w:spacing w:before="24" w:after="0" w:line="240" w:lineRule="auto"/>
              <w:jc w:val="right"/>
              <w:rPr>
                <w:rFonts w:ascii="Arial" w:hAnsi="Arial" w:cs="Arial"/>
                <w:b/>
                <w:bCs/>
                <w:sz w:val="16"/>
                <w:szCs w:val="16"/>
              </w:rPr>
            </w:pPr>
            <w:r>
              <w:rPr>
                <w:rFonts w:ascii="Arial" w:hAnsi="Arial" w:cs="Arial"/>
                <w:b/>
                <w:bCs/>
                <w:sz w:val="16"/>
                <w:szCs w:val="16"/>
              </w:rPr>
              <w:t>2026–</w:t>
            </w:r>
            <w:r w:rsidR="000F123C" w:rsidRPr="000F123C">
              <w:rPr>
                <w:rFonts w:ascii="Arial" w:hAnsi="Arial" w:cs="Arial"/>
                <w:b/>
                <w:bCs/>
                <w:sz w:val="16"/>
                <w:szCs w:val="16"/>
              </w:rPr>
              <w:t>27 Forward Estimate</w:t>
            </w:r>
            <w:r w:rsidR="000F123C" w:rsidRPr="000F123C">
              <w:rPr>
                <w:rFonts w:ascii="Arial" w:hAnsi="Arial" w:cs="Arial"/>
                <w:b/>
                <w:bCs/>
                <w:sz w:val="16"/>
                <w:szCs w:val="16"/>
              </w:rPr>
              <w:br/>
            </w:r>
            <w:r w:rsidR="000F123C" w:rsidRPr="000F123C">
              <w:rPr>
                <w:rFonts w:ascii="Arial" w:hAnsi="Arial" w:cs="Arial"/>
                <w:sz w:val="16"/>
                <w:szCs w:val="16"/>
              </w:rPr>
              <w:t>$'000</w:t>
            </w:r>
          </w:p>
        </w:tc>
      </w:tr>
      <w:tr w:rsidR="000F123C" w:rsidRPr="000F123C" w14:paraId="070D0743" w14:textId="77777777" w:rsidTr="000911F8">
        <w:trPr>
          <w:trHeight w:val="283"/>
          <w:jc w:val="center"/>
        </w:trPr>
        <w:tc>
          <w:tcPr>
            <w:tcW w:w="3914" w:type="dxa"/>
            <w:gridSpan w:val="2"/>
            <w:tcBorders>
              <w:top w:val="nil"/>
              <w:left w:val="nil"/>
              <w:bottom w:val="nil"/>
              <w:right w:val="nil"/>
            </w:tcBorders>
            <w:shd w:val="clear" w:color="auto" w:fill="auto"/>
            <w:noWrap/>
            <w:vAlign w:val="bottom"/>
            <w:hideMark/>
          </w:tcPr>
          <w:p w14:paraId="53BEE3F6" w14:textId="77777777" w:rsidR="000F123C" w:rsidRPr="000F123C" w:rsidRDefault="000F123C" w:rsidP="000F123C">
            <w:pPr>
              <w:spacing w:before="0" w:after="0" w:line="240" w:lineRule="auto"/>
              <w:rPr>
                <w:rFonts w:ascii="Arial" w:hAnsi="Arial" w:cs="Arial"/>
                <w:b/>
                <w:bCs/>
                <w:sz w:val="16"/>
                <w:szCs w:val="16"/>
              </w:rPr>
            </w:pPr>
            <w:r w:rsidRPr="000F123C">
              <w:rPr>
                <w:rFonts w:ascii="Arial" w:hAnsi="Arial" w:cs="Arial"/>
                <w:b/>
                <w:bCs/>
                <w:sz w:val="16"/>
                <w:szCs w:val="16"/>
              </w:rPr>
              <w:t>Program 4.1: Sport and Physical Activity</w:t>
            </w:r>
          </w:p>
        </w:tc>
        <w:tc>
          <w:tcPr>
            <w:tcW w:w="937" w:type="dxa"/>
            <w:tcBorders>
              <w:top w:val="nil"/>
              <w:left w:val="nil"/>
              <w:bottom w:val="nil"/>
              <w:right w:val="nil"/>
            </w:tcBorders>
            <w:shd w:val="clear" w:color="auto" w:fill="auto"/>
            <w:noWrap/>
            <w:vAlign w:val="bottom"/>
            <w:hideMark/>
          </w:tcPr>
          <w:p w14:paraId="5D3C3EC4" w14:textId="77777777" w:rsidR="000F123C" w:rsidRPr="000F123C" w:rsidRDefault="000F123C" w:rsidP="000F123C">
            <w:pPr>
              <w:spacing w:before="0" w:after="0" w:line="240" w:lineRule="auto"/>
              <w:rPr>
                <w:rFonts w:ascii="Arial" w:hAnsi="Arial" w:cs="Arial"/>
                <w:b/>
                <w:bCs/>
                <w:sz w:val="16"/>
                <w:szCs w:val="16"/>
              </w:rPr>
            </w:pPr>
          </w:p>
        </w:tc>
        <w:tc>
          <w:tcPr>
            <w:tcW w:w="943" w:type="dxa"/>
            <w:tcBorders>
              <w:top w:val="nil"/>
              <w:left w:val="nil"/>
              <w:bottom w:val="nil"/>
              <w:right w:val="nil"/>
            </w:tcBorders>
            <w:shd w:val="clear" w:color="auto" w:fill="auto"/>
            <w:noWrap/>
            <w:vAlign w:val="bottom"/>
            <w:hideMark/>
          </w:tcPr>
          <w:p w14:paraId="6B40BC58"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2D865F53"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1703C799"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48953E98"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19DC3E2E" w14:textId="77777777" w:rsidR="000F123C" w:rsidRPr="000F123C" w:rsidRDefault="000F123C" w:rsidP="000F123C">
            <w:pPr>
              <w:spacing w:before="0" w:after="0" w:line="240" w:lineRule="auto"/>
              <w:ind w:firstLineChars="100" w:firstLine="160"/>
              <w:rPr>
                <w:rFonts w:ascii="Arial" w:hAnsi="Arial" w:cs="Arial"/>
                <w:sz w:val="16"/>
                <w:szCs w:val="16"/>
              </w:rPr>
            </w:pPr>
            <w:r w:rsidRPr="000F123C">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314A1DF7" w14:textId="77777777" w:rsidR="000F123C" w:rsidRPr="000F123C" w:rsidRDefault="000F123C" w:rsidP="000F123C">
            <w:pPr>
              <w:spacing w:before="0" w:after="0" w:line="240" w:lineRule="auto"/>
              <w:ind w:firstLineChars="100" w:firstLine="160"/>
              <w:rPr>
                <w:rFonts w:ascii="Arial" w:hAnsi="Arial" w:cs="Arial"/>
                <w:sz w:val="16"/>
                <w:szCs w:val="16"/>
              </w:rPr>
            </w:pPr>
          </w:p>
        </w:tc>
        <w:tc>
          <w:tcPr>
            <w:tcW w:w="937" w:type="dxa"/>
            <w:tcBorders>
              <w:top w:val="nil"/>
              <w:left w:val="nil"/>
              <w:bottom w:val="nil"/>
              <w:right w:val="nil"/>
            </w:tcBorders>
            <w:shd w:val="clear" w:color="000000" w:fill="D9D9D9"/>
            <w:noWrap/>
            <w:vAlign w:val="bottom"/>
            <w:hideMark/>
          </w:tcPr>
          <w:p w14:paraId="036C4980"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 </w:t>
            </w:r>
          </w:p>
        </w:tc>
        <w:tc>
          <w:tcPr>
            <w:tcW w:w="943" w:type="dxa"/>
            <w:tcBorders>
              <w:top w:val="nil"/>
              <w:left w:val="nil"/>
              <w:bottom w:val="nil"/>
              <w:right w:val="nil"/>
            </w:tcBorders>
            <w:shd w:val="clear" w:color="auto" w:fill="auto"/>
            <w:noWrap/>
            <w:vAlign w:val="bottom"/>
            <w:hideMark/>
          </w:tcPr>
          <w:p w14:paraId="6C4C72E3" w14:textId="77777777" w:rsidR="000F123C" w:rsidRPr="000F123C" w:rsidRDefault="000F123C" w:rsidP="000F123C">
            <w:pPr>
              <w:spacing w:before="0" w:after="0" w:line="240" w:lineRule="auto"/>
              <w:jc w:val="right"/>
              <w:rPr>
                <w:rFonts w:ascii="Arial" w:hAnsi="Arial" w:cs="Arial"/>
                <w:sz w:val="16"/>
                <w:szCs w:val="16"/>
              </w:rPr>
            </w:pPr>
          </w:p>
        </w:tc>
        <w:tc>
          <w:tcPr>
            <w:tcW w:w="943" w:type="dxa"/>
            <w:tcBorders>
              <w:top w:val="nil"/>
              <w:left w:val="nil"/>
              <w:bottom w:val="nil"/>
              <w:right w:val="nil"/>
            </w:tcBorders>
            <w:shd w:val="clear" w:color="auto" w:fill="auto"/>
            <w:noWrap/>
            <w:vAlign w:val="bottom"/>
            <w:hideMark/>
          </w:tcPr>
          <w:p w14:paraId="4BE061EE"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7A19BDDA"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196A0327"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208F245D" w14:textId="77777777"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 xml:space="preserve">Ordinary annual services </w:t>
            </w:r>
          </w:p>
        </w:tc>
        <w:tc>
          <w:tcPr>
            <w:tcW w:w="934" w:type="dxa"/>
            <w:tcBorders>
              <w:top w:val="nil"/>
              <w:left w:val="nil"/>
              <w:bottom w:val="nil"/>
              <w:right w:val="nil"/>
            </w:tcBorders>
            <w:shd w:val="clear" w:color="auto" w:fill="auto"/>
            <w:noWrap/>
            <w:vAlign w:val="bottom"/>
            <w:hideMark/>
          </w:tcPr>
          <w:p w14:paraId="2E72C0C7"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86,805</w:t>
            </w:r>
          </w:p>
        </w:tc>
        <w:tc>
          <w:tcPr>
            <w:tcW w:w="937" w:type="dxa"/>
            <w:tcBorders>
              <w:top w:val="nil"/>
              <w:left w:val="nil"/>
              <w:bottom w:val="nil"/>
              <w:right w:val="nil"/>
            </w:tcBorders>
            <w:shd w:val="clear" w:color="000000" w:fill="D9D9D9"/>
            <w:noWrap/>
            <w:vAlign w:val="bottom"/>
            <w:hideMark/>
          </w:tcPr>
          <w:p w14:paraId="035A6697"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98,448</w:t>
            </w:r>
          </w:p>
        </w:tc>
        <w:tc>
          <w:tcPr>
            <w:tcW w:w="943" w:type="dxa"/>
            <w:tcBorders>
              <w:top w:val="nil"/>
              <w:left w:val="nil"/>
              <w:bottom w:val="nil"/>
              <w:right w:val="nil"/>
            </w:tcBorders>
            <w:shd w:val="clear" w:color="auto" w:fill="auto"/>
            <w:noWrap/>
            <w:vAlign w:val="bottom"/>
            <w:hideMark/>
          </w:tcPr>
          <w:p w14:paraId="3E1E6F98"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127,689</w:t>
            </w:r>
          </w:p>
        </w:tc>
        <w:tc>
          <w:tcPr>
            <w:tcW w:w="943" w:type="dxa"/>
            <w:tcBorders>
              <w:top w:val="nil"/>
              <w:left w:val="nil"/>
              <w:bottom w:val="nil"/>
              <w:right w:val="nil"/>
            </w:tcBorders>
            <w:shd w:val="clear" w:color="auto" w:fill="auto"/>
            <w:noWrap/>
            <w:vAlign w:val="bottom"/>
            <w:hideMark/>
          </w:tcPr>
          <w:p w14:paraId="30ABF1A9"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116,159</w:t>
            </w:r>
          </w:p>
        </w:tc>
        <w:tc>
          <w:tcPr>
            <w:tcW w:w="943" w:type="dxa"/>
            <w:tcBorders>
              <w:top w:val="nil"/>
              <w:left w:val="nil"/>
              <w:bottom w:val="nil"/>
              <w:right w:val="nil"/>
            </w:tcBorders>
            <w:shd w:val="clear" w:color="auto" w:fill="auto"/>
            <w:noWrap/>
            <w:vAlign w:val="bottom"/>
            <w:hideMark/>
          </w:tcPr>
          <w:p w14:paraId="4F62B94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94,809</w:t>
            </w:r>
          </w:p>
        </w:tc>
      </w:tr>
      <w:tr w:rsidR="000F123C" w:rsidRPr="000F123C" w14:paraId="6E68E73F"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1307B168" w14:textId="77777777"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Special accounts</w:t>
            </w:r>
          </w:p>
        </w:tc>
        <w:tc>
          <w:tcPr>
            <w:tcW w:w="934" w:type="dxa"/>
            <w:tcBorders>
              <w:top w:val="nil"/>
              <w:left w:val="nil"/>
              <w:bottom w:val="nil"/>
              <w:right w:val="nil"/>
            </w:tcBorders>
            <w:shd w:val="clear" w:color="auto" w:fill="auto"/>
            <w:noWrap/>
            <w:vAlign w:val="bottom"/>
            <w:hideMark/>
          </w:tcPr>
          <w:p w14:paraId="292DAC23" w14:textId="77777777" w:rsidR="000F123C" w:rsidRPr="000F123C" w:rsidRDefault="000F123C" w:rsidP="000F123C">
            <w:pPr>
              <w:spacing w:before="0" w:after="0" w:line="240" w:lineRule="auto"/>
              <w:ind w:firstLineChars="200" w:firstLine="320"/>
              <w:rPr>
                <w:rFonts w:ascii="Arial" w:hAnsi="Arial" w:cs="Arial"/>
                <w:sz w:val="16"/>
                <w:szCs w:val="16"/>
              </w:rPr>
            </w:pPr>
          </w:p>
        </w:tc>
        <w:tc>
          <w:tcPr>
            <w:tcW w:w="937" w:type="dxa"/>
            <w:tcBorders>
              <w:top w:val="nil"/>
              <w:left w:val="nil"/>
              <w:bottom w:val="nil"/>
              <w:right w:val="nil"/>
            </w:tcBorders>
            <w:shd w:val="clear" w:color="000000" w:fill="D9D9D9"/>
            <w:noWrap/>
            <w:vAlign w:val="bottom"/>
            <w:hideMark/>
          </w:tcPr>
          <w:p w14:paraId="58318DE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 </w:t>
            </w:r>
          </w:p>
        </w:tc>
        <w:tc>
          <w:tcPr>
            <w:tcW w:w="943" w:type="dxa"/>
            <w:tcBorders>
              <w:top w:val="nil"/>
              <w:left w:val="nil"/>
              <w:bottom w:val="nil"/>
              <w:right w:val="nil"/>
            </w:tcBorders>
            <w:shd w:val="clear" w:color="auto" w:fill="auto"/>
            <w:noWrap/>
            <w:vAlign w:val="bottom"/>
            <w:hideMark/>
          </w:tcPr>
          <w:p w14:paraId="001D08C6" w14:textId="77777777" w:rsidR="000F123C" w:rsidRPr="000F123C" w:rsidRDefault="000F123C" w:rsidP="000F123C">
            <w:pPr>
              <w:spacing w:before="0" w:after="0" w:line="240" w:lineRule="auto"/>
              <w:jc w:val="right"/>
              <w:rPr>
                <w:rFonts w:ascii="Arial" w:hAnsi="Arial" w:cs="Arial"/>
                <w:sz w:val="16"/>
                <w:szCs w:val="16"/>
              </w:rPr>
            </w:pPr>
          </w:p>
        </w:tc>
        <w:tc>
          <w:tcPr>
            <w:tcW w:w="943" w:type="dxa"/>
            <w:tcBorders>
              <w:top w:val="nil"/>
              <w:left w:val="nil"/>
              <w:bottom w:val="nil"/>
              <w:right w:val="nil"/>
            </w:tcBorders>
            <w:shd w:val="clear" w:color="auto" w:fill="auto"/>
            <w:noWrap/>
            <w:vAlign w:val="bottom"/>
            <w:hideMark/>
          </w:tcPr>
          <w:p w14:paraId="74E63618"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3EB63054"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10B5549D"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497C48D5" w14:textId="77777777" w:rsidR="000F123C" w:rsidRPr="000F123C" w:rsidRDefault="000F123C" w:rsidP="000F123C">
            <w:pPr>
              <w:spacing w:before="0" w:after="0" w:line="240" w:lineRule="auto"/>
              <w:ind w:firstLineChars="300" w:firstLine="480"/>
              <w:rPr>
                <w:rFonts w:ascii="Arial" w:hAnsi="Arial" w:cs="Arial"/>
                <w:sz w:val="16"/>
                <w:szCs w:val="16"/>
              </w:rPr>
            </w:pPr>
            <w:r w:rsidRPr="000F123C">
              <w:rPr>
                <w:rFonts w:ascii="Arial" w:hAnsi="Arial" w:cs="Arial"/>
                <w:sz w:val="16"/>
                <w:szCs w:val="16"/>
              </w:rPr>
              <w:t xml:space="preserve">Sport and Recreation </w:t>
            </w:r>
          </w:p>
        </w:tc>
        <w:tc>
          <w:tcPr>
            <w:tcW w:w="934" w:type="dxa"/>
            <w:tcBorders>
              <w:top w:val="nil"/>
              <w:left w:val="nil"/>
              <w:bottom w:val="nil"/>
              <w:right w:val="nil"/>
            </w:tcBorders>
            <w:shd w:val="clear" w:color="auto" w:fill="auto"/>
            <w:noWrap/>
            <w:vAlign w:val="bottom"/>
            <w:hideMark/>
          </w:tcPr>
          <w:p w14:paraId="4002F16A" w14:textId="77777777" w:rsidR="000F123C" w:rsidRPr="000F123C" w:rsidRDefault="000F123C" w:rsidP="000F123C">
            <w:pPr>
              <w:spacing w:before="0" w:after="0" w:line="240" w:lineRule="auto"/>
              <w:jc w:val="right"/>
              <w:rPr>
                <w:rFonts w:ascii="Arial" w:hAnsi="Arial" w:cs="Arial"/>
                <w:color w:val="000000"/>
                <w:sz w:val="16"/>
                <w:szCs w:val="16"/>
              </w:rPr>
            </w:pPr>
            <w:r w:rsidRPr="000F123C">
              <w:rPr>
                <w:rFonts w:ascii="Arial" w:hAnsi="Arial" w:cs="Arial"/>
                <w:color w:val="000000"/>
                <w:sz w:val="16"/>
                <w:szCs w:val="16"/>
              </w:rPr>
              <w:t>-</w:t>
            </w:r>
          </w:p>
        </w:tc>
        <w:tc>
          <w:tcPr>
            <w:tcW w:w="937" w:type="dxa"/>
            <w:tcBorders>
              <w:top w:val="nil"/>
              <w:left w:val="nil"/>
              <w:bottom w:val="nil"/>
              <w:right w:val="nil"/>
            </w:tcBorders>
            <w:shd w:val="clear" w:color="000000" w:fill="D9D9D9"/>
            <w:noWrap/>
            <w:vAlign w:val="bottom"/>
            <w:hideMark/>
          </w:tcPr>
          <w:p w14:paraId="4BF447C6"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75724FB7"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3D69290D"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06589E16"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r>
      <w:tr w:rsidR="000F123C" w:rsidRPr="000F123C" w14:paraId="166FD5D3"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177BBB5E" w14:textId="77777777"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Payments to corporate entities</w:t>
            </w:r>
          </w:p>
        </w:tc>
        <w:tc>
          <w:tcPr>
            <w:tcW w:w="934" w:type="dxa"/>
            <w:tcBorders>
              <w:top w:val="nil"/>
              <w:left w:val="nil"/>
              <w:bottom w:val="nil"/>
              <w:right w:val="nil"/>
            </w:tcBorders>
            <w:shd w:val="clear" w:color="auto" w:fill="auto"/>
            <w:noWrap/>
            <w:vAlign w:val="bottom"/>
            <w:hideMark/>
          </w:tcPr>
          <w:p w14:paraId="00CFBEB3" w14:textId="77777777" w:rsidR="000F123C" w:rsidRPr="000F123C" w:rsidRDefault="000F123C" w:rsidP="000F123C">
            <w:pPr>
              <w:spacing w:before="0" w:after="0" w:line="240" w:lineRule="auto"/>
              <w:jc w:val="right"/>
              <w:rPr>
                <w:rFonts w:ascii="Arial" w:hAnsi="Arial" w:cs="Arial"/>
                <w:color w:val="000000"/>
                <w:sz w:val="16"/>
                <w:szCs w:val="16"/>
              </w:rPr>
            </w:pPr>
            <w:r w:rsidRPr="000F123C">
              <w:rPr>
                <w:rFonts w:ascii="Arial" w:hAnsi="Arial" w:cs="Arial"/>
                <w:color w:val="000000"/>
                <w:sz w:val="16"/>
                <w:szCs w:val="16"/>
              </w:rPr>
              <w:t>337,870</w:t>
            </w:r>
          </w:p>
        </w:tc>
        <w:tc>
          <w:tcPr>
            <w:tcW w:w="937" w:type="dxa"/>
            <w:tcBorders>
              <w:top w:val="nil"/>
              <w:left w:val="nil"/>
              <w:bottom w:val="nil"/>
              <w:right w:val="nil"/>
            </w:tcBorders>
            <w:shd w:val="clear" w:color="000000" w:fill="D9D9D9"/>
            <w:noWrap/>
            <w:vAlign w:val="bottom"/>
            <w:hideMark/>
          </w:tcPr>
          <w:p w14:paraId="3CD3795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343,020</w:t>
            </w:r>
          </w:p>
        </w:tc>
        <w:tc>
          <w:tcPr>
            <w:tcW w:w="943" w:type="dxa"/>
            <w:tcBorders>
              <w:top w:val="nil"/>
              <w:left w:val="nil"/>
              <w:bottom w:val="nil"/>
              <w:right w:val="nil"/>
            </w:tcBorders>
            <w:shd w:val="clear" w:color="auto" w:fill="auto"/>
            <w:noWrap/>
            <w:vAlign w:val="bottom"/>
            <w:hideMark/>
          </w:tcPr>
          <w:p w14:paraId="17E223A5"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268,621</w:t>
            </w:r>
          </w:p>
        </w:tc>
        <w:tc>
          <w:tcPr>
            <w:tcW w:w="943" w:type="dxa"/>
            <w:tcBorders>
              <w:top w:val="nil"/>
              <w:left w:val="nil"/>
              <w:bottom w:val="nil"/>
              <w:right w:val="nil"/>
            </w:tcBorders>
            <w:shd w:val="clear" w:color="auto" w:fill="auto"/>
            <w:noWrap/>
            <w:vAlign w:val="bottom"/>
            <w:hideMark/>
          </w:tcPr>
          <w:p w14:paraId="597E429D"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242,229</w:t>
            </w:r>
          </w:p>
        </w:tc>
        <w:tc>
          <w:tcPr>
            <w:tcW w:w="943" w:type="dxa"/>
            <w:tcBorders>
              <w:top w:val="nil"/>
              <w:left w:val="nil"/>
              <w:bottom w:val="nil"/>
              <w:right w:val="nil"/>
            </w:tcBorders>
            <w:shd w:val="clear" w:color="auto" w:fill="auto"/>
            <w:noWrap/>
            <w:vAlign w:val="bottom"/>
            <w:hideMark/>
          </w:tcPr>
          <w:p w14:paraId="5BCE5A6C"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242,024</w:t>
            </w:r>
          </w:p>
        </w:tc>
      </w:tr>
      <w:tr w:rsidR="000F123C" w:rsidRPr="000F123C" w14:paraId="6D318883"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5B6ACB67" w14:textId="77777777" w:rsidR="000F123C" w:rsidRPr="000F123C" w:rsidRDefault="000F123C" w:rsidP="000F123C">
            <w:pPr>
              <w:spacing w:before="0" w:after="0" w:line="240" w:lineRule="auto"/>
              <w:ind w:firstLineChars="100" w:firstLine="161"/>
              <w:rPr>
                <w:rFonts w:ascii="Arial" w:hAnsi="Arial" w:cs="Arial"/>
                <w:b/>
                <w:bCs/>
                <w:sz w:val="16"/>
                <w:szCs w:val="16"/>
              </w:rPr>
            </w:pPr>
            <w:r w:rsidRPr="000F123C">
              <w:rPr>
                <w:rFonts w:ascii="Arial" w:hAnsi="Arial" w:cs="Arial"/>
                <w:b/>
                <w:bCs/>
                <w:sz w:val="16"/>
                <w:szCs w:val="16"/>
              </w:rPr>
              <w:t>Total for Program 4.1</w:t>
            </w:r>
          </w:p>
        </w:tc>
        <w:tc>
          <w:tcPr>
            <w:tcW w:w="934" w:type="dxa"/>
            <w:tcBorders>
              <w:top w:val="single" w:sz="4" w:space="0" w:color="auto"/>
              <w:left w:val="nil"/>
              <w:bottom w:val="single" w:sz="4" w:space="0" w:color="auto"/>
              <w:right w:val="nil"/>
            </w:tcBorders>
            <w:shd w:val="clear" w:color="auto" w:fill="auto"/>
            <w:noWrap/>
            <w:vAlign w:val="bottom"/>
            <w:hideMark/>
          </w:tcPr>
          <w:p w14:paraId="2B0A20C3"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424,675</w:t>
            </w:r>
          </w:p>
        </w:tc>
        <w:tc>
          <w:tcPr>
            <w:tcW w:w="937" w:type="dxa"/>
            <w:tcBorders>
              <w:top w:val="single" w:sz="4" w:space="0" w:color="auto"/>
              <w:left w:val="nil"/>
              <w:bottom w:val="single" w:sz="4" w:space="0" w:color="auto"/>
              <w:right w:val="nil"/>
            </w:tcBorders>
            <w:shd w:val="clear" w:color="000000" w:fill="D9D9D9"/>
            <w:noWrap/>
            <w:vAlign w:val="bottom"/>
            <w:hideMark/>
          </w:tcPr>
          <w:p w14:paraId="3E97935C"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441,468</w:t>
            </w:r>
          </w:p>
        </w:tc>
        <w:tc>
          <w:tcPr>
            <w:tcW w:w="943" w:type="dxa"/>
            <w:tcBorders>
              <w:top w:val="single" w:sz="4" w:space="0" w:color="auto"/>
              <w:left w:val="nil"/>
              <w:bottom w:val="single" w:sz="4" w:space="0" w:color="auto"/>
              <w:right w:val="nil"/>
            </w:tcBorders>
            <w:shd w:val="clear" w:color="auto" w:fill="auto"/>
            <w:noWrap/>
            <w:vAlign w:val="bottom"/>
            <w:hideMark/>
          </w:tcPr>
          <w:p w14:paraId="57FD04F1"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396,310</w:t>
            </w:r>
          </w:p>
        </w:tc>
        <w:tc>
          <w:tcPr>
            <w:tcW w:w="943" w:type="dxa"/>
            <w:tcBorders>
              <w:top w:val="single" w:sz="4" w:space="0" w:color="auto"/>
              <w:left w:val="nil"/>
              <w:bottom w:val="single" w:sz="4" w:space="0" w:color="auto"/>
              <w:right w:val="nil"/>
            </w:tcBorders>
            <w:shd w:val="clear" w:color="auto" w:fill="auto"/>
            <w:noWrap/>
            <w:vAlign w:val="bottom"/>
            <w:hideMark/>
          </w:tcPr>
          <w:p w14:paraId="20B36732"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358,388</w:t>
            </w:r>
          </w:p>
        </w:tc>
        <w:tc>
          <w:tcPr>
            <w:tcW w:w="943" w:type="dxa"/>
            <w:tcBorders>
              <w:top w:val="single" w:sz="4" w:space="0" w:color="auto"/>
              <w:left w:val="nil"/>
              <w:bottom w:val="single" w:sz="4" w:space="0" w:color="auto"/>
              <w:right w:val="nil"/>
            </w:tcBorders>
            <w:shd w:val="clear" w:color="auto" w:fill="auto"/>
            <w:noWrap/>
            <w:vAlign w:val="bottom"/>
            <w:hideMark/>
          </w:tcPr>
          <w:p w14:paraId="1D8AB43F"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336,833</w:t>
            </w:r>
          </w:p>
        </w:tc>
      </w:tr>
      <w:tr w:rsidR="000F123C" w:rsidRPr="000F123C" w14:paraId="2FFAD3C6"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204EE933" w14:textId="77777777" w:rsidR="000F123C" w:rsidRPr="000F123C" w:rsidRDefault="000F123C" w:rsidP="000F123C">
            <w:pPr>
              <w:spacing w:before="0" w:after="0" w:line="240" w:lineRule="auto"/>
              <w:rPr>
                <w:rFonts w:ascii="Arial" w:hAnsi="Arial" w:cs="Arial"/>
                <w:b/>
                <w:bCs/>
                <w:sz w:val="16"/>
                <w:szCs w:val="16"/>
              </w:rPr>
            </w:pPr>
            <w:r w:rsidRPr="000F123C">
              <w:rPr>
                <w:rFonts w:ascii="Arial" w:hAnsi="Arial" w:cs="Arial"/>
                <w:b/>
                <w:bCs/>
                <w:sz w:val="16"/>
                <w:szCs w:val="16"/>
              </w:rPr>
              <w:t>Outcome 4 totals by appropriation type</w:t>
            </w:r>
          </w:p>
        </w:tc>
        <w:tc>
          <w:tcPr>
            <w:tcW w:w="934" w:type="dxa"/>
            <w:tcBorders>
              <w:top w:val="nil"/>
              <w:left w:val="nil"/>
              <w:bottom w:val="nil"/>
              <w:right w:val="nil"/>
            </w:tcBorders>
            <w:shd w:val="clear" w:color="auto" w:fill="auto"/>
            <w:noWrap/>
            <w:vAlign w:val="bottom"/>
            <w:hideMark/>
          </w:tcPr>
          <w:p w14:paraId="0E551AAE" w14:textId="77777777" w:rsidR="000F123C" w:rsidRPr="000F123C" w:rsidRDefault="000F123C" w:rsidP="000F123C">
            <w:pPr>
              <w:spacing w:before="0" w:after="0" w:line="240" w:lineRule="auto"/>
              <w:rPr>
                <w:rFonts w:ascii="Arial" w:hAnsi="Arial" w:cs="Arial"/>
                <w:b/>
                <w:bCs/>
                <w:sz w:val="16"/>
                <w:szCs w:val="16"/>
              </w:rPr>
            </w:pPr>
          </w:p>
        </w:tc>
        <w:tc>
          <w:tcPr>
            <w:tcW w:w="937" w:type="dxa"/>
            <w:tcBorders>
              <w:top w:val="nil"/>
              <w:left w:val="nil"/>
              <w:bottom w:val="nil"/>
              <w:right w:val="nil"/>
            </w:tcBorders>
            <w:shd w:val="clear" w:color="000000" w:fill="D9D9D9"/>
            <w:noWrap/>
            <w:vAlign w:val="bottom"/>
            <w:hideMark/>
          </w:tcPr>
          <w:p w14:paraId="71ED2DD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 </w:t>
            </w:r>
          </w:p>
        </w:tc>
        <w:tc>
          <w:tcPr>
            <w:tcW w:w="943" w:type="dxa"/>
            <w:tcBorders>
              <w:top w:val="nil"/>
              <w:left w:val="nil"/>
              <w:bottom w:val="nil"/>
              <w:right w:val="nil"/>
            </w:tcBorders>
            <w:shd w:val="clear" w:color="auto" w:fill="auto"/>
            <w:noWrap/>
            <w:vAlign w:val="bottom"/>
            <w:hideMark/>
          </w:tcPr>
          <w:p w14:paraId="3303BC5D" w14:textId="77777777" w:rsidR="000F123C" w:rsidRPr="000F123C" w:rsidRDefault="000F123C" w:rsidP="000F123C">
            <w:pPr>
              <w:spacing w:before="0" w:after="0" w:line="240" w:lineRule="auto"/>
              <w:jc w:val="right"/>
              <w:rPr>
                <w:rFonts w:ascii="Arial" w:hAnsi="Arial" w:cs="Arial"/>
                <w:sz w:val="16"/>
                <w:szCs w:val="16"/>
              </w:rPr>
            </w:pPr>
          </w:p>
        </w:tc>
        <w:tc>
          <w:tcPr>
            <w:tcW w:w="943" w:type="dxa"/>
            <w:tcBorders>
              <w:top w:val="nil"/>
              <w:left w:val="nil"/>
              <w:bottom w:val="nil"/>
              <w:right w:val="nil"/>
            </w:tcBorders>
            <w:shd w:val="clear" w:color="auto" w:fill="auto"/>
            <w:noWrap/>
            <w:vAlign w:val="bottom"/>
            <w:hideMark/>
          </w:tcPr>
          <w:p w14:paraId="315E04FE"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7EF24981"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4E423249"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449B1AC9" w14:textId="77777777" w:rsidR="000F123C" w:rsidRPr="000F123C" w:rsidRDefault="000F123C" w:rsidP="000F123C">
            <w:pPr>
              <w:spacing w:before="0" w:after="0" w:line="240" w:lineRule="auto"/>
              <w:ind w:firstLineChars="100" w:firstLine="160"/>
              <w:rPr>
                <w:rFonts w:ascii="Arial" w:hAnsi="Arial" w:cs="Arial"/>
                <w:sz w:val="16"/>
                <w:szCs w:val="16"/>
              </w:rPr>
            </w:pPr>
            <w:r w:rsidRPr="000F123C">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0D5F7248" w14:textId="77777777" w:rsidR="000F123C" w:rsidRPr="000F123C" w:rsidRDefault="000F123C" w:rsidP="000F123C">
            <w:pPr>
              <w:spacing w:before="0" w:after="0" w:line="240" w:lineRule="auto"/>
              <w:ind w:firstLineChars="100" w:firstLine="160"/>
              <w:rPr>
                <w:rFonts w:ascii="Arial" w:hAnsi="Arial" w:cs="Arial"/>
                <w:sz w:val="16"/>
                <w:szCs w:val="16"/>
              </w:rPr>
            </w:pPr>
          </w:p>
        </w:tc>
        <w:tc>
          <w:tcPr>
            <w:tcW w:w="937" w:type="dxa"/>
            <w:tcBorders>
              <w:top w:val="nil"/>
              <w:left w:val="nil"/>
              <w:bottom w:val="nil"/>
              <w:right w:val="nil"/>
            </w:tcBorders>
            <w:shd w:val="clear" w:color="000000" w:fill="D9D9D9"/>
            <w:noWrap/>
            <w:vAlign w:val="bottom"/>
            <w:hideMark/>
          </w:tcPr>
          <w:p w14:paraId="21AFDECB"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 </w:t>
            </w:r>
          </w:p>
        </w:tc>
        <w:tc>
          <w:tcPr>
            <w:tcW w:w="943" w:type="dxa"/>
            <w:tcBorders>
              <w:top w:val="nil"/>
              <w:left w:val="nil"/>
              <w:bottom w:val="nil"/>
              <w:right w:val="nil"/>
            </w:tcBorders>
            <w:shd w:val="clear" w:color="auto" w:fill="auto"/>
            <w:noWrap/>
            <w:vAlign w:val="bottom"/>
            <w:hideMark/>
          </w:tcPr>
          <w:p w14:paraId="7302D2C8" w14:textId="77777777" w:rsidR="000F123C" w:rsidRPr="000F123C" w:rsidRDefault="000F123C" w:rsidP="000F123C">
            <w:pPr>
              <w:spacing w:before="0" w:after="0" w:line="240" w:lineRule="auto"/>
              <w:jc w:val="right"/>
              <w:rPr>
                <w:rFonts w:ascii="Arial" w:hAnsi="Arial" w:cs="Arial"/>
                <w:sz w:val="16"/>
                <w:szCs w:val="16"/>
              </w:rPr>
            </w:pPr>
          </w:p>
        </w:tc>
        <w:tc>
          <w:tcPr>
            <w:tcW w:w="943" w:type="dxa"/>
            <w:tcBorders>
              <w:top w:val="nil"/>
              <w:left w:val="nil"/>
              <w:bottom w:val="nil"/>
              <w:right w:val="nil"/>
            </w:tcBorders>
            <w:shd w:val="clear" w:color="auto" w:fill="auto"/>
            <w:noWrap/>
            <w:vAlign w:val="bottom"/>
            <w:hideMark/>
          </w:tcPr>
          <w:p w14:paraId="4E5D35F8"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68EC59E9"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527E1E20"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5C8FF0E9" w14:textId="4695BF6C" w:rsidR="000F123C" w:rsidRPr="000F123C" w:rsidRDefault="00610614" w:rsidP="00D87B92">
            <w:pPr>
              <w:spacing w:before="0" w:after="0" w:line="240" w:lineRule="auto"/>
              <w:ind w:leftChars="150" w:left="285"/>
              <w:rPr>
                <w:rFonts w:ascii="Arial" w:hAnsi="Arial" w:cs="Arial"/>
                <w:sz w:val="16"/>
                <w:szCs w:val="16"/>
              </w:rPr>
            </w:pPr>
            <w:r>
              <w:rPr>
                <w:rFonts w:ascii="Arial" w:hAnsi="Arial" w:cs="Arial"/>
                <w:sz w:val="16"/>
                <w:szCs w:val="16"/>
              </w:rPr>
              <w:t>Ordinary annual services</w:t>
            </w:r>
          </w:p>
        </w:tc>
        <w:tc>
          <w:tcPr>
            <w:tcW w:w="934" w:type="dxa"/>
            <w:tcBorders>
              <w:top w:val="nil"/>
              <w:left w:val="nil"/>
              <w:bottom w:val="nil"/>
              <w:right w:val="nil"/>
            </w:tcBorders>
            <w:shd w:val="clear" w:color="auto" w:fill="auto"/>
            <w:noWrap/>
            <w:vAlign w:val="bottom"/>
            <w:hideMark/>
          </w:tcPr>
          <w:p w14:paraId="191A050C"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86,805</w:t>
            </w:r>
          </w:p>
        </w:tc>
        <w:tc>
          <w:tcPr>
            <w:tcW w:w="937" w:type="dxa"/>
            <w:tcBorders>
              <w:top w:val="nil"/>
              <w:left w:val="nil"/>
              <w:bottom w:val="nil"/>
              <w:right w:val="nil"/>
            </w:tcBorders>
            <w:shd w:val="clear" w:color="000000" w:fill="D9D9D9"/>
            <w:noWrap/>
            <w:vAlign w:val="bottom"/>
            <w:hideMark/>
          </w:tcPr>
          <w:p w14:paraId="16404E24"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98,448</w:t>
            </w:r>
          </w:p>
        </w:tc>
        <w:tc>
          <w:tcPr>
            <w:tcW w:w="943" w:type="dxa"/>
            <w:tcBorders>
              <w:top w:val="nil"/>
              <w:left w:val="nil"/>
              <w:bottom w:val="nil"/>
              <w:right w:val="nil"/>
            </w:tcBorders>
            <w:shd w:val="clear" w:color="auto" w:fill="auto"/>
            <w:noWrap/>
            <w:vAlign w:val="bottom"/>
            <w:hideMark/>
          </w:tcPr>
          <w:p w14:paraId="3C02781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127,689</w:t>
            </w:r>
          </w:p>
        </w:tc>
        <w:tc>
          <w:tcPr>
            <w:tcW w:w="943" w:type="dxa"/>
            <w:tcBorders>
              <w:top w:val="nil"/>
              <w:left w:val="nil"/>
              <w:bottom w:val="nil"/>
              <w:right w:val="nil"/>
            </w:tcBorders>
            <w:shd w:val="clear" w:color="auto" w:fill="auto"/>
            <w:noWrap/>
            <w:vAlign w:val="bottom"/>
            <w:hideMark/>
          </w:tcPr>
          <w:p w14:paraId="45C51ED5"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116,159</w:t>
            </w:r>
          </w:p>
        </w:tc>
        <w:tc>
          <w:tcPr>
            <w:tcW w:w="943" w:type="dxa"/>
            <w:tcBorders>
              <w:top w:val="nil"/>
              <w:left w:val="nil"/>
              <w:bottom w:val="nil"/>
              <w:right w:val="nil"/>
            </w:tcBorders>
            <w:shd w:val="clear" w:color="auto" w:fill="auto"/>
            <w:noWrap/>
            <w:vAlign w:val="bottom"/>
            <w:hideMark/>
          </w:tcPr>
          <w:p w14:paraId="363CB87B"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94,809</w:t>
            </w:r>
          </w:p>
        </w:tc>
      </w:tr>
      <w:tr w:rsidR="000F123C" w:rsidRPr="000F123C" w14:paraId="615C94EF"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4B568A7D" w14:textId="77777777"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Special accounts</w:t>
            </w:r>
          </w:p>
        </w:tc>
        <w:tc>
          <w:tcPr>
            <w:tcW w:w="934" w:type="dxa"/>
            <w:tcBorders>
              <w:top w:val="nil"/>
              <w:left w:val="nil"/>
              <w:bottom w:val="nil"/>
              <w:right w:val="nil"/>
            </w:tcBorders>
            <w:shd w:val="clear" w:color="auto" w:fill="auto"/>
            <w:noWrap/>
            <w:vAlign w:val="bottom"/>
            <w:hideMark/>
          </w:tcPr>
          <w:p w14:paraId="520BC795"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37" w:type="dxa"/>
            <w:tcBorders>
              <w:top w:val="nil"/>
              <w:left w:val="nil"/>
              <w:bottom w:val="nil"/>
              <w:right w:val="nil"/>
            </w:tcBorders>
            <w:shd w:val="clear" w:color="000000" w:fill="D9D9D9"/>
            <w:noWrap/>
            <w:vAlign w:val="bottom"/>
            <w:hideMark/>
          </w:tcPr>
          <w:p w14:paraId="28F487BB"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4807DA4A"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704E1C0D"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c>
          <w:tcPr>
            <w:tcW w:w="943" w:type="dxa"/>
            <w:tcBorders>
              <w:top w:val="nil"/>
              <w:left w:val="nil"/>
              <w:bottom w:val="nil"/>
              <w:right w:val="nil"/>
            </w:tcBorders>
            <w:shd w:val="clear" w:color="auto" w:fill="auto"/>
            <w:noWrap/>
            <w:vAlign w:val="bottom"/>
            <w:hideMark/>
          </w:tcPr>
          <w:p w14:paraId="7F971063"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w:t>
            </w:r>
          </w:p>
        </w:tc>
      </w:tr>
      <w:tr w:rsidR="000F123C" w:rsidRPr="000F123C" w14:paraId="749CC7F9"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37CA6F1D" w14:textId="77777777"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Payments to corporate entities</w:t>
            </w:r>
          </w:p>
        </w:tc>
        <w:tc>
          <w:tcPr>
            <w:tcW w:w="934" w:type="dxa"/>
            <w:tcBorders>
              <w:top w:val="nil"/>
              <w:left w:val="nil"/>
              <w:bottom w:val="nil"/>
              <w:right w:val="nil"/>
            </w:tcBorders>
            <w:shd w:val="clear" w:color="auto" w:fill="auto"/>
            <w:noWrap/>
            <w:vAlign w:val="bottom"/>
            <w:hideMark/>
          </w:tcPr>
          <w:p w14:paraId="6C1580A7"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337,870</w:t>
            </w:r>
          </w:p>
        </w:tc>
        <w:tc>
          <w:tcPr>
            <w:tcW w:w="937" w:type="dxa"/>
            <w:tcBorders>
              <w:top w:val="nil"/>
              <w:left w:val="nil"/>
              <w:bottom w:val="nil"/>
              <w:right w:val="nil"/>
            </w:tcBorders>
            <w:shd w:val="clear" w:color="000000" w:fill="D9D9D9"/>
            <w:noWrap/>
            <w:vAlign w:val="bottom"/>
            <w:hideMark/>
          </w:tcPr>
          <w:p w14:paraId="0FF56DB3"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343,020</w:t>
            </w:r>
          </w:p>
        </w:tc>
        <w:tc>
          <w:tcPr>
            <w:tcW w:w="943" w:type="dxa"/>
            <w:tcBorders>
              <w:top w:val="nil"/>
              <w:left w:val="nil"/>
              <w:bottom w:val="nil"/>
              <w:right w:val="nil"/>
            </w:tcBorders>
            <w:shd w:val="clear" w:color="auto" w:fill="auto"/>
            <w:noWrap/>
            <w:vAlign w:val="bottom"/>
            <w:hideMark/>
          </w:tcPr>
          <w:p w14:paraId="557E1636"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268,621</w:t>
            </w:r>
          </w:p>
        </w:tc>
        <w:tc>
          <w:tcPr>
            <w:tcW w:w="943" w:type="dxa"/>
            <w:tcBorders>
              <w:top w:val="nil"/>
              <w:left w:val="nil"/>
              <w:bottom w:val="nil"/>
              <w:right w:val="nil"/>
            </w:tcBorders>
            <w:shd w:val="clear" w:color="auto" w:fill="auto"/>
            <w:noWrap/>
            <w:vAlign w:val="bottom"/>
            <w:hideMark/>
          </w:tcPr>
          <w:p w14:paraId="6126F992"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242,229</w:t>
            </w:r>
          </w:p>
        </w:tc>
        <w:tc>
          <w:tcPr>
            <w:tcW w:w="943" w:type="dxa"/>
            <w:tcBorders>
              <w:top w:val="nil"/>
              <w:left w:val="nil"/>
              <w:bottom w:val="nil"/>
              <w:right w:val="nil"/>
            </w:tcBorders>
            <w:shd w:val="clear" w:color="auto" w:fill="auto"/>
            <w:noWrap/>
            <w:vAlign w:val="bottom"/>
            <w:hideMark/>
          </w:tcPr>
          <w:p w14:paraId="2F413BB8"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242,024</w:t>
            </w:r>
          </w:p>
        </w:tc>
      </w:tr>
      <w:tr w:rsidR="000F123C" w:rsidRPr="000F123C" w14:paraId="5C64CFE4" w14:textId="77777777" w:rsidTr="000F123C">
        <w:trPr>
          <w:trHeight w:val="283"/>
          <w:jc w:val="center"/>
        </w:trPr>
        <w:tc>
          <w:tcPr>
            <w:tcW w:w="2980" w:type="dxa"/>
            <w:tcBorders>
              <w:top w:val="nil"/>
              <w:left w:val="nil"/>
              <w:bottom w:val="nil"/>
              <w:right w:val="nil"/>
            </w:tcBorders>
            <w:shd w:val="clear" w:color="auto" w:fill="auto"/>
            <w:noWrap/>
            <w:vAlign w:val="bottom"/>
            <w:hideMark/>
          </w:tcPr>
          <w:p w14:paraId="3DB09C42" w14:textId="77777777" w:rsidR="000F123C" w:rsidRPr="000F123C" w:rsidRDefault="000F123C" w:rsidP="000F123C">
            <w:pPr>
              <w:spacing w:before="0" w:after="0" w:line="240" w:lineRule="auto"/>
              <w:ind w:firstLineChars="100" w:firstLine="160"/>
              <w:rPr>
                <w:rFonts w:ascii="Arial" w:hAnsi="Arial" w:cs="Arial"/>
                <w:sz w:val="16"/>
                <w:szCs w:val="16"/>
              </w:rPr>
            </w:pPr>
            <w:r w:rsidRPr="000F123C">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3B67731B" w14:textId="77777777" w:rsidR="000F123C" w:rsidRPr="000F123C" w:rsidRDefault="000F123C" w:rsidP="000F123C">
            <w:pPr>
              <w:spacing w:before="0" w:after="0" w:line="240" w:lineRule="auto"/>
              <w:ind w:firstLineChars="100" w:firstLine="160"/>
              <w:rPr>
                <w:rFonts w:ascii="Arial" w:hAnsi="Arial" w:cs="Arial"/>
                <w:sz w:val="16"/>
                <w:szCs w:val="16"/>
              </w:rPr>
            </w:pPr>
          </w:p>
        </w:tc>
        <w:tc>
          <w:tcPr>
            <w:tcW w:w="937" w:type="dxa"/>
            <w:tcBorders>
              <w:top w:val="nil"/>
              <w:left w:val="nil"/>
              <w:bottom w:val="nil"/>
              <w:right w:val="nil"/>
            </w:tcBorders>
            <w:shd w:val="clear" w:color="000000" w:fill="D9D9D9"/>
            <w:noWrap/>
            <w:vAlign w:val="bottom"/>
            <w:hideMark/>
          </w:tcPr>
          <w:p w14:paraId="0AB7B891"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 </w:t>
            </w:r>
          </w:p>
        </w:tc>
        <w:tc>
          <w:tcPr>
            <w:tcW w:w="943" w:type="dxa"/>
            <w:tcBorders>
              <w:top w:val="nil"/>
              <w:left w:val="nil"/>
              <w:bottom w:val="nil"/>
              <w:right w:val="nil"/>
            </w:tcBorders>
            <w:shd w:val="clear" w:color="auto" w:fill="auto"/>
            <w:noWrap/>
            <w:vAlign w:val="bottom"/>
            <w:hideMark/>
          </w:tcPr>
          <w:p w14:paraId="4530396A" w14:textId="77777777" w:rsidR="000F123C" w:rsidRPr="000F123C" w:rsidRDefault="000F123C" w:rsidP="000F123C">
            <w:pPr>
              <w:spacing w:before="0" w:after="0" w:line="240" w:lineRule="auto"/>
              <w:jc w:val="right"/>
              <w:rPr>
                <w:rFonts w:ascii="Arial" w:hAnsi="Arial" w:cs="Arial"/>
                <w:sz w:val="16"/>
                <w:szCs w:val="16"/>
              </w:rPr>
            </w:pPr>
          </w:p>
        </w:tc>
        <w:tc>
          <w:tcPr>
            <w:tcW w:w="943" w:type="dxa"/>
            <w:tcBorders>
              <w:top w:val="nil"/>
              <w:left w:val="nil"/>
              <w:bottom w:val="nil"/>
              <w:right w:val="nil"/>
            </w:tcBorders>
            <w:shd w:val="clear" w:color="auto" w:fill="auto"/>
            <w:noWrap/>
            <w:vAlign w:val="bottom"/>
            <w:hideMark/>
          </w:tcPr>
          <w:p w14:paraId="66176DD3" w14:textId="77777777" w:rsidR="000F123C" w:rsidRPr="000F123C" w:rsidRDefault="000F123C" w:rsidP="000F123C">
            <w:pPr>
              <w:spacing w:before="0" w:after="0" w:line="240" w:lineRule="auto"/>
              <w:jc w:val="right"/>
              <w:rPr>
                <w:rFonts w:ascii="Times New Roman" w:hAnsi="Times New Roman"/>
                <w:sz w:val="20"/>
              </w:rPr>
            </w:pPr>
          </w:p>
        </w:tc>
        <w:tc>
          <w:tcPr>
            <w:tcW w:w="943" w:type="dxa"/>
            <w:tcBorders>
              <w:top w:val="nil"/>
              <w:left w:val="nil"/>
              <w:bottom w:val="nil"/>
              <w:right w:val="nil"/>
            </w:tcBorders>
            <w:shd w:val="clear" w:color="auto" w:fill="auto"/>
            <w:noWrap/>
            <w:vAlign w:val="bottom"/>
            <w:hideMark/>
          </w:tcPr>
          <w:p w14:paraId="2BDD1B15" w14:textId="77777777" w:rsidR="000F123C" w:rsidRPr="000F123C" w:rsidRDefault="000F123C" w:rsidP="000F123C">
            <w:pPr>
              <w:spacing w:before="0" w:after="0" w:line="240" w:lineRule="auto"/>
              <w:jc w:val="right"/>
              <w:rPr>
                <w:rFonts w:ascii="Times New Roman" w:hAnsi="Times New Roman"/>
                <w:sz w:val="20"/>
              </w:rPr>
            </w:pPr>
          </w:p>
        </w:tc>
      </w:tr>
      <w:tr w:rsidR="000F123C" w:rsidRPr="000F123C" w14:paraId="6CA2CE91" w14:textId="77777777" w:rsidTr="000F123C">
        <w:trPr>
          <w:trHeight w:val="225"/>
          <w:jc w:val="center"/>
        </w:trPr>
        <w:tc>
          <w:tcPr>
            <w:tcW w:w="2980" w:type="dxa"/>
            <w:tcBorders>
              <w:top w:val="nil"/>
              <w:left w:val="nil"/>
              <w:bottom w:val="nil"/>
              <w:right w:val="nil"/>
            </w:tcBorders>
            <w:shd w:val="clear" w:color="auto" w:fill="auto"/>
            <w:noWrap/>
            <w:vAlign w:val="bottom"/>
            <w:hideMark/>
          </w:tcPr>
          <w:p w14:paraId="228840CF" w14:textId="718CEFFB" w:rsidR="000F123C" w:rsidRPr="000F123C" w:rsidRDefault="00610614" w:rsidP="00D87B92">
            <w:pPr>
              <w:spacing w:before="0" w:after="0" w:line="240" w:lineRule="auto"/>
              <w:ind w:leftChars="150" w:left="285"/>
              <w:rPr>
                <w:rFonts w:ascii="Arial" w:hAnsi="Arial" w:cs="Arial"/>
                <w:sz w:val="16"/>
                <w:szCs w:val="16"/>
              </w:rPr>
            </w:pPr>
            <w:r>
              <w:rPr>
                <w:rFonts w:ascii="Arial" w:hAnsi="Arial" w:cs="Arial"/>
                <w:sz w:val="16"/>
                <w:szCs w:val="16"/>
              </w:rPr>
              <w:t>Departmental appropriation</w:t>
            </w:r>
          </w:p>
        </w:tc>
        <w:tc>
          <w:tcPr>
            <w:tcW w:w="934" w:type="dxa"/>
            <w:tcBorders>
              <w:top w:val="nil"/>
              <w:left w:val="nil"/>
              <w:bottom w:val="nil"/>
              <w:right w:val="nil"/>
            </w:tcBorders>
            <w:shd w:val="clear" w:color="auto" w:fill="auto"/>
            <w:noWrap/>
            <w:vAlign w:val="bottom"/>
            <w:hideMark/>
          </w:tcPr>
          <w:p w14:paraId="602B1D03"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36,406</w:t>
            </w:r>
          </w:p>
        </w:tc>
        <w:tc>
          <w:tcPr>
            <w:tcW w:w="937" w:type="dxa"/>
            <w:tcBorders>
              <w:top w:val="nil"/>
              <w:left w:val="nil"/>
              <w:bottom w:val="nil"/>
              <w:right w:val="nil"/>
            </w:tcBorders>
            <w:shd w:val="clear" w:color="000000" w:fill="D9D9D9"/>
            <w:noWrap/>
            <w:vAlign w:val="bottom"/>
            <w:hideMark/>
          </w:tcPr>
          <w:p w14:paraId="7104F7CB"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14,362</w:t>
            </w:r>
          </w:p>
        </w:tc>
        <w:tc>
          <w:tcPr>
            <w:tcW w:w="943" w:type="dxa"/>
            <w:tcBorders>
              <w:top w:val="nil"/>
              <w:left w:val="nil"/>
              <w:bottom w:val="nil"/>
              <w:right w:val="nil"/>
            </w:tcBorders>
            <w:shd w:val="clear" w:color="auto" w:fill="auto"/>
            <w:noWrap/>
            <w:vAlign w:val="bottom"/>
            <w:hideMark/>
          </w:tcPr>
          <w:p w14:paraId="66A322AD"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15,005</w:t>
            </w:r>
          </w:p>
        </w:tc>
        <w:tc>
          <w:tcPr>
            <w:tcW w:w="943" w:type="dxa"/>
            <w:tcBorders>
              <w:top w:val="nil"/>
              <w:left w:val="nil"/>
              <w:bottom w:val="nil"/>
              <w:right w:val="nil"/>
            </w:tcBorders>
            <w:shd w:val="clear" w:color="auto" w:fill="auto"/>
            <w:noWrap/>
            <w:vAlign w:val="bottom"/>
            <w:hideMark/>
          </w:tcPr>
          <w:p w14:paraId="1B763179"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15,168</w:t>
            </w:r>
          </w:p>
        </w:tc>
        <w:tc>
          <w:tcPr>
            <w:tcW w:w="943" w:type="dxa"/>
            <w:tcBorders>
              <w:top w:val="nil"/>
              <w:left w:val="nil"/>
              <w:bottom w:val="nil"/>
              <w:right w:val="nil"/>
            </w:tcBorders>
            <w:shd w:val="clear" w:color="auto" w:fill="auto"/>
            <w:noWrap/>
            <w:vAlign w:val="bottom"/>
            <w:hideMark/>
          </w:tcPr>
          <w:p w14:paraId="2054B4A5"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14,992</w:t>
            </w:r>
          </w:p>
        </w:tc>
      </w:tr>
      <w:tr w:rsidR="000F123C" w:rsidRPr="000F123C" w14:paraId="3617B51B" w14:textId="77777777" w:rsidTr="000F123C">
        <w:trPr>
          <w:trHeight w:val="595"/>
          <w:jc w:val="center"/>
        </w:trPr>
        <w:tc>
          <w:tcPr>
            <w:tcW w:w="2980" w:type="dxa"/>
            <w:tcBorders>
              <w:top w:val="nil"/>
              <w:left w:val="nil"/>
              <w:bottom w:val="nil"/>
              <w:right w:val="nil"/>
            </w:tcBorders>
            <w:shd w:val="clear" w:color="auto" w:fill="auto"/>
            <w:vAlign w:val="bottom"/>
            <w:hideMark/>
          </w:tcPr>
          <w:p w14:paraId="3CDB8C75" w14:textId="10266A2E" w:rsidR="000F123C" w:rsidRPr="000F123C" w:rsidRDefault="000F123C" w:rsidP="00D87B92">
            <w:pPr>
              <w:spacing w:before="0" w:after="0" w:line="240" w:lineRule="auto"/>
              <w:ind w:leftChars="150" w:left="285"/>
              <w:rPr>
                <w:rFonts w:ascii="Arial" w:hAnsi="Arial" w:cs="Arial"/>
                <w:sz w:val="16"/>
                <w:szCs w:val="16"/>
              </w:rPr>
            </w:pPr>
            <w:r w:rsidRPr="000F123C">
              <w:rPr>
                <w:rFonts w:ascii="Arial" w:hAnsi="Arial" w:cs="Arial"/>
                <w:sz w:val="16"/>
                <w:szCs w:val="16"/>
              </w:rPr>
              <w:t>Expenses not requiring a</w:t>
            </w:r>
            <w:r w:rsidR="00610614">
              <w:rPr>
                <w:rFonts w:ascii="Arial" w:hAnsi="Arial" w:cs="Arial"/>
                <w:sz w:val="16"/>
                <w:szCs w:val="16"/>
              </w:rPr>
              <w:t>ppropriation in the Budget year</w:t>
            </w:r>
          </w:p>
        </w:tc>
        <w:tc>
          <w:tcPr>
            <w:tcW w:w="934" w:type="dxa"/>
            <w:tcBorders>
              <w:top w:val="nil"/>
              <w:left w:val="nil"/>
              <w:bottom w:val="nil"/>
              <w:right w:val="nil"/>
            </w:tcBorders>
            <w:shd w:val="clear" w:color="auto" w:fill="auto"/>
            <w:noWrap/>
            <w:vAlign w:val="bottom"/>
            <w:hideMark/>
          </w:tcPr>
          <w:p w14:paraId="4DA8410A"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213</w:t>
            </w:r>
          </w:p>
        </w:tc>
        <w:tc>
          <w:tcPr>
            <w:tcW w:w="937" w:type="dxa"/>
            <w:tcBorders>
              <w:top w:val="nil"/>
              <w:left w:val="nil"/>
              <w:bottom w:val="nil"/>
              <w:right w:val="nil"/>
            </w:tcBorders>
            <w:shd w:val="clear" w:color="000000" w:fill="D9D9D9"/>
            <w:noWrap/>
            <w:vAlign w:val="bottom"/>
            <w:hideMark/>
          </w:tcPr>
          <w:p w14:paraId="4AD402FC"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420</w:t>
            </w:r>
          </w:p>
        </w:tc>
        <w:tc>
          <w:tcPr>
            <w:tcW w:w="943" w:type="dxa"/>
            <w:tcBorders>
              <w:top w:val="nil"/>
              <w:left w:val="nil"/>
              <w:bottom w:val="nil"/>
              <w:right w:val="nil"/>
            </w:tcBorders>
            <w:shd w:val="clear" w:color="auto" w:fill="auto"/>
            <w:noWrap/>
            <w:vAlign w:val="bottom"/>
            <w:hideMark/>
          </w:tcPr>
          <w:p w14:paraId="42835C08"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343</w:t>
            </w:r>
          </w:p>
        </w:tc>
        <w:tc>
          <w:tcPr>
            <w:tcW w:w="943" w:type="dxa"/>
            <w:tcBorders>
              <w:top w:val="nil"/>
              <w:left w:val="nil"/>
              <w:bottom w:val="nil"/>
              <w:right w:val="nil"/>
            </w:tcBorders>
            <w:shd w:val="clear" w:color="auto" w:fill="auto"/>
            <w:noWrap/>
            <w:vAlign w:val="bottom"/>
            <w:hideMark/>
          </w:tcPr>
          <w:p w14:paraId="446E7A9E"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343</w:t>
            </w:r>
          </w:p>
        </w:tc>
        <w:tc>
          <w:tcPr>
            <w:tcW w:w="943" w:type="dxa"/>
            <w:tcBorders>
              <w:top w:val="nil"/>
              <w:left w:val="nil"/>
              <w:bottom w:val="nil"/>
              <w:right w:val="nil"/>
            </w:tcBorders>
            <w:shd w:val="clear" w:color="auto" w:fill="auto"/>
            <w:noWrap/>
            <w:vAlign w:val="bottom"/>
            <w:hideMark/>
          </w:tcPr>
          <w:p w14:paraId="5D62E5D3" w14:textId="77777777" w:rsidR="000F123C" w:rsidRPr="000F123C" w:rsidRDefault="000F123C" w:rsidP="000F123C">
            <w:pPr>
              <w:spacing w:before="0" w:after="0" w:line="240" w:lineRule="auto"/>
              <w:jc w:val="right"/>
              <w:rPr>
                <w:rFonts w:ascii="Arial" w:hAnsi="Arial" w:cs="Arial"/>
                <w:sz w:val="16"/>
                <w:szCs w:val="16"/>
              </w:rPr>
            </w:pPr>
            <w:r w:rsidRPr="000F123C">
              <w:rPr>
                <w:rFonts w:ascii="Arial" w:hAnsi="Arial" w:cs="Arial"/>
                <w:sz w:val="16"/>
                <w:szCs w:val="16"/>
              </w:rPr>
              <w:t>343</w:t>
            </w:r>
          </w:p>
        </w:tc>
      </w:tr>
      <w:tr w:rsidR="000F123C" w:rsidRPr="000F123C" w14:paraId="683F63EA" w14:textId="77777777" w:rsidTr="000F123C">
        <w:trPr>
          <w:trHeight w:val="283"/>
          <w:jc w:val="center"/>
        </w:trPr>
        <w:tc>
          <w:tcPr>
            <w:tcW w:w="2980" w:type="dxa"/>
            <w:tcBorders>
              <w:top w:val="nil"/>
              <w:left w:val="nil"/>
              <w:bottom w:val="single" w:sz="4" w:space="0" w:color="auto"/>
              <w:right w:val="nil"/>
            </w:tcBorders>
            <w:shd w:val="clear" w:color="auto" w:fill="auto"/>
            <w:noWrap/>
            <w:vAlign w:val="bottom"/>
            <w:hideMark/>
          </w:tcPr>
          <w:p w14:paraId="468BA466" w14:textId="77777777" w:rsidR="000F123C" w:rsidRPr="000F123C" w:rsidRDefault="000F123C" w:rsidP="000F123C">
            <w:pPr>
              <w:spacing w:before="0" w:after="0" w:line="240" w:lineRule="auto"/>
              <w:rPr>
                <w:rFonts w:ascii="Arial" w:hAnsi="Arial" w:cs="Arial"/>
                <w:b/>
                <w:bCs/>
                <w:sz w:val="16"/>
                <w:szCs w:val="16"/>
              </w:rPr>
            </w:pPr>
            <w:r w:rsidRPr="000F123C">
              <w:rPr>
                <w:rFonts w:ascii="Arial" w:hAnsi="Arial" w:cs="Arial"/>
                <w:b/>
                <w:bCs/>
                <w:sz w:val="16"/>
                <w:szCs w:val="16"/>
              </w:rPr>
              <w:t>Total expenses for Outcome 4</w:t>
            </w:r>
          </w:p>
        </w:tc>
        <w:tc>
          <w:tcPr>
            <w:tcW w:w="934" w:type="dxa"/>
            <w:tcBorders>
              <w:top w:val="single" w:sz="4" w:space="0" w:color="auto"/>
              <w:left w:val="nil"/>
              <w:bottom w:val="single" w:sz="4" w:space="0" w:color="auto"/>
              <w:right w:val="nil"/>
            </w:tcBorders>
            <w:shd w:val="clear" w:color="auto" w:fill="auto"/>
            <w:noWrap/>
            <w:vAlign w:val="bottom"/>
            <w:hideMark/>
          </w:tcPr>
          <w:p w14:paraId="762EC3DA"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461,294</w:t>
            </w:r>
          </w:p>
        </w:tc>
        <w:tc>
          <w:tcPr>
            <w:tcW w:w="937" w:type="dxa"/>
            <w:tcBorders>
              <w:top w:val="single" w:sz="4" w:space="0" w:color="auto"/>
              <w:left w:val="nil"/>
              <w:bottom w:val="single" w:sz="4" w:space="0" w:color="auto"/>
              <w:right w:val="nil"/>
            </w:tcBorders>
            <w:shd w:val="clear" w:color="000000" w:fill="D9D9D9"/>
            <w:noWrap/>
            <w:vAlign w:val="bottom"/>
            <w:hideMark/>
          </w:tcPr>
          <w:p w14:paraId="7B1C8A7D"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456,250</w:t>
            </w:r>
          </w:p>
        </w:tc>
        <w:tc>
          <w:tcPr>
            <w:tcW w:w="943" w:type="dxa"/>
            <w:tcBorders>
              <w:top w:val="single" w:sz="4" w:space="0" w:color="auto"/>
              <w:left w:val="nil"/>
              <w:bottom w:val="single" w:sz="4" w:space="0" w:color="auto"/>
              <w:right w:val="nil"/>
            </w:tcBorders>
            <w:shd w:val="clear" w:color="auto" w:fill="auto"/>
            <w:noWrap/>
            <w:vAlign w:val="bottom"/>
            <w:hideMark/>
          </w:tcPr>
          <w:p w14:paraId="10F9C6D6"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411,658</w:t>
            </w:r>
          </w:p>
        </w:tc>
        <w:tc>
          <w:tcPr>
            <w:tcW w:w="943" w:type="dxa"/>
            <w:tcBorders>
              <w:top w:val="single" w:sz="4" w:space="0" w:color="auto"/>
              <w:left w:val="nil"/>
              <w:bottom w:val="single" w:sz="4" w:space="0" w:color="auto"/>
              <w:right w:val="nil"/>
            </w:tcBorders>
            <w:shd w:val="clear" w:color="auto" w:fill="auto"/>
            <w:noWrap/>
            <w:vAlign w:val="bottom"/>
            <w:hideMark/>
          </w:tcPr>
          <w:p w14:paraId="594DC919"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373,898</w:t>
            </w:r>
          </w:p>
        </w:tc>
        <w:tc>
          <w:tcPr>
            <w:tcW w:w="943" w:type="dxa"/>
            <w:tcBorders>
              <w:top w:val="single" w:sz="4" w:space="0" w:color="auto"/>
              <w:left w:val="nil"/>
              <w:bottom w:val="single" w:sz="4" w:space="0" w:color="auto"/>
              <w:right w:val="nil"/>
            </w:tcBorders>
            <w:shd w:val="clear" w:color="auto" w:fill="auto"/>
            <w:noWrap/>
            <w:vAlign w:val="bottom"/>
            <w:hideMark/>
          </w:tcPr>
          <w:p w14:paraId="18289741" w14:textId="77777777" w:rsidR="000F123C" w:rsidRPr="000F123C" w:rsidRDefault="000F123C" w:rsidP="000F123C">
            <w:pPr>
              <w:spacing w:before="0" w:after="0" w:line="240" w:lineRule="auto"/>
              <w:jc w:val="right"/>
              <w:rPr>
                <w:rFonts w:ascii="Arial" w:hAnsi="Arial" w:cs="Arial"/>
                <w:b/>
                <w:bCs/>
                <w:sz w:val="16"/>
                <w:szCs w:val="16"/>
              </w:rPr>
            </w:pPr>
            <w:r w:rsidRPr="000F123C">
              <w:rPr>
                <w:rFonts w:ascii="Arial" w:hAnsi="Arial" w:cs="Arial"/>
                <w:b/>
                <w:bCs/>
                <w:sz w:val="16"/>
                <w:szCs w:val="16"/>
              </w:rPr>
              <w:t>352,168</w:t>
            </w:r>
          </w:p>
        </w:tc>
      </w:tr>
    </w:tbl>
    <w:p w14:paraId="4451A6CD" w14:textId="77777777" w:rsidR="002B5B49" w:rsidRPr="00B9146F" w:rsidRDefault="002B5B49" w:rsidP="002B5B49">
      <w:pPr>
        <w:pStyle w:val="TableGraphic"/>
      </w:pPr>
    </w:p>
    <w:p w14:paraId="0B78D9B9" w14:textId="77777777" w:rsidR="002B5B49" w:rsidRPr="00223058" w:rsidRDefault="002B5B49" w:rsidP="002B5B49">
      <w:pPr>
        <w:pStyle w:val="TableGraphic"/>
      </w:pPr>
    </w:p>
    <w:p w14:paraId="7E7C8B51" w14:textId="77777777" w:rsidR="002B5B49" w:rsidRDefault="002B5B49" w:rsidP="002B5B49">
      <w:pPr>
        <w:spacing w:after="0" w:line="240" w:lineRule="auto"/>
        <w:rPr>
          <w:rFonts w:ascii="Arial" w:hAnsi="Arial"/>
          <w:b/>
          <w:bCs/>
          <w:iCs/>
          <w:szCs w:val="26"/>
          <w:lang w:val="x-none"/>
        </w:rPr>
      </w:pPr>
      <w:r>
        <w:br w:type="page"/>
      </w:r>
    </w:p>
    <w:bookmarkStart w:id="319" w:name="_Toc112137880"/>
    <w:bookmarkStart w:id="320" w:name="_Toc112137902"/>
    <w:bookmarkStart w:id="321" w:name="_Toc210646455"/>
    <w:bookmarkStart w:id="322" w:name="_Toc210698434"/>
    <w:bookmarkStart w:id="323" w:name="_Toc210703217"/>
    <w:bookmarkStart w:id="324" w:name="_Toc152600114"/>
    <w:bookmarkStart w:id="325" w:name="_Toc143309827"/>
    <w:bookmarkStart w:id="326" w:name="OLE_LINK7"/>
    <w:bookmarkStart w:id="327" w:name="OLE_LINK8"/>
    <w:bookmarkStart w:id="328" w:name="_Toc35936966"/>
    <w:bookmarkStart w:id="329" w:name="_Toc77998691"/>
    <w:bookmarkStart w:id="330" w:name="_Toc79406120"/>
    <w:bookmarkStart w:id="331" w:name="_Toc79467822"/>
    <w:bookmarkStart w:id="332" w:name="_Toc112137881"/>
    <w:bookmarkStart w:id="333" w:name="_Toc112137903"/>
    <w:bookmarkStart w:id="334" w:name="_Toc210646456"/>
    <w:bookmarkStart w:id="335" w:name="_Toc210698435"/>
    <w:bookmarkStart w:id="336" w:name="_Toc492800629"/>
    <w:p w14:paraId="402A0956" w14:textId="090EF889" w:rsidR="00736DD8" w:rsidRPr="00E41681" w:rsidRDefault="00670727" w:rsidP="007C633E">
      <w:pPr>
        <w:pStyle w:val="Heading2-TOC"/>
        <w:spacing w:after="240"/>
      </w:pPr>
      <w:r w:rsidRPr="00670727">
        <w:rPr>
          <w:rFonts w:cs="Arial"/>
          <w:b w:val="0"/>
          <w:sz w:val="22"/>
          <w:szCs w:val="22"/>
        </w:rPr>
        <w:lastRenderedPageBreak/>
        <w:fldChar w:fldCharType="begin"/>
      </w:r>
      <w:r w:rsidRPr="00670727">
        <w:rPr>
          <w:rFonts w:cs="Arial"/>
          <w:b w:val="0"/>
          <w:sz w:val="22"/>
          <w:szCs w:val="22"/>
        </w:rPr>
        <w:instrText xml:space="preserve"> </w:instrText>
      </w:r>
      <w:proofErr w:type="gramStart"/>
      <w:r w:rsidRPr="00670727">
        <w:rPr>
          <w:rFonts w:cs="Arial"/>
          <w:b w:val="0"/>
          <w:sz w:val="22"/>
          <w:szCs w:val="22"/>
        </w:rPr>
        <w:instrText>TC  "</w:instrText>
      </w:r>
      <w:bookmarkStart w:id="337" w:name="_Toc155882375"/>
      <w:proofErr w:type="gramEnd"/>
      <w:r>
        <w:rPr>
          <w:rFonts w:cs="Arial"/>
          <w:b w:val="0"/>
          <w:sz w:val="22"/>
          <w:szCs w:val="22"/>
        </w:rPr>
        <w:instrText>Section 3: Special account flows and budgeted financial statements</w:instrText>
      </w:r>
      <w:bookmarkEnd w:id="337"/>
      <w:r w:rsidRPr="00670727">
        <w:rPr>
          <w:rFonts w:cs="Arial"/>
          <w:b w:val="0"/>
          <w:sz w:val="22"/>
          <w:szCs w:val="22"/>
        </w:rPr>
        <w:instrText xml:space="preserve">" \f </w:instrText>
      </w:r>
      <w:proofErr w:type="spellStart"/>
      <w:r w:rsidRPr="00670727">
        <w:rPr>
          <w:rFonts w:cs="Arial"/>
          <w:b w:val="0"/>
          <w:sz w:val="22"/>
          <w:szCs w:val="22"/>
        </w:rPr>
        <w:instrText>dohac</w:instrText>
      </w:r>
      <w:proofErr w:type="spellEnd"/>
      <w:r w:rsidRPr="00670727">
        <w:rPr>
          <w:rFonts w:cs="Arial"/>
          <w:b w:val="0"/>
          <w:sz w:val="22"/>
          <w:szCs w:val="22"/>
        </w:rPr>
        <w:instrText xml:space="preserve"> \l 1 </w:instrText>
      </w:r>
      <w:r w:rsidRPr="00670727">
        <w:rPr>
          <w:rFonts w:cs="Arial"/>
          <w:b w:val="0"/>
          <w:sz w:val="22"/>
          <w:szCs w:val="22"/>
        </w:rPr>
        <w:fldChar w:fldCharType="end"/>
      </w:r>
      <w:bookmarkStart w:id="338" w:name="_Toc157592000"/>
      <w:bookmarkStart w:id="339" w:name="_Toc157592183"/>
      <w:r w:rsidR="00736DD8" w:rsidRPr="00E41681">
        <w:t>Section 3</w:t>
      </w:r>
      <w:bookmarkStart w:id="340" w:name="_Toc436624159"/>
      <w:bookmarkStart w:id="341" w:name="_Toc436625460"/>
      <w:bookmarkStart w:id="342" w:name="_Toc446237038"/>
      <w:bookmarkStart w:id="343" w:name="_Toc449255782"/>
      <w:r w:rsidR="00736DD8" w:rsidRPr="00E41681">
        <w:t>: Special account flows and budgeted financial statements</w:t>
      </w:r>
      <w:bookmarkStart w:id="344" w:name="_Toc190682316"/>
      <w:bookmarkStart w:id="345" w:name="_Toc190682533"/>
      <w:bookmarkStart w:id="346" w:name="_Toc210703218"/>
      <w:bookmarkEnd w:id="319"/>
      <w:bookmarkEnd w:id="320"/>
      <w:bookmarkEnd w:id="321"/>
      <w:bookmarkEnd w:id="322"/>
      <w:bookmarkEnd w:id="323"/>
      <w:bookmarkEnd w:id="324"/>
      <w:bookmarkEnd w:id="338"/>
      <w:bookmarkEnd w:id="339"/>
      <w:bookmarkEnd w:id="340"/>
      <w:bookmarkEnd w:id="341"/>
      <w:bookmarkEnd w:id="342"/>
      <w:bookmarkEnd w:id="343"/>
    </w:p>
    <w:bookmarkStart w:id="347" w:name="_Toc531095071"/>
    <w:bookmarkStart w:id="348" w:name="_Toc152600115"/>
    <w:p w14:paraId="27B50D19" w14:textId="27778616" w:rsidR="00736DD8" w:rsidRPr="004D3E2B" w:rsidRDefault="00670727" w:rsidP="00736DD8">
      <w:pPr>
        <w:pStyle w:val="Heading3"/>
      </w:pPr>
      <w:r w:rsidRPr="00670727">
        <w:rPr>
          <w:rFonts w:ascii="Arial" w:hAnsi="Arial" w:cs="Arial"/>
          <w:b w:val="0"/>
          <w:szCs w:val="22"/>
        </w:rPr>
        <w:fldChar w:fldCharType="begin"/>
      </w:r>
      <w:r w:rsidRPr="00670727">
        <w:rPr>
          <w:rFonts w:ascii="Arial" w:hAnsi="Arial" w:cs="Arial"/>
          <w:b w:val="0"/>
          <w:szCs w:val="22"/>
        </w:rPr>
        <w:instrText xml:space="preserve"> </w:instrText>
      </w:r>
      <w:proofErr w:type="gramStart"/>
      <w:r w:rsidRPr="00670727">
        <w:rPr>
          <w:rFonts w:ascii="Arial" w:hAnsi="Arial" w:cs="Arial"/>
          <w:b w:val="0"/>
          <w:szCs w:val="22"/>
        </w:rPr>
        <w:instrText>TC  "</w:instrText>
      </w:r>
      <w:bookmarkStart w:id="349" w:name="_Toc155882376"/>
      <w:proofErr w:type="gramEnd"/>
      <w:r>
        <w:rPr>
          <w:rFonts w:ascii="Arial" w:hAnsi="Arial" w:cs="Arial"/>
          <w:b w:val="0"/>
          <w:szCs w:val="22"/>
        </w:rPr>
        <w:instrText>3</w:instrText>
      </w:r>
      <w:r w:rsidRPr="00670727">
        <w:rPr>
          <w:rFonts w:ascii="Arial" w:hAnsi="Arial" w:cs="Arial"/>
          <w:b w:val="0"/>
          <w:szCs w:val="22"/>
        </w:rPr>
        <w:instrText>.1</w:instrText>
      </w:r>
      <w:r w:rsidRPr="00670727">
        <w:rPr>
          <w:rFonts w:ascii="Arial" w:hAnsi="Arial" w:cs="Arial"/>
          <w:b w:val="0"/>
          <w:szCs w:val="22"/>
        </w:rPr>
        <w:tab/>
      </w:r>
      <w:r>
        <w:rPr>
          <w:rFonts w:ascii="Arial" w:hAnsi="Arial" w:cs="Arial"/>
          <w:b w:val="0"/>
          <w:szCs w:val="22"/>
        </w:rPr>
        <w:instrText>Special account flows and balances</w:instrText>
      </w:r>
      <w:bookmarkEnd w:id="349"/>
      <w:r w:rsidRPr="00670727">
        <w:rPr>
          <w:rFonts w:ascii="Arial" w:hAnsi="Arial" w:cs="Arial"/>
          <w:b w:val="0"/>
          <w:szCs w:val="22"/>
        </w:rPr>
        <w:instrText xml:space="preserve">" \f </w:instrText>
      </w:r>
      <w:proofErr w:type="spellStart"/>
      <w:r w:rsidRPr="00670727">
        <w:rPr>
          <w:rFonts w:ascii="Arial" w:hAnsi="Arial" w:cs="Arial"/>
          <w:b w:val="0"/>
          <w:szCs w:val="22"/>
        </w:rPr>
        <w:instrText>dohac</w:instrText>
      </w:r>
      <w:proofErr w:type="spellEnd"/>
      <w:r w:rsidRPr="00670727">
        <w:rPr>
          <w:rFonts w:ascii="Arial" w:hAnsi="Arial" w:cs="Arial"/>
          <w:b w:val="0"/>
          <w:szCs w:val="22"/>
        </w:rPr>
        <w:instrText xml:space="preserve"> \l </w:instrText>
      </w:r>
      <w:r>
        <w:rPr>
          <w:rFonts w:ascii="Arial" w:hAnsi="Arial" w:cs="Arial"/>
          <w:b w:val="0"/>
          <w:szCs w:val="22"/>
        </w:rPr>
        <w:instrText>2</w:instrText>
      </w:r>
      <w:r w:rsidRPr="00670727">
        <w:rPr>
          <w:rFonts w:ascii="Arial" w:hAnsi="Arial" w:cs="Arial"/>
          <w:b w:val="0"/>
          <w:szCs w:val="22"/>
        </w:rPr>
        <w:instrText xml:space="preserve"> </w:instrText>
      </w:r>
      <w:r w:rsidRPr="00670727">
        <w:rPr>
          <w:rFonts w:ascii="Arial" w:hAnsi="Arial" w:cs="Arial"/>
          <w:b w:val="0"/>
          <w:szCs w:val="22"/>
        </w:rPr>
        <w:fldChar w:fldCharType="end"/>
      </w:r>
      <w:bookmarkStart w:id="350" w:name="_Toc157592001"/>
      <w:bookmarkStart w:id="351" w:name="_Toc157592184"/>
      <w:r w:rsidR="00736DD8" w:rsidRPr="004D3E2B">
        <w:t>3.1</w:t>
      </w:r>
      <w:r w:rsidR="00736DD8" w:rsidRPr="004D3E2B">
        <w:tab/>
      </w:r>
      <w:bookmarkEnd w:id="344"/>
      <w:bookmarkEnd w:id="345"/>
      <w:bookmarkEnd w:id="346"/>
      <w:r w:rsidR="00736DD8" w:rsidRPr="004D3E2B">
        <w:t>Special account flows</w:t>
      </w:r>
      <w:bookmarkEnd w:id="347"/>
      <w:r w:rsidR="00736DD8">
        <w:t xml:space="preserve"> and balances</w:t>
      </w:r>
      <w:bookmarkEnd w:id="348"/>
      <w:bookmarkEnd w:id="350"/>
      <w:bookmarkEnd w:id="351"/>
    </w:p>
    <w:p w14:paraId="67C43E4A" w14:textId="77777777" w:rsidR="00736DD8" w:rsidRDefault="00736DD8" w:rsidP="00736DD8">
      <w:pPr>
        <w:pStyle w:val="Heading4"/>
      </w:pPr>
      <w:r w:rsidRPr="004928FF">
        <w:t xml:space="preserve">Estimates of </w:t>
      </w:r>
      <w:r>
        <w:t>s</w:t>
      </w:r>
      <w:r w:rsidRPr="004928FF">
        <w:t xml:space="preserve">pecial </w:t>
      </w:r>
      <w:r>
        <w:t>a</w:t>
      </w:r>
      <w:r w:rsidRPr="004928FF">
        <w:t xml:space="preserve">ccount </w:t>
      </w:r>
      <w:r>
        <w:t>f</w:t>
      </w:r>
      <w:r w:rsidRPr="004928FF">
        <w:t>lows</w:t>
      </w:r>
      <w:bookmarkEnd w:id="325"/>
      <w:r>
        <w:t xml:space="preserve"> and balances</w:t>
      </w:r>
    </w:p>
    <w:bookmarkEnd w:id="326"/>
    <w:bookmarkEnd w:id="327"/>
    <w:p w14:paraId="6E967E49" w14:textId="3C7D688A" w:rsidR="00736DD8" w:rsidRPr="00B20DBD" w:rsidRDefault="00736DD8" w:rsidP="007C633E">
      <w:pPr>
        <w:spacing w:before="0" w:after="120"/>
        <w:rPr>
          <w:sz w:val="20"/>
        </w:rPr>
      </w:pPr>
      <w:r w:rsidRPr="00B20DBD">
        <w:rPr>
          <w:sz w:val="20"/>
        </w:rPr>
        <w:t xml:space="preserve">Special Accounts provide a means to set </w:t>
      </w:r>
      <w:proofErr w:type="gramStart"/>
      <w:r w:rsidRPr="00B20DBD">
        <w:rPr>
          <w:sz w:val="20"/>
        </w:rPr>
        <w:t>aside</w:t>
      </w:r>
      <w:proofErr w:type="gramEnd"/>
      <w:r w:rsidRPr="00B20DBD">
        <w:rPr>
          <w:sz w:val="20"/>
        </w:rPr>
        <w:t xml:space="preserve"> and record amounts used for specified purposes. Table 3.1 shows the expected additions (receipts) and reductions (payments) for each account used by </w:t>
      </w:r>
      <w:r w:rsidR="008B2968" w:rsidRPr="00B20DBD">
        <w:rPr>
          <w:sz w:val="20"/>
        </w:rPr>
        <w:t>the Department of Health and Aged Care</w:t>
      </w:r>
      <w:r w:rsidRPr="00B20DBD">
        <w:rPr>
          <w:sz w:val="20"/>
        </w:rPr>
        <w:t>.</w:t>
      </w:r>
    </w:p>
    <w:p w14:paraId="1E77BBD2" w14:textId="711E73CB" w:rsidR="00736DD8" w:rsidRDefault="00124E31" w:rsidP="00736DD8">
      <w:pPr>
        <w:pStyle w:val="TableHeading"/>
      </w:pPr>
      <w:r>
        <w:t xml:space="preserve">    </w:t>
      </w:r>
      <w:r w:rsidR="00736DD8">
        <w:t>Table 3.1: Estimates of special account flows and balances</w:t>
      </w:r>
    </w:p>
    <w:tbl>
      <w:tblPr>
        <w:tblW w:w="7380" w:type="dxa"/>
        <w:jc w:val="center"/>
        <w:tblLayout w:type="fixed"/>
        <w:tblLook w:val="04A0" w:firstRow="1" w:lastRow="0" w:firstColumn="1" w:lastColumn="0" w:noHBand="0" w:noVBand="1"/>
      </w:tblPr>
      <w:tblGrid>
        <w:gridCol w:w="1960"/>
        <w:gridCol w:w="720"/>
        <w:gridCol w:w="900"/>
        <w:gridCol w:w="920"/>
        <w:gridCol w:w="1060"/>
        <w:gridCol w:w="920"/>
        <w:gridCol w:w="900"/>
      </w:tblGrid>
      <w:tr w:rsidR="007C633E" w:rsidRPr="007C633E" w14:paraId="0287589B" w14:textId="77777777" w:rsidTr="00BF09AA">
        <w:trPr>
          <w:trHeight w:val="624"/>
          <w:jc w:val="center"/>
        </w:trPr>
        <w:tc>
          <w:tcPr>
            <w:tcW w:w="1960" w:type="dxa"/>
            <w:tcBorders>
              <w:top w:val="single" w:sz="4" w:space="0" w:color="000000"/>
              <w:left w:val="nil"/>
              <w:bottom w:val="nil"/>
              <w:right w:val="nil"/>
            </w:tcBorders>
            <w:shd w:val="clear" w:color="auto" w:fill="auto"/>
            <w:vAlign w:val="bottom"/>
            <w:hideMark/>
          </w:tcPr>
          <w:p w14:paraId="4FD56577" w14:textId="77777777"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 </w:t>
            </w:r>
          </w:p>
        </w:tc>
        <w:tc>
          <w:tcPr>
            <w:tcW w:w="720"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48A268B0" w14:textId="77777777" w:rsidR="007C633E" w:rsidRPr="007C633E" w:rsidRDefault="007C633E" w:rsidP="00BF09AA">
            <w:pPr>
              <w:spacing w:before="24" w:after="0" w:line="240" w:lineRule="auto"/>
              <w:jc w:val="right"/>
              <w:rPr>
                <w:rFonts w:ascii="Arial" w:hAnsi="Arial" w:cs="Arial"/>
                <w:sz w:val="16"/>
                <w:szCs w:val="16"/>
              </w:rPr>
            </w:pPr>
            <w:r w:rsidRPr="007C633E">
              <w:rPr>
                <w:rFonts w:ascii="Arial" w:hAnsi="Arial" w:cs="Arial"/>
                <w:sz w:val="16"/>
                <w:szCs w:val="16"/>
              </w:rPr>
              <w:br/>
            </w:r>
            <w:r w:rsidRPr="007C633E">
              <w:rPr>
                <w:rFonts w:ascii="Arial" w:hAnsi="Arial" w:cs="Arial"/>
                <w:sz w:val="16"/>
                <w:szCs w:val="16"/>
              </w:rPr>
              <w:br/>
            </w:r>
            <w:r w:rsidRPr="007C633E">
              <w:rPr>
                <w:rFonts w:ascii="Arial" w:hAnsi="Arial" w:cs="Arial"/>
                <w:sz w:val="16"/>
                <w:szCs w:val="16"/>
              </w:rPr>
              <w:br/>
              <w:t>Outcome</w:t>
            </w:r>
          </w:p>
        </w:tc>
        <w:tc>
          <w:tcPr>
            <w:tcW w:w="900"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199700CE" w14:textId="684DB42A"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Opening balance</w:t>
            </w:r>
            <w:r w:rsidRPr="007C633E">
              <w:rPr>
                <w:rFonts w:ascii="Arial" w:hAnsi="Arial" w:cs="Arial"/>
                <w:sz w:val="16"/>
                <w:szCs w:val="16"/>
              </w:rPr>
              <w:br/>
            </w:r>
            <w:r w:rsidR="008C2F23">
              <w:rPr>
                <w:rFonts w:ascii="Arial" w:hAnsi="Arial" w:cs="Arial"/>
                <w:b/>
                <w:bCs/>
                <w:sz w:val="16"/>
                <w:szCs w:val="16"/>
              </w:rPr>
              <w:t>2023–</w:t>
            </w:r>
            <w:r w:rsidRPr="007C633E">
              <w:rPr>
                <w:rFonts w:ascii="Arial" w:hAnsi="Arial" w:cs="Arial"/>
                <w:b/>
                <w:bCs/>
                <w:sz w:val="16"/>
                <w:szCs w:val="16"/>
              </w:rPr>
              <w:t>24</w:t>
            </w:r>
            <w:r w:rsidRPr="007C633E">
              <w:rPr>
                <w:rFonts w:ascii="Arial" w:hAnsi="Arial" w:cs="Arial"/>
                <w:sz w:val="16"/>
                <w:szCs w:val="16"/>
              </w:rPr>
              <w:br/>
            </w:r>
            <w:r w:rsidR="008C2F23">
              <w:rPr>
                <w:rFonts w:ascii="Arial" w:hAnsi="Arial" w:cs="Arial"/>
                <w:i/>
                <w:iCs/>
                <w:sz w:val="16"/>
                <w:szCs w:val="16"/>
              </w:rPr>
              <w:t>2022</w:t>
            </w:r>
            <w:r w:rsidR="008C2F23">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20" w:type="dxa"/>
            <w:tcBorders>
              <w:top w:val="single" w:sz="4" w:space="0" w:color="000000"/>
              <w:left w:val="nil"/>
              <w:bottom w:val="single" w:sz="4" w:space="0" w:color="auto"/>
              <w:right w:val="nil"/>
            </w:tcBorders>
            <w:shd w:val="clear" w:color="000000" w:fill="D9D9D9"/>
            <w:tcMar>
              <w:left w:w="0" w:type="dxa"/>
              <w:right w:w="57" w:type="dxa"/>
            </w:tcMar>
            <w:vAlign w:val="bottom"/>
            <w:hideMark/>
          </w:tcPr>
          <w:p w14:paraId="5106A2A5" w14:textId="2C8300D8"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 xml:space="preserve">Other </w:t>
            </w:r>
            <w:r w:rsidRPr="007C633E">
              <w:rPr>
                <w:rFonts w:ascii="Arial" w:hAnsi="Arial" w:cs="Arial"/>
                <w:sz w:val="16"/>
                <w:szCs w:val="16"/>
              </w:rPr>
              <w:br/>
              <w:t>receipts</w:t>
            </w:r>
            <w:r w:rsidRPr="007C633E">
              <w:rPr>
                <w:rFonts w:ascii="Arial" w:hAnsi="Arial" w:cs="Arial"/>
                <w:sz w:val="16"/>
                <w:szCs w:val="16"/>
              </w:rPr>
              <w:br/>
            </w:r>
            <w:r w:rsidR="008C2F23">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sidR="008C2F23">
              <w:rPr>
                <w:rFonts w:ascii="Arial" w:hAnsi="Arial" w:cs="Arial"/>
                <w:i/>
                <w:iCs/>
                <w:sz w:val="16"/>
                <w:szCs w:val="16"/>
              </w:rPr>
              <w:t>2022</w:t>
            </w:r>
            <w:r w:rsidR="008C2F23">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1060"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069A7C8C" w14:textId="2BD1C6FD"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Appropriation receipts</w:t>
            </w:r>
            <w:r w:rsidRPr="007C633E">
              <w:rPr>
                <w:rFonts w:ascii="Arial" w:hAnsi="Arial" w:cs="Arial"/>
                <w:sz w:val="16"/>
                <w:szCs w:val="16"/>
              </w:rPr>
              <w:br/>
            </w:r>
            <w:r w:rsidR="008C2F23">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sidR="008C2F23">
              <w:rPr>
                <w:rFonts w:ascii="Arial" w:hAnsi="Arial" w:cs="Arial"/>
                <w:i/>
                <w:iCs/>
                <w:sz w:val="16"/>
                <w:szCs w:val="16"/>
              </w:rPr>
              <w:t>2022</w:t>
            </w:r>
            <w:r w:rsidR="008C2F23">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20" w:type="dxa"/>
            <w:tcBorders>
              <w:top w:val="single" w:sz="4" w:space="0" w:color="000000"/>
              <w:left w:val="nil"/>
              <w:bottom w:val="single" w:sz="4" w:space="0" w:color="auto"/>
              <w:right w:val="nil"/>
            </w:tcBorders>
            <w:shd w:val="clear" w:color="000000" w:fill="D9D9D9"/>
            <w:tcMar>
              <w:left w:w="0" w:type="dxa"/>
              <w:right w:w="57" w:type="dxa"/>
            </w:tcMar>
            <w:vAlign w:val="bottom"/>
            <w:hideMark/>
          </w:tcPr>
          <w:p w14:paraId="6FA8A9D9" w14:textId="2980D661"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Payments</w:t>
            </w:r>
            <w:r w:rsidRPr="007C633E">
              <w:rPr>
                <w:rFonts w:ascii="Arial" w:hAnsi="Arial" w:cs="Arial"/>
                <w:sz w:val="16"/>
                <w:szCs w:val="16"/>
              </w:rPr>
              <w:br/>
            </w:r>
            <w:r w:rsidRPr="007C633E">
              <w:rPr>
                <w:rFonts w:ascii="Arial" w:hAnsi="Arial" w:cs="Arial"/>
                <w:sz w:val="16"/>
                <w:szCs w:val="16"/>
              </w:rPr>
              <w:br/>
            </w:r>
            <w:r w:rsidR="008C2F23">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sidR="008C2F23">
              <w:rPr>
                <w:rFonts w:ascii="Arial" w:hAnsi="Arial" w:cs="Arial"/>
                <w:i/>
                <w:iCs/>
                <w:sz w:val="16"/>
                <w:szCs w:val="16"/>
              </w:rPr>
              <w:t>2022</w:t>
            </w:r>
            <w:r w:rsidR="008C2F23">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00" w:type="dxa"/>
            <w:tcBorders>
              <w:top w:val="single" w:sz="4" w:space="0" w:color="000000"/>
              <w:left w:val="nil"/>
              <w:bottom w:val="single" w:sz="4" w:space="0" w:color="auto"/>
              <w:right w:val="nil"/>
            </w:tcBorders>
            <w:shd w:val="clear" w:color="auto" w:fill="auto"/>
            <w:tcMar>
              <w:left w:w="0" w:type="dxa"/>
              <w:right w:w="57" w:type="dxa"/>
            </w:tcMar>
            <w:vAlign w:val="bottom"/>
            <w:hideMark/>
          </w:tcPr>
          <w:p w14:paraId="3488E35E" w14:textId="1402E763" w:rsidR="007C633E" w:rsidRPr="007C633E" w:rsidRDefault="007C633E" w:rsidP="00956A24">
            <w:pPr>
              <w:spacing w:before="24" w:after="0" w:line="240" w:lineRule="auto"/>
              <w:jc w:val="right"/>
              <w:rPr>
                <w:rFonts w:ascii="Arial" w:hAnsi="Arial" w:cs="Arial"/>
                <w:sz w:val="16"/>
                <w:szCs w:val="16"/>
              </w:rPr>
            </w:pPr>
            <w:r w:rsidRPr="007C633E">
              <w:rPr>
                <w:rFonts w:ascii="Arial" w:hAnsi="Arial" w:cs="Arial"/>
                <w:sz w:val="16"/>
                <w:szCs w:val="16"/>
              </w:rPr>
              <w:t xml:space="preserve">Closing balance </w:t>
            </w:r>
            <w:r w:rsidRPr="007C633E">
              <w:rPr>
                <w:rFonts w:ascii="Arial" w:hAnsi="Arial" w:cs="Arial"/>
                <w:sz w:val="16"/>
                <w:szCs w:val="16"/>
              </w:rPr>
              <w:br/>
            </w:r>
            <w:r w:rsidR="008C2F23">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sidR="008C2F23">
              <w:rPr>
                <w:rFonts w:ascii="Arial" w:hAnsi="Arial" w:cs="Arial"/>
                <w:i/>
                <w:iCs/>
                <w:sz w:val="16"/>
                <w:szCs w:val="16"/>
              </w:rPr>
              <w:t>2022</w:t>
            </w:r>
            <w:r w:rsidR="008C2F23">
              <w:rPr>
                <w:rFonts w:ascii="Arial" w:hAnsi="Arial" w:cs="Arial"/>
                <w:b/>
                <w:bCs/>
                <w:sz w:val="16"/>
                <w:szCs w:val="16"/>
              </w:rPr>
              <w:t>–</w:t>
            </w:r>
            <w:r w:rsidRPr="007C633E">
              <w:rPr>
                <w:rFonts w:ascii="Arial" w:hAnsi="Arial" w:cs="Arial"/>
                <w:i/>
                <w:iCs/>
                <w:sz w:val="16"/>
                <w:szCs w:val="16"/>
              </w:rPr>
              <w:t>23</w:t>
            </w:r>
            <w:r w:rsidRPr="007C633E">
              <w:rPr>
                <w:rFonts w:ascii="Arial" w:hAnsi="Arial" w:cs="Arial"/>
                <w:sz w:val="16"/>
                <w:szCs w:val="16"/>
              </w:rPr>
              <w:br/>
              <w:t>$'000</w:t>
            </w:r>
          </w:p>
        </w:tc>
      </w:tr>
      <w:tr w:rsidR="007C633E" w:rsidRPr="007C633E" w14:paraId="1C3CD3A3" w14:textId="77777777" w:rsidTr="000911F8">
        <w:trPr>
          <w:trHeight w:val="283"/>
          <w:jc w:val="center"/>
        </w:trPr>
        <w:tc>
          <w:tcPr>
            <w:tcW w:w="1960" w:type="dxa"/>
            <w:tcBorders>
              <w:top w:val="nil"/>
              <w:left w:val="nil"/>
              <w:bottom w:val="nil"/>
              <w:right w:val="nil"/>
            </w:tcBorders>
            <w:shd w:val="clear" w:color="auto" w:fill="auto"/>
            <w:vAlign w:val="bottom"/>
            <w:hideMark/>
          </w:tcPr>
          <w:p w14:paraId="7092D69C" w14:textId="77777777" w:rsidR="007C633E" w:rsidRPr="007C633E" w:rsidRDefault="007C633E" w:rsidP="007C633E">
            <w:pPr>
              <w:spacing w:before="0" w:after="0" w:line="240" w:lineRule="auto"/>
              <w:rPr>
                <w:rFonts w:ascii="Arial" w:hAnsi="Arial" w:cs="Arial"/>
                <w:b/>
                <w:bCs/>
                <w:sz w:val="16"/>
                <w:szCs w:val="16"/>
              </w:rPr>
            </w:pPr>
            <w:r w:rsidRPr="007C633E">
              <w:rPr>
                <w:rFonts w:ascii="Arial" w:hAnsi="Arial" w:cs="Arial"/>
                <w:b/>
                <w:bCs/>
                <w:sz w:val="16"/>
                <w:szCs w:val="16"/>
              </w:rPr>
              <w:t>Departmental</w:t>
            </w:r>
          </w:p>
        </w:tc>
        <w:tc>
          <w:tcPr>
            <w:tcW w:w="720" w:type="dxa"/>
            <w:tcBorders>
              <w:top w:val="nil"/>
              <w:left w:val="nil"/>
              <w:bottom w:val="nil"/>
              <w:right w:val="nil"/>
            </w:tcBorders>
            <w:shd w:val="clear" w:color="auto" w:fill="auto"/>
            <w:vAlign w:val="bottom"/>
            <w:hideMark/>
          </w:tcPr>
          <w:p w14:paraId="4C401FB3" w14:textId="77777777" w:rsidR="007C633E" w:rsidRPr="007C633E" w:rsidRDefault="007C633E" w:rsidP="007C633E">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vAlign w:val="bottom"/>
            <w:hideMark/>
          </w:tcPr>
          <w:p w14:paraId="530CE7C6" w14:textId="77777777" w:rsidR="007C633E" w:rsidRPr="007C633E" w:rsidRDefault="007C633E" w:rsidP="007C633E">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vAlign w:val="bottom"/>
            <w:hideMark/>
          </w:tcPr>
          <w:p w14:paraId="3124774A"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 </w:t>
            </w:r>
          </w:p>
        </w:tc>
        <w:tc>
          <w:tcPr>
            <w:tcW w:w="1060" w:type="dxa"/>
            <w:tcBorders>
              <w:top w:val="nil"/>
              <w:left w:val="nil"/>
              <w:bottom w:val="nil"/>
              <w:right w:val="nil"/>
            </w:tcBorders>
            <w:shd w:val="clear" w:color="auto" w:fill="auto"/>
            <w:vAlign w:val="bottom"/>
            <w:hideMark/>
          </w:tcPr>
          <w:p w14:paraId="5F011BFC" w14:textId="77777777" w:rsidR="007C633E" w:rsidRPr="007C633E" w:rsidRDefault="007C633E" w:rsidP="007C633E">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000000" w:fill="D9D9D9"/>
            <w:vAlign w:val="bottom"/>
            <w:hideMark/>
          </w:tcPr>
          <w:p w14:paraId="489B8509"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nil"/>
              <w:right w:val="nil"/>
            </w:tcBorders>
            <w:shd w:val="clear" w:color="auto" w:fill="auto"/>
            <w:vAlign w:val="bottom"/>
            <w:hideMark/>
          </w:tcPr>
          <w:p w14:paraId="114B9917" w14:textId="77777777" w:rsidR="007C633E" w:rsidRPr="007C633E" w:rsidRDefault="007C633E" w:rsidP="007C633E">
            <w:pPr>
              <w:spacing w:before="0" w:after="0" w:line="240" w:lineRule="auto"/>
              <w:jc w:val="right"/>
              <w:rPr>
                <w:rFonts w:ascii="Arial" w:hAnsi="Arial" w:cs="Arial"/>
                <w:sz w:val="16"/>
                <w:szCs w:val="16"/>
              </w:rPr>
            </w:pPr>
          </w:p>
        </w:tc>
      </w:tr>
      <w:tr w:rsidR="007C633E" w:rsidRPr="007C633E" w14:paraId="1037C69E" w14:textId="77777777" w:rsidTr="008C2F23">
        <w:trPr>
          <w:trHeight w:val="595"/>
          <w:jc w:val="center"/>
        </w:trPr>
        <w:tc>
          <w:tcPr>
            <w:tcW w:w="1960" w:type="dxa"/>
            <w:tcBorders>
              <w:top w:val="nil"/>
              <w:left w:val="nil"/>
              <w:bottom w:val="nil"/>
              <w:right w:val="nil"/>
            </w:tcBorders>
            <w:shd w:val="clear" w:color="auto" w:fill="auto"/>
            <w:vAlign w:val="bottom"/>
            <w:hideMark/>
          </w:tcPr>
          <w:p w14:paraId="648FC43E" w14:textId="77777777" w:rsidR="007C633E" w:rsidRPr="007C633E" w:rsidRDefault="007C633E" w:rsidP="007C633E">
            <w:pPr>
              <w:spacing w:before="0" w:after="0" w:line="240" w:lineRule="auto"/>
              <w:rPr>
                <w:rFonts w:ascii="Arial" w:hAnsi="Arial" w:cs="Arial"/>
                <w:sz w:val="16"/>
                <w:szCs w:val="16"/>
              </w:rPr>
            </w:pPr>
            <w:r w:rsidRPr="007C633E">
              <w:rPr>
                <w:rFonts w:ascii="Arial" w:hAnsi="Arial" w:cs="Arial"/>
                <w:sz w:val="16"/>
                <w:szCs w:val="16"/>
              </w:rPr>
              <w:t>Australian Industrial Chemicals Introduction Scheme</w:t>
            </w:r>
          </w:p>
        </w:tc>
        <w:tc>
          <w:tcPr>
            <w:tcW w:w="720" w:type="dxa"/>
            <w:tcBorders>
              <w:top w:val="nil"/>
              <w:left w:val="nil"/>
              <w:bottom w:val="nil"/>
              <w:right w:val="nil"/>
            </w:tcBorders>
            <w:shd w:val="clear" w:color="auto" w:fill="auto"/>
            <w:noWrap/>
            <w:vAlign w:val="bottom"/>
            <w:hideMark/>
          </w:tcPr>
          <w:p w14:paraId="7A6868EB"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128DFCE1"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36,564</w:t>
            </w:r>
          </w:p>
        </w:tc>
        <w:tc>
          <w:tcPr>
            <w:tcW w:w="920" w:type="dxa"/>
            <w:tcBorders>
              <w:top w:val="nil"/>
              <w:left w:val="nil"/>
              <w:bottom w:val="nil"/>
              <w:right w:val="nil"/>
            </w:tcBorders>
            <w:shd w:val="clear" w:color="000000" w:fill="D9D9D9"/>
            <w:noWrap/>
            <w:vAlign w:val="bottom"/>
            <w:hideMark/>
          </w:tcPr>
          <w:p w14:paraId="6C2B00CD"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20,891</w:t>
            </w:r>
          </w:p>
        </w:tc>
        <w:tc>
          <w:tcPr>
            <w:tcW w:w="1060" w:type="dxa"/>
            <w:tcBorders>
              <w:top w:val="nil"/>
              <w:left w:val="nil"/>
              <w:bottom w:val="nil"/>
              <w:right w:val="nil"/>
            </w:tcBorders>
            <w:shd w:val="clear" w:color="auto" w:fill="auto"/>
            <w:noWrap/>
            <w:vAlign w:val="bottom"/>
            <w:hideMark/>
          </w:tcPr>
          <w:p w14:paraId="48CABA19"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753</w:t>
            </w:r>
          </w:p>
        </w:tc>
        <w:tc>
          <w:tcPr>
            <w:tcW w:w="920" w:type="dxa"/>
            <w:tcBorders>
              <w:top w:val="nil"/>
              <w:left w:val="nil"/>
              <w:bottom w:val="nil"/>
              <w:right w:val="nil"/>
            </w:tcBorders>
            <w:shd w:val="clear" w:color="000000" w:fill="D9D9D9"/>
            <w:noWrap/>
            <w:vAlign w:val="bottom"/>
            <w:hideMark/>
          </w:tcPr>
          <w:p w14:paraId="24523437"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20,717</w:t>
            </w:r>
          </w:p>
        </w:tc>
        <w:tc>
          <w:tcPr>
            <w:tcW w:w="900" w:type="dxa"/>
            <w:tcBorders>
              <w:top w:val="nil"/>
              <w:left w:val="nil"/>
              <w:bottom w:val="nil"/>
              <w:right w:val="nil"/>
            </w:tcBorders>
            <w:shd w:val="clear" w:color="auto" w:fill="auto"/>
            <w:noWrap/>
            <w:vAlign w:val="bottom"/>
            <w:hideMark/>
          </w:tcPr>
          <w:p w14:paraId="00A9E160"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37,491</w:t>
            </w:r>
          </w:p>
        </w:tc>
      </w:tr>
      <w:tr w:rsidR="007C633E" w:rsidRPr="007C633E" w14:paraId="48AEC978" w14:textId="77777777" w:rsidTr="007C633E">
        <w:trPr>
          <w:trHeight w:val="225"/>
          <w:jc w:val="center"/>
        </w:trPr>
        <w:tc>
          <w:tcPr>
            <w:tcW w:w="1960" w:type="dxa"/>
            <w:tcBorders>
              <w:top w:val="nil"/>
              <w:left w:val="nil"/>
              <w:bottom w:val="nil"/>
              <w:right w:val="nil"/>
            </w:tcBorders>
            <w:shd w:val="clear" w:color="auto" w:fill="auto"/>
            <w:noWrap/>
            <w:vAlign w:val="bottom"/>
            <w:hideMark/>
          </w:tcPr>
          <w:p w14:paraId="46CB4B5B" w14:textId="77777777" w:rsidR="007C633E" w:rsidRPr="007C633E" w:rsidRDefault="007C633E" w:rsidP="007C633E">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0016AAA2" w14:textId="77777777" w:rsidR="007C633E" w:rsidRPr="007C633E" w:rsidRDefault="007C633E" w:rsidP="007C633E">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09CA614"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31,861</w:t>
            </w:r>
          </w:p>
        </w:tc>
        <w:tc>
          <w:tcPr>
            <w:tcW w:w="920" w:type="dxa"/>
            <w:tcBorders>
              <w:top w:val="nil"/>
              <w:left w:val="nil"/>
              <w:bottom w:val="nil"/>
              <w:right w:val="nil"/>
            </w:tcBorders>
            <w:shd w:val="clear" w:color="000000" w:fill="D9D9D9"/>
            <w:noWrap/>
            <w:vAlign w:val="bottom"/>
            <w:hideMark/>
          </w:tcPr>
          <w:p w14:paraId="149BFA9A"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24,787</w:t>
            </w:r>
          </w:p>
        </w:tc>
        <w:tc>
          <w:tcPr>
            <w:tcW w:w="1060" w:type="dxa"/>
            <w:tcBorders>
              <w:top w:val="nil"/>
              <w:left w:val="nil"/>
              <w:bottom w:val="nil"/>
              <w:right w:val="nil"/>
            </w:tcBorders>
            <w:shd w:val="clear" w:color="auto" w:fill="auto"/>
            <w:noWrap/>
            <w:vAlign w:val="bottom"/>
            <w:hideMark/>
          </w:tcPr>
          <w:p w14:paraId="3EE9A2F5"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34</w:t>
            </w:r>
          </w:p>
        </w:tc>
        <w:tc>
          <w:tcPr>
            <w:tcW w:w="920" w:type="dxa"/>
            <w:tcBorders>
              <w:top w:val="nil"/>
              <w:left w:val="nil"/>
              <w:bottom w:val="nil"/>
              <w:right w:val="nil"/>
            </w:tcBorders>
            <w:shd w:val="clear" w:color="000000" w:fill="D9D9D9"/>
            <w:noWrap/>
            <w:vAlign w:val="bottom"/>
            <w:hideMark/>
          </w:tcPr>
          <w:p w14:paraId="241D57B3"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20,118</w:t>
            </w:r>
          </w:p>
        </w:tc>
        <w:tc>
          <w:tcPr>
            <w:tcW w:w="900" w:type="dxa"/>
            <w:tcBorders>
              <w:top w:val="nil"/>
              <w:left w:val="nil"/>
              <w:bottom w:val="nil"/>
              <w:right w:val="nil"/>
            </w:tcBorders>
            <w:shd w:val="clear" w:color="auto" w:fill="auto"/>
            <w:noWrap/>
            <w:vAlign w:val="bottom"/>
            <w:hideMark/>
          </w:tcPr>
          <w:p w14:paraId="14BA4326"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36,564</w:t>
            </w:r>
          </w:p>
        </w:tc>
      </w:tr>
      <w:tr w:rsidR="007C633E" w:rsidRPr="007C633E" w14:paraId="481DECC5" w14:textId="77777777" w:rsidTr="008C2F23">
        <w:trPr>
          <w:trHeight w:val="425"/>
          <w:jc w:val="center"/>
        </w:trPr>
        <w:tc>
          <w:tcPr>
            <w:tcW w:w="1960" w:type="dxa"/>
            <w:tcBorders>
              <w:top w:val="nil"/>
              <w:left w:val="nil"/>
              <w:bottom w:val="nil"/>
              <w:right w:val="nil"/>
            </w:tcBorders>
            <w:shd w:val="clear" w:color="auto" w:fill="auto"/>
            <w:vAlign w:val="bottom"/>
            <w:hideMark/>
          </w:tcPr>
          <w:p w14:paraId="7473D110" w14:textId="77777777" w:rsidR="007C633E" w:rsidRPr="007C633E" w:rsidRDefault="007C633E" w:rsidP="007C633E">
            <w:pPr>
              <w:spacing w:before="0" w:after="0" w:line="240" w:lineRule="auto"/>
              <w:rPr>
                <w:rFonts w:ascii="Arial" w:hAnsi="Arial" w:cs="Arial"/>
                <w:sz w:val="16"/>
                <w:szCs w:val="16"/>
              </w:rPr>
            </w:pPr>
            <w:r w:rsidRPr="007C633E">
              <w:rPr>
                <w:rFonts w:ascii="Arial" w:hAnsi="Arial" w:cs="Arial"/>
                <w:sz w:val="16"/>
                <w:szCs w:val="16"/>
              </w:rPr>
              <w:t>Office of the Gene Technology Regulator</w:t>
            </w:r>
          </w:p>
        </w:tc>
        <w:tc>
          <w:tcPr>
            <w:tcW w:w="720" w:type="dxa"/>
            <w:tcBorders>
              <w:top w:val="nil"/>
              <w:left w:val="nil"/>
              <w:bottom w:val="nil"/>
              <w:right w:val="nil"/>
            </w:tcBorders>
            <w:shd w:val="clear" w:color="auto" w:fill="auto"/>
            <w:noWrap/>
            <w:vAlign w:val="bottom"/>
            <w:hideMark/>
          </w:tcPr>
          <w:p w14:paraId="1A28562A"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187E4CC5"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9,086</w:t>
            </w:r>
          </w:p>
        </w:tc>
        <w:tc>
          <w:tcPr>
            <w:tcW w:w="920" w:type="dxa"/>
            <w:tcBorders>
              <w:top w:val="nil"/>
              <w:left w:val="nil"/>
              <w:bottom w:val="nil"/>
              <w:right w:val="nil"/>
            </w:tcBorders>
            <w:shd w:val="clear" w:color="000000" w:fill="D9D9D9"/>
            <w:noWrap/>
            <w:vAlign w:val="bottom"/>
            <w:hideMark/>
          </w:tcPr>
          <w:p w14:paraId="4053EE4B"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139</w:t>
            </w:r>
          </w:p>
        </w:tc>
        <w:tc>
          <w:tcPr>
            <w:tcW w:w="1060" w:type="dxa"/>
            <w:tcBorders>
              <w:top w:val="nil"/>
              <w:left w:val="nil"/>
              <w:bottom w:val="nil"/>
              <w:right w:val="nil"/>
            </w:tcBorders>
            <w:shd w:val="clear" w:color="auto" w:fill="auto"/>
            <w:noWrap/>
            <w:vAlign w:val="bottom"/>
            <w:hideMark/>
          </w:tcPr>
          <w:p w14:paraId="6EE98D15"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10,942</w:t>
            </w:r>
          </w:p>
        </w:tc>
        <w:tc>
          <w:tcPr>
            <w:tcW w:w="920" w:type="dxa"/>
            <w:tcBorders>
              <w:top w:val="nil"/>
              <w:left w:val="nil"/>
              <w:bottom w:val="nil"/>
              <w:right w:val="nil"/>
            </w:tcBorders>
            <w:shd w:val="clear" w:color="000000" w:fill="D9D9D9"/>
            <w:noWrap/>
            <w:vAlign w:val="bottom"/>
            <w:hideMark/>
          </w:tcPr>
          <w:p w14:paraId="10D656AB"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11,081</w:t>
            </w:r>
          </w:p>
        </w:tc>
        <w:tc>
          <w:tcPr>
            <w:tcW w:w="900" w:type="dxa"/>
            <w:tcBorders>
              <w:top w:val="nil"/>
              <w:left w:val="nil"/>
              <w:bottom w:val="nil"/>
              <w:right w:val="nil"/>
            </w:tcBorders>
            <w:shd w:val="clear" w:color="auto" w:fill="auto"/>
            <w:noWrap/>
            <w:vAlign w:val="bottom"/>
            <w:hideMark/>
          </w:tcPr>
          <w:p w14:paraId="09C7914D"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9,086</w:t>
            </w:r>
          </w:p>
        </w:tc>
      </w:tr>
      <w:tr w:rsidR="007C633E" w:rsidRPr="007C633E" w14:paraId="68E7127B" w14:textId="77777777" w:rsidTr="007C633E">
        <w:trPr>
          <w:trHeight w:val="225"/>
          <w:jc w:val="center"/>
        </w:trPr>
        <w:tc>
          <w:tcPr>
            <w:tcW w:w="1960" w:type="dxa"/>
            <w:tcBorders>
              <w:top w:val="nil"/>
              <w:left w:val="nil"/>
              <w:bottom w:val="nil"/>
              <w:right w:val="nil"/>
            </w:tcBorders>
            <w:shd w:val="clear" w:color="auto" w:fill="auto"/>
            <w:vAlign w:val="bottom"/>
            <w:hideMark/>
          </w:tcPr>
          <w:p w14:paraId="3F112B71" w14:textId="77777777" w:rsidR="007C633E" w:rsidRPr="007C633E" w:rsidRDefault="007C633E" w:rsidP="007C633E">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10BC5AC8" w14:textId="77777777" w:rsidR="007C633E" w:rsidRPr="007C633E" w:rsidRDefault="007C633E" w:rsidP="007C633E">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4F35E22"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9,419</w:t>
            </w:r>
          </w:p>
        </w:tc>
        <w:tc>
          <w:tcPr>
            <w:tcW w:w="920" w:type="dxa"/>
            <w:tcBorders>
              <w:top w:val="nil"/>
              <w:left w:val="nil"/>
              <w:bottom w:val="nil"/>
              <w:right w:val="nil"/>
            </w:tcBorders>
            <w:shd w:val="clear" w:color="000000" w:fill="D9D9D9"/>
            <w:noWrap/>
            <w:vAlign w:val="bottom"/>
            <w:hideMark/>
          </w:tcPr>
          <w:p w14:paraId="276F1006"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268</w:t>
            </w:r>
          </w:p>
        </w:tc>
        <w:tc>
          <w:tcPr>
            <w:tcW w:w="1060" w:type="dxa"/>
            <w:tcBorders>
              <w:top w:val="nil"/>
              <w:left w:val="nil"/>
              <w:bottom w:val="nil"/>
              <w:right w:val="nil"/>
            </w:tcBorders>
            <w:shd w:val="clear" w:color="auto" w:fill="auto"/>
            <w:noWrap/>
            <w:vAlign w:val="bottom"/>
            <w:hideMark/>
          </w:tcPr>
          <w:p w14:paraId="6AC68F91"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8,576</w:t>
            </w:r>
          </w:p>
        </w:tc>
        <w:tc>
          <w:tcPr>
            <w:tcW w:w="920" w:type="dxa"/>
            <w:tcBorders>
              <w:top w:val="nil"/>
              <w:left w:val="nil"/>
              <w:bottom w:val="nil"/>
              <w:right w:val="nil"/>
            </w:tcBorders>
            <w:shd w:val="clear" w:color="000000" w:fill="D9D9D9"/>
            <w:noWrap/>
            <w:vAlign w:val="bottom"/>
            <w:hideMark/>
          </w:tcPr>
          <w:p w14:paraId="5E7EA243"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9,177</w:t>
            </w:r>
          </w:p>
        </w:tc>
        <w:tc>
          <w:tcPr>
            <w:tcW w:w="900" w:type="dxa"/>
            <w:tcBorders>
              <w:top w:val="nil"/>
              <w:left w:val="nil"/>
              <w:bottom w:val="nil"/>
              <w:right w:val="nil"/>
            </w:tcBorders>
            <w:shd w:val="clear" w:color="auto" w:fill="auto"/>
            <w:noWrap/>
            <w:vAlign w:val="bottom"/>
            <w:hideMark/>
          </w:tcPr>
          <w:p w14:paraId="3B23D675"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9,086</w:t>
            </w:r>
          </w:p>
        </w:tc>
      </w:tr>
      <w:tr w:rsidR="007C633E" w:rsidRPr="007C633E" w14:paraId="1953F653" w14:textId="77777777" w:rsidTr="008C2F23">
        <w:trPr>
          <w:trHeight w:val="425"/>
          <w:jc w:val="center"/>
        </w:trPr>
        <w:tc>
          <w:tcPr>
            <w:tcW w:w="1960" w:type="dxa"/>
            <w:tcBorders>
              <w:top w:val="nil"/>
              <w:left w:val="nil"/>
              <w:bottom w:val="nil"/>
              <w:right w:val="nil"/>
            </w:tcBorders>
            <w:shd w:val="clear" w:color="auto" w:fill="auto"/>
            <w:vAlign w:val="bottom"/>
            <w:hideMark/>
          </w:tcPr>
          <w:p w14:paraId="03BCD992" w14:textId="77777777" w:rsidR="007C633E" w:rsidRPr="007C633E" w:rsidRDefault="007C633E" w:rsidP="007C633E">
            <w:pPr>
              <w:spacing w:before="0" w:after="0" w:line="240" w:lineRule="auto"/>
              <w:rPr>
                <w:rFonts w:ascii="Arial" w:hAnsi="Arial" w:cs="Arial"/>
                <w:sz w:val="16"/>
                <w:szCs w:val="16"/>
              </w:rPr>
            </w:pPr>
            <w:r w:rsidRPr="007C633E">
              <w:rPr>
                <w:rFonts w:ascii="Arial" w:hAnsi="Arial" w:cs="Arial"/>
                <w:sz w:val="16"/>
                <w:szCs w:val="16"/>
              </w:rPr>
              <w:t>Therapeutic Goods Administration</w:t>
            </w:r>
          </w:p>
        </w:tc>
        <w:tc>
          <w:tcPr>
            <w:tcW w:w="720" w:type="dxa"/>
            <w:tcBorders>
              <w:top w:val="nil"/>
              <w:left w:val="nil"/>
              <w:bottom w:val="nil"/>
              <w:right w:val="nil"/>
            </w:tcBorders>
            <w:shd w:val="clear" w:color="auto" w:fill="auto"/>
            <w:noWrap/>
            <w:vAlign w:val="bottom"/>
            <w:hideMark/>
          </w:tcPr>
          <w:p w14:paraId="7EF36431"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5A57A7CE"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71,623</w:t>
            </w:r>
          </w:p>
        </w:tc>
        <w:tc>
          <w:tcPr>
            <w:tcW w:w="920" w:type="dxa"/>
            <w:tcBorders>
              <w:top w:val="nil"/>
              <w:left w:val="nil"/>
              <w:bottom w:val="nil"/>
              <w:right w:val="nil"/>
            </w:tcBorders>
            <w:shd w:val="clear" w:color="000000" w:fill="D9D9D9"/>
            <w:noWrap/>
            <w:vAlign w:val="bottom"/>
            <w:hideMark/>
          </w:tcPr>
          <w:p w14:paraId="6FCD7B5A"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195,531</w:t>
            </w:r>
          </w:p>
        </w:tc>
        <w:tc>
          <w:tcPr>
            <w:tcW w:w="1060" w:type="dxa"/>
            <w:tcBorders>
              <w:top w:val="nil"/>
              <w:left w:val="nil"/>
              <w:bottom w:val="nil"/>
              <w:right w:val="nil"/>
            </w:tcBorders>
            <w:shd w:val="clear" w:color="auto" w:fill="auto"/>
            <w:noWrap/>
            <w:vAlign w:val="bottom"/>
            <w:hideMark/>
          </w:tcPr>
          <w:p w14:paraId="39020CA7"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34,684</w:t>
            </w:r>
          </w:p>
        </w:tc>
        <w:tc>
          <w:tcPr>
            <w:tcW w:w="920" w:type="dxa"/>
            <w:tcBorders>
              <w:top w:val="nil"/>
              <w:left w:val="nil"/>
              <w:bottom w:val="nil"/>
              <w:right w:val="nil"/>
            </w:tcBorders>
            <w:shd w:val="clear" w:color="000000" w:fill="D9D9D9"/>
            <w:noWrap/>
            <w:vAlign w:val="bottom"/>
            <w:hideMark/>
          </w:tcPr>
          <w:p w14:paraId="1EAC3E4F"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241,736</w:t>
            </w:r>
          </w:p>
        </w:tc>
        <w:tc>
          <w:tcPr>
            <w:tcW w:w="900" w:type="dxa"/>
            <w:tcBorders>
              <w:top w:val="nil"/>
              <w:left w:val="nil"/>
              <w:bottom w:val="nil"/>
              <w:right w:val="nil"/>
            </w:tcBorders>
            <w:shd w:val="clear" w:color="auto" w:fill="auto"/>
            <w:noWrap/>
            <w:vAlign w:val="bottom"/>
            <w:hideMark/>
          </w:tcPr>
          <w:p w14:paraId="50DF15CB"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60,102</w:t>
            </w:r>
          </w:p>
        </w:tc>
      </w:tr>
      <w:tr w:rsidR="007C633E" w:rsidRPr="007C633E" w14:paraId="76B7DA4D" w14:textId="77777777" w:rsidTr="007C633E">
        <w:trPr>
          <w:trHeight w:val="225"/>
          <w:jc w:val="center"/>
        </w:trPr>
        <w:tc>
          <w:tcPr>
            <w:tcW w:w="1960" w:type="dxa"/>
            <w:tcBorders>
              <w:top w:val="nil"/>
              <w:left w:val="nil"/>
              <w:bottom w:val="nil"/>
              <w:right w:val="nil"/>
            </w:tcBorders>
            <w:shd w:val="clear" w:color="auto" w:fill="auto"/>
            <w:noWrap/>
            <w:vAlign w:val="bottom"/>
            <w:hideMark/>
          </w:tcPr>
          <w:p w14:paraId="451D7F01" w14:textId="77777777" w:rsidR="007C633E" w:rsidRPr="007C633E" w:rsidRDefault="007C633E" w:rsidP="007C633E">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179E33B0" w14:textId="77777777" w:rsidR="007C633E" w:rsidRPr="007C633E" w:rsidRDefault="007C633E" w:rsidP="007C633E">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B31B71D"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91,026</w:t>
            </w:r>
          </w:p>
        </w:tc>
        <w:tc>
          <w:tcPr>
            <w:tcW w:w="920" w:type="dxa"/>
            <w:tcBorders>
              <w:top w:val="nil"/>
              <w:left w:val="nil"/>
              <w:bottom w:val="nil"/>
              <w:right w:val="nil"/>
            </w:tcBorders>
            <w:shd w:val="clear" w:color="000000" w:fill="D9D9D9"/>
            <w:noWrap/>
            <w:vAlign w:val="bottom"/>
            <w:hideMark/>
          </w:tcPr>
          <w:p w14:paraId="2D4A94A6"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189,144</w:t>
            </w:r>
          </w:p>
        </w:tc>
        <w:tc>
          <w:tcPr>
            <w:tcW w:w="1060" w:type="dxa"/>
            <w:tcBorders>
              <w:top w:val="nil"/>
              <w:left w:val="nil"/>
              <w:bottom w:val="nil"/>
              <w:right w:val="nil"/>
            </w:tcBorders>
            <w:shd w:val="clear" w:color="auto" w:fill="auto"/>
            <w:noWrap/>
            <w:vAlign w:val="bottom"/>
            <w:hideMark/>
          </w:tcPr>
          <w:p w14:paraId="2135783A"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21,442</w:t>
            </w:r>
          </w:p>
        </w:tc>
        <w:tc>
          <w:tcPr>
            <w:tcW w:w="920" w:type="dxa"/>
            <w:tcBorders>
              <w:top w:val="nil"/>
              <w:left w:val="nil"/>
              <w:bottom w:val="nil"/>
              <w:right w:val="nil"/>
            </w:tcBorders>
            <w:shd w:val="clear" w:color="000000" w:fill="D9D9D9"/>
            <w:noWrap/>
            <w:vAlign w:val="bottom"/>
            <w:hideMark/>
          </w:tcPr>
          <w:p w14:paraId="1B520D55"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229,989</w:t>
            </w:r>
          </w:p>
        </w:tc>
        <w:tc>
          <w:tcPr>
            <w:tcW w:w="900" w:type="dxa"/>
            <w:tcBorders>
              <w:top w:val="nil"/>
              <w:left w:val="nil"/>
              <w:bottom w:val="nil"/>
              <w:right w:val="nil"/>
            </w:tcBorders>
            <w:shd w:val="clear" w:color="auto" w:fill="auto"/>
            <w:noWrap/>
            <w:vAlign w:val="bottom"/>
            <w:hideMark/>
          </w:tcPr>
          <w:p w14:paraId="35D63B90"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71,623</w:t>
            </w:r>
          </w:p>
        </w:tc>
      </w:tr>
      <w:tr w:rsidR="007C633E" w:rsidRPr="007C633E" w14:paraId="380AA5A3" w14:textId="77777777" w:rsidTr="007C633E">
        <w:trPr>
          <w:trHeight w:val="225"/>
          <w:jc w:val="center"/>
        </w:trPr>
        <w:tc>
          <w:tcPr>
            <w:tcW w:w="1960" w:type="dxa"/>
            <w:tcBorders>
              <w:top w:val="nil"/>
              <w:left w:val="nil"/>
              <w:bottom w:val="nil"/>
              <w:right w:val="nil"/>
            </w:tcBorders>
            <w:shd w:val="clear" w:color="auto" w:fill="auto"/>
            <w:noWrap/>
            <w:vAlign w:val="bottom"/>
            <w:hideMark/>
          </w:tcPr>
          <w:p w14:paraId="063EB7C2" w14:textId="77777777" w:rsidR="007C633E" w:rsidRPr="007C633E" w:rsidRDefault="007C633E" w:rsidP="007C633E">
            <w:pPr>
              <w:spacing w:before="0" w:after="0" w:line="240" w:lineRule="auto"/>
              <w:rPr>
                <w:rFonts w:ascii="Arial" w:hAnsi="Arial" w:cs="Arial"/>
                <w:b/>
                <w:bCs/>
                <w:sz w:val="16"/>
                <w:szCs w:val="16"/>
              </w:rPr>
            </w:pPr>
            <w:r w:rsidRPr="007C633E">
              <w:rPr>
                <w:rFonts w:ascii="Arial" w:hAnsi="Arial" w:cs="Arial"/>
                <w:b/>
                <w:bCs/>
                <w:sz w:val="16"/>
                <w:szCs w:val="16"/>
              </w:rPr>
              <w:t>Total Departmental</w:t>
            </w:r>
          </w:p>
        </w:tc>
        <w:tc>
          <w:tcPr>
            <w:tcW w:w="720" w:type="dxa"/>
            <w:tcBorders>
              <w:top w:val="nil"/>
              <w:left w:val="nil"/>
              <w:bottom w:val="nil"/>
              <w:right w:val="nil"/>
            </w:tcBorders>
            <w:shd w:val="clear" w:color="auto" w:fill="auto"/>
            <w:noWrap/>
            <w:vAlign w:val="bottom"/>
            <w:hideMark/>
          </w:tcPr>
          <w:p w14:paraId="2F1C43A7" w14:textId="77777777" w:rsidR="007C633E" w:rsidRPr="007C633E" w:rsidRDefault="007C633E" w:rsidP="007C633E">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A5C1DA8" w14:textId="77777777" w:rsidR="007C633E" w:rsidRPr="007C633E" w:rsidRDefault="007C633E" w:rsidP="007C633E">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6AEA9483"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1060" w:type="dxa"/>
            <w:tcBorders>
              <w:top w:val="nil"/>
              <w:left w:val="nil"/>
              <w:bottom w:val="nil"/>
              <w:right w:val="nil"/>
            </w:tcBorders>
            <w:shd w:val="clear" w:color="auto" w:fill="auto"/>
            <w:noWrap/>
            <w:vAlign w:val="bottom"/>
            <w:hideMark/>
          </w:tcPr>
          <w:p w14:paraId="445067AA" w14:textId="77777777" w:rsidR="007C633E" w:rsidRPr="007C633E" w:rsidRDefault="007C633E" w:rsidP="007C633E">
            <w:pPr>
              <w:spacing w:before="0" w:after="0" w:line="240" w:lineRule="auto"/>
              <w:jc w:val="right"/>
              <w:rPr>
                <w:rFonts w:ascii="Arial" w:hAnsi="Arial" w:cs="Arial"/>
                <w:i/>
                <w:iCs/>
                <w:sz w:val="16"/>
                <w:szCs w:val="16"/>
              </w:rPr>
            </w:pPr>
          </w:p>
        </w:tc>
        <w:tc>
          <w:tcPr>
            <w:tcW w:w="920" w:type="dxa"/>
            <w:tcBorders>
              <w:top w:val="nil"/>
              <w:left w:val="nil"/>
              <w:bottom w:val="nil"/>
              <w:right w:val="nil"/>
            </w:tcBorders>
            <w:shd w:val="clear" w:color="000000" w:fill="D9D9D9"/>
            <w:noWrap/>
            <w:vAlign w:val="bottom"/>
            <w:hideMark/>
          </w:tcPr>
          <w:p w14:paraId="5BA5CB2F"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900" w:type="dxa"/>
            <w:tcBorders>
              <w:top w:val="nil"/>
              <w:left w:val="nil"/>
              <w:bottom w:val="nil"/>
              <w:right w:val="nil"/>
            </w:tcBorders>
            <w:shd w:val="clear" w:color="auto" w:fill="auto"/>
            <w:noWrap/>
            <w:vAlign w:val="bottom"/>
            <w:hideMark/>
          </w:tcPr>
          <w:p w14:paraId="0270AF88" w14:textId="77777777" w:rsidR="007C633E" w:rsidRPr="007C633E" w:rsidRDefault="007C633E" w:rsidP="007C633E">
            <w:pPr>
              <w:spacing w:before="0" w:after="0" w:line="240" w:lineRule="auto"/>
              <w:jc w:val="right"/>
              <w:rPr>
                <w:rFonts w:ascii="Arial" w:hAnsi="Arial" w:cs="Arial"/>
                <w:i/>
                <w:iCs/>
                <w:sz w:val="16"/>
                <w:szCs w:val="16"/>
              </w:rPr>
            </w:pPr>
          </w:p>
        </w:tc>
      </w:tr>
      <w:tr w:rsidR="007C633E" w:rsidRPr="007C633E" w14:paraId="2B976269" w14:textId="77777777" w:rsidTr="007C633E">
        <w:trPr>
          <w:trHeight w:val="225"/>
          <w:jc w:val="center"/>
        </w:trPr>
        <w:tc>
          <w:tcPr>
            <w:tcW w:w="1960" w:type="dxa"/>
            <w:tcBorders>
              <w:top w:val="nil"/>
              <w:left w:val="nil"/>
              <w:bottom w:val="nil"/>
              <w:right w:val="nil"/>
            </w:tcBorders>
            <w:shd w:val="clear" w:color="auto" w:fill="auto"/>
            <w:vAlign w:val="bottom"/>
            <w:hideMark/>
          </w:tcPr>
          <w:p w14:paraId="0B811EA9" w14:textId="3152A554" w:rsidR="007C633E" w:rsidRPr="007C633E" w:rsidRDefault="007C633E" w:rsidP="007C633E">
            <w:pPr>
              <w:spacing w:before="0" w:after="0" w:line="240" w:lineRule="auto"/>
              <w:ind w:firstLineChars="100" w:firstLine="161"/>
              <w:rPr>
                <w:rFonts w:ascii="Arial" w:hAnsi="Arial" w:cs="Arial"/>
                <w:b/>
                <w:bCs/>
                <w:sz w:val="16"/>
                <w:szCs w:val="16"/>
              </w:rPr>
            </w:pPr>
            <w:r w:rsidRPr="007C633E">
              <w:rPr>
                <w:rFonts w:ascii="Arial" w:hAnsi="Arial" w:cs="Arial"/>
                <w:b/>
                <w:bCs/>
                <w:sz w:val="16"/>
                <w:szCs w:val="16"/>
              </w:rPr>
              <w:t>202</w:t>
            </w:r>
            <w:r w:rsidR="00BD7F62">
              <w:rPr>
                <w:rFonts w:ascii="Arial" w:hAnsi="Arial" w:cs="Arial"/>
                <w:b/>
                <w:bCs/>
                <w:sz w:val="16"/>
                <w:szCs w:val="16"/>
              </w:rPr>
              <w:t>3–2</w:t>
            </w:r>
            <w:r w:rsidRPr="007C633E">
              <w:rPr>
                <w:rFonts w:ascii="Arial" w:hAnsi="Arial" w:cs="Arial"/>
                <w:b/>
                <w:bCs/>
                <w:sz w:val="16"/>
                <w:szCs w:val="16"/>
              </w:rPr>
              <w:t>4 estimate</w:t>
            </w:r>
          </w:p>
        </w:tc>
        <w:tc>
          <w:tcPr>
            <w:tcW w:w="720" w:type="dxa"/>
            <w:tcBorders>
              <w:top w:val="nil"/>
              <w:left w:val="nil"/>
              <w:bottom w:val="nil"/>
              <w:right w:val="nil"/>
            </w:tcBorders>
            <w:shd w:val="clear" w:color="auto" w:fill="auto"/>
            <w:noWrap/>
            <w:vAlign w:val="bottom"/>
            <w:hideMark/>
          </w:tcPr>
          <w:p w14:paraId="7381E599" w14:textId="77777777" w:rsidR="007C633E" w:rsidRPr="007C633E" w:rsidRDefault="007C633E" w:rsidP="007C633E">
            <w:pPr>
              <w:spacing w:before="0" w:after="0" w:line="240" w:lineRule="auto"/>
              <w:ind w:firstLineChars="100" w:firstLine="161"/>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952253A"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117,273</w:t>
            </w:r>
          </w:p>
        </w:tc>
        <w:tc>
          <w:tcPr>
            <w:tcW w:w="920" w:type="dxa"/>
            <w:tcBorders>
              <w:top w:val="nil"/>
              <w:left w:val="nil"/>
              <w:bottom w:val="nil"/>
              <w:right w:val="nil"/>
            </w:tcBorders>
            <w:shd w:val="clear" w:color="000000" w:fill="D9D9D9"/>
            <w:noWrap/>
            <w:vAlign w:val="bottom"/>
            <w:hideMark/>
          </w:tcPr>
          <w:p w14:paraId="3F6B0BA5"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216,561</w:t>
            </w:r>
          </w:p>
        </w:tc>
        <w:tc>
          <w:tcPr>
            <w:tcW w:w="1060" w:type="dxa"/>
            <w:tcBorders>
              <w:top w:val="nil"/>
              <w:left w:val="nil"/>
              <w:bottom w:val="nil"/>
              <w:right w:val="nil"/>
            </w:tcBorders>
            <w:shd w:val="clear" w:color="auto" w:fill="auto"/>
            <w:noWrap/>
            <w:vAlign w:val="bottom"/>
            <w:hideMark/>
          </w:tcPr>
          <w:p w14:paraId="08AA9029"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46,379</w:t>
            </w:r>
          </w:p>
        </w:tc>
        <w:tc>
          <w:tcPr>
            <w:tcW w:w="920" w:type="dxa"/>
            <w:tcBorders>
              <w:top w:val="nil"/>
              <w:left w:val="nil"/>
              <w:bottom w:val="nil"/>
              <w:right w:val="nil"/>
            </w:tcBorders>
            <w:shd w:val="clear" w:color="000000" w:fill="D9D9D9"/>
            <w:noWrap/>
            <w:vAlign w:val="bottom"/>
            <w:hideMark/>
          </w:tcPr>
          <w:p w14:paraId="126938DC"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273,534</w:t>
            </w:r>
          </w:p>
        </w:tc>
        <w:tc>
          <w:tcPr>
            <w:tcW w:w="900" w:type="dxa"/>
            <w:tcBorders>
              <w:top w:val="nil"/>
              <w:left w:val="nil"/>
              <w:bottom w:val="nil"/>
              <w:right w:val="nil"/>
            </w:tcBorders>
            <w:shd w:val="clear" w:color="auto" w:fill="auto"/>
            <w:noWrap/>
            <w:vAlign w:val="bottom"/>
            <w:hideMark/>
          </w:tcPr>
          <w:p w14:paraId="69B6F9BB" w14:textId="77777777" w:rsidR="007C633E" w:rsidRPr="007C633E" w:rsidRDefault="007C633E" w:rsidP="007C633E">
            <w:pPr>
              <w:spacing w:before="0" w:after="0" w:line="240" w:lineRule="auto"/>
              <w:jc w:val="right"/>
              <w:rPr>
                <w:rFonts w:ascii="Arial" w:hAnsi="Arial" w:cs="Arial"/>
                <w:b/>
                <w:bCs/>
                <w:sz w:val="16"/>
                <w:szCs w:val="16"/>
              </w:rPr>
            </w:pPr>
            <w:r w:rsidRPr="007C633E">
              <w:rPr>
                <w:rFonts w:ascii="Arial" w:hAnsi="Arial" w:cs="Arial"/>
                <w:b/>
                <w:bCs/>
                <w:sz w:val="16"/>
                <w:szCs w:val="16"/>
              </w:rPr>
              <w:t>106,679</w:t>
            </w:r>
          </w:p>
        </w:tc>
      </w:tr>
      <w:tr w:rsidR="007C633E" w:rsidRPr="007C633E" w14:paraId="4C9F8427" w14:textId="77777777" w:rsidTr="007C633E">
        <w:trPr>
          <w:trHeight w:val="225"/>
          <w:jc w:val="center"/>
        </w:trPr>
        <w:tc>
          <w:tcPr>
            <w:tcW w:w="1960" w:type="dxa"/>
            <w:tcBorders>
              <w:top w:val="nil"/>
              <w:left w:val="nil"/>
              <w:bottom w:val="nil"/>
              <w:right w:val="nil"/>
            </w:tcBorders>
            <w:shd w:val="clear" w:color="auto" w:fill="auto"/>
            <w:vAlign w:val="bottom"/>
            <w:hideMark/>
          </w:tcPr>
          <w:p w14:paraId="69A72A10" w14:textId="467E8721" w:rsidR="007C633E" w:rsidRPr="007C633E" w:rsidRDefault="007C633E" w:rsidP="007C633E">
            <w:pPr>
              <w:spacing w:before="0" w:after="0" w:line="240" w:lineRule="auto"/>
              <w:ind w:firstLineChars="100" w:firstLine="160"/>
              <w:rPr>
                <w:rFonts w:ascii="Arial" w:hAnsi="Arial" w:cs="Arial"/>
                <w:i/>
                <w:iCs/>
                <w:sz w:val="16"/>
                <w:szCs w:val="16"/>
              </w:rPr>
            </w:pPr>
            <w:r w:rsidRPr="007C633E">
              <w:rPr>
                <w:rFonts w:ascii="Arial" w:hAnsi="Arial" w:cs="Arial"/>
                <w:i/>
                <w:iCs/>
                <w:sz w:val="16"/>
                <w:szCs w:val="16"/>
              </w:rPr>
              <w:t>202</w:t>
            </w:r>
            <w:r w:rsidR="00BD7F62">
              <w:rPr>
                <w:rFonts w:ascii="Arial" w:hAnsi="Arial" w:cs="Arial"/>
                <w:i/>
                <w:iCs/>
                <w:sz w:val="16"/>
                <w:szCs w:val="16"/>
              </w:rPr>
              <w:t>2–2</w:t>
            </w:r>
            <w:r w:rsidRPr="007C633E">
              <w:rPr>
                <w:rFonts w:ascii="Arial" w:hAnsi="Arial" w:cs="Arial"/>
                <w:i/>
                <w:iCs/>
                <w:sz w:val="16"/>
                <w:szCs w:val="16"/>
              </w:rPr>
              <w:t>3 actual</w:t>
            </w:r>
          </w:p>
        </w:tc>
        <w:tc>
          <w:tcPr>
            <w:tcW w:w="720" w:type="dxa"/>
            <w:tcBorders>
              <w:top w:val="nil"/>
              <w:left w:val="nil"/>
              <w:bottom w:val="single" w:sz="4" w:space="0" w:color="000000"/>
              <w:right w:val="nil"/>
            </w:tcBorders>
            <w:shd w:val="clear" w:color="auto" w:fill="auto"/>
            <w:noWrap/>
            <w:vAlign w:val="bottom"/>
            <w:hideMark/>
          </w:tcPr>
          <w:p w14:paraId="4D05926F" w14:textId="77777777" w:rsidR="007C633E" w:rsidRPr="007C633E" w:rsidRDefault="007C633E" w:rsidP="007C633E">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single" w:sz="4" w:space="0" w:color="000000"/>
              <w:right w:val="nil"/>
            </w:tcBorders>
            <w:shd w:val="clear" w:color="auto" w:fill="auto"/>
            <w:noWrap/>
            <w:vAlign w:val="bottom"/>
            <w:hideMark/>
          </w:tcPr>
          <w:p w14:paraId="69CF985E"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132,306</w:t>
            </w:r>
          </w:p>
        </w:tc>
        <w:tc>
          <w:tcPr>
            <w:tcW w:w="920" w:type="dxa"/>
            <w:tcBorders>
              <w:top w:val="nil"/>
              <w:left w:val="nil"/>
              <w:bottom w:val="single" w:sz="4" w:space="0" w:color="000000"/>
              <w:right w:val="nil"/>
            </w:tcBorders>
            <w:shd w:val="clear" w:color="000000" w:fill="D9D9D9"/>
            <w:noWrap/>
            <w:vAlign w:val="bottom"/>
            <w:hideMark/>
          </w:tcPr>
          <w:p w14:paraId="5C154B81"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214,199</w:t>
            </w:r>
          </w:p>
        </w:tc>
        <w:tc>
          <w:tcPr>
            <w:tcW w:w="1060" w:type="dxa"/>
            <w:tcBorders>
              <w:top w:val="nil"/>
              <w:left w:val="nil"/>
              <w:bottom w:val="single" w:sz="4" w:space="0" w:color="000000"/>
              <w:right w:val="nil"/>
            </w:tcBorders>
            <w:shd w:val="clear" w:color="auto" w:fill="auto"/>
            <w:noWrap/>
            <w:vAlign w:val="bottom"/>
            <w:hideMark/>
          </w:tcPr>
          <w:p w14:paraId="37FE6948"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30,052</w:t>
            </w:r>
          </w:p>
        </w:tc>
        <w:tc>
          <w:tcPr>
            <w:tcW w:w="920" w:type="dxa"/>
            <w:tcBorders>
              <w:top w:val="nil"/>
              <w:left w:val="nil"/>
              <w:bottom w:val="single" w:sz="4" w:space="0" w:color="000000"/>
              <w:right w:val="nil"/>
            </w:tcBorders>
            <w:shd w:val="clear" w:color="000000" w:fill="D9D9D9"/>
            <w:noWrap/>
            <w:vAlign w:val="bottom"/>
            <w:hideMark/>
          </w:tcPr>
          <w:p w14:paraId="3619CBB2"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259,284</w:t>
            </w:r>
          </w:p>
        </w:tc>
        <w:tc>
          <w:tcPr>
            <w:tcW w:w="900" w:type="dxa"/>
            <w:tcBorders>
              <w:top w:val="nil"/>
              <w:left w:val="nil"/>
              <w:bottom w:val="single" w:sz="4" w:space="0" w:color="000000"/>
              <w:right w:val="nil"/>
            </w:tcBorders>
            <w:shd w:val="clear" w:color="auto" w:fill="auto"/>
            <w:noWrap/>
            <w:vAlign w:val="bottom"/>
            <w:hideMark/>
          </w:tcPr>
          <w:p w14:paraId="16A82BA8" w14:textId="77777777" w:rsidR="007C633E" w:rsidRPr="007C633E" w:rsidRDefault="007C633E" w:rsidP="007C633E">
            <w:pPr>
              <w:spacing w:before="0" w:after="0" w:line="240" w:lineRule="auto"/>
              <w:jc w:val="right"/>
              <w:rPr>
                <w:rFonts w:ascii="Arial" w:hAnsi="Arial" w:cs="Arial"/>
                <w:i/>
                <w:iCs/>
                <w:sz w:val="16"/>
                <w:szCs w:val="16"/>
              </w:rPr>
            </w:pPr>
            <w:r w:rsidRPr="007C633E">
              <w:rPr>
                <w:rFonts w:ascii="Arial" w:hAnsi="Arial" w:cs="Arial"/>
                <w:i/>
                <w:iCs/>
                <w:sz w:val="16"/>
                <w:szCs w:val="16"/>
              </w:rPr>
              <w:t>117,273</w:t>
            </w:r>
          </w:p>
        </w:tc>
      </w:tr>
    </w:tbl>
    <w:p w14:paraId="376B19D0" w14:textId="3B71F09A" w:rsidR="005608F7" w:rsidRDefault="005608F7"/>
    <w:p w14:paraId="5DE1D33F" w14:textId="77777777" w:rsidR="005608F7" w:rsidRDefault="005608F7">
      <w:r>
        <w:br w:type="column"/>
      </w:r>
    </w:p>
    <w:tbl>
      <w:tblPr>
        <w:tblW w:w="7380" w:type="dxa"/>
        <w:jc w:val="center"/>
        <w:tblLayout w:type="fixed"/>
        <w:tblLook w:val="04A0" w:firstRow="1" w:lastRow="0" w:firstColumn="1" w:lastColumn="0" w:noHBand="0" w:noVBand="1"/>
      </w:tblPr>
      <w:tblGrid>
        <w:gridCol w:w="1960"/>
        <w:gridCol w:w="720"/>
        <w:gridCol w:w="900"/>
        <w:gridCol w:w="920"/>
        <w:gridCol w:w="1060"/>
        <w:gridCol w:w="920"/>
        <w:gridCol w:w="900"/>
      </w:tblGrid>
      <w:tr w:rsidR="00A23686" w:rsidRPr="007C633E" w14:paraId="511D342F" w14:textId="77777777" w:rsidTr="00A23686">
        <w:trPr>
          <w:trHeight w:val="227"/>
          <w:jc w:val="center"/>
        </w:trPr>
        <w:tc>
          <w:tcPr>
            <w:tcW w:w="7380" w:type="dxa"/>
            <w:gridSpan w:val="7"/>
            <w:tcBorders>
              <w:top w:val="nil"/>
              <w:left w:val="nil"/>
              <w:bottom w:val="nil"/>
              <w:right w:val="nil"/>
            </w:tcBorders>
            <w:shd w:val="clear" w:color="auto" w:fill="auto"/>
          </w:tcPr>
          <w:p w14:paraId="044B2027" w14:textId="26D91CD5" w:rsidR="00A23686" w:rsidRPr="00A23686" w:rsidRDefault="005608F7" w:rsidP="009D6B5D">
            <w:pPr>
              <w:pStyle w:val="TableHeading"/>
              <w:spacing w:before="74" w:after="12"/>
            </w:pPr>
            <w:r>
              <w:br w:type="column"/>
            </w:r>
            <w:r w:rsidR="00A23686" w:rsidRPr="009D6B5D">
              <w:t xml:space="preserve">Table 3.1: Estimates of special account flows and balances </w:t>
            </w:r>
            <w:r w:rsidR="00A23686" w:rsidRPr="009D6B5D">
              <w:rPr>
                <w:snapToGrid w:val="0"/>
              </w:rPr>
              <w:t>(continued)</w:t>
            </w:r>
            <w:r w:rsidR="00A23686">
              <w:rPr>
                <w:snapToGrid w:val="0"/>
              </w:rPr>
              <w:t xml:space="preserve"> </w:t>
            </w:r>
          </w:p>
        </w:tc>
      </w:tr>
      <w:tr w:rsidR="009414A8" w:rsidRPr="007C633E" w14:paraId="1844E20A" w14:textId="77777777" w:rsidTr="00B7146D">
        <w:trPr>
          <w:trHeight w:val="737"/>
          <w:jc w:val="center"/>
        </w:trPr>
        <w:tc>
          <w:tcPr>
            <w:tcW w:w="1960" w:type="dxa"/>
            <w:tcBorders>
              <w:top w:val="single" w:sz="4" w:space="0" w:color="auto"/>
              <w:left w:val="nil"/>
              <w:bottom w:val="nil"/>
              <w:right w:val="nil"/>
            </w:tcBorders>
            <w:shd w:val="clear" w:color="auto" w:fill="auto"/>
            <w:vAlign w:val="bottom"/>
          </w:tcPr>
          <w:p w14:paraId="7C419410" w14:textId="6660E71C" w:rsidR="009414A8" w:rsidRPr="007C633E" w:rsidRDefault="009414A8" w:rsidP="00956A24">
            <w:pPr>
              <w:spacing w:before="24" w:after="0" w:line="240" w:lineRule="auto"/>
              <w:jc w:val="right"/>
              <w:rPr>
                <w:rFonts w:ascii="Arial" w:hAnsi="Arial" w:cs="Arial"/>
                <w:b/>
                <w:bCs/>
                <w:sz w:val="16"/>
                <w:szCs w:val="16"/>
              </w:rPr>
            </w:pPr>
            <w:r w:rsidRPr="007C633E">
              <w:rPr>
                <w:rFonts w:ascii="Arial" w:hAnsi="Arial" w:cs="Arial"/>
                <w:sz w:val="16"/>
                <w:szCs w:val="16"/>
              </w:rPr>
              <w:t> </w:t>
            </w:r>
          </w:p>
        </w:tc>
        <w:tc>
          <w:tcPr>
            <w:tcW w:w="720" w:type="dxa"/>
            <w:tcBorders>
              <w:top w:val="single" w:sz="4" w:space="0" w:color="auto"/>
              <w:left w:val="nil"/>
              <w:bottom w:val="single" w:sz="4" w:space="0" w:color="auto"/>
              <w:right w:val="nil"/>
            </w:tcBorders>
            <w:shd w:val="clear" w:color="auto" w:fill="auto"/>
            <w:noWrap/>
            <w:tcMar>
              <w:left w:w="0" w:type="dxa"/>
              <w:right w:w="57" w:type="dxa"/>
            </w:tcMar>
            <w:vAlign w:val="bottom"/>
          </w:tcPr>
          <w:p w14:paraId="7ADA1CF9" w14:textId="2E8F0A92" w:rsidR="009414A8" w:rsidRPr="007C633E" w:rsidRDefault="009414A8" w:rsidP="00956A24">
            <w:pPr>
              <w:spacing w:before="24" w:after="0" w:line="240" w:lineRule="auto"/>
              <w:jc w:val="right"/>
              <w:rPr>
                <w:rFonts w:ascii="Arial" w:hAnsi="Arial" w:cs="Arial"/>
                <w:b/>
                <w:bCs/>
                <w:sz w:val="16"/>
                <w:szCs w:val="16"/>
              </w:rPr>
            </w:pPr>
            <w:r w:rsidRPr="007C633E">
              <w:rPr>
                <w:rFonts w:ascii="Arial" w:hAnsi="Arial" w:cs="Arial"/>
                <w:sz w:val="16"/>
                <w:szCs w:val="16"/>
              </w:rPr>
              <w:br/>
            </w:r>
            <w:r w:rsidRPr="007C633E">
              <w:rPr>
                <w:rFonts w:ascii="Arial" w:hAnsi="Arial" w:cs="Arial"/>
                <w:sz w:val="16"/>
                <w:szCs w:val="16"/>
              </w:rPr>
              <w:br/>
            </w:r>
            <w:r w:rsidRPr="007C633E">
              <w:rPr>
                <w:rFonts w:ascii="Arial" w:hAnsi="Arial" w:cs="Arial"/>
                <w:sz w:val="16"/>
                <w:szCs w:val="16"/>
              </w:rPr>
              <w:br/>
              <w:t>Outcome</w:t>
            </w:r>
          </w:p>
        </w:tc>
        <w:tc>
          <w:tcPr>
            <w:tcW w:w="900" w:type="dxa"/>
            <w:tcBorders>
              <w:top w:val="single" w:sz="4" w:space="0" w:color="auto"/>
              <w:left w:val="nil"/>
              <w:bottom w:val="single" w:sz="4" w:space="0" w:color="auto"/>
              <w:right w:val="nil"/>
            </w:tcBorders>
            <w:shd w:val="clear" w:color="auto" w:fill="auto"/>
            <w:noWrap/>
            <w:vAlign w:val="bottom"/>
          </w:tcPr>
          <w:p w14:paraId="1C9683B5" w14:textId="40955503" w:rsidR="009414A8" w:rsidRPr="007C633E" w:rsidRDefault="009414A8" w:rsidP="00956A24">
            <w:pPr>
              <w:spacing w:before="24" w:after="0" w:line="240" w:lineRule="auto"/>
              <w:jc w:val="right"/>
              <w:rPr>
                <w:rFonts w:ascii="Times New Roman" w:hAnsi="Times New Roman"/>
                <w:sz w:val="20"/>
              </w:rPr>
            </w:pPr>
            <w:r w:rsidRPr="007C633E">
              <w:rPr>
                <w:rFonts w:ascii="Arial" w:hAnsi="Arial" w:cs="Arial"/>
                <w:sz w:val="16"/>
                <w:szCs w:val="16"/>
              </w:rPr>
              <w:t>Opening balance</w:t>
            </w:r>
            <w:r w:rsidRPr="007C633E">
              <w:rPr>
                <w:rFonts w:ascii="Arial" w:hAnsi="Arial" w:cs="Arial"/>
                <w:sz w:val="16"/>
                <w:szCs w:val="16"/>
              </w:rPr>
              <w:br/>
            </w:r>
            <w:r>
              <w:rPr>
                <w:rFonts w:ascii="Arial" w:hAnsi="Arial" w:cs="Arial"/>
                <w:b/>
                <w:bCs/>
                <w:sz w:val="16"/>
                <w:szCs w:val="16"/>
              </w:rPr>
              <w:t>2023–</w:t>
            </w:r>
            <w:r w:rsidRPr="007C633E">
              <w:rPr>
                <w:rFonts w:ascii="Arial" w:hAnsi="Arial" w:cs="Arial"/>
                <w:b/>
                <w:bCs/>
                <w:sz w:val="16"/>
                <w:szCs w:val="16"/>
              </w:rPr>
              <w:t>24</w:t>
            </w:r>
            <w:r w:rsidRPr="007C633E">
              <w:rPr>
                <w:rFonts w:ascii="Arial" w:hAnsi="Arial" w:cs="Arial"/>
                <w:sz w:val="16"/>
                <w:szCs w:val="16"/>
              </w:rPr>
              <w:br/>
            </w:r>
            <w:r>
              <w:rPr>
                <w:rFonts w:ascii="Arial" w:hAnsi="Arial" w:cs="Arial"/>
                <w:i/>
                <w:iCs/>
                <w:sz w:val="16"/>
                <w:szCs w:val="16"/>
              </w:rPr>
              <w:t>2022</w:t>
            </w:r>
            <w:r>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noWrap/>
            <w:vAlign w:val="bottom"/>
          </w:tcPr>
          <w:p w14:paraId="554764FC" w14:textId="3BEB22FD" w:rsidR="009414A8" w:rsidRPr="007C633E" w:rsidRDefault="009414A8" w:rsidP="00956A24">
            <w:pPr>
              <w:spacing w:before="24" w:after="0" w:line="240" w:lineRule="auto"/>
              <w:jc w:val="right"/>
              <w:rPr>
                <w:rFonts w:ascii="Arial" w:hAnsi="Arial" w:cs="Arial"/>
                <w:i/>
                <w:iCs/>
                <w:sz w:val="16"/>
                <w:szCs w:val="16"/>
              </w:rPr>
            </w:pPr>
            <w:r w:rsidRPr="007C633E">
              <w:rPr>
                <w:rFonts w:ascii="Arial" w:hAnsi="Arial" w:cs="Arial"/>
                <w:sz w:val="16"/>
                <w:szCs w:val="16"/>
              </w:rPr>
              <w:t xml:space="preserve">Other </w:t>
            </w:r>
            <w:r w:rsidRPr="007C633E">
              <w:rPr>
                <w:rFonts w:ascii="Arial" w:hAnsi="Arial" w:cs="Arial"/>
                <w:sz w:val="16"/>
                <w:szCs w:val="16"/>
              </w:rPr>
              <w:br/>
              <w:t>receipts</w:t>
            </w:r>
            <w:r w:rsidRPr="007C633E">
              <w:rPr>
                <w:rFonts w:ascii="Arial" w:hAnsi="Arial" w:cs="Arial"/>
                <w:sz w:val="16"/>
                <w:szCs w:val="16"/>
              </w:rPr>
              <w:br/>
            </w:r>
            <w:r>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Pr>
                <w:rFonts w:ascii="Arial" w:hAnsi="Arial" w:cs="Arial"/>
                <w:i/>
                <w:iCs/>
                <w:sz w:val="16"/>
                <w:szCs w:val="16"/>
              </w:rPr>
              <w:t>2022</w:t>
            </w:r>
            <w:r>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1060" w:type="dxa"/>
            <w:tcBorders>
              <w:top w:val="single" w:sz="4" w:space="0" w:color="auto"/>
              <w:left w:val="nil"/>
              <w:bottom w:val="single" w:sz="4" w:space="0" w:color="auto"/>
              <w:right w:val="nil"/>
            </w:tcBorders>
            <w:shd w:val="clear" w:color="auto" w:fill="auto"/>
            <w:noWrap/>
            <w:tcMar>
              <w:left w:w="0" w:type="dxa"/>
            </w:tcMar>
            <w:vAlign w:val="bottom"/>
          </w:tcPr>
          <w:p w14:paraId="2EF9F429" w14:textId="46AA2804" w:rsidR="009414A8" w:rsidRPr="007C633E" w:rsidRDefault="009414A8" w:rsidP="00956A24">
            <w:pPr>
              <w:spacing w:before="24" w:after="0" w:line="240" w:lineRule="auto"/>
              <w:jc w:val="right"/>
              <w:rPr>
                <w:rFonts w:ascii="Arial" w:hAnsi="Arial" w:cs="Arial"/>
                <w:i/>
                <w:iCs/>
                <w:sz w:val="16"/>
                <w:szCs w:val="16"/>
              </w:rPr>
            </w:pPr>
            <w:r w:rsidRPr="007C633E">
              <w:rPr>
                <w:rFonts w:ascii="Arial" w:hAnsi="Arial" w:cs="Arial"/>
                <w:sz w:val="16"/>
                <w:szCs w:val="16"/>
              </w:rPr>
              <w:t>Appropriation receipts</w:t>
            </w:r>
            <w:r w:rsidRPr="007C633E">
              <w:rPr>
                <w:rFonts w:ascii="Arial" w:hAnsi="Arial" w:cs="Arial"/>
                <w:sz w:val="16"/>
                <w:szCs w:val="16"/>
              </w:rPr>
              <w:br/>
            </w:r>
            <w:r>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Pr>
                <w:rFonts w:ascii="Arial" w:hAnsi="Arial" w:cs="Arial"/>
                <w:i/>
                <w:iCs/>
                <w:sz w:val="16"/>
                <w:szCs w:val="16"/>
              </w:rPr>
              <w:t>2022</w:t>
            </w:r>
            <w:r>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noWrap/>
            <w:tcMar>
              <w:left w:w="0" w:type="dxa"/>
            </w:tcMar>
            <w:vAlign w:val="bottom"/>
          </w:tcPr>
          <w:p w14:paraId="46188FDA" w14:textId="08CDEEB5" w:rsidR="009414A8" w:rsidRPr="007C633E" w:rsidRDefault="009414A8" w:rsidP="00956A24">
            <w:pPr>
              <w:spacing w:before="24" w:after="0" w:line="240" w:lineRule="auto"/>
              <w:jc w:val="right"/>
              <w:rPr>
                <w:rFonts w:ascii="Arial" w:hAnsi="Arial" w:cs="Arial"/>
                <w:i/>
                <w:iCs/>
                <w:sz w:val="16"/>
                <w:szCs w:val="16"/>
              </w:rPr>
            </w:pPr>
            <w:r w:rsidRPr="007C633E">
              <w:rPr>
                <w:rFonts w:ascii="Arial" w:hAnsi="Arial" w:cs="Arial"/>
                <w:sz w:val="16"/>
                <w:szCs w:val="16"/>
              </w:rPr>
              <w:t>Payments</w:t>
            </w:r>
            <w:r w:rsidRPr="007C633E">
              <w:rPr>
                <w:rFonts w:ascii="Arial" w:hAnsi="Arial" w:cs="Arial"/>
                <w:sz w:val="16"/>
                <w:szCs w:val="16"/>
              </w:rPr>
              <w:br/>
            </w:r>
            <w:r w:rsidRPr="007C633E">
              <w:rPr>
                <w:rFonts w:ascii="Arial" w:hAnsi="Arial" w:cs="Arial"/>
                <w:sz w:val="16"/>
                <w:szCs w:val="16"/>
              </w:rPr>
              <w:br/>
            </w:r>
            <w:r>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Pr>
                <w:rFonts w:ascii="Arial" w:hAnsi="Arial" w:cs="Arial"/>
                <w:i/>
                <w:iCs/>
                <w:sz w:val="16"/>
                <w:szCs w:val="16"/>
              </w:rPr>
              <w:t>2022</w:t>
            </w:r>
            <w:r>
              <w:rPr>
                <w:rFonts w:ascii="Arial" w:hAnsi="Arial" w:cs="Arial"/>
                <w:b/>
                <w:bCs/>
                <w:sz w:val="16"/>
                <w:szCs w:val="16"/>
              </w:rPr>
              <w:t>–</w:t>
            </w:r>
            <w:r w:rsidRPr="007C633E">
              <w:rPr>
                <w:rFonts w:ascii="Arial" w:hAnsi="Arial" w:cs="Arial"/>
                <w:i/>
                <w:iCs/>
                <w:sz w:val="16"/>
                <w:szCs w:val="16"/>
              </w:rPr>
              <w:t>23</w:t>
            </w:r>
            <w:r w:rsidRPr="007C633E">
              <w:rPr>
                <w:rFonts w:ascii="Arial" w:hAnsi="Arial" w:cs="Arial"/>
                <w:i/>
                <w:iCs/>
                <w:sz w:val="16"/>
                <w:szCs w:val="16"/>
              </w:rPr>
              <w:br/>
            </w:r>
            <w:r w:rsidRPr="007C633E">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noWrap/>
            <w:vAlign w:val="bottom"/>
          </w:tcPr>
          <w:p w14:paraId="3753788F" w14:textId="5F4B53A5" w:rsidR="009414A8" w:rsidRPr="007C633E" w:rsidRDefault="009414A8" w:rsidP="00956A24">
            <w:pPr>
              <w:spacing w:before="24" w:after="0" w:line="240" w:lineRule="auto"/>
              <w:jc w:val="right"/>
              <w:rPr>
                <w:rFonts w:ascii="Arial" w:hAnsi="Arial" w:cs="Arial"/>
                <w:i/>
                <w:iCs/>
                <w:sz w:val="16"/>
                <w:szCs w:val="16"/>
              </w:rPr>
            </w:pPr>
            <w:r w:rsidRPr="007C633E">
              <w:rPr>
                <w:rFonts w:ascii="Arial" w:hAnsi="Arial" w:cs="Arial"/>
                <w:sz w:val="16"/>
                <w:szCs w:val="16"/>
              </w:rPr>
              <w:t xml:space="preserve">Closing balance </w:t>
            </w:r>
            <w:r w:rsidRPr="007C633E">
              <w:rPr>
                <w:rFonts w:ascii="Arial" w:hAnsi="Arial" w:cs="Arial"/>
                <w:sz w:val="16"/>
                <w:szCs w:val="16"/>
              </w:rPr>
              <w:br/>
            </w:r>
            <w:r>
              <w:rPr>
                <w:rFonts w:ascii="Arial" w:hAnsi="Arial" w:cs="Arial"/>
                <w:b/>
                <w:bCs/>
                <w:sz w:val="16"/>
                <w:szCs w:val="16"/>
              </w:rPr>
              <w:t>2023–</w:t>
            </w:r>
            <w:r w:rsidRPr="007C633E">
              <w:rPr>
                <w:rFonts w:ascii="Arial" w:hAnsi="Arial" w:cs="Arial"/>
                <w:b/>
                <w:bCs/>
                <w:sz w:val="16"/>
                <w:szCs w:val="16"/>
              </w:rPr>
              <w:t>24</w:t>
            </w:r>
            <w:r w:rsidRPr="007C633E">
              <w:rPr>
                <w:rFonts w:ascii="Arial" w:hAnsi="Arial" w:cs="Arial"/>
                <w:b/>
                <w:bCs/>
                <w:sz w:val="16"/>
                <w:szCs w:val="16"/>
              </w:rPr>
              <w:br/>
            </w:r>
            <w:r>
              <w:rPr>
                <w:rFonts w:ascii="Arial" w:hAnsi="Arial" w:cs="Arial"/>
                <w:i/>
                <w:iCs/>
                <w:sz w:val="16"/>
                <w:szCs w:val="16"/>
              </w:rPr>
              <w:t>2022</w:t>
            </w:r>
            <w:r>
              <w:rPr>
                <w:rFonts w:ascii="Arial" w:hAnsi="Arial" w:cs="Arial"/>
                <w:b/>
                <w:bCs/>
                <w:sz w:val="16"/>
                <w:szCs w:val="16"/>
              </w:rPr>
              <w:t>–</w:t>
            </w:r>
            <w:r w:rsidRPr="007C633E">
              <w:rPr>
                <w:rFonts w:ascii="Arial" w:hAnsi="Arial" w:cs="Arial"/>
                <w:i/>
                <w:iCs/>
                <w:sz w:val="16"/>
                <w:szCs w:val="16"/>
              </w:rPr>
              <w:t>23</w:t>
            </w:r>
            <w:r w:rsidRPr="007C633E">
              <w:rPr>
                <w:rFonts w:ascii="Arial" w:hAnsi="Arial" w:cs="Arial"/>
                <w:sz w:val="16"/>
                <w:szCs w:val="16"/>
              </w:rPr>
              <w:br/>
              <w:t>$'000</w:t>
            </w:r>
          </w:p>
        </w:tc>
      </w:tr>
      <w:tr w:rsidR="005608F7" w:rsidRPr="007C633E" w14:paraId="1A24A5B0" w14:textId="77777777" w:rsidTr="00B7146D">
        <w:trPr>
          <w:trHeight w:val="283"/>
          <w:jc w:val="center"/>
        </w:trPr>
        <w:tc>
          <w:tcPr>
            <w:tcW w:w="1960" w:type="dxa"/>
            <w:tcBorders>
              <w:left w:val="nil"/>
              <w:bottom w:val="nil"/>
              <w:right w:val="nil"/>
            </w:tcBorders>
            <w:shd w:val="clear" w:color="auto" w:fill="auto"/>
            <w:vAlign w:val="bottom"/>
            <w:hideMark/>
          </w:tcPr>
          <w:p w14:paraId="015C80D9" w14:textId="77777777" w:rsidR="005608F7" w:rsidRPr="007C633E" w:rsidRDefault="005608F7" w:rsidP="00BD7F62">
            <w:pPr>
              <w:spacing w:before="0" w:after="0" w:line="240" w:lineRule="auto"/>
              <w:rPr>
                <w:rFonts w:ascii="Arial" w:hAnsi="Arial" w:cs="Arial"/>
                <w:b/>
                <w:bCs/>
                <w:sz w:val="16"/>
                <w:szCs w:val="16"/>
              </w:rPr>
            </w:pPr>
            <w:r w:rsidRPr="007C633E">
              <w:rPr>
                <w:rFonts w:ascii="Arial" w:hAnsi="Arial" w:cs="Arial"/>
                <w:b/>
                <w:bCs/>
                <w:sz w:val="16"/>
                <w:szCs w:val="16"/>
              </w:rPr>
              <w:t>Administered</w:t>
            </w:r>
          </w:p>
        </w:tc>
        <w:tc>
          <w:tcPr>
            <w:tcW w:w="720" w:type="dxa"/>
            <w:tcBorders>
              <w:top w:val="single" w:sz="4" w:space="0" w:color="auto"/>
              <w:left w:val="nil"/>
              <w:bottom w:val="nil"/>
              <w:right w:val="nil"/>
            </w:tcBorders>
            <w:shd w:val="clear" w:color="auto" w:fill="auto"/>
            <w:vAlign w:val="bottom"/>
            <w:hideMark/>
          </w:tcPr>
          <w:p w14:paraId="54C7B396" w14:textId="77777777" w:rsidR="005608F7" w:rsidRPr="007C633E" w:rsidRDefault="005608F7" w:rsidP="00BD7F62">
            <w:pPr>
              <w:spacing w:before="0" w:after="0" w:line="240" w:lineRule="auto"/>
              <w:rPr>
                <w:rFonts w:ascii="Arial" w:hAnsi="Arial" w:cs="Arial"/>
                <w:b/>
                <w:bCs/>
                <w:sz w:val="16"/>
                <w:szCs w:val="16"/>
              </w:rPr>
            </w:pPr>
          </w:p>
        </w:tc>
        <w:tc>
          <w:tcPr>
            <w:tcW w:w="900" w:type="dxa"/>
            <w:tcBorders>
              <w:top w:val="single" w:sz="4" w:space="0" w:color="auto"/>
              <w:left w:val="nil"/>
              <w:bottom w:val="nil"/>
              <w:right w:val="nil"/>
            </w:tcBorders>
            <w:shd w:val="clear" w:color="auto" w:fill="auto"/>
            <w:vAlign w:val="bottom"/>
            <w:hideMark/>
          </w:tcPr>
          <w:p w14:paraId="0C416886" w14:textId="77777777" w:rsidR="005608F7" w:rsidRPr="007C633E" w:rsidRDefault="005608F7" w:rsidP="00BD7F62">
            <w:pPr>
              <w:spacing w:before="0" w:after="0" w:line="240" w:lineRule="auto"/>
              <w:jc w:val="right"/>
              <w:rPr>
                <w:rFonts w:ascii="Times New Roman" w:hAnsi="Times New Roman"/>
                <w:sz w:val="20"/>
              </w:rPr>
            </w:pPr>
          </w:p>
        </w:tc>
        <w:tc>
          <w:tcPr>
            <w:tcW w:w="920" w:type="dxa"/>
            <w:tcBorders>
              <w:top w:val="single" w:sz="4" w:space="0" w:color="auto"/>
              <w:left w:val="nil"/>
              <w:bottom w:val="nil"/>
              <w:right w:val="nil"/>
            </w:tcBorders>
            <w:shd w:val="clear" w:color="000000" w:fill="D9D9D9"/>
            <w:vAlign w:val="bottom"/>
            <w:hideMark/>
          </w:tcPr>
          <w:p w14:paraId="44539241"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 </w:t>
            </w:r>
          </w:p>
        </w:tc>
        <w:tc>
          <w:tcPr>
            <w:tcW w:w="1060" w:type="dxa"/>
            <w:tcBorders>
              <w:top w:val="single" w:sz="4" w:space="0" w:color="auto"/>
              <w:left w:val="nil"/>
              <w:bottom w:val="nil"/>
              <w:right w:val="nil"/>
            </w:tcBorders>
            <w:shd w:val="clear" w:color="auto" w:fill="auto"/>
            <w:vAlign w:val="bottom"/>
            <w:hideMark/>
          </w:tcPr>
          <w:p w14:paraId="551E9C95" w14:textId="77777777" w:rsidR="005608F7" w:rsidRPr="007C633E" w:rsidRDefault="005608F7" w:rsidP="00BD7F62">
            <w:pPr>
              <w:spacing w:before="0" w:after="0" w:line="240" w:lineRule="auto"/>
              <w:jc w:val="right"/>
              <w:rPr>
                <w:rFonts w:ascii="Arial" w:hAnsi="Arial" w:cs="Arial"/>
                <w:sz w:val="16"/>
                <w:szCs w:val="16"/>
              </w:rPr>
            </w:pPr>
          </w:p>
        </w:tc>
        <w:tc>
          <w:tcPr>
            <w:tcW w:w="920" w:type="dxa"/>
            <w:tcBorders>
              <w:top w:val="single" w:sz="4" w:space="0" w:color="auto"/>
              <w:left w:val="nil"/>
              <w:bottom w:val="nil"/>
              <w:right w:val="nil"/>
            </w:tcBorders>
            <w:shd w:val="clear" w:color="000000" w:fill="D9D9D9"/>
            <w:vAlign w:val="bottom"/>
            <w:hideMark/>
          </w:tcPr>
          <w:p w14:paraId="1269D939"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single" w:sz="4" w:space="0" w:color="auto"/>
              <w:left w:val="nil"/>
              <w:bottom w:val="nil"/>
              <w:right w:val="nil"/>
            </w:tcBorders>
            <w:shd w:val="clear" w:color="auto" w:fill="auto"/>
            <w:vAlign w:val="bottom"/>
            <w:hideMark/>
          </w:tcPr>
          <w:p w14:paraId="01BF1210" w14:textId="77777777" w:rsidR="005608F7" w:rsidRPr="007C633E" w:rsidRDefault="005608F7" w:rsidP="00BD7F62">
            <w:pPr>
              <w:spacing w:before="0" w:after="0" w:line="240" w:lineRule="auto"/>
              <w:jc w:val="right"/>
              <w:rPr>
                <w:rFonts w:ascii="Arial" w:hAnsi="Arial" w:cs="Arial"/>
                <w:sz w:val="16"/>
                <w:szCs w:val="16"/>
              </w:rPr>
            </w:pPr>
          </w:p>
        </w:tc>
      </w:tr>
      <w:tr w:rsidR="005608F7" w:rsidRPr="007C633E" w14:paraId="3302367C" w14:textId="77777777" w:rsidTr="00BD7F62">
        <w:trPr>
          <w:trHeight w:val="425"/>
          <w:jc w:val="center"/>
        </w:trPr>
        <w:tc>
          <w:tcPr>
            <w:tcW w:w="1960" w:type="dxa"/>
            <w:tcBorders>
              <w:top w:val="nil"/>
              <w:left w:val="nil"/>
              <w:bottom w:val="nil"/>
              <w:right w:val="nil"/>
            </w:tcBorders>
            <w:shd w:val="clear" w:color="auto" w:fill="auto"/>
            <w:vAlign w:val="bottom"/>
            <w:hideMark/>
          </w:tcPr>
          <w:p w14:paraId="0AF51B6C" w14:textId="77777777" w:rsidR="005608F7" w:rsidRPr="007C633E" w:rsidRDefault="005608F7" w:rsidP="00BD7F62">
            <w:pPr>
              <w:spacing w:before="0" w:after="0" w:line="240" w:lineRule="auto"/>
              <w:rPr>
                <w:rFonts w:ascii="Arial" w:hAnsi="Arial" w:cs="Arial"/>
                <w:sz w:val="16"/>
                <w:szCs w:val="16"/>
              </w:rPr>
            </w:pPr>
            <w:r w:rsidRPr="007C633E">
              <w:rPr>
                <w:rFonts w:ascii="Arial" w:hAnsi="Arial" w:cs="Arial"/>
                <w:sz w:val="16"/>
                <w:szCs w:val="16"/>
              </w:rPr>
              <w:t>Australian Immunisation Register</w:t>
            </w:r>
          </w:p>
        </w:tc>
        <w:tc>
          <w:tcPr>
            <w:tcW w:w="720" w:type="dxa"/>
            <w:tcBorders>
              <w:top w:val="nil"/>
              <w:left w:val="nil"/>
              <w:bottom w:val="nil"/>
              <w:right w:val="nil"/>
            </w:tcBorders>
            <w:shd w:val="clear" w:color="auto" w:fill="auto"/>
            <w:noWrap/>
            <w:vAlign w:val="bottom"/>
            <w:hideMark/>
          </w:tcPr>
          <w:p w14:paraId="7829B77A"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7370BAD4"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8,057</w:t>
            </w:r>
          </w:p>
        </w:tc>
        <w:tc>
          <w:tcPr>
            <w:tcW w:w="920" w:type="dxa"/>
            <w:tcBorders>
              <w:top w:val="nil"/>
              <w:left w:val="nil"/>
              <w:bottom w:val="nil"/>
              <w:right w:val="nil"/>
            </w:tcBorders>
            <w:shd w:val="clear" w:color="000000" w:fill="D9D9D9"/>
            <w:noWrap/>
            <w:vAlign w:val="bottom"/>
            <w:hideMark/>
          </w:tcPr>
          <w:p w14:paraId="46BC4C6E"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3,853</w:t>
            </w:r>
          </w:p>
        </w:tc>
        <w:tc>
          <w:tcPr>
            <w:tcW w:w="1060" w:type="dxa"/>
            <w:tcBorders>
              <w:top w:val="nil"/>
              <w:left w:val="nil"/>
              <w:bottom w:val="nil"/>
              <w:right w:val="nil"/>
            </w:tcBorders>
            <w:shd w:val="clear" w:color="auto" w:fill="auto"/>
            <w:noWrap/>
            <w:vAlign w:val="bottom"/>
            <w:hideMark/>
          </w:tcPr>
          <w:p w14:paraId="40CCE3B7"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7,133</w:t>
            </w:r>
          </w:p>
        </w:tc>
        <w:tc>
          <w:tcPr>
            <w:tcW w:w="920" w:type="dxa"/>
            <w:tcBorders>
              <w:top w:val="nil"/>
              <w:left w:val="nil"/>
              <w:bottom w:val="nil"/>
              <w:right w:val="nil"/>
            </w:tcBorders>
            <w:shd w:val="clear" w:color="000000" w:fill="D9D9D9"/>
            <w:noWrap/>
            <w:vAlign w:val="bottom"/>
            <w:hideMark/>
          </w:tcPr>
          <w:p w14:paraId="0F48AF76"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9,819</w:t>
            </w:r>
          </w:p>
        </w:tc>
        <w:tc>
          <w:tcPr>
            <w:tcW w:w="900" w:type="dxa"/>
            <w:tcBorders>
              <w:top w:val="nil"/>
              <w:left w:val="nil"/>
              <w:bottom w:val="nil"/>
              <w:right w:val="nil"/>
            </w:tcBorders>
            <w:shd w:val="clear" w:color="auto" w:fill="auto"/>
            <w:noWrap/>
            <w:vAlign w:val="bottom"/>
            <w:hideMark/>
          </w:tcPr>
          <w:p w14:paraId="727FFC62"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9,224</w:t>
            </w:r>
          </w:p>
        </w:tc>
      </w:tr>
      <w:tr w:rsidR="005608F7" w:rsidRPr="007C633E" w14:paraId="708EFB25"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76F108B0" w14:textId="77777777" w:rsidR="005608F7" w:rsidRPr="007C633E" w:rsidRDefault="005608F7" w:rsidP="00BD7F62">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000000" w:fill="FFFFFF"/>
            <w:noWrap/>
            <w:vAlign w:val="bottom"/>
            <w:hideMark/>
          </w:tcPr>
          <w:p w14:paraId="17E73962"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C911861"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7,675</w:t>
            </w:r>
          </w:p>
        </w:tc>
        <w:tc>
          <w:tcPr>
            <w:tcW w:w="920" w:type="dxa"/>
            <w:tcBorders>
              <w:top w:val="nil"/>
              <w:left w:val="nil"/>
              <w:bottom w:val="nil"/>
              <w:right w:val="nil"/>
            </w:tcBorders>
            <w:shd w:val="clear" w:color="000000" w:fill="D9D9D9"/>
            <w:noWrap/>
            <w:vAlign w:val="bottom"/>
            <w:hideMark/>
          </w:tcPr>
          <w:p w14:paraId="0561086D"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3,092</w:t>
            </w:r>
          </w:p>
        </w:tc>
        <w:tc>
          <w:tcPr>
            <w:tcW w:w="1060" w:type="dxa"/>
            <w:tcBorders>
              <w:top w:val="nil"/>
              <w:left w:val="nil"/>
              <w:bottom w:val="nil"/>
              <w:right w:val="nil"/>
            </w:tcBorders>
            <w:shd w:val="clear" w:color="auto" w:fill="auto"/>
            <w:noWrap/>
            <w:vAlign w:val="bottom"/>
            <w:hideMark/>
          </w:tcPr>
          <w:p w14:paraId="768CE023"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5,044</w:t>
            </w:r>
          </w:p>
        </w:tc>
        <w:tc>
          <w:tcPr>
            <w:tcW w:w="920" w:type="dxa"/>
            <w:tcBorders>
              <w:top w:val="nil"/>
              <w:left w:val="nil"/>
              <w:bottom w:val="nil"/>
              <w:right w:val="nil"/>
            </w:tcBorders>
            <w:shd w:val="clear" w:color="000000" w:fill="D9D9D9"/>
            <w:noWrap/>
            <w:vAlign w:val="bottom"/>
            <w:hideMark/>
          </w:tcPr>
          <w:p w14:paraId="157F94CE"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7,754</w:t>
            </w:r>
          </w:p>
        </w:tc>
        <w:tc>
          <w:tcPr>
            <w:tcW w:w="900" w:type="dxa"/>
            <w:tcBorders>
              <w:top w:val="nil"/>
              <w:left w:val="nil"/>
              <w:bottom w:val="nil"/>
              <w:right w:val="nil"/>
            </w:tcBorders>
            <w:shd w:val="clear" w:color="auto" w:fill="auto"/>
            <w:noWrap/>
            <w:vAlign w:val="bottom"/>
            <w:hideMark/>
          </w:tcPr>
          <w:p w14:paraId="5A7C6080"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8,057</w:t>
            </w:r>
          </w:p>
        </w:tc>
      </w:tr>
      <w:tr w:rsidR="005608F7" w:rsidRPr="007C633E" w14:paraId="7CA9AABF" w14:textId="77777777" w:rsidTr="00BD7F62">
        <w:trPr>
          <w:trHeight w:val="425"/>
          <w:jc w:val="center"/>
        </w:trPr>
        <w:tc>
          <w:tcPr>
            <w:tcW w:w="1960" w:type="dxa"/>
            <w:tcBorders>
              <w:top w:val="nil"/>
              <w:left w:val="nil"/>
              <w:bottom w:val="nil"/>
              <w:right w:val="nil"/>
            </w:tcBorders>
            <w:shd w:val="clear" w:color="auto" w:fill="auto"/>
            <w:vAlign w:val="bottom"/>
            <w:hideMark/>
          </w:tcPr>
          <w:p w14:paraId="3845A2D1" w14:textId="77777777" w:rsidR="005608F7" w:rsidRPr="007C633E" w:rsidRDefault="005608F7" w:rsidP="00BD7F62">
            <w:pPr>
              <w:spacing w:before="0" w:after="0" w:line="240" w:lineRule="auto"/>
              <w:rPr>
                <w:rFonts w:ascii="Arial" w:hAnsi="Arial" w:cs="Arial"/>
                <w:sz w:val="16"/>
                <w:szCs w:val="16"/>
              </w:rPr>
            </w:pPr>
            <w:r w:rsidRPr="007C633E">
              <w:rPr>
                <w:rFonts w:ascii="Arial" w:hAnsi="Arial" w:cs="Arial"/>
                <w:sz w:val="16"/>
                <w:szCs w:val="16"/>
              </w:rPr>
              <w:t>Biomedical Translation Fund</w:t>
            </w:r>
          </w:p>
        </w:tc>
        <w:tc>
          <w:tcPr>
            <w:tcW w:w="720" w:type="dxa"/>
            <w:tcBorders>
              <w:top w:val="nil"/>
              <w:left w:val="nil"/>
              <w:bottom w:val="nil"/>
              <w:right w:val="nil"/>
            </w:tcBorders>
            <w:shd w:val="clear" w:color="auto" w:fill="auto"/>
            <w:noWrap/>
            <w:vAlign w:val="bottom"/>
            <w:hideMark/>
          </w:tcPr>
          <w:p w14:paraId="628406D0"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7E064010"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920" w:type="dxa"/>
            <w:tcBorders>
              <w:top w:val="nil"/>
              <w:left w:val="nil"/>
              <w:bottom w:val="nil"/>
              <w:right w:val="nil"/>
            </w:tcBorders>
            <w:shd w:val="clear" w:color="000000" w:fill="D9D9D9"/>
            <w:noWrap/>
            <w:vAlign w:val="bottom"/>
            <w:hideMark/>
          </w:tcPr>
          <w:p w14:paraId="50D4923C"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1060" w:type="dxa"/>
            <w:tcBorders>
              <w:top w:val="nil"/>
              <w:left w:val="nil"/>
              <w:bottom w:val="nil"/>
              <w:right w:val="nil"/>
            </w:tcBorders>
            <w:shd w:val="clear" w:color="auto" w:fill="auto"/>
            <w:noWrap/>
            <w:vAlign w:val="bottom"/>
            <w:hideMark/>
          </w:tcPr>
          <w:p w14:paraId="05FADB59"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69,621</w:t>
            </w:r>
          </w:p>
        </w:tc>
        <w:tc>
          <w:tcPr>
            <w:tcW w:w="920" w:type="dxa"/>
            <w:tcBorders>
              <w:top w:val="nil"/>
              <w:left w:val="nil"/>
              <w:bottom w:val="nil"/>
              <w:right w:val="nil"/>
            </w:tcBorders>
            <w:shd w:val="clear" w:color="000000" w:fill="D9D9D9"/>
            <w:noWrap/>
            <w:vAlign w:val="bottom"/>
            <w:hideMark/>
          </w:tcPr>
          <w:p w14:paraId="03BD86C1"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7,501</w:t>
            </w:r>
          </w:p>
        </w:tc>
        <w:tc>
          <w:tcPr>
            <w:tcW w:w="900" w:type="dxa"/>
            <w:tcBorders>
              <w:top w:val="nil"/>
              <w:left w:val="nil"/>
              <w:bottom w:val="nil"/>
              <w:right w:val="nil"/>
            </w:tcBorders>
            <w:shd w:val="clear" w:color="auto" w:fill="auto"/>
            <w:noWrap/>
            <w:vAlign w:val="bottom"/>
            <w:hideMark/>
          </w:tcPr>
          <w:p w14:paraId="18E74E0B"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62,120</w:t>
            </w:r>
          </w:p>
        </w:tc>
      </w:tr>
      <w:tr w:rsidR="005608F7" w:rsidRPr="007C633E" w14:paraId="25196A6A"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14086EC8" w14:textId="77777777" w:rsidR="005608F7" w:rsidRPr="007C633E" w:rsidRDefault="005608F7" w:rsidP="00BD7F62">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228E98D8" w14:textId="77777777" w:rsidR="005608F7" w:rsidRPr="007C633E" w:rsidRDefault="005608F7" w:rsidP="00BD7F62">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38A540F"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20" w:type="dxa"/>
            <w:tcBorders>
              <w:top w:val="nil"/>
              <w:left w:val="nil"/>
              <w:bottom w:val="nil"/>
              <w:right w:val="nil"/>
            </w:tcBorders>
            <w:shd w:val="clear" w:color="000000" w:fill="D9D9D9"/>
            <w:noWrap/>
            <w:vAlign w:val="bottom"/>
            <w:hideMark/>
          </w:tcPr>
          <w:p w14:paraId="7CC7A920"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1060" w:type="dxa"/>
            <w:tcBorders>
              <w:top w:val="nil"/>
              <w:left w:val="nil"/>
              <w:bottom w:val="nil"/>
              <w:right w:val="nil"/>
            </w:tcBorders>
            <w:shd w:val="clear" w:color="auto" w:fill="auto"/>
            <w:noWrap/>
            <w:vAlign w:val="bottom"/>
            <w:hideMark/>
          </w:tcPr>
          <w:p w14:paraId="12B01D20"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20" w:type="dxa"/>
            <w:tcBorders>
              <w:top w:val="nil"/>
              <w:left w:val="nil"/>
              <w:bottom w:val="nil"/>
              <w:right w:val="nil"/>
            </w:tcBorders>
            <w:shd w:val="clear" w:color="000000" w:fill="D9D9D9"/>
            <w:noWrap/>
            <w:vAlign w:val="bottom"/>
            <w:hideMark/>
          </w:tcPr>
          <w:p w14:paraId="095A08B4"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00" w:type="dxa"/>
            <w:tcBorders>
              <w:top w:val="nil"/>
              <w:left w:val="nil"/>
              <w:bottom w:val="nil"/>
              <w:right w:val="nil"/>
            </w:tcBorders>
            <w:shd w:val="clear" w:color="auto" w:fill="auto"/>
            <w:noWrap/>
            <w:vAlign w:val="bottom"/>
            <w:hideMark/>
          </w:tcPr>
          <w:p w14:paraId="5E0C9E15"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r>
      <w:tr w:rsidR="005608F7" w:rsidRPr="007C633E" w14:paraId="7EDDDF21" w14:textId="77777777" w:rsidTr="00BD7F62">
        <w:trPr>
          <w:trHeight w:val="425"/>
          <w:jc w:val="center"/>
        </w:trPr>
        <w:tc>
          <w:tcPr>
            <w:tcW w:w="1960" w:type="dxa"/>
            <w:tcBorders>
              <w:top w:val="nil"/>
              <w:left w:val="nil"/>
              <w:bottom w:val="nil"/>
              <w:right w:val="nil"/>
            </w:tcBorders>
            <w:shd w:val="clear" w:color="auto" w:fill="auto"/>
            <w:vAlign w:val="bottom"/>
            <w:hideMark/>
          </w:tcPr>
          <w:p w14:paraId="5B1435BB" w14:textId="77777777" w:rsidR="005608F7" w:rsidRPr="007C633E" w:rsidRDefault="005608F7" w:rsidP="00BD7F62">
            <w:pPr>
              <w:spacing w:before="0" w:after="0" w:line="240" w:lineRule="auto"/>
              <w:rPr>
                <w:rFonts w:ascii="Arial" w:hAnsi="Arial" w:cs="Arial"/>
                <w:sz w:val="16"/>
                <w:szCs w:val="16"/>
              </w:rPr>
            </w:pPr>
            <w:r w:rsidRPr="007C633E">
              <w:rPr>
                <w:rFonts w:ascii="Arial" w:hAnsi="Arial" w:cs="Arial"/>
                <w:sz w:val="16"/>
                <w:szCs w:val="16"/>
              </w:rPr>
              <w:t>Medical Research Future Fund</w:t>
            </w:r>
          </w:p>
        </w:tc>
        <w:tc>
          <w:tcPr>
            <w:tcW w:w="720" w:type="dxa"/>
            <w:tcBorders>
              <w:top w:val="nil"/>
              <w:left w:val="nil"/>
              <w:bottom w:val="nil"/>
              <w:right w:val="nil"/>
            </w:tcBorders>
            <w:shd w:val="clear" w:color="auto" w:fill="auto"/>
            <w:noWrap/>
            <w:vAlign w:val="bottom"/>
            <w:hideMark/>
          </w:tcPr>
          <w:p w14:paraId="315E1CE1"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1</w:t>
            </w:r>
          </w:p>
        </w:tc>
        <w:tc>
          <w:tcPr>
            <w:tcW w:w="900" w:type="dxa"/>
            <w:tcBorders>
              <w:top w:val="nil"/>
              <w:left w:val="nil"/>
              <w:bottom w:val="nil"/>
              <w:right w:val="nil"/>
            </w:tcBorders>
            <w:shd w:val="clear" w:color="auto" w:fill="auto"/>
            <w:noWrap/>
            <w:vAlign w:val="bottom"/>
            <w:hideMark/>
          </w:tcPr>
          <w:p w14:paraId="0286A455"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114,455</w:t>
            </w:r>
          </w:p>
        </w:tc>
        <w:tc>
          <w:tcPr>
            <w:tcW w:w="920" w:type="dxa"/>
            <w:tcBorders>
              <w:top w:val="nil"/>
              <w:left w:val="nil"/>
              <w:bottom w:val="nil"/>
              <w:right w:val="nil"/>
            </w:tcBorders>
            <w:shd w:val="clear" w:color="000000" w:fill="D9D9D9"/>
            <w:noWrap/>
            <w:vAlign w:val="bottom"/>
            <w:hideMark/>
          </w:tcPr>
          <w:p w14:paraId="025AF406"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650,000</w:t>
            </w:r>
          </w:p>
        </w:tc>
        <w:tc>
          <w:tcPr>
            <w:tcW w:w="1060" w:type="dxa"/>
            <w:tcBorders>
              <w:top w:val="nil"/>
              <w:left w:val="nil"/>
              <w:bottom w:val="nil"/>
              <w:right w:val="nil"/>
            </w:tcBorders>
            <w:shd w:val="clear" w:color="auto" w:fill="auto"/>
            <w:noWrap/>
            <w:vAlign w:val="bottom"/>
            <w:hideMark/>
          </w:tcPr>
          <w:p w14:paraId="765044EC"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920" w:type="dxa"/>
            <w:tcBorders>
              <w:top w:val="nil"/>
              <w:left w:val="nil"/>
              <w:bottom w:val="nil"/>
              <w:right w:val="nil"/>
            </w:tcBorders>
            <w:shd w:val="clear" w:color="000000" w:fill="D9D9D9"/>
            <w:noWrap/>
            <w:vAlign w:val="bottom"/>
            <w:hideMark/>
          </w:tcPr>
          <w:p w14:paraId="00711229"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650,000</w:t>
            </w:r>
          </w:p>
        </w:tc>
        <w:tc>
          <w:tcPr>
            <w:tcW w:w="900" w:type="dxa"/>
            <w:tcBorders>
              <w:top w:val="nil"/>
              <w:left w:val="nil"/>
              <w:bottom w:val="nil"/>
              <w:right w:val="nil"/>
            </w:tcBorders>
            <w:shd w:val="clear" w:color="auto" w:fill="auto"/>
            <w:noWrap/>
            <w:vAlign w:val="bottom"/>
            <w:hideMark/>
          </w:tcPr>
          <w:p w14:paraId="0CD2679E"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114,455</w:t>
            </w:r>
          </w:p>
        </w:tc>
      </w:tr>
      <w:tr w:rsidR="005608F7" w:rsidRPr="007C633E" w14:paraId="4C34FE45"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20C5EC50" w14:textId="77777777" w:rsidR="005608F7" w:rsidRPr="007C633E" w:rsidRDefault="005608F7" w:rsidP="00BD7F62">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640789E9" w14:textId="77777777" w:rsidR="005608F7" w:rsidRPr="007C633E" w:rsidRDefault="005608F7" w:rsidP="00BD7F62">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1042891D"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2,031</w:t>
            </w:r>
          </w:p>
        </w:tc>
        <w:tc>
          <w:tcPr>
            <w:tcW w:w="920" w:type="dxa"/>
            <w:tcBorders>
              <w:top w:val="nil"/>
              <w:left w:val="nil"/>
              <w:bottom w:val="nil"/>
              <w:right w:val="nil"/>
            </w:tcBorders>
            <w:shd w:val="clear" w:color="000000" w:fill="D9D9D9"/>
            <w:noWrap/>
            <w:vAlign w:val="bottom"/>
            <w:hideMark/>
          </w:tcPr>
          <w:p w14:paraId="6392CC5D"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610,699</w:t>
            </w:r>
          </w:p>
        </w:tc>
        <w:tc>
          <w:tcPr>
            <w:tcW w:w="1060" w:type="dxa"/>
            <w:tcBorders>
              <w:top w:val="nil"/>
              <w:left w:val="nil"/>
              <w:bottom w:val="nil"/>
              <w:right w:val="nil"/>
            </w:tcBorders>
            <w:shd w:val="clear" w:color="auto" w:fill="auto"/>
            <w:noWrap/>
            <w:vAlign w:val="bottom"/>
            <w:hideMark/>
          </w:tcPr>
          <w:p w14:paraId="11B6F9C8"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20" w:type="dxa"/>
            <w:tcBorders>
              <w:top w:val="nil"/>
              <w:left w:val="nil"/>
              <w:bottom w:val="nil"/>
              <w:right w:val="nil"/>
            </w:tcBorders>
            <w:shd w:val="clear" w:color="000000" w:fill="D9D9D9"/>
            <w:noWrap/>
            <w:vAlign w:val="bottom"/>
            <w:hideMark/>
          </w:tcPr>
          <w:p w14:paraId="33993A02"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498,275</w:t>
            </w:r>
          </w:p>
        </w:tc>
        <w:tc>
          <w:tcPr>
            <w:tcW w:w="900" w:type="dxa"/>
            <w:tcBorders>
              <w:top w:val="nil"/>
              <w:left w:val="nil"/>
              <w:bottom w:val="nil"/>
              <w:right w:val="nil"/>
            </w:tcBorders>
            <w:shd w:val="clear" w:color="auto" w:fill="auto"/>
            <w:noWrap/>
            <w:vAlign w:val="bottom"/>
            <w:hideMark/>
          </w:tcPr>
          <w:p w14:paraId="18533C17"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114,455</w:t>
            </w:r>
          </w:p>
        </w:tc>
      </w:tr>
      <w:tr w:rsidR="005608F7" w:rsidRPr="007C633E" w14:paraId="31AC95D2" w14:textId="77777777" w:rsidTr="00BD7F62">
        <w:trPr>
          <w:trHeight w:val="425"/>
          <w:jc w:val="center"/>
        </w:trPr>
        <w:tc>
          <w:tcPr>
            <w:tcW w:w="1960" w:type="dxa"/>
            <w:tcBorders>
              <w:top w:val="nil"/>
              <w:left w:val="nil"/>
              <w:bottom w:val="nil"/>
              <w:right w:val="nil"/>
            </w:tcBorders>
            <w:shd w:val="clear" w:color="auto" w:fill="auto"/>
            <w:vAlign w:val="bottom"/>
            <w:hideMark/>
          </w:tcPr>
          <w:p w14:paraId="280B7496" w14:textId="77777777" w:rsidR="005608F7" w:rsidRPr="007C633E" w:rsidRDefault="005608F7" w:rsidP="00BD7F62">
            <w:pPr>
              <w:spacing w:before="0" w:after="0" w:line="240" w:lineRule="auto"/>
              <w:rPr>
                <w:rFonts w:ascii="Arial" w:hAnsi="Arial" w:cs="Arial"/>
                <w:sz w:val="16"/>
                <w:szCs w:val="16"/>
              </w:rPr>
            </w:pPr>
            <w:r w:rsidRPr="007C633E">
              <w:rPr>
                <w:rFonts w:ascii="Arial" w:hAnsi="Arial" w:cs="Arial"/>
                <w:sz w:val="16"/>
                <w:szCs w:val="16"/>
              </w:rPr>
              <w:t xml:space="preserve">Medicare Guarantee </w:t>
            </w:r>
            <w:r w:rsidRPr="007C633E">
              <w:rPr>
                <w:rFonts w:ascii="Arial" w:hAnsi="Arial" w:cs="Arial"/>
                <w:sz w:val="16"/>
                <w:szCs w:val="16"/>
              </w:rPr>
              <w:br/>
              <w:t>Fund</w:t>
            </w:r>
          </w:p>
        </w:tc>
        <w:tc>
          <w:tcPr>
            <w:tcW w:w="720" w:type="dxa"/>
            <w:tcBorders>
              <w:top w:val="nil"/>
              <w:left w:val="nil"/>
              <w:bottom w:val="nil"/>
              <w:right w:val="nil"/>
            </w:tcBorders>
            <w:shd w:val="clear" w:color="auto" w:fill="auto"/>
            <w:noWrap/>
            <w:vAlign w:val="bottom"/>
            <w:hideMark/>
          </w:tcPr>
          <w:p w14:paraId="5A8457F6"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2</w:t>
            </w:r>
          </w:p>
        </w:tc>
        <w:tc>
          <w:tcPr>
            <w:tcW w:w="900" w:type="dxa"/>
            <w:tcBorders>
              <w:top w:val="nil"/>
              <w:left w:val="nil"/>
              <w:bottom w:val="nil"/>
              <w:right w:val="nil"/>
            </w:tcBorders>
            <w:shd w:val="clear" w:color="auto" w:fill="auto"/>
            <w:noWrap/>
            <w:tcMar>
              <w:left w:w="0" w:type="dxa"/>
            </w:tcMar>
            <w:vAlign w:val="bottom"/>
            <w:hideMark/>
          </w:tcPr>
          <w:p w14:paraId="222F5E6C"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5,241,726</w:t>
            </w:r>
          </w:p>
        </w:tc>
        <w:tc>
          <w:tcPr>
            <w:tcW w:w="920" w:type="dxa"/>
            <w:tcBorders>
              <w:top w:val="nil"/>
              <w:left w:val="nil"/>
              <w:bottom w:val="nil"/>
              <w:right w:val="nil"/>
            </w:tcBorders>
            <w:shd w:val="clear" w:color="000000" w:fill="D9D9D9"/>
            <w:noWrap/>
            <w:tcMar>
              <w:left w:w="0" w:type="dxa"/>
            </w:tcMar>
            <w:vAlign w:val="bottom"/>
            <w:hideMark/>
          </w:tcPr>
          <w:p w14:paraId="0E4617D9"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47,611,917</w:t>
            </w:r>
          </w:p>
        </w:tc>
        <w:tc>
          <w:tcPr>
            <w:tcW w:w="1060" w:type="dxa"/>
            <w:tcBorders>
              <w:top w:val="nil"/>
              <w:left w:val="nil"/>
              <w:bottom w:val="nil"/>
              <w:right w:val="nil"/>
            </w:tcBorders>
            <w:shd w:val="clear" w:color="auto" w:fill="auto"/>
            <w:noWrap/>
            <w:vAlign w:val="bottom"/>
            <w:hideMark/>
          </w:tcPr>
          <w:p w14:paraId="320DA5AB"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920" w:type="dxa"/>
            <w:tcBorders>
              <w:top w:val="nil"/>
              <w:left w:val="nil"/>
              <w:bottom w:val="nil"/>
              <w:right w:val="nil"/>
            </w:tcBorders>
            <w:shd w:val="clear" w:color="000000" w:fill="D9D9D9"/>
            <w:noWrap/>
            <w:tcMar>
              <w:left w:w="0" w:type="dxa"/>
            </w:tcMar>
            <w:vAlign w:val="bottom"/>
            <w:hideMark/>
          </w:tcPr>
          <w:p w14:paraId="50994FAF"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47,611,917</w:t>
            </w:r>
          </w:p>
        </w:tc>
        <w:tc>
          <w:tcPr>
            <w:tcW w:w="900" w:type="dxa"/>
            <w:tcBorders>
              <w:top w:val="nil"/>
              <w:left w:val="nil"/>
              <w:bottom w:val="nil"/>
              <w:right w:val="nil"/>
            </w:tcBorders>
            <w:shd w:val="clear" w:color="auto" w:fill="auto"/>
            <w:noWrap/>
            <w:tcMar>
              <w:left w:w="0" w:type="dxa"/>
            </w:tcMar>
            <w:vAlign w:val="bottom"/>
            <w:hideMark/>
          </w:tcPr>
          <w:p w14:paraId="2492E01E"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5,241,726</w:t>
            </w:r>
          </w:p>
        </w:tc>
      </w:tr>
      <w:tr w:rsidR="005608F7" w:rsidRPr="007C633E" w14:paraId="2B27FD5F"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44FC7899" w14:textId="77777777" w:rsidR="005608F7" w:rsidRPr="007C633E" w:rsidRDefault="005608F7" w:rsidP="00BD7F62">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24AB6139" w14:textId="77777777" w:rsidR="005608F7" w:rsidRPr="007C633E" w:rsidRDefault="005608F7" w:rsidP="00BD7F62">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tcMar>
              <w:left w:w="0" w:type="dxa"/>
            </w:tcMar>
            <w:vAlign w:val="bottom"/>
            <w:hideMark/>
          </w:tcPr>
          <w:p w14:paraId="5DBD80CD"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3,271,472</w:t>
            </w:r>
          </w:p>
        </w:tc>
        <w:tc>
          <w:tcPr>
            <w:tcW w:w="920" w:type="dxa"/>
            <w:tcBorders>
              <w:top w:val="nil"/>
              <w:left w:val="nil"/>
              <w:bottom w:val="nil"/>
              <w:right w:val="nil"/>
            </w:tcBorders>
            <w:shd w:val="clear" w:color="000000" w:fill="D9D9D9"/>
            <w:noWrap/>
            <w:tcMar>
              <w:left w:w="0" w:type="dxa"/>
            </w:tcMar>
            <w:vAlign w:val="bottom"/>
            <w:hideMark/>
          </w:tcPr>
          <w:p w14:paraId="4A03220C"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46,467,038</w:t>
            </w:r>
          </w:p>
        </w:tc>
        <w:tc>
          <w:tcPr>
            <w:tcW w:w="1060" w:type="dxa"/>
            <w:tcBorders>
              <w:top w:val="nil"/>
              <w:left w:val="nil"/>
              <w:bottom w:val="nil"/>
              <w:right w:val="nil"/>
            </w:tcBorders>
            <w:shd w:val="clear" w:color="auto" w:fill="auto"/>
            <w:noWrap/>
            <w:vAlign w:val="bottom"/>
            <w:hideMark/>
          </w:tcPr>
          <w:p w14:paraId="753DFD93"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20" w:type="dxa"/>
            <w:tcBorders>
              <w:top w:val="nil"/>
              <w:left w:val="nil"/>
              <w:bottom w:val="nil"/>
              <w:right w:val="nil"/>
            </w:tcBorders>
            <w:shd w:val="clear" w:color="000000" w:fill="D9D9D9"/>
            <w:noWrap/>
            <w:tcMar>
              <w:left w:w="0" w:type="dxa"/>
            </w:tcMar>
            <w:vAlign w:val="bottom"/>
            <w:hideMark/>
          </w:tcPr>
          <w:p w14:paraId="6635DAB9"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44,496,785</w:t>
            </w:r>
          </w:p>
        </w:tc>
        <w:tc>
          <w:tcPr>
            <w:tcW w:w="900" w:type="dxa"/>
            <w:tcBorders>
              <w:top w:val="nil"/>
              <w:left w:val="nil"/>
              <w:bottom w:val="nil"/>
              <w:right w:val="nil"/>
            </w:tcBorders>
            <w:shd w:val="clear" w:color="auto" w:fill="auto"/>
            <w:noWrap/>
            <w:tcMar>
              <w:left w:w="0" w:type="dxa"/>
            </w:tcMar>
            <w:vAlign w:val="bottom"/>
            <w:hideMark/>
          </w:tcPr>
          <w:p w14:paraId="3B14E1D2"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5,241,726</w:t>
            </w:r>
          </w:p>
        </w:tc>
      </w:tr>
      <w:tr w:rsidR="005608F7" w:rsidRPr="007C633E" w14:paraId="19110280" w14:textId="77777777" w:rsidTr="00BD7F62">
        <w:trPr>
          <w:trHeight w:val="225"/>
          <w:jc w:val="center"/>
        </w:trPr>
        <w:tc>
          <w:tcPr>
            <w:tcW w:w="1960" w:type="dxa"/>
            <w:tcBorders>
              <w:top w:val="nil"/>
              <w:left w:val="nil"/>
              <w:bottom w:val="nil"/>
              <w:right w:val="nil"/>
            </w:tcBorders>
            <w:shd w:val="clear" w:color="auto" w:fill="auto"/>
            <w:vAlign w:val="bottom"/>
            <w:hideMark/>
          </w:tcPr>
          <w:p w14:paraId="382FF550" w14:textId="77777777" w:rsidR="005608F7" w:rsidRPr="007C633E" w:rsidRDefault="005608F7" w:rsidP="00BD7F62">
            <w:pPr>
              <w:spacing w:before="0" w:after="0" w:line="240" w:lineRule="auto"/>
              <w:rPr>
                <w:rFonts w:ascii="Arial" w:hAnsi="Arial" w:cs="Arial"/>
                <w:sz w:val="16"/>
                <w:szCs w:val="16"/>
              </w:rPr>
            </w:pPr>
            <w:r w:rsidRPr="007C633E">
              <w:rPr>
                <w:rFonts w:ascii="Arial" w:hAnsi="Arial" w:cs="Arial"/>
                <w:sz w:val="16"/>
                <w:szCs w:val="16"/>
              </w:rPr>
              <w:t>Sport and Recreation</w:t>
            </w:r>
          </w:p>
        </w:tc>
        <w:tc>
          <w:tcPr>
            <w:tcW w:w="720" w:type="dxa"/>
            <w:tcBorders>
              <w:top w:val="nil"/>
              <w:left w:val="nil"/>
              <w:bottom w:val="nil"/>
              <w:right w:val="nil"/>
            </w:tcBorders>
            <w:shd w:val="clear" w:color="auto" w:fill="auto"/>
            <w:noWrap/>
            <w:vAlign w:val="bottom"/>
            <w:hideMark/>
          </w:tcPr>
          <w:p w14:paraId="22E2C2B3" w14:textId="77777777" w:rsidR="005608F7" w:rsidRPr="007C633E" w:rsidRDefault="005608F7" w:rsidP="00BD7F62">
            <w:pPr>
              <w:spacing w:before="0" w:after="0" w:line="240" w:lineRule="auto"/>
              <w:jc w:val="right"/>
              <w:rPr>
                <w:rFonts w:ascii="Arial" w:hAnsi="Arial" w:cs="Arial"/>
                <w:sz w:val="16"/>
                <w:szCs w:val="16"/>
              </w:rPr>
            </w:pPr>
            <w:r w:rsidRPr="007C633E">
              <w:rPr>
                <w:rFonts w:ascii="Arial" w:hAnsi="Arial" w:cs="Arial"/>
                <w:sz w:val="16"/>
                <w:szCs w:val="16"/>
              </w:rPr>
              <w:t>4</w:t>
            </w:r>
          </w:p>
        </w:tc>
        <w:tc>
          <w:tcPr>
            <w:tcW w:w="900" w:type="dxa"/>
            <w:tcBorders>
              <w:top w:val="nil"/>
              <w:left w:val="nil"/>
              <w:bottom w:val="nil"/>
              <w:right w:val="nil"/>
            </w:tcBorders>
            <w:shd w:val="clear" w:color="auto" w:fill="auto"/>
            <w:noWrap/>
            <w:vAlign w:val="bottom"/>
            <w:hideMark/>
          </w:tcPr>
          <w:p w14:paraId="70540F30"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182</w:t>
            </w:r>
          </w:p>
        </w:tc>
        <w:tc>
          <w:tcPr>
            <w:tcW w:w="920" w:type="dxa"/>
            <w:tcBorders>
              <w:top w:val="nil"/>
              <w:left w:val="nil"/>
              <w:bottom w:val="nil"/>
              <w:right w:val="nil"/>
            </w:tcBorders>
            <w:shd w:val="clear" w:color="000000" w:fill="D9D9D9"/>
            <w:noWrap/>
            <w:vAlign w:val="bottom"/>
            <w:hideMark/>
          </w:tcPr>
          <w:p w14:paraId="63D78D2F"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1060" w:type="dxa"/>
            <w:tcBorders>
              <w:top w:val="nil"/>
              <w:left w:val="nil"/>
              <w:bottom w:val="nil"/>
              <w:right w:val="nil"/>
            </w:tcBorders>
            <w:shd w:val="clear" w:color="auto" w:fill="auto"/>
            <w:noWrap/>
            <w:vAlign w:val="bottom"/>
            <w:hideMark/>
          </w:tcPr>
          <w:p w14:paraId="5F5041E1"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920" w:type="dxa"/>
            <w:tcBorders>
              <w:top w:val="nil"/>
              <w:left w:val="nil"/>
              <w:bottom w:val="nil"/>
              <w:right w:val="nil"/>
            </w:tcBorders>
            <w:shd w:val="clear" w:color="000000" w:fill="D9D9D9"/>
            <w:noWrap/>
            <w:vAlign w:val="bottom"/>
            <w:hideMark/>
          </w:tcPr>
          <w:p w14:paraId="24FC2D9B"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w:t>
            </w:r>
          </w:p>
        </w:tc>
        <w:tc>
          <w:tcPr>
            <w:tcW w:w="900" w:type="dxa"/>
            <w:tcBorders>
              <w:top w:val="nil"/>
              <w:left w:val="nil"/>
              <w:bottom w:val="nil"/>
              <w:right w:val="nil"/>
            </w:tcBorders>
            <w:shd w:val="clear" w:color="auto" w:fill="auto"/>
            <w:noWrap/>
            <w:vAlign w:val="bottom"/>
            <w:hideMark/>
          </w:tcPr>
          <w:p w14:paraId="796E571E"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182</w:t>
            </w:r>
          </w:p>
        </w:tc>
      </w:tr>
      <w:tr w:rsidR="005608F7" w:rsidRPr="007C633E" w14:paraId="652E33D4"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3C99B1DB" w14:textId="77777777" w:rsidR="005608F7" w:rsidRPr="007C633E" w:rsidRDefault="005608F7" w:rsidP="00BD7F62">
            <w:pPr>
              <w:spacing w:before="0" w:after="0" w:line="240" w:lineRule="auto"/>
              <w:jc w:val="right"/>
              <w:rPr>
                <w:rFonts w:ascii="Arial" w:hAnsi="Arial" w:cs="Arial"/>
                <w:b/>
                <w:bCs/>
                <w:sz w:val="16"/>
                <w:szCs w:val="16"/>
              </w:rPr>
            </w:pPr>
          </w:p>
        </w:tc>
        <w:tc>
          <w:tcPr>
            <w:tcW w:w="720" w:type="dxa"/>
            <w:tcBorders>
              <w:top w:val="nil"/>
              <w:left w:val="nil"/>
              <w:bottom w:val="nil"/>
              <w:right w:val="nil"/>
            </w:tcBorders>
            <w:shd w:val="clear" w:color="auto" w:fill="auto"/>
            <w:noWrap/>
            <w:vAlign w:val="bottom"/>
            <w:hideMark/>
          </w:tcPr>
          <w:p w14:paraId="6F48F1BA" w14:textId="77777777" w:rsidR="005608F7" w:rsidRPr="007C633E" w:rsidRDefault="005608F7" w:rsidP="00BD7F62">
            <w:pPr>
              <w:spacing w:before="0" w:after="0" w:line="240" w:lineRule="auto"/>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C6E5E3C"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182</w:t>
            </w:r>
          </w:p>
        </w:tc>
        <w:tc>
          <w:tcPr>
            <w:tcW w:w="920" w:type="dxa"/>
            <w:tcBorders>
              <w:top w:val="nil"/>
              <w:left w:val="nil"/>
              <w:bottom w:val="nil"/>
              <w:right w:val="nil"/>
            </w:tcBorders>
            <w:shd w:val="clear" w:color="000000" w:fill="D9D9D9"/>
            <w:noWrap/>
            <w:vAlign w:val="bottom"/>
            <w:hideMark/>
          </w:tcPr>
          <w:p w14:paraId="112212C5"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1060" w:type="dxa"/>
            <w:tcBorders>
              <w:top w:val="nil"/>
              <w:left w:val="nil"/>
              <w:bottom w:val="nil"/>
              <w:right w:val="nil"/>
            </w:tcBorders>
            <w:shd w:val="clear" w:color="auto" w:fill="auto"/>
            <w:noWrap/>
            <w:vAlign w:val="bottom"/>
            <w:hideMark/>
          </w:tcPr>
          <w:p w14:paraId="6336C36A"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20" w:type="dxa"/>
            <w:tcBorders>
              <w:top w:val="nil"/>
              <w:left w:val="nil"/>
              <w:bottom w:val="nil"/>
              <w:right w:val="nil"/>
            </w:tcBorders>
            <w:shd w:val="clear" w:color="000000" w:fill="D9D9D9"/>
            <w:noWrap/>
            <w:vAlign w:val="bottom"/>
            <w:hideMark/>
          </w:tcPr>
          <w:p w14:paraId="46F3AE05"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w:t>
            </w:r>
          </w:p>
        </w:tc>
        <w:tc>
          <w:tcPr>
            <w:tcW w:w="900" w:type="dxa"/>
            <w:tcBorders>
              <w:top w:val="nil"/>
              <w:left w:val="nil"/>
              <w:bottom w:val="nil"/>
              <w:right w:val="nil"/>
            </w:tcBorders>
            <w:shd w:val="clear" w:color="auto" w:fill="auto"/>
            <w:noWrap/>
            <w:vAlign w:val="bottom"/>
            <w:hideMark/>
          </w:tcPr>
          <w:p w14:paraId="0D67E0F8"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182</w:t>
            </w:r>
          </w:p>
        </w:tc>
      </w:tr>
      <w:tr w:rsidR="005608F7" w:rsidRPr="007C633E" w14:paraId="4AA7FBAD" w14:textId="77777777" w:rsidTr="00BD7F62">
        <w:trPr>
          <w:trHeight w:val="225"/>
          <w:jc w:val="center"/>
        </w:trPr>
        <w:tc>
          <w:tcPr>
            <w:tcW w:w="1960" w:type="dxa"/>
            <w:tcBorders>
              <w:top w:val="nil"/>
              <w:left w:val="nil"/>
              <w:bottom w:val="nil"/>
              <w:right w:val="nil"/>
            </w:tcBorders>
            <w:shd w:val="clear" w:color="auto" w:fill="auto"/>
            <w:noWrap/>
            <w:vAlign w:val="bottom"/>
            <w:hideMark/>
          </w:tcPr>
          <w:p w14:paraId="38872C86" w14:textId="77777777" w:rsidR="005608F7" w:rsidRPr="007C633E" w:rsidRDefault="005608F7" w:rsidP="00BD7F62">
            <w:pPr>
              <w:spacing w:before="0" w:after="0" w:line="240" w:lineRule="auto"/>
              <w:rPr>
                <w:rFonts w:ascii="Arial" w:hAnsi="Arial" w:cs="Arial"/>
                <w:b/>
                <w:bCs/>
                <w:sz w:val="16"/>
                <w:szCs w:val="16"/>
              </w:rPr>
            </w:pPr>
            <w:r w:rsidRPr="007C633E">
              <w:rPr>
                <w:rFonts w:ascii="Arial" w:hAnsi="Arial" w:cs="Arial"/>
                <w:b/>
                <w:bCs/>
                <w:sz w:val="16"/>
                <w:szCs w:val="16"/>
              </w:rPr>
              <w:t>Total Administered</w:t>
            </w:r>
          </w:p>
        </w:tc>
        <w:tc>
          <w:tcPr>
            <w:tcW w:w="720" w:type="dxa"/>
            <w:tcBorders>
              <w:top w:val="nil"/>
              <w:left w:val="nil"/>
              <w:bottom w:val="nil"/>
              <w:right w:val="nil"/>
            </w:tcBorders>
            <w:shd w:val="clear" w:color="auto" w:fill="auto"/>
            <w:noWrap/>
            <w:vAlign w:val="bottom"/>
            <w:hideMark/>
          </w:tcPr>
          <w:p w14:paraId="34C3E8B9" w14:textId="77777777" w:rsidR="005608F7" w:rsidRPr="007C633E" w:rsidRDefault="005608F7" w:rsidP="00BD7F62">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AC3C517" w14:textId="77777777" w:rsidR="005608F7" w:rsidRPr="007C633E" w:rsidRDefault="005608F7" w:rsidP="00BD7F62">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236CF2ED"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1060" w:type="dxa"/>
            <w:tcBorders>
              <w:top w:val="nil"/>
              <w:left w:val="nil"/>
              <w:bottom w:val="nil"/>
              <w:right w:val="nil"/>
            </w:tcBorders>
            <w:shd w:val="clear" w:color="auto" w:fill="auto"/>
            <w:noWrap/>
            <w:vAlign w:val="bottom"/>
            <w:hideMark/>
          </w:tcPr>
          <w:p w14:paraId="25B03355" w14:textId="77777777" w:rsidR="005608F7" w:rsidRPr="007C633E" w:rsidRDefault="005608F7" w:rsidP="00BD7F62">
            <w:pPr>
              <w:spacing w:before="0" w:after="0" w:line="240" w:lineRule="auto"/>
              <w:jc w:val="right"/>
              <w:rPr>
                <w:rFonts w:ascii="Arial" w:hAnsi="Arial" w:cs="Arial"/>
                <w:i/>
                <w:iCs/>
                <w:sz w:val="16"/>
                <w:szCs w:val="16"/>
              </w:rPr>
            </w:pPr>
          </w:p>
        </w:tc>
        <w:tc>
          <w:tcPr>
            <w:tcW w:w="920" w:type="dxa"/>
            <w:tcBorders>
              <w:top w:val="nil"/>
              <w:left w:val="nil"/>
              <w:bottom w:val="nil"/>
              <w:right w:val="nil"/>
            </w:tcBorders>
            <w:shd w:val="clear" w:color="000000" w:fill="D9D9D9"/>
            <w:noWrap/>
            <w:vAlign w:val="bottom"/>
            <w:hideMark/>
          </w:tcPr>
          <w:p w14:paraId="73AE176C" w14:textId="77777777" w:rsidR="005608F7" w:rsidRPr="007C633E" w:rsidRDefault="005608F7" w:rsidP="00BD7F62">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900" w:type="dxa"/>
            <w:tcBorders>
              <w:top w:val="nil"/>
              <w:left w:val="nil"/>
              <w:bottom w:val="nil"/>
              <w:right w:val="nil"/>
            </w:tcBorders>
            <w:shd w:val="clear" w:color="auto" w:fill="auto"/>
            <w:noWrap/>
            <w:vAlign w:val="bottom"/>
            <w:hideMark/>
          </w:tcPr>
          <w:p w14:paraId="78C57860" w14:textId="77777777" w:rsidR="005608F7" w:rsidRPr="007C633E" w:rsidRDefault="005608F7" w:rsidP="00BD7F62">
            <w:pPr>
              <w:spacing w:before="0" w:after="0" w:line="240" w:lineRule="auto"/>
              <w:jc w:val="right"/>
              <w:rPr>
                <w:rFonts w:ascii="Arial" w:hAnsi="Arial" w:cs="Arial"/>
                <w:i/>
                <w:iCs/>
                <w:sz w:val="16"/>
                <w:szCs w:val="16"/>
              </w:rPr>
            </w:pPr>
          </w:p>
        </w:tc>
      </w:tr>
      <w:tr w:rsidR="005608F7" w:rsidRPr="007C633E" w14:paraId="61736762" w14:textId="77777777" w:rsidTr="00BD7F62">
        <w:trPr>
          <w:trHeight w:val="225"/>
          <w:jc w:val="center"/>
        </w:trPr>
        <w:tc>
          <w:tcPr>
            <w:tcW w:w="1960" w:type="dxa"/>
            <w:tcBorders>
              <w:top w:val="nil"/>
              <w:left w:val="nil"/>
              <w:bottom w:val="nil"/>
              <w:right w:val="nil"/>
            </w:tcBorders>
            <w:shd w:val="clear" w:color="auto" w:fill="auto"/>
            <w:vAlign w:val="bottom"/>
            <w:hideMark/>
          </w:tcPr>
          <w:p w14:paraId="296EFEFB" w14:textId="10B2C87F" w:rsidR="005608F7" w:rsidRPr="007C633E" w:rsidRDefault="005608F7" w:rsidP="00BD7F62">
            <w:pPr>
              <w:spacing w:before="0" w:after="0" w:line="240" w:lineRule="auto"/>
              <w:ind w:firstLineChars="100" w:firstLine="161"/>
              <w:rPr>
                <w:rFonts w:ascii="Arial" w:hAnsi="Arial" w:cs="Arial"/>
                <w:b/>
                <w:bCs/>
                <w:sz w:val="16"/>
                <w:szCs w:val="16"/>
              </w:rPr>
            </w:pPr>
            <w:r w:rsidRPr="007C633E">
              <w:rPr>
                <w:rFonts w:ascii="Arial" w:hAnsi="Arial" w:cs="Arial"/>
                <w:b/>
                <w:bCs/>
                <w:sz w:val="16"/>
                <w:szCs w:val="16"/>
              </w:rPr>
              <w:t>202</w:t>
            </w:r>
            <w:r w:rsidR="00BD7F62">
              <w:rPr>
                <w:rFonts w:ascii="Arial" w:hAnsi="Arial" w:cs="Arial"/>
                <w:b/>
                <w:bCs/>
                <w:sz w:val="16"/>
                <w:szCs w:val="16"/>
              </w:rPr>
              <w:t>3–2</w:t>
            </w:r>
            <w:r w:rsidRPr="007C633E">
              <w:rPr>
                <w:rFonts w:ascii="Arial" w:hAnsi="Arial" w:cs="Arial"/>
                <w:b/>
                <w:bCs/>
                <w:sz w:val="16"/>
                <w:szCs w:val="16"/>
              </w:rPr>
              <w:t>4 estimate</w:t>
            </w:r>
          </w:p>
        </w:tc>
        <w:tc>
          <w:tcPr>
            <w:tcW w:w="720" w:type="dxa"/>
            <w:tcBorders>
              <w:top w:val="nil"/>
              <w:left w:val="nil"/>
              <w:bottom w:val="nil"/>
              <w:right w:val="nil"/>
            </w:tcBorders>
            <w:shd w:val="clear" w:color="auto" w:fill="auto"/>
            <w:noWrap/>
            <w:vAlign w:val="bottom"/>
            <w:hideMark/>
          </w:tcPr>
          <w:p w14:paraId="2238A293" w14:textId="77777777" w:rsidR="005608F7" w:rsidRPr="007C633E" w:rsidRDefault="005608F7" w:rsidP="00BD7F62">
            <w:pPr>
              <w:spacing w:before="0" w:after="0" w:line="240" w:lineRule="auto"/>
              <w:ind w:firstLineChars="100" w:firstLine="161"/>
              <w:rPr>
                <w:rFonts w:ascii="Arial" w:hAnsi="Arial" w:cs="Arial"/>
                <w:b/>
                <w:bCs/>
                <w:sz w:val="16"/>
                <w:szCs w:val="16"/>
              </w:rPr>
            </w:pPr>
          </w:p>
        </w:tc>
        <w:tc>
          <w:tcPr>
            <w:tcW w:w="900" w:type="dxa"/>
            <w:tcBorders>
              <w:top w:val="nil"/>
              <w:left w:val="nil"/>
              <w:bottom w:val="nil"/>
              <w:right w:val="nil"/>
            </w:tcBorders>
            <w:shd w:val="clear" w:color="auto" w:fill="auto"/>
            <w:noWrap/>
            <w:tcMar>
              <w:left w:w="0" w:type="dxa"/>
            </w:tcMar>
            <w:vAlign w:val="bottom"/>
            <w:hideMark/>
          </w:tcPr>
          <w:p w14:paraId="71C1AE80"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5,364,420</w:t>
            </w:r>
          </w:p>
        </w:tc>
        <w:tc>
          <w:tcPr>
            <w:tcW w:w="920" w:type="dxa"/>
            <w:tcBorders>
              <w:top w:val="nil"/>
              <w:left w:val="nil"/>
              <w:bottom w:val="nil"/>
              <w:right w:val="nil"/>
            </w:tcBorders>
            <w:shd w:val="clear" w:color="000000" w:fill="D9D9D9"/>
            <w:noWrap/>
            <w:tcMar>
              <w:left w:w="0" w:type="dxa"/>
            </w:tcMar>
            <w:vAlign w:val="bottom"/>
            <w:hideMark/>
          </w:tcPr>
          <w:p w14:paraId="2E50612F"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48,265,770</w:t>
            </w:r>
          </w:p>
        </w:tc>
        <w:tc>
          <w:tcPr>
            <w:tcW w:w="1060" w:type="dxa"/>
            <w:tcBorders>
              <w:top w:val="nil"/>
              <w:left w:val="nil"/>
              <w:bottom w:val="nil"/>
              <w:right w:val="nil"/>
            </w:tcBorders>
            <w:shd w:val="clear" w:color="auto" w:fill="auto"/>
            <w:noWrap/>
            <w:vAlign w:val="bottom"/>
            <w:hideMark/>
          </w:tcPr>
          <w:p w14:paraId="5CAD0524"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76,754</w:t>
            </w:r>
          </w:p>
        </w:tc>
        <w:tc>
          <w:tcPr>
            <w:tcW w:w="920" w:type="dxa"/>
            <w:tcBorders>
              <w:top w:val="nil"/>
              <w:left w:val="nil"/>
              <w:bottom w:val="nil"/>
              <w:right w:val="nil"/>
            </w:tcBorders>
            <w:shd w:val="clear" w:color="000000" w:fill="D9D9D9"/>
            <w:noWrap/>
            <w:tcMar>
              <w:left w:w="0" w:type="dxa"/>
            </w:tcMar>
            <w:vAlign w:val="bottom"/>
            <w:hideMark/>
          </w:tcPr>
          <w:p w14:paraId="74AB1157"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48,279,237</w:t>
            </w:r>
          </w:p>
        </w:tc>
        <w:tc>
          <w:tcPr>
            <w:tcW w:w="900" w:type="dxa"/>
            <w:tcBorders>
              <w:top w:val="nil"/>
              <w:left w:val="nil"/>
              <w:bottom w:val="nil"/>
              <w:right w:val="nil"/>
            </w:tcBorders>
            <w:shd w:val="clear" w:color="auto" w:fill="auto"/>
            <w:noWrap/>
            <w:tcMar>
              <w:left w:w="0" w:type="dxa"/>
            </w:tcMar>
            <w:vAlign w:val="bottom"/>
            <w:hideMark/>
          </w:tcPr>
          <w:p w14:paraId="61C51996" w14:textId="77777777" w:rsidR="005608F7" w:rsidRPr="007C633E" w:rsidRDefault="005608F7" w:rsidP="00BD7F62">
            <w:pPr>
              <w:spacing w:before="0" w:after="0" w:line="240" w:lineRule="auto"/>
              <w:jc w:val="right"/>
              <w:rPr>
                <w:rFonts w:ascii="Arial" w:hAnsi="Arial" w:cs="Arial"/>
                <w:b/>
                <w:bCs/>
                <w:sz w:val="16"/>
                <w:szCs w:val="16"/>
              </w:rPr>
            </w:pPr>
            <w:r w:rsidRPr="007C633E">
              <w:rPr>
                <w:rFonts w:ascii="Arial" w:hAnsi="Arial" w:cs="Arial"/>
                <w:b/>
                <w:bCs/>
                <w:sz w:val="16"/>
                <w:szCs w:val="16"/>
              </w:rPr>
              <w:t>5,427,707</w:t>
            </w:r>
          </w:p>
        </w:tc>
      </w:tr>
      <w:tr w:rsidR="00D85B36" w:rsidRPr="007C633E" w14:paraId="187BED91" w14:textId="77777777" w:rsidTr="00425BC9">
        <w:trPr>
          <w:trHeight w:val="225"/>
          <w:jc w:val="center"/>
        </w:trPr>
        <w:tc>
          <w:tcPr>
            <w:tcW w:w="1960" w:type="dxa"/>
            <w:tcBorders>
              <w:top w:val="nil"/>
              <w:left w:val="nil"/>
              <w:bottom w:val="nil"/>
              <w:right w:val="nil"/>
            </w:tcBorders>
            <w:shd w:val="clear" w:color="auto" w:fill="auto"/>
            <w:vAlign w:val="bottom"/>
            <w:hideMark/>
          </w:tcPr>
          <w:p w14:paraId="6D86A494" w14:textId="77777777" w:rsidR="00D85B36" w:rsidRPr="007C633E" w:rsidRDefault="00D85B36" w:rsidP="00425BC9">
            <w:pPr>
              <w:spacing w:before="0" w:after="0" w:line="240" w:lineRule="auto"/>
              <w:ind w:firstLineChars="100" w:firstLine="160"/>
              <w:rPr>
                <w:rFonts w:ascii="Arial" w:hAnsi="Arial" w:cs="Arial"/>
                <w:i/>
                <w:iCs/>
                <w:sz w:val="16"/>
                <w:szCs w:val="16"/>
              </w:rPr>
            </w:pPr>
            <w:r w:rsidRPr="007C633E">
              <w:rPr>
                <w:rFonts w:ascii="Arial" w:hAnsi="Arial" w:cs="Arial"/>
                <w:i/>
                <w:iCs/>
                <w:sz w:val="16"/>
                <w:szCs w:val="16"/>
              </w:rPr>
              <w:t>202</w:t>
            </w:r>
            <w:r>
              <w:rPr>
                <w:rFonts w:ascii="Arial" w:hAnsi="Arial" w:cs="Arial"/>
                <w:i/>
                <w:iCs/>
                <w:sz w:val="16"/>
                <w:szCs w:val="16"/>
              </w:rPr>
              <w:t>2–2</w:t>
            </w:r>
            <w:r w:rsidRPr="007C633E">
              <w:rPr>
                <w:rFonts w:ascii="Arial" w:hAnsi="Arial" w:cs="Arial"/>
                <w:i/>
                <w:iCs/>
                <w:sz w:val="16"/>
                <w:szCs w:val="16"/>
              </w:rPr>
              <w:t>3 actual</w:t>
            </w:r>
          </w:p>
        </w:tc>
        <w:tc>
          <w:tcPr>
            <w:tcW w:w="720" w:type="dxa"/>
            <w:tcBorders>
              <w:top w:val="nil"/>
              <w:left w:val="nil"/>
              <w:bottom w:val="single" w:sz="4" w:space="0" w:color="000000"/>
              <w:right w:val="nil"/>
            </w:tcBorders>
            <w:shd w:val="clear" w:color="auto" w:fill="auto"/>
            <w:noWrap/>
            <w:vAlign w:val="bottom"/>
            <w:hideMark/>
          </w:tcPr>
          <w:p w14:paraId="6164AB30" w14:textId="77777777" w:rsidR="00D85B36" w:rsidRPr="007C633E" w:rsidRDefault="00D85B36" w:rsidP="00425BC9">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single" w:sz="4" w:space="0" w:color="000000"/>
              <w:right w:val="nil"/>
            </w:tcBorders>
            <w:shd w:val="clear" w:color="auto" w:fill="auto"/>
            <w:noWrap/>
            <w:tcMar>
              <w:left w:w="0" w:type="dxa"/>
            </w:tcMar>
            <w:vAlign w:val="bottom"/>
            <w:hideMark/>
          </w:tcPr>
          <w:p w14:paraId="6E084027" w14:textId="77777777" w:rsidR="00D85B36" w:rsidRPr="007C633E" w:rsidRDefault="00D85B36" w:rsidP="00425BC9">
            <w:pPr>
              <w:spacing w:before="0" w:after="0" w:line="240" w:lineRule="auto"/>
              <w:jc w:val="right"/>
              <w:rPr>
                <w:rFonts w:ascii="Arial" w:hAnsi="Arial" w:cs="Arial"/>
                <w:i/>
                <w:iCs/>
                <w:sz w:val="16"/>
                <w:szCs w:val="16"/>
              </w:rPr>
            </w:pPr>
            <w:r w:rsidRPr="007C633E">
              <w:rPr>
                <w:rFonts w:ascii="Arial" w:hAnsi="Arial" w:cs="Arial"/>
                <w:i/>
                <w:iCs/>
                <w:sz w:val="16"/>
                <w:szCs w:val="16"/>
              </w:rPr>
              <w:t>3,281,360</w:t>
            </w:r>
          </w:p>
        </w:tc>
        <w:tc>
          <w:tcPr>
            <w:tcW w:w="920" w:type="dxa"/>
            <w:tcBorders>
              <w:top w:val="nil"/>
              <w:left w:val="nil"/>
              <w:bottom w:val="single" w:sz="4" w:space="0" w:color="000000"/>
              <w:right w:val="nil"/>
            </w:tcBorders>
            <w:shd w:val="clear" w:color="000000" w:fill="D9D9D9"/>
            <w:noWrap/>
            <w:tcMar>
              <w:left w:w="0" w:type="dxa"/>
            </w:tcMar>
            <w:vAlign w:val="bottom"/>
            <w:hideMark/>
          </w:tcPr>
          <w:p w14:paraId="4D9211B3" w14:textId="77777777" w:rsidR="00D85B36" w:rsidRPr="007C633E" w:rsidRDefault="00D85B36" w:rsidP="00425BC9">
            <w:pPr>
              <w:spacing w:before="0" w:after="0" w:line="240" w:lineRule="auto"/>
              <w:jc w:val="right"/>
              <w:rPr>
                <w:rFonts w:ascii="Arial" w:hAnsi="Arial" w:cs="Arial"/>
                <w:i/>
                <w:iCs/>
                <w:sz w:val="16"/>
                <w:szCs w:val="16"/>
              </w:rPr>
            </w:pPr>
            <w:r w:rsidRPr="007C633E">
              <w:rPr>
                <w:rFonts w:ascii="Arial" w:hAnsi="Arial" w:cs="Arial"/>
                <w:i/>
                <w:iCs/>
                <w:sz w:val="16"/>
                <w:szCs w:val="16"/>
              </w:rPr>
              <w:t>47,080,829</w:t>
            </w:r>
          </w:p>
        </w:tc>
        <w:tc>
          <w:tcPr>
            <w:tcW w:w="1060" w:type="dxa"/>
            <w:tcBorders>
              <w:top w:val="nil"/>
              <w:left w:val="nil"/>
              <w:bottom w:val="single" w:sz="4" w:space="0" w:color="000000"/>
              <w:right w:val="nil"/>
            </w:tcBorders>
            <w:shd w:val="clear" w:color="auto" w:fill="auto"/>
            <w:noWrap/>
            <w:vAlign w:val="bottom"/>
            <w:hideMark/>
          </w:tcPr>
          <w:p w14:paraId="77BDF1D7" w14:textId="77777777" w:rsidR="00D85B36" w:rsidRPr="007C633E" w:rsidRDefault="00D85B36" w:rsidP="00425BC9">
            <w:pPr>
              <w:spacing w:before="0" w:after="0" w:line="240" w:lineRule="auto"/>
              <w:jc w:val="right"/>
              <w:rPr>
                <w:rFonts w:ascii="Arial" w:hAnsi="Arial" w:cs="Arial"/>
                <w:i/>
                <w:iCs/>
                <w:sz w:val="16"/>
                <w:szCs w:val="16"/>
              </w:rPr>
            </w:pPr>
            <w:r w:rsidRPr="007C633E">
              <w:rPr>
                <w:rFonts w:ascii="Arial" w:hAnsi="Arial" w:cs="Arial"/>
                <w:i/>
                <w:iCs/>
                <w:sz w:val="16"/>
                <w:szCs w:val="16"/>
              </w:rPr>
              <w:t>5,044</w:t>
            </w:r>
          </w:p>
        </w:tc>
        <w:tc>
          <w:tcPr>
            <w:tcW w:w="920" w:type="dxa"/>
            <w:tcBorders>
              <w:top w:val="nil"/>
              <w:left w:val="nil"/>
              <w:bottom w:val="single" w:sz="4" w:space="0" w:color="000000"/>
              <w:right w:val="nil"/>
            </w:tcBorders>
            <w:shd w:val="clear" w:color="000000" w:fill="D9D9D9"/>
            <w:noWrap/>
            <w:tcMar>
              <w:left w:w="0" w:type="dxa"/>
            </w:tcMar>
            <w:vAlign w:val="bottom"/>
            <w:hideMark/>
          </w:tcPr>
          <w:p w14:paraId="4CF3C1F0" w14:textId="77777777" w:rsidR="00D85B36" w:rsidRPr="007C633E" w:rsidRDefault="00D85B36" w:rsidP="00425BC9">
            <w:pPr>
              <w:spacing w:before="0" w:after="0" w:line="240" w:lineRule="auto"/>
              <w:jc w:val="right"/>
              <w:rPr>
                <w:rFonts w:ascii="Arial" w:hAnsi="Arial" w:cs="Arial"/>
                <w:i/>
                <w:iCs/>
                <w:sz w:val="16"/>
                <w:szCs w:val="16"/>
              </w:rPr>
            </w:pPr>
            <w:r w:rsidRPr="007C633E">
              <w:rPr>
                <w:rFonts w:ascii="Arial" w:hAnsi="Arial" w:cs="Arial"/>
                <w:i/>
                <w:iCs/>
                <w:sz w:val="16"/>
                <w:szCs w:val="16"/>
              </w:rPr>
              <w:t>45,002,814</w:t>
            </w:r>
          </w:p>
        </w:tc>
        <w:tc>
          <w:tcPr>
            <w:tcW w:w="900" w:type="dxa"/>
            <w:tcBorders>
              <w:top w:val="nil"/>
              <w:left w:val="nil"/>
              <w:bottom w:val="single" w:sz="4" w:space="0" w:color="000000"/>
              <w:right w:val="nil"/>
            </w:tcBorders>
            <w:shd w:val="clear" w:color="auto" w:fill="auto"/>
            <w:noWrap/>
            <w:tcMar>
              <w:left w:w="0" w:type="dxa"/>
            </w:tcMar>
            <w:vAlign w:val="bottom"/>
            <w:hideMark/>
          </w:tcPr>
          <w:p w14:paraId="3E63DF57" w14:textId="77777777" w:rsidR="00D85B36" w:rsidRPr="007C633E" w:rsidRDefault="00D85B36" w:rsidP="00425BC9">
            <w:pPr>
              <w:spacing w:before="0" w:after="0" w:line="240" w:lineRule="auto"/>
              <w:jc w:val="right"/>
              <w:rPr>
                <w:rFonts w:ascii="Arial" w:hAnsi="Arial" w:cs="Arial"/>
                <w:i/>
                <w:iCs/>
                <w:sz w:val="16"/>
                <w:szCs w:val="16"/>
              </w:rPr>
            </w:pPr>
            <w:r w:rsidRPr="007C633E">
              <w:rPr>
                <w:rFonts w:ascii="Arial" w:hAnsi="Arial" w:cs="Arial"/>
                <w:i/>
                <w:iCs/>
                <w:sz w:val="16"/>
                <w:szCs w:val="16"/>
              </w:rPr>
              <w:t>5,364,419</w:t>
            </w:r>
          </w:p>
        </w:tc>
      </w:tr>
      <w:tr w:rsidR="009414A8" w:rsidRPr="007C633E" w14:paraId="2FD7952B" w14:textId="77777777" w:rsidTr="000911F8">
        <w:trPr>
          <w:trHeight w:val="283"/>
          <w:jc w:val="center"/>
        </w:trPr>
        <w:tc>
          <w:tcPr>
            <w:tcW w:w="1960" w:type="dxa"/>
            <w:tcBorders>
              <w:top w:val="nil"/>
              <w:left w:val="nil"/>
              <w:bottom w:val="nil"/>
              <w:right w:val="nil"/>
            </w:tcBorders>
            <w:shd w:val="clear" w:color="auto" w:fill="auto"/>
            <w:vAlign w:val="bottom"/>
            <w:hideMark/>
          </w:tcPr>
          <w:p w14:paraId="3AE43147" w14:textId="77777777" w:rsidR="009414A8" w:rsidRPr="007C633E" w:rsidRDefault="009414A8" w:rsidP="009414A8">
            <w:pPr>
              <w:spacing w:before="0" w:after="0" w:line="240" w:lineRule="auto"/>
              <w:rPr>
                <w:rFonts w:ascii="Arial" w:hAnsi="Arial" w:cs="Arial"/>
                <w:b/>
                <w:bCs/>
                <w:sz w:val="16"/>
                <w:szCs w:val="16"/>
              </w:rPr>
            </w:pPr>
            <w:r w:rsidRPr="007C633E">
              <w:rPr>
                <w:rFonts w:ascii="Arial" w:hAnsi="Arial" w:cs="Arial"/>
                <w:b/>
                <w:bCs/>
                <w:sz w:val="16"/>
                <w:szCs w:val="16"/>
              </w:rPr>
              <w:t>Special Public Money</w:t>
            </w:r>
          </w:p>
        </w:tc>
        <w:tc>
          <w:tcPr>
            <w:tcW w:w="720" w:type="dxa"/>
            <w:tcBorders>
              <w:top w:val="nil"/>
              <w:left w:val="nil"/>
              <w:bottom w:val="nil"/>
              <w:right w:val="nil"/>
            </w:tcBorders>
            <w:shd w:val="clear" w:color="auto" w:fill="auto"/>
            <w:noWrap/>
            <w:vAlign w:val="bottom"/>
            <w:hideMark/>
          </w:tcPr>
          <w:p w14:paraId="5F434B7E" w14:textId="77777777" w:rsidR="009414A8" w:rsidRPr="007C633E" w:rsidRDefault="009414A8" w:rsidP="009414A8">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3B40913" w14:textId="77777777" w:rsidR="009414A8" w:rsidRPr="007C633E" w:rsidRDefault="009414A8" w:rsidP="009414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1CCCF1C0"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1060" w:type="dxa"/>
            <w:tcBorders>
              <w:top w:val="nil"/>
              <w:left w:val="nil"/>
              <w:bottom w:val="nil"/>
              <w:right w:val="nil"/>
            </w:tcBorders>
            <w:shd w:val="clear" w:color="auto" w:fill="auto"/>
            <w:noWrap/>
            <w:vAlign w:val="bottom"/>
            <w:hideMark/>
          </w:tcPr>
          <w:p w14:paraId="7D63100A" w14:textId="77777777" w:rsidR="009414A8" w:rsidRPr="007C633E" w:rsidRDefault="009414A8" w:rsidP="009414A8">
            <w:pPr>
              <w:spacing w:before="0" w:after="0" w:line="240" w:lineRule="auto"/>
              <w:jc w:val="right"/>
              <w:rPr>
                <w:rFonts w:ascii="Arial" w:hAnsi="Arial" w:cs="Arial"/>
                <w:i/>
                <w:iCs/>
                <w:sz w:val="16"/>
                <w:szCs w:val="16"/>
              </w:rPr>
            </w:pPr>
          </w:p>
        </w:tc>
        <w:tc>
          <w:tcPr>
            <w:tcW w:w="920" w:type="dxa"/>
            <w:tcBorders>
              <w:top w:val="nil"/>
              <w:left w:val="nil"/>
              <w:bottom w:val="nil"/>
              <w:right w:val="nil"/>
            </w:tcBorders>
            <w:shd w:val="clear" w:color="000000" w:fill="D9D9D9"/>
            <w:noWrap/>
            <w:vAlign w:val="bottom"/>
            <w:hideMark/>
          </w:tcPr>
          <w:p w14:paraId="5C6B3FCD"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900" w:type="dxa"/>
            <w:tcBorders>
              <w:top w:val="nil"/>
              <w:left w:val="nil"/>
              <w:bottom w:val="nil"/>
              <w:right w:val="nil"/>
            </w:tcBorders>
            <w:shd w:val="clear" w:color="auto" w:fill="auto"/>
            <w:noWrap/>
            <w:vAlign w:val="bottom"/>
            <w:hideMark/>
          </w:tcPr>
          <w:p w14:paraId="197B722B" w14:textId="77777777" w:rsidR="009414A8" w:rsidRPr="007C633E" w:rsidRDefault="009414A8" w:rsidP="009414A8">
            <w:pPr>
              <w:spacing w:before="0" w:after="0" w:line="240" w:lineRule="auto"/>
              <w:jc w:val="right"/>
              <w:rPr>
                <w:rFonts w:ascii="Arial" w:hAnsi="Arial" w:cs="Arial"/>
                <w:i/>
                <w:iCs/>
                <w:sz w:val="16"/>
                <w:szCs w:val="16"/>
              </w:rPr>
            </w:pPr>
          </w:p>
        </w:tc>
      </w:tr>
      <w:tr w:rsidR="009414A8" w:rsidRPr="007C633E" w14:paraId="723B1695" w14:textId="77777777" w:rsidTr="009414A8">
        <w:trPr>
          <w:trHeight w:val="450"/>
          <w:jc w:val="center"/>
        </w:trPr>
        <w:tc>
          <w:tcPr>
            <w:tcW w:w="1960" w:type="dxa"/>
            <w:tcBorders>
              <w:top w:val="nil"/>
              <w:left w:val="nil"/>
              <w:bottom w:val="nil"/>
              <w:right w:val="nil"/>
            </w:tcBorders>
            <w:shd w:val="clear" w:color="auto" w:fill="auto"/>
            <w:vAlign w:val="bottom"/>
            <w:hideMark/>
          </w:tcPr>
          <w:p w14:paraId="7C825946" w14:textId="77777777" w:rsidR="009414A8" w:rsidRPr="007C633E" w:rsidRDefault="009414A8" w:rsidP="009414A8">
            <w:pPr>
              <w:spacing w:before="0" w:after="0" w:line="240" w:lineRule="auto"/>
              <w:rPr>
                <w:rFonts w:ascii="Arial" w:hAnsi="Arial" w:cs="Arial"/>
                <w:sz w:val="16"/>
                <w:szCs w:val="16"/>
              </w:rPr>
            </w:pPr>
            <w:r w:rsidRPr="007C633E">
              <w:rPr>
                <w:rFonts w:ascii="Arial" w:hAnsi="Arial" w:cs="Arial"/>
                <w:sz w:val="16"/>
                <w:szCs w:val="16"/>
              </w:rPr>
              <w:t>Services for Other Entities and Trust Moneys</w:t>
            </w:r>
          </w:p>
        </w:tc>
        <w:tc>
          <w:tcPr>
            <w:tcW w:w="720" w:type="dxa"/>
            <w:tcBorders>
              <w:top w:val="nil"/>
              <w:left w:val="nil"/>
              <w:bottom w:val="nil"/>
              <w:right w:val="nil"/>
            </w:tcBorders>
            <w:shd w:val="clear" w:color="auto" w:fill="auto"/>
            <w:noWrap/>
            <w:tcMar>
              <w:left w:w="0" w:type="dxa"/>
            </w:tcMar>
            <w:vAlign w:val="bottom"/>
            <w:hideMark/>
          </w:tcPr>
          <w:p w14:paraId="2FA7DDA6" w14:textId="77777777" w:rsidR="009414A8" w:rsidRPr="007C633E" w:rsidRDefault="009414A8" w:rsidP="009414A8">
            <w:pPr>
              <w:spacing w:before="0" w:after="0" w:line="240" w:lineRule="auto"/>
              <w:jc w:val="right"/>
              <w:rPr>
                <w:rFonts w:ascii="Arial" w:hAnsi="Arial" w:cs="Arial"/>
                <w:sz w:val="16"/>
                <w:szCs w:val="16"/>
              </w:rPr>
            </w:pPr>
            <w:r w:rsidRPr="007C633E">
              <w:rPr>
                <w:rFonts w:ascii="Arial" w:hAnsi="Arial" w:cs="Arial"/>
                <w:sz w:val="16"/>
                <w:szCs w:val="16"/>
              </w:rPr>
              <w:t>various</w:t>
            </w:r>
          </w:p>
        </w:tc>
        <w:tc>
          <w:tcPr>
            <w:tcW w:w="900" w:type="dxa"/>
            <w:tcBorders>
              <w:top w:val="nil"/>
              <w:left w:val="nil"/>
              <w:bottom w:val="nil"/>
              <w:right w:val="nil"/>
            </w:tcBorders>
            <w:shd w:val="clear" w:color="auto" w:fill="auto"/>
            <w:noWrap/>
            <w:vAlign w:val="bottom"/>
            <w:hideMark/>
          </w:tcPr>
          <w:p w14:paraId="55EEEFA9"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368,206</w:t>
            </w:r>
          </w:p>
        </w:tc>
        <w:tc>
          <w:tcPr>
            <w:tcW w:w="920" w:type="dxa"/>
            <w:tcBorders>
              <w:top w:val="nil"/>
              <w:left w:val="nil"/>
              <w:bottom w:val="nil"/>
              <w:right w:val="nil"/>
            </w:tcBorders>
            <w:shd w:val="clear" w:color="000000" w:fill="D9D9D9"/>
            <w:noWrap/>
            <w:vAlign w:val="bottom"/>
            <w:hideMark/>
          </w:tcPr>
          <w:p w14:paraId="4A6D15BD"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25,214</w:t>
            </w:r>
          </w:p>
        </w:tc>
        <w:tc>
          <w:tcPr>
            <w:tcW w:w="1060" w:type="dxa"/>
            <w:tcBorders>
              <w:top w:val="nil"/>
              <w:left w:val="nil"/>
              <w:bottom w:val="nil"/>
              <w:right w:val="nil"/>
            </w:tcBorders>
            <w:shd w:val="clear" w:color="auto" w:fill="auto"/>
            <w:noWrap/>
            <w:vAlign w:val="bottom"/>
            <w:hideMark/>
          </w:tcPr>
          <w:p w14:paraId="55E7CA5A"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10,931</w:t>
            </w:r>
          </w:p>
        </w:tc>
        <w:tc>
          <w:tcPr>
            <w:tcW w:w="920" w:type="dxa"/>
            <w:tcBorders>
              <w:top w:val="nil"/>
              <w:left w:val="nil"/>
              <w:bottom w:val="nil"/>
              <w:right w:val="nil"/>
            </w:tcBorders>
            <w:shd w:val="clear" w:color="000000" w:fill="D9D9D9"/>
            <w:noWrap/>
            <w:vAlign w:val="bottom"/>
            <w:hideMark/>
          </w:tcPr>
          <w:p w14:paraId="384ABE9B"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30,227</w:t>
            </w:r>
          </w:p>
        </w:tc>
        <w:tc>
          <w:tcPr>
            <w:tcW w:w="900" w:type="dxa"/>
            <w:tcBorders>
              <w:top w:val="nil"/>
              <w:left w:val="nil"/>
              <w:bottom w:val="nil"/>
              <w:right w:val="nil"/>
            </w:tcBorders>
            <w:shd w:val="clear" w:color="auto" w:fill="auto"/>
            <w:noWrap/>
            <w:vAlign w:val="bottom"/>
            <w:hideMark/>
          </w:tcPr>
          <w:p w14:paraId="267F06F8"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374,124</w:t>
            </w:r>
          </w:p>
        </w:tc>
      </w:tr>
      <w:tr w:rsidR="009414A8" w:rsidRPr="007C633E" w14:paraId="4670FFA0" w14:textId="77777777" w:rsidTr="007C633E">
        <w:trPr>
          <w:trHeight w:val="225"/>
          <w:jc w:val="center"/>
        </w:trPr>
        <w:tc>
          <w:tcPr>
            <w:tcW w:w="1960" w:type="dxa"/>
            <w:tcBorders>
              <w:top w:val="nil"/>
              <w:left w:val="nil"/>
              <w:bottom w:val="single" w:sz="4" w:space="0" w:color="auto"/>
              <w:right w:val="nil"/>
            </w:tcBorders>
            <w:shd w:val="clear" w:color="auto" w:fill="auto"/>
            <w:noWrap/>
            <w:vAlign w:val="bottom"/>
            <w:hideMark/>
          </w:tcPr>
          <w:p w14:paraId="5FDE3EB3" w14:textId="77777777" w:rsidR="009414A8" w:rsidRPr="007C633E" w:rsidRDefault="009414A8" w:rsidP="009414A8">
            <w:pPr>
              <w:spacing w:before="0" w:after="0" w:line="240" w:lineRule="auto"/>
              <w:rPr>
                <w:rFonts w:ascii="Arial" w:hAnsi="Arial" w:cs="Arial"/>
                <w:sz w:val="16"/>
                <w:szCs w:val="16"/>
              </w:rPr>
            </w:pPr>
            <w:r w:rsidRPr="007C633E">
              <w:rPr>
                <w:rFonts w:ascii="Arial" w:hAnsi="Arial" w:cs="Arial"/>
                <w:sz w:val="16"/>
                <w:szCs w:val="16"/>
              </w:rPr>
              <w:t> </w:t>
            </w:r>
          </w:p>
        </w:tc>
        <w:tc>
          <w:tcPr>
            <w:tcW w:w="720" w:type="dxa"/>
            <w:tcBorders>
              <w:top w:val="nil"/>
              <w:left w:val="nil"/>
              <w:bottom w:val="single" w:sz="4" w:space="0" w:color="auto"/>
              <w:right w:val="nil"/>
            </w:tcBorders>
            <w:shd w:val="clear" w:color="auto" w:fill="auto"/>
            <w:noWrap/>
            <w:vAlign w:val="bottom"/>
            <w:hideMark/>
          </w:tcPr>
          <w:p w14:paraId="6C183A82" w14:textId="77777777" w:rsidR="009414A8" w:rsidRPr="007C633E" w:rsidRDefault="009414A8" w:rsidP="009414A8">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78897320"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58,894</w:t>
            </w:r>
          </w:p>
        </w:tc>
        <w:tc>
          <w:tcPr>
            <w:tcW w:w="920" w:type="dxa"/>
            <w:tcBorders>
              <w:top w:val="nil"/>
              <w:left w:val="nil"/>
              <w:bottom w:val="single" w:sz="4" w:space="0" w:color="auto"/>
              <w:right w:val="nil"/>
            </w:tcBorders>
            <w:shd w:val="clear" w:color="000000" w:fill="D9D9D9"/>
            <w:noWrap/>
            <w:vAlign w:val="bottom"/>
            <w:hideMark/>
          </w:tcPr>
          <w:p w14:paraId="4C129407"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312,231</w:t>
            </w:r>
          </w:p>
        </w:tc>
        <w:tc>
          <w:tcPr>
            <w:tcW w:w="1060" w:type="dxa"/>
            <w:tcBorders>
              <w:top w:val="nil"/>
              <w:left w:val="nil"/>
              <w:bottom w:val="single" w:sz="4" w:space="0" w:color="auto"/>
              <w:right w:val="nil"/>
            </w:tcBorders>
            <w:shd w:val="clear" w:color="auto" w:fill="auto"/>
            <w:noWrap/>
            <w:vAlign w:val="bottom"/>
            <w:hideMark/>
          </w:tcPr>
          <w:p w14:paraId="7FC59EB1"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9,896</w:t>
            </w:r>
          </w:p>
        </w:tc>
        <w:tc>
          <w:tcPr>
            <w:tcW w:w="920" w:type="dxa"/>
            <w:tcBorders>
              <w:top w:val="nil"/>
              <w:left w:val="nil"/>
              <w:bottom w:val="single" w:sz="4" w:space="0" w:color="auto"/>
              <w:right w:val="nil"/>
            </w:tcBorders>
            <w:shd w:val="clear" w:color="000000" w:fill="D9D9D9"/>
            <w:noWrap/>
            <w:vAlign w:val="bottom"/>
            <w:hideMark/>
          </w:tcPr>
          <w:p w14:paraId="5B65D772"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12,815</w:t>
            </w:r>
          </w:p>
        </w:tc>
        <w:tc>
          <w:tcPr>
            <w:tcW w:w="900" w:type="dxa"/>
            <w:tcBorders>
              <w:top w:val="nil"/>
              <w:left w:val="nil"/>
              <w:bottom w:val="single" w:sz="4" w:space="0" w:color="000000"/>
              <w:right w:val="nil"/>
            </w:tcBorders>
            <w:shd w:val="clear" w:color="auto" w:fill="auto"/>
            <w:noWrap/>
            <w:vAlign w:val="bottom"/>
            <w:hideMark/>
          </w:tcPr>
          <w:p w14:paraId="6D072706"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368,206</w:t>
            </w:r>
          </w:p>
        </w:tc>
      </w:tr>
      <w:tr w:rsidR="009414A8" w:rsidRPr="007C633E" w14:paraId="23CE84A2" w14:textId="77777777" w:rsidTr="007C633E">
        <w:trPr>
          <w:trHeight w:val="300"/>
          <w:jc w:val="center"/>
        </w:trPr>
        <w:tc>
          <w:tcPr>
            <w:tcW w:w="1960" w:type="dxa"/>
            <w:tcBorders>
              <w:top w:val="nil"/>
              <w:left w:val="nil"/>
              <w:bottom w:val="nil"/>
              <w:right w:val="nil"/>
            </w:tcBorders>
            <w:shd w:val="clear" w:color="auto" w:fill="auto"/>
            <w:noWrap/>
            <w:vAlign w:val="bottom"/>
            <w:hideMark/>
          </w:tcPr>
          <w:p w14:paraId="780B6D12" w14:textId="77777777" w:rsidR="009414A8" w:rsidRPr="007C633E" w:rsidRDefault="009414A8" w:rsidP="009414A8">
            <w:pPr>
              <w:spacing w:before="0" w:after="0" w:line="240" w:lineRule="auto"/>
              <w:rPr>
                <w:rFonts w:ascii="Arial" w:hAnsi="Arial" w:cs="Arial"/>
                <w:b/>
                <w:bCs/>
                <w:sz w:val="16"/>
                <w:szCs w:val="16"/>
              </w:rPr>
            </w:pPr>
            <w:r w:rsidRPr="007C633E">
              <w:rPr>
                <w:rFonts w:ascii="Arial" w:hAnsi="Arial" w:cs="Arial"/>
                <w:b/>
                <w:bCs/>
                <w:sz w:val="16"/>
                <w:szCs w:val="16"/>
              </w:rPr>
              <w:t>Total Special Accounts</w:t>
            </w:r>
          </w:p>
        </w:tc>
        <w:tc>
          <w:tcPr>
            <w:tcW w:w="720" w:type="dxa"/>
            <w:tcBorders>
              <w:top w:val="nil"/>
              <w:left w:val="nil"/>
              <w:bottom w:val="nil"/>
              <w:right w:val="nil"/>
            </w:tcBorders>
            <w:shd w:val="clear" w:color="auto" w:fill="auto"/>
            <w:noWrap/>
            <w:vAlign w:val="bottom"/>
            <w:hideMark/>
          </w:tcPr>
          <w:p w14:paraId="69644479" w14:textId="77777777" w:rsidR="009414A8" w:rsidRPr="007C633E" w:rsidRDefault="009414A8" w:rsidP="009414A8">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46A3B664" w14:textId="77777777" w:rsidR="009414A8" w:rsidRPr="007C633E" w:rsidRDefault="009414A8" w:rsidP="009414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000000" w:fill="D9D9D9"/>
            <w:noWrap/>
            <w:vAlign w:val="bottom"/>
            <w:hideMark/>
          </w:tcPr>
          <w:p w14:paraId="1198EB67"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1060" w:type="dxa"/>
            <w:tcBorders>
              <w:top w:val="nil"/>
              <w:left w:val="nil"/>
              <w:bottom w:val="nil"/>
              <w:right w:val="nil"/>
            </w:tcBorders>
            <w:shd w:val="clear" w:color="auto" w:fill="auto"/>
            <w:noWrap/>
            <w:vAlign w:val="bottom"/>
            <w:hideMark/>
          </w:tcPr>
          <w:p w14:paraId="328B966D" w14:textId="77777777" w:rsidR="009414A8" w:rsidRPr="007C633E" w:rsidRDefault="009414A8" w:rsidP="009414A8">
            <w:pPr>
              <w:spacing w:before="0" w:after="0" w:line="240" w:lineRule="auto"/>
              <w:jc w:val="right"/>
              <w:rPr>
                <w:rFonts w:ascii="Arial" w:hAnsi="Arial" w:cs="Arial"/>
                <w:i/>
                <w:iCs/>
                <w:sz w:val="16"/>
                <w:szCs w:val="16"/>
              </w:rPr>
            </w:pPr>
          </w:p>
        </w:tc>
        <w:tc>
          <w:tcPr>
            <w:tcW w:w="920" w:type="dxa"/>
            <w:tcBorders>
              <w:top w:val="nil"/>
              <w:left w:val="nil"/>
              <w:bottom w:val="nil"/>
              <w:right w:val="nil"/>
            </w:tcBorders>
            <w:shd w:val="clear" w:color="000000" w:fill="D9D9D9"/>
            <w:noWrap/>
            <w:vAlign w:val="bottom"/>
            <w:hideMark/>
          </w:tcPr>
          <w:p w14:paraId="30169C6E"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 </w:t>
            </w:r>
          </w:p>
        </w:tc>
        <w:tc>
          <w:tcPr>
            <w:tcW w:w="900" w:type="dxa"/>
            <w:tcBorders>
              <w:top w:val="nil"/>
              <w:left w:val="nil"/>
              <w:bottom w:val="nil"/>
              <w:right w:val="nil"/>
            </w:tcBorders>
            <w:shd w:val="clear" w:color="auto" w:fill="auto"/>
            <w:noWrap/>
            <w:vAlign w:val="bottom"/>
            <w:hideMark/>
          </w:tcPr>
          <w:p w14:paraId="6E7BF0B7" w14:textId="77777777" w:rsidR="009414A8" w:rsidRPr="007C633E" w:rsidRDefault="009414A8" w:rsidP="009414A8">
            <w:pPr>
              <w:spacing w:before="0" w:after="0" w:line="240" w:lineRule="auto"/>
              <w:jc w:val="right"/>
              <w:rPr>
                <w:rFonts w:ascii="Arial" w:hAnsi="Arial" w:cs="Arial"/>
                <w:i/>
                <w:iCs/>
                <w:sz w:val="16"/>
                <w:szCs w:val="16"/>
              </w:rPr>
            </w:pPr>
          </w:p>
        </w:tc>
      </w:tr>
      <w:tr w:rsidR="009414A8" w:rsidRPr="007C633E" w14:paraId="7AAEEAF7" w14:textId="77777777" w:rsidTr="009414A8">
        <w:trPr>
          <w:trHeight w:val="225"/>
          <w:jc w:val="center"/>
        </w:trPr>
        <w:tc>
          <w:tcPr>
            <w:tcW w:w="1960" w:type="dxa"/>
            <w:tcBorders>
              <w:top w:val="nil"/>
              <w:left w:val="nil"/>
              <w:bottom w:val="nil"/>
              <w:right w:val="nil"/>
            </w:tcBorders>
            <w:shd w:val="clear" w:color="auto" w:fill="auto"/>
            <w:vAlign w:val="bottom"/>
            <w:hideMark/>
          </w:tcPr>
          <w:p w14:paraId="44C300E9" w14:textId="7CD916B0" w:rsidR="009414A8" w:rsidRPr="007C633E" w:rsidRDefault="009414A8" w:rsidP="009414A8">
            <w:pPr>
              <w:spacing w:before="0" w:after="0" w:line="240" w:lineRule="auto"/>
              <w:ind w:firstLineChars="100" w:firstLine="161"/>
              <w:rPr>
                <w:rFonts w:ascii="Arial" w:hAnsi="Arial" w:cs="Arial"/>
                <w:b/>
                <w:bCs/>
                <w:sz w:val="16"/>
                <w:szCs w:val="16"/>
              </w:rPr>
            </w:pPr>
            <w:r w:rsidRPr="007C633E">
              <w:rPr>
                <w:rFonts w:ascii="Arial" w:hAnsi="Arial" w:cs="Arial"/>
                <w:b/>
                <w:bCs/>
                <w:sz w:val="16"/>
                <w:szCs w:val="16"/>
              </w:rPr>
              <w:t>202</w:t>
            </w:r>
            <w:r w:rsidR="00BD7F62">
              <w:rPr>
                <w:rFonts w:ascii="Arial" w:hAnsi="Arial" w:cs="Arial"/>
                <w:b/>
                <w:bCs/>
                <w:sz w:val="16"/>
                <w:szCs w:val="16"/>
              </w:rPr>
              <w:t>3–2</w:t>
            </w:r>
            <w:r w:rsidRPr="007C633E">
              <w:rPr>
                <w:rFonts w:ascii="Arial" w:hAnsi="Arial" w:cs="Arial"/>
                <w:b/>
                <w:bCs/>
                <w:sz w:val="16"/>
                <w:szCs w:val="16"/>
              </w:rPr>
              <w:t>4 estimate</w:t>
            </w:r>
          </w:p>
        </w:tc>
        <w:tc>
          <w:tcPr>
            <w:tcW w:w="720" w:type="dxa"/>
            <w:tcBorders>
              <w:top w:val="nil"/>
              <w:left w:val="nil"/>
              <w:bottom w:val="nil"/>
              <w:right w:val="nil"/>
            </w:tcBorders>
            <w:shd w:val="clear" w:color="auto" w:fill="auto"/>
            <w:noWrap/>
            <w:vAlign w:val="bottom"/>
            <w:hideMark/>
          </w:tcPr>
          <w:p w14:paraId="0806BE1E" w14:textId="77777777" w:rsidR="009414A8" w:rsidRPr="007C633E" w:rsidRDefault="009414A8" w:rsidP="009414A8">
            <w:pPr>
              <w:spacing w:before="0" w:after="0" w:line="240" w:lineRule="auto"/>
              <w:ind w:firstLineChars="100" w:firstLine="161"/>
              <w:rPr>
                <w:rFonts w:ascii="Arial" w:hAnsi="Arial" w:cs="Arial"/>
                <w:b/>
                <w:bCs/>
                <w:sz w:val="16"/>
                <w:szCs w:val="16"/>
              </w:rPr>
            </w:pPr>
          </w:p>
        </w:tc>
        <w:tc>
          <w:tcPr>
            <w:tcW w:w="900" w:type="dxa"/>
            <w:tcBorders>
              <w:top w:val="nil"/>
              <w:left w:val="nil"/>
              <w:bottom w:val="nil"/>
              <w:right w:val="nil"/>
            </w:tcBorders>
            <w:shd w:val="clear" w:color="auto" w:fill="auto"/>
            <w:noWrap/>
            <w:tcMar>
              <w:left w:w="0" w:type="dxa"/>
            </w:tcMar>
            <w:vAlign w:val="bottom"/>
            <w:hideMark/>
          </w:tcPr>
          <w:p w14:paraId="05B845B7"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5,849,899</w:t>
            </w:r>
          </w:p>
        </w:tc>
        <w:tc>
          <w:tcPr>
            <w:tcW w:w="920" w:type="dxa"/>
            <w:tcBorders>
              <w:top w:val="nil"/>
              <w:left w:val="nil"/>
              <w:bottom w:val="nil"/>
              <w:right w:val="nil"/>
            </w:tcBorders>
            <w:shd w:val="clear" w:color="000000" w:fill="D9D9D9"/>
            <w:noWrap/>
            <w:tcMar>
              <w:left w:w="0" w:type="dxa"/>
            </w:tcMar>
            <w:vAlign w:val="bottom"/>
            <w:hideMark/>
          </w:tcPr>
          <w:p w14:paraId="09573588"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48,507,545</w:t>
            </w:r>
          </w:p>
        </w:tc>
        <w:tc>
          <w:tcPr>
            <w:tcW w:w="1060" w:type="dxa"/>
            <w:tcBorders>
              <w:top w:val="nil"/>
              <w:left w:val="nil"/>
              <w:bottom w:val="nil"/>
              <w:right w:val="nil"/>
            </w:tcBorders>
            <w:shd w:val="clear" w:color="auto" w:fill="auto"/>
            <w:noWrap/>
            <w:vAlign w:val="bottom"/>
            <w:hideMark/>
          </w:tcPr>
          <w:p w14:paraId="71AD50C9"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134,064</w:t>
            </w:r>
          </w:p>
        </w:tc>
        <w:tc>
          <w:tcPr>
            <w:tcW w:w="920" w:type="dxa"/>
            <w:tcBorders>
              <w:top w:val="nil"/>
              <w:left w:val="nil"/>
              <w:bottom w:val="nil"/>
              <w:right w:val="nil"/>
            </w:tcBorders>
            <w:shd w:val="clear" w:color="000000" w:fill="D9D9D9"/>
            <w:noWrap/>
            <w:tcMar>
              <w:left w:w="0" w:type="dxa"/>
            </w:tcMar>
            <w:vAlign w:val="bottom"/>
            <w:hideMark/>
          </w:tcPr>
          <w:p w14:paraId="21011992"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48,582,998</w:t>
            </w:r>
          </w:p>
        </w:tc>
        <w:tc>
          <w:tcPr>
            <w:tcW w:w="900" w:type="dxa"/>
            <w:tcBorders>
              <w:top w:val="nil"/>
              <w:left w:val="nil"/>
              <w:bottom w:val="nil"/>
              <w:right w:val="nil"/>
            </w:tcBorders>
            <w:shd w:val="clear" w:color="auto" w:fill="auto"/>
            <w:noWrap/>
            <w:tcMar>
              <w:left w:w="0" w:type="dxa"/>
            </w:tcMar>
            <w:vAlign w:val="bottom"/>
            <w:hideMark/>
          </w:tcPr>
          <w:p w14:paraId="423EB4E7" w14:textId="77777777" w:rsidR="009414A8" w:rsidRPr="007C633E" w:rsidRDefault="009414A8" w:rsidP="009414A8">
            <w:pPr>
              <w:spacing w:before="0" w:after="0" w:line="240" w:lineRule="auto"/>
              <w:jc w:val="right"/>
              <w:rPr>
                <w:rFonts w:ascii="Arial" w:hAnsi="Arial" w:cs="Arial"/>
                <w:b/>
                <w:bCs/>
                <w:sz w:val="16"/>
                <w:szCs w:val="16"/>
              </w:rPr>
            </w:pPr>
            <w:r w:rsidRPr="007C633E">
              <w:rPr>
                <w:rFonts w:ascii="Arial" w:hAnsi="Arial" w:cs="Arial"/>
                <w:b/>
                <w:bCs/>
                <w:sz w:val="16"/>
                <w:szCs w:val="16"/>
              </w:rPr>
              <w:t>5,908,510</w:t>
            </w:r>
          </w:p>
        </w:tc>
      </w:tr>
      <w:tr w:rsidR="009414A8" w:rsidRPr="007C633E" w14:paraId="509FA28C" w14:textId="77777777" w:rsidTr="009414A8">
        <w:trPr>
          <w:trHeight w:val="225"/>
          <w:jc w:val="center"/>
        </w:trPr>
        <w:tc>
          <w:tcPr>
            <w:tcW w:w="1960" w:type="dxa"/>
            <w:tcBorders>
              <w:top w:val="nil"/>
              <w:left w:val="nil"/>
              <w:bottom w:val="single" w:sz="4" w:space="0" w:color="000000"/>
              <w:right w:val="nil"/>
            </w:tcBorders>
            <w:shd w:val="clear" w:color="auto" w:fill="auto"/>
            <w:vAlign w:val="bottom"/>
            <w:hideMark/>
          </w:tcPr>
          <w:p w14:paraId="2378F8E6" w14:textId="7FCB12FC" w:rsidR="009414A8" w:rsidRPr="007C633E" w:rsidRDefault="009414A8" w:rsidP="009414A8">
            <w:pPr>
              <w:spacing w:before="0" w:after="0" w:line="240" w:lineRule="auto"/>
              <w:ind w:firstLineChars="100" w:firstLine="160"/>
              <w:rPr>
                <w:rFonts w:ascii="Arial" w:hAnsi="Arial" w:cs="Arial"/>
                <w:i/>
                <w:iCs/>
                <w:sz w:val="16"/>
                <w:szCs w:val="16"/>
              </w:rPr>
            </w:pPr>
            <w:r w:rsidRPr="007C633E">
              <w:rPr>
                <w:rFonts w:ascii="Arial" w:hAnsi="Arial" w:cs="Arial"/>
                <w:i/>
                <w:iCs/>
                <w:sz w:val="16"/>
                <w:szCs w:val="16"/>
              </w:rPr>
              <w:t>202</w:t>
            </w:r>
            <w:r w:rsidR="00BD7F62">
              <w:rPr>
                <w:rFonts w:ascii="Arial" w:hAnsi="Arial" w:cs="Arial"/>
                <w:i/>
                <w:iCs/>
                <w:sz w:val="16"/>
                <w:szCs w:val="16"/>
              </w:rPr>
              <w:t>2–2</w:t>
            </w:r>
            <w:r w:rsidRPr="007C633E">
              <w:rPr>
                <w:rFonts w:ascii="Arial" w:hAnsi="Arial" w:cs="Arial"/>
                <w:i/>
                <w:iCs/>
                <w:sz w:val="16"/>
                <w:szCs w:val="16"/>
              </w:rPr>
              <w:t>3 actual</w:t>
            </w:r>
          </w:p>
        </w:tc>
        <w:tc>
          <w:tcPr>
            <w:tcW w:w="720" w:type="dxa"/>
            <w:tcBorders>
              <w:top w:val="nil"/>
              <w:left w:val="nil"/>
              <w:bottom w:val="single" w:sz="4" w:space="0" w:color="000000"/>
              <w:right w:val="nil"/>
            </w:tcBorders>
            <w:shd w:val="clear" w:color="auto" w:fill="auto"/>
            <w:noWrap/>
            <w:vAlign w:val="bottom"/>
            <w:hideMark/>
          </w:tcPr>
          <w:p w14:paraId="72F14A12" w14:textId="77777777" w:rsidR="009414A8" w:rsidRPr="007C633E" w:rsidRDefault="009414A8" w:rsidP="009414A8">
            <w:pPr>
              <w:spacing w:before="0" w:after="0" w:line="240" w:lineRule="auto"/>
              <w:jc w:val="right"/>
              <w:rPr>
                <w:rFonts w:ascii="Arial" w:hAnsi="Arial" w:cs="Arial"/>
                <w:sz w:val="16"/>
                <w:szCs w:val="16"/>
              </w:rPr>
            </w:pPr>
            <w:r w:rsidRPr="007C633E">
              <w:rPr>
                <w:rFonts w:ascii="Arial" w:hAnsi="Arial" w:cs="Arial"/>
                <w:sz w:val="16"/>
                <w:szCs w:val="16"/>
              </w:rPr>
              <w:t> </w:t>
            </w:r>
          </w:p>
        </w:tc>
        <w:tc>
          <w:tcPr>
            <w:tcW w:w="900" w:type="dxa"/>
            <w:tcBorders>
              <w:top w:val="nil"/>
              <w:left w:val="nil"/>
              <w:bottom w:val="single" w:sz="4" w:space="0" w:color="000000"/>
              <w:right w:val="nil"/>
            </w:tcBorders>
            <w:shd w:val="clear" w:color="auto" w:fill="auto"/>
            <w:noWrap/>
            <w:tcMar>
              <w:left w:w="0" w:type="dxa"/>
            </w:tcMar>
            <w:vAlign w:val="bottom"/>
            <w:hideMark/>
          </w:tcPr>
          <w:p w14:paraId="2DB38F6C"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3,472,560</w:t>
            </w:r>
          </w:p>
        </w:tc>
        <w:tc>
          <w:tcPr>
            <w:tcW w:w="920" w:type="dxa"/>
            <w:tcBorders>
              <w:top w:val="nil"/>
              <w:left w:val="nil"/>
              <w:bottom w:val="single" w:sz="4" w:space="0" w:color="000000"/>
              <w:right w:val="nil"/>
            </w:tcBorders>
            <w:shd w:val="clear" w:color="000000" w:fill="D9D9D9"/>
            <w:noWrap/>
            <w:tcMar>
              <w:left w:w="0" w:type="dxa"/>
            </w:tcMar>
            <w:vAlign w:val="bottom"/>
            <w:hideMark/>
          </w:tcPr>
          <w:p w14:paraId="5C91F7E0"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47,607,259</w:t>
            </w:r>
          </w:p>
        </w:tc>
        <w:tc>
          <w:tcPr>
            <w:tcW w:w="1060" w:type="dxa"/>
            <w:tcBorders>
              <w:top w:val="nil"/>
              <w:left w:val="nil"/>
              <w:bottom w:val="single" w:sz="4" w:space="0" w:color="000000"/>
              <w:right w:val="nil"/>
            </w:tcBorders>
            <w:shd w:val="clear" w:color="auto" w:fill="auto"/>
            <w:noWrap/>
            <w:vAlign w:val="bottom"/>
            <w:hideMark/>
          </w:tcPr>
          <w:p w14:paraId="66DF3DD0"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44,992</w:t>
            </w:r>
          </w:p>
        </w:tc>
        <w:tc>
          <w:tcPr>
            <w:tcW w:w="920" w:type="dxa"/>
            <w:tcBorders>
              <w:top w:val="nil"/>
              <w:left w:val="nil"/>
              <w:bottom w:val="single" w:sz="4" w:space="0" w:color="000000"/>
              <w:right w:val="nil"/>
            </w:tcBorders>
            <w:shd w:val="clear" w:color="000000" w:fill="D9D9D9"/>
            <w:noWrap/>
            <w:tcMar>
              <w:left w:w="0" w:type="dxa"/>
            </w:tcMar>
            <w:vAlign w:val="bottom"/>
            <w:hideMark/>
          </w:tcPr>
          <w:p w14:paraId="1D5354EB"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45,274,913</w:t>
            </w:r>
          </w:p>
        </w:tc>
        <w:tc>
          <w:tcPr>
            <w:tcW w:w="900" w:type="dxa"/>
            <w:tcBorders>
              <w:top w:val="nil"/>
              <w:left w:val="nil"/>
              <w:bottom w:val="single" w:sz="4" w:space="0" w:color="000000"/>
              <w:right w:val="nil"/>
            </w:tcBorders>
            <w:shd w:val="clear" w:color="auto" w:fill="auto"/>
            <w:noWrap/>
            <w:tcMar>
              <w:left w:w="0" w:type="dxa"/>
            </w:tcMar>
            <w:vAlign w:val="bottom"/>
            <w:hideMark/>
          </w:tcPr>
          <w:p w14:paraId="20ED749E" w14:textId="77777777" w:rsidR="009414A8" w:rsidRPr="007C633E" w:rsidRDefault="009414A8" w:rsidP="009414A8">
            <w:pPr>
              <w:spacing w:before="0" w:after="0" w:line="240" w:lineRule="auto"/>
              <w:jc w:val="right"/>
              <w:rPr>
                <w:rFonts w:ascii="Arial" w:hAnsi="Arial" w:cs="Arial"/>
                <w:i/>
                <w:iCs/>
                <w:sz w:val="16"/>
                <w:szCs w:val="16"/>
              </w:rPr>
            </w:pPr>
            <w:r w:rsidRPr="007C633E">
              <w:rPr>
                <w:rFonts w:ascii="Arial" w:hAnsi="Arial" w:cs="Arial"/>
                <w:i/>
                <w:iCs/>
                <w:sz w:val="16"/>
                <w:szCs w:val="16"/>
              </w:rPr>
              <w:t>5,849,898</w:t>
            </w:r>
          </w:p>
        </w:tc>
      </w:tr>
    </w:tbl>
    <w:p w14:paraId="19EFDD03" w14:textId="7A86E0DE" w:rsidR="00BA7D97" w:rsidRDefault="00BA7D97" w:rsidP="00EC4D16">
      <w:bookmarkStart w:id="352" w:name="_Toc190682317"/>
      <w:bookmarkStart w:id="353" w:name="_Toc210703219"/>
      <w:bookmarkStart w:id="354" w:name="_Toc531095072"/>
      <w:bookmarkStart w:id="355" w:name="_Toc152600116"/>
    </w:p>
    <w:p w14:paraId="54D7EC08" w14:textId="73BD758F" w:rsidR="00EC4D16" w:rsidRPr="00EC4D16" w:rsidRDefault="00BA7D97" w:rsidP="00BA7D97">
      <w:pPr>
        <w:spacing w:before="0" w:after="0" w:line="240" w:lineRule="auto"/>
      </w:pPr>
      <w:r>
        <w:br w:type="page"/>
      </w:r>
    </w:p>
    <w:p w14:paraId="7C402FC4" w14:textId="02C88551" w:rsidR="00736DD8" w:rsidRDefault="00670727" w:rsidP="00736DD8">
      <w:pPr>
        <w:pStyle w:val="Heading3"/>
      </w:pPr>
      <w:r w:rsidRPr="00670727">
        <w:rPr>
          <w:rFonts w:ascii="Arial" w:hAnsi="Arial" w:cs="Arial"/>
          <w:b w:val="0"/>
          <w:szCs w:val="22"/>
        </w:rPr>
        <w:lastRenderedPageBreak/>
        <w:fldChar w:fldCharType="begin"/>
      </w:r>
      <w:r w:rsidRPr="00670727">
        <w:rPr>
          <w:rFonts w:ascii="Arial" w:hAnsi="Arial" w:cs="Arial"/>
          <w:b w:val="0"/>
          <w:szCs w:val="22"/>
        </w:rPr>
        <w:instrText xml:space="preserve"> </w:instrText>
      </w:r>
      <w:proofErr w:type="gramStart"/>
      <w:r w:rsidRPr="00670727">
        <w:rPr>
          <w:rFonts w:ascii="Arial" w:hAnsi="Arial" w:cs="Arial"/>
          <w:b w:val="0"/>
          <w:szCs w:val="22"/>
        </w:rPr>
        <w:instrText>TC  "</w:instrText>
      </w:r>
      <w:bookmarkStart w:id="356" w:name="_Toc155882377"/>
      <w:proofErr w:type="gramEnd"/>
      <w:r>
        <w:rPr>
          <w:rFonts w:ascii="Arial" w:hAnsi="Arial" w:cs="Arial"/>
          <w:b w:val="0"/>
          <w:szCs w:val="22"/>
        </w:rPr>
        <w:instrText>3.2</w:instrText>
      </w:r>
      <w:r w:rsidRPr="00670727">
        <w:rPr>
          <w:rFonts w:ascii="Arial" w:hAnsi="Arial" w:cs="Arial"/>
          <w:b w:val="0"/>
          <w:szCs w:val="22"/>
        </w:rPr>
        <w:tab/>
      </w:r>
      <w:r>
        <w:rPr>
          <w:rFonts w:ascii="Arial" w:hAnsi="Arial" w:cs="Arial"/>
          <w:b w:val="0"/>
          <w:szCs w:val="22"/>
        </w:rPr>
        <w:instrText>Budgeted financial statements</w:instrText>
      </w:r>
      <w:bookmarkEnd w:id="356"/>
      <w:r w:rsidRPr="00670727">
        <w:rPr>
          <w:rFonts w:ascii="Arial" w:hAnsi="Arial" w:cs="Arial"/>
          <w:b w:val="0"/>
          <w:szCs w:val="22"/>
        </w:rPr>
        <w:instrText xml:space="preserve">" \f </w:instrText>
      </w:r>
      <w:proofErr w:type="spellStart"/>
      <w:r w:rsidRPr="00670727">
        <w:rPr>
          <w:rFonts w:ascii="Arial" w:hAnsi="Arial" w:cs="Arial"/>
          <w:b w:val="0"/>
          <w:szCs w:val="22"/>
        </w:rPr>
        <w:instrText>dohac</w:instrText>
      </w:r>
      <w:proofErr w:type="spellEnd"/>
      <w:r w:rsidRPr="00670727">
        <w:rPr>
          <w:rFonts w:ascii="Arial" w:hAnsi="Arial" w:cs="Arial"/>
          <w:b w:val="0"/>
          <w:szCs w:val="22"/>
        </w:rPr>
        <w:instrText xml:space="preserve"> \l </w:instrText>
      </w:r>
      <w:r>
        <w:rPr>
          <w:rFonts w:ascii="Arial" w:hAnsi="Arial" w:cs="Arial"/>
          <w:b w:val="0"/>
          <w:szCs w:val="22"/>
        </w:rPr>
        <w:instrText>2</w:instrText>
      </w:r>
      <w:r w:rsidRPr="00670727">
        <w:rPr>
          <w:rFonts w:ascii="Arial" w:hAnsi="Arial" w:cs="Arial"/>
          <w:b w:val="0"/>
          <w:szCs w:val="22"/>
        </w:rPr>
        <w:instrText xml:space="preserve"> </w:instrText>
      </w:r>
      <w:r w:rsidRPr="00670727">
        <w:rPr>
          <w:rFonts w:ascii="Arial" w:hAnsi="Arial" w:cs="Arial"/>
          <w:b w:val="0"/>
          <w:szCs w:val="22"/>
        </w:rPr>
        <w:fldChar w:fldCharType="end"/>
      </w:r>
      <w:bookmarkStart w:id="357" w:name="_Toc157592002"/>
      <w:bookmarkStart w:id="358" w:name="_Toc157592185"/>
      <w:r w:rsidR="00736DD8" w:rsidRPr="005554F9">
        <w:t>3.2</w:t>
      </w:r>
      <w:r w:rsidR="00736DD8">
        <w:tab/>
        <w:t>Budgeted financial statements</w:t>
      </w:r>
      <w:bookmarkEnd w:id="352"/>
      <w:bookmarkEnd w:id="353"/>
      <w:bookmarkEnd w:id="354"/>
      <w:bookmarkEnd w:id="355"/>
      <w:bookmarkEnd w:id="357"/>
      <w:bookmarkEnd w:id="358"/>
    </w:p>
    <w:p w14:paraId="45756B10" w14:textId="77777777" w:rsidR="00736DD8" w:rsidRPr="004928FF" w:rsidRDefault="00736DD8" w:rsidP="00736DD8">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328"/>
      <w:bookmarkEnd w:id="329"/>
      <w:bookmarkEnd w:id="330"/>
      <w:bookmarkEnd w:id="331"/>
      <w:bookmarkEnd w:id="332"/>
      <w:bookmarkEnd w:id="333"/>
      <w:bookmarkEnd w:id="334"/>
      <w:bookmarkEnd w:id="335"/>
    </w:p>
    <w:p w14:paraId="76EB7140" w14:textId="48524DC8" w:rsidR="00ED0956" w:rsidRPr="004F0C05" w:rsidRDefault="00ED0956" w:rsidP="00ED0956">
      <w:pPr>
        <w:spacing w:before="120" w:after="0" w:line="240" w:lineRule="auto"/>
        <w:rPr>
          <w:rFonts w:ascii="Arial" w:hAnsi="Arial" w:cs="Arial"/>
          <w:b/>
          <w:sz w:val="20"/>
          <w:szCs w:val="22"/>
        </w:rPr>
      </w:pPr>
      <w:r w:rsidRPr="004F0C05">
        <w:rPr>
          <w:rFonts w:ascii="Arial" w:hAnsi="Arial" w:cs="Arial"/>
          <w:b/>
          <w:sz w:val="20"/>
          <w:szCs w:val="22"/>
        </w:rPr>
        <w:t xml:space="preserve">Departmental </w:t>
      </w:r>
      <w:r w:rsidR="005608F7" w:rsidRPr="004F0C05">
        <w:rPr>
          <w:rFonts w:ascii="Arial" w:hAnsi="Arial" w:cs="Arial"/>
          <w:b/>
          <w:sz w:val="20"/>
          <w:szCs w:val="22"/>
        </w:rPr>
        <w:t>R</w:t>
      </w:r>
      <w:r w:rsidR="002916D2" w:rsidRPr="004F0C05">
        <w:rPr>
          <w:rFonts w:ascii="Arial" w:hAnsi="Arial" w:cs="Arial"/>
          <w:b/>
          <w:sz w:val="20"/>
          <w:szCs w:val="22"/>
        </w:rPr>
        <w:t>esources</w:t>
      </w:r>
    </w:p>
    <w:p w14:paraId="1EFC43B7" w14:textId="6B9D938E" w:rsidR="00ED0956" w:rsidRDefault="00ED0956" w:rsidP="00ED0956">
      <w:pPr>
        <w:spacing w:before="120" w:after="0" w:line="240" w:lineRule="auto"/>
        <w:rPr>
          <w:sz w:val="20"/>
        </w:rPr>
      </w:pPr>
      <w:r w:rsidRPr="00ED0956">
        <w:rPr>
          <w:sz w:val="20"/>
        </w:rPr>
        <w:t xml:space="preserve">The departmental budgeted financial statements for the Department of Health </w:t>
      </w:r>
      <w:r>
        <w:rPr>
          <w:sz w:val="20"/>
        </w:rPr>
        <w:t xml:space="preserve">and Aged Care </w:t>
      </w:r>
      <w:r w:rsidRPr="00ED0956">
        <w:rPr>
          <w:sz w:val="20"/>
        </w:rPr>
        <w:t xml:space="preserve">also include the departmental special accounts of the Therapeutic Goods Administration (TGA), the Office of Gene Technology Regulator (OGTR), and the Australian Industrial Chemicals Introduction Scheme (AICIS). </w:t>
      </w:r>
    </w:p>
    <w:p w14:paraId="3FB47F60" w14:textId="77777777" w:rsidR="00D75E85" w:rsidRPr="004F0C05" w:rsidRDefault="00D75E85" w:rsidP="00D75E85">
      <w:pPr>
        <w:spacing w:before="120" w:after="0" w:line="240" w:lineRule="auto"/>
        <w:rPr>
          <w:rFonts w:ascii="Arial" w:hAnsi="Arial" w:cs="Arial"/>
          <w:b/>
          <w:sz w:val="18"/>
        </w:rPr>
      </w:pPr>
      <w:r w:rsidRPr="004F0C05">
        <w:rPr>
          <w:rFonts w:ascii="Arial" w:hAnsi="Arial" w:cs="Arial"/>
          <w:b/>
          <w:sz w:val="18"/>
        </w:rPr>
        <w:t>Comprehensive Income Statement</w:t>
      </w:r>
    </w:p>
    <w:p w14:paraId="067B40A4" w14:textId="52770487" w:rsidR="00D75E85" w:rsidRPr="00BA1413" w:rsidRDefault="00D75E85" w:rsidP="00D75E85">
      <w:pPr>
        <w:spacing w:before="120" w:after="0" w:line="240" w:lineRule="auto"/>
        <w:rPr>
          <w:sz w:val="20"/>
        </w:rPr>
      </w:pPr>
      <w:r w:rsidRPr="00BA1413">
        <w:rPr>
          <w:sz w:val="20"/>
        </w:rPr>
        <w:t>Increases in appr</w:t>
      </w:r>
      <w:r w:rsidR="003406B8" w:rsidRPr="00BA1413">
        <w:rPr>
          <w:sz w:val="20"/>
        </w:rPr>
        <w:t>opriation and expenses for 2023</w:t>
      </w:r>
      <w:r w:rsidR="003406B8" w:rsidRPr="00BA1413">
        <w:rPr>
          <w:rFonts w:cs="Arial"/>
          <w:b/>
          <w:bCs/>
          <w:sz w:val="20"/>
        </w:rPr>
        <w:t>–</w:t>
      </w:r>
      <w:r w:rsidRPr="00BA1413">
        <w:rPr>
          <w:sz w:val="20"/>
        </w:rPr>
        <w:t>24 reflect the impact of the additional funding due to government deci</w:t>
      </w:r>
      <w:r w:rsidR="003406B8" w:rsidRPr="00BA1413">
        <w:rPr>
          <w:sz w:val="20"/>
        </w:rPr>
        <w:t>sions since the 2023</w:t>
      </w:r>
      <w:r w:rsidR="003406B8" w:rsidRPr="00BA1413">
        <w:rPr>
          <w:rFonts w:cs="Arial"/>
          <w:b/>
          <w:bCs/>
          <w:sz w:val="20"/>
        </w:rPr>
        <w:t>–</w:t>
      </w:r>
      <w:r w:rsidRPr="00BA1413">
        <w:rPr>
          <w:sz w:val="20"/>
        </w:rPr>
        <w:t>24 Budget.</w:t>
      </w:r>
      <w:r w:rsidR="003406B8" w:rsidRPr="00BA1413">
        <w:rPr>
          <w:sz w:val="20"/>
        </w:rPr>
        <w:t xml:space="preserve">  </w:t>
      </w:r>
    </w:p>
    <w:p w14:paraId="529F52FC" w14:textId="264D9720" w:rsidR="00D75E85" w:rsidRPr="00BA1413" w:rsidRDefault="00D75E85" w:rsidP="00D75E85">
      <w:pPr>
        <w:spacing w:before="120" w:after="0" w:line="240" w:lineRule="auto"/>
        <w:rPr>
          <w:sz w:val="20"/>
        </w:rPr>
      </w:pPr>
      <w:r w:rsidRPr="00BA1413">
        <w:rPr>
          <w:sz w:val="20"/>
        </w:rPr>
        <w:t>Revenues predominantly relate to the cost recovery operations of TGA and AICIS.</w:t>
      </w:r>
    </w:p>
    <w:p w14:paraId="453F7193" w14:textId="77777777" w:rsidR="00D75E85" w:rsidRPr="004F0C05" w:rsidRDefault="00D75E85" w:rsidP="00D75E85">
      <w:pPr>
        <w:spacing w:before="120" w:after="0" w:line="240" w:lineRule="auto"/>
        <w:rPr>
          <w:rFonts w:ascii="Arial" w:hAnsi="Arial" w:cs="Arial"/>
          <w:b/>
          <w:sz w:val="18"/>
        </w:rPr>
      </w:pPr>
      <w:r w:rsidRPr="004F0C05">
        <w:rPr>
          <w:rFonts w:ascii="Arial" w:hAnsi="Arial" w:cs="Arial"/>
          <w:b/>
          <w:sz w:val="18"/>
        </w:rPr>
        <w:t>Balance Sheet</w:t>
      </w:r>
    </w:p>
    <w:p w14:paraId="2B3611BC" w14:textId="1D71AED4" w:rsidR="00D75E85" w:rsidRPr="00BA1413" w:rsidRDefault="00D75E85" w:rsidP="00D75E85">
      <w:pPr>
        <w:spacing w:before="120" w:after="0" w:line="240" w:lineRule="auto"/>
        <w:rPr>
          <w:sz w:val="20"/>
        </w:rPr>
      </w:pPr>
      <w:r w:rsidRPr="00BA1413">
        <w:rPr>
          <w:sz w:val="20"/>
        </w:rPr>
        <w:t>Assets and liabilities are anticipated to remain relatively stable across the forward years.</w:t>
      </w:r>
    </w:p>
    <w:p w14:paraId="1702F5B5" w14:textId="35CA5015" w:rsidR="00D75E85" w:rsidRPr="00BA1413" w:rsidRDefault="00D75E85" w:rsidP="00D75E85">
      <w:pPr>
        <w:spacing w:before="120" w:after="0" w:line="240" w:lineRule="auto"/>
        <w:rPr>
          <w:sz w:val="20"/>
        </w:rPr>
      </w:pPr>
      <w:r w:rsidRPr="00BA1413">
        <w:rPr>
          <w:sz w:val="20"/>
        </w:rPr>
        <w:t xml:space="preserve">Accumulated deficits steadily increase over the forward estimates due to the Net Cash Appropriation Arrangements, under which Government no longer funds agencies for depreciation/amortisation </w:t>
      </w:r>
      <w:proofErr w:type="gramStart"/>
      <w:r w:rsidRPr="00BA1413">
        <w:rPr>
          <w:sz w:val="20"/>
        </w:rPr>
        <w:t>expenses, but</w:t>
      </w:r>
      <w:proofErr w:type="gramEnd"/>
      <w:r w:rsidRPr="00BA1413">
        <w:rPr>
          <w:sz w:val="20"/>
        </w:rPr>
        <w:t xml:space="preserve"> provides for a separate capital budget through equity appropriations.</w:t>
      </w:r>
    </w:p>
    <w:p w14:paraId="6798EAEE" w14:textId="77777777" w:rsidR="00D75E85" w:rsidRPr="004F0C05" w:rsidRDefault="00D75E85" w:rsidP="00D75E85">
      <w:pPr>
        <w:spacing w:before="120" w:after="0" w:line="240" w:lineRule="auto"/>
        <w:rPr>
          <w:rFonts w:ascii="Arial" w:hAnsi="Arial" w:cs="Arial"/>
          <w:b/>
          <w:sz w:val="18"/>
        </w:rPr>
      </w:pPr>
      <w:r w:rsidRPr="004F0C05">
        <w:rPr>
          <w:rFonts w:ascii="Arial" w:hAnsi="Arial" w:cs="Arial"/>
          <w:b/>
          <w:sz w:val="18"/>
        </w:rPr>
        <w:t>Cash Flow</w:t>
      </w:r>
    </w:p>
    <w:p w14:paraId="24932833" w14:textId="1E45B567" w:rsidR="000529D2" w:rsidRPr="00721D05" w:rsidRDefault="00D75E85" w:rsidP="000529D2">
      <w:pPr>
        <w:spacing w:before="120" w:after="0" w:line="240" w:lineRule="auto"/>
        <w:rPr>
          <w:sz w:val="20"/>
        </w:rPr>
      </w:pPr>
      <w:r w:rsidRPr="00BA1413">
        <w:rPr>
          <w:sz w:val="20"/>
        </w:rPr>
        <w:t>Cash flows are consistent with projected income and expenses, appropriations from Government, and expenditure on property, plant and equipment, and intangibles.</w:t>
      </w:r>
    </w:p>
    <w:p w14:paraId="70DECC87" w14:textId="54A8A656" w:rsidR="000529D2" w:rsidRPr="004F0C05" w:rsidRDefault="000529D2" w:rsidP="000529D2">
      <w:pPr>
        <w:spacing w:before="120" w:after="0" w:line="240" w:lineRule="auto"/>
        <w:rPr>
          <w:rFonts w:ascii="Arial" w:hAnsi="Arial" w:cs="Arial"/>
          <w:b/>
          <w:sz w:val="20"/>
          <w:szCs w:val="22"/>
        </w:rPr>
      </w:pPr>
      <w:r w:rsidRPr="004F0C05">
        <w:rPr>
          <w:rFonts w:ascii="Arial" w:hAnsi="Arial" w:cs="Arial"/>
          <w:b/>
          <w:sz w:val="20"/>
          <w:szCs w:val="22"/>
        </w:rPr>
        <w:t>Administered</w:t>
      </w:r>
      <w:r w:rsidR="005608F7" w:rsidRPr="004F0C05">
        <w:rPr>
          <w:rFonts w:ascii="Arial" w:hAnsi="Arial" w:cs="Arial"/>
          <w:b/>
          <w:sz w:val="20"/>
          <w:szCs w:val="22"/>
        </w:rPr>
        <w:t xml:space="preserve"> R</w:t>
      </w:r>
      <w:r w:rsidR="00A05299" w:rsidRPr="004F0C05">
        <w:rPr>
          <w:rFonts w:ascii="Arial" w:hAnsi="Arial" w:cs="Arial"/>
          <w:b/>
          <w:sz w:val="20"/>
          <w:szCs w:val="22"/>
        </w:rPr>
        <w:t xml:space="preserve">esources </w:t>
      </w:r>
    </w:p>
    <w:p w14:paraId="2E595CDE" w14:textId="77777777" w:rsidR="000529D2" w:rsidRPr="004F0C05" w:rsidRDefault="000529D2" w:rsidP="000529D2">
      <w:pPr>
        <w:spacing w:before="120" w:after="0" w:line="240" w:lineRule="auto"/>
        <w:rPr>
          <w:rFonts w:ascii="Arial" w:hAnsi="Arial" w:cs="Arial"/>
          <w:b/>
          <w:sz w:val="18"/>
        </w:rPr>
      </w:pPr>
      <w:r w:rsidRPr="004F0C05">
        <w:rPr>
          <w:rFonts w:ascii="Arial" w:hAnsi="Arial" w:cs="Arial"/>
          <w:b/>
          <w:sz w:val="18"/>
        </w:rPr>
        <w:t>Schedule of Budgeted Income and Expenses</w:t>
      </w:r>
    </w:p>
    <w:p w14:paraId="354C7403" w14:textId="77777777" w:rsidR="000529D2" w:rsidRPr="000529D2" w:rsidRDefault="000529D2" w:rsidP="000529D2">
      <w:pPr>
        <w:spacing w:before="120" w:after="0" w:line="240" w:lineRule="auto"/>
        <w:rPr>
          <w:sz w:val="20"/>
        </w:rPr>
      </w:pPr>
      <w:r w:rsidRPr="000529D2">
        <w:rPr>
          <w:sz w:val="20"/>
        </w:rPr>
        <w:t xml:space="preserve">Revenue estimates include receipts into the Medicare Guarantee Fund and Medical Research Future Fund special accounts, medical indemnity levies and recoveries relating to pharmaceutical benefits, medical </w:t>
      </w:r>
      <w:proofErr w:type="gramStart"/>
      <w:r w:rsidRPr="000529D2">
        <w:rPr>
          <w:sz w:val="20"/>
        </w:rPr>
        <w:t>benefits</w:t>
      </w:r>
      <w:proofErr w:type="gramEnd"/>
      <w:r w:rsidRPr="000529D2">
        <w:rPr>
          <w:sz w:val="20"/>
        </w:rPr>
        <w:t xml:space="preserve"> and aged care.</w:t>
      </w:r>
    </w:p>
    <w:p w14:paraId="510B55E1" w14:textId="77777777" w:rsidR="000529D2" w:rsidRPr="000529D2" w:rsidRDefault="000529D2" w:rsidP="000529D2">
      <w:pPr>
        <w:spacing w:before="120" w:after="0" w:line="240" w:lineRule="auto"/>
        <w:rPr>
          <w:sz w:val="20"/>
        </w:rPr>
      </w:pPr>
      <w:r w:rsidRPr="000529D2">
        <w:rPr>
          <w:sz w:val="20"/>
        </w:rPr>
        <w:t>Personal benefits relate primarily to pharmaceutical and medical benefits and the private health insurance rebate.</w:t>
      </w:r>
    </w:p>
    <w:p w14:paraId="3AEA7AD2" w14:textId="77777777" w:rsidR="000529D2" w:rsidRPr="000529D2" w:rsidRDefault="000529D2" w:rsidP="000529D2">
      <w:pPr>
        <w:spacing w:before="120" w:after="0" w:line="240" w:lineRule="auto"/>
        <w:rPr>
          <w:sz w:val="20"/>
        </w:rPr>
      </w:pPr>
      <w:r w:rsidRPr="000529D2">
        <w:rPr>
          <w:sz w:val="20"/>
        </w:rPr>
        <w:t>Subsidies mainly include payments for the ageing and aged care functions.</w:t>
      </w:r>
    </w:p>
    <w:p w14:paraId="50769B36" w14:textId="77777777" w:rsidR="000529D2" w:rsidRPr="000529D2" w:rsidRDefault="000529D2" w:rsidP="000529D2">
      <w:pPr>
        <w:spacing w:before="120" w:after="0" w:line="240" w:lineRule="auto"/>
        <w:rPr>
          <w:sz w:val="20"/>
        </w:rPr>
      </w:pPr>
      <w:r w:rsidRPr="000529D2">
        <w:rPr>
          <w:sz w:val="20"/>
        </w:rPr>
        <w:t>Write down and impairment of assets provides for the obsolescence and expiry of the National Medical Stockpile inventory.</w:t>
      </w:r>
    </w:p>
    <w:p w14:paraId="712D470C" w14:textId="3D9BAF44" w:rsidR="000529D2" w:rsidRPr="004F0C05" w:rsidRDefault="005608F7" w:rsidP="000529D2">
      <w:pPr>
        <w:spacing w:before="120" w:after="0" w:line="240" w:lineRule="auto"/>
        <w:rPr>
          <w:rFonts w:ascii="Arial" w:hAnsi="Arial" w:cs="Arial"/>
          <w:b/>
          <w:sz w:val="18"/>
          <w:szCs w:val="18"/>
        </w:rPr>
      </w:pPr>
      <w:r>
        <w:rPr>
          <w:b/>
          <w:sz w:val="20"/>
        </w:rPr>
        <w:br w:type="column"/>
      </w:r>
      <w:r w:rsidR="000529D2" w:rsidRPr="004F0C05">
        <w:rPr>
          <w:rFonts w:ascii="Arial" w:hAnsi="Arial" w:cs="Arial"/>
          <w:b/>
          <w:sz w:val="18"/>
          <w:szCs w:val="18"/>
        </w:rPr>
        <w:t>Schedule of Budgeted Assets and Liabilities</w:t>
      </w:r>
    </w:p>
    <w:p w14:paraId="710B8ECB" w14:textId="77777777" w:rsidR="000529D2" w:rsidRPr="000529D2" w:rsidRDefault="000529D2" w:rsidP="000529D2">
      <w:pPr>
        <w:spacing w:before="120" w:after="0" w:line="240" w:lineRule="auto"/>
        <w:rPr>
          <w:sz w:val="20"/>
        </w:rPr>
      </w:pPr>
      <w:r w:rsidRPr="000529D2">
        <w:rPr>
          <w:sz w:val="20"/>
        </w:rPr>
        <w:t xml:space="preserve">The administered Schedule of Budgeted Assets and Liabilities reports estimates for the value of key administered assets, including notably the National Medical Stockpile and COVID-19 vaccine inventories and </w:t>
      </w:r>
      <w:proofErr w:type="gramStart"/>
      <w:r w:rsidRPr="000529D2">
        <w:rPr>
          <w:sz w:val="20"/>
        </w:rPr>
        <w:t>prepayments,  investments</w:t>
      </w:r>
      <w:proofErr w:type="gramEnd"/>
      <w:r w:rsidRPr="000529D2">
        <w:rPr>
          <w:sz w:val="20"/>
        </w:rPr>
        <w:t xml:space="preserve"> in portfolio agencies and the Biomedical Translation Fund, PBS drugs recoveries receivable and cash held in special accounts.</w:t>
      </w:r>
    </w:p>
    <w:p w14:paraId="6371F043" w14:textId="77777777" w:rsidR="000529D2" w:rsidRPr="000529D2" w:rsidRDefault="000529D2" w:rsidP="000529D2">
      <w:pPr>
        <w:spacing w:before="120" w:after="0" w:line="240" w:lineRule="auto"/>
        <w:rPr>
          <w:sz w:val="20"/>
        </w:rPr>
      </w:pPr>
      <w:r w:rsidRPr="000529D2">
        <w:rPr>
          <w:sz w:val="20"/>
        </w:rPr>
        <w:t>The administered Schedule of Budgeted Assets and Liabilities also reports on key administered liabilities, including estimates for unpaid amounts relating to medical benefits, pharmaceutical benefits, and the private health insurance rebate, aged care subsidies and provisions for medical indemnity schemes.</w:t>
      </w:r>
    </w:p>
    <w:p w14:paraId="251B378C" w14:textId="77777777" w:rsidR="000529D2" w:rsidRPr="000529D2" w:rsidRDefault="000529D2" w:rsidP="000529D2">
      <w:pPr>
        <w:spacing w:before="120" w:after="0" w:line="240" w:lineRule="auto"/>
        <w:rPr>
          <w:sz w:val="20"/>
        </w:rPr>
      </w:pPr>
      <w:r w:rsidRPr="000529D2">
        <w:rPr>
          <w:sz w:val="20"/>
        </w:rPr>
        <w:t xml:space="preserve">The values of key administered assets and liabilities are budgeted to remain relatively stable over time. </w:t>
      </w:r>
    </w:p>
    <w:p w14:paraId="202EBD58" w14:textId="77777777" w:rsidR="000529D2" w:rsidRPr="000529D2" w:rsidRDefault="000529D2" w:rsidP="000529D2">
      <w:pPr>
        <w:spacing w:before="120" w:after="0" w:line="240" w:lineRule="auto"/>
        <w:rPr>
          <w:sz w:val="20"/>
        </w:rPr>
      </w:pPr>
      <w:r w:rsidRPr="000529D2">
        <w:rPr>
          <w:sz w:val="20"/>
        </w:rPr>
        <w:t>Schedule of Administered Capital Budget</w:t>
      </w:r>
    </w:p>
    <w:p w14:paraId="3C229762" w14:textId="77777777" w:rsidR="000529D2" w:rsidRPr="000529D2" w:rsidRDefault="000529D2" w:rsidP="000529D2">
      <w:pPr>
        <w:spacing w:before="120" w:after="0" w:line="240" w:lineRule="auto"/>
        <w:rPr>
          <w:sz w:val="20"/>
        </w:rPr>
      </w:pPr>
      <w:r w:rsidRPr="000529D2">
        <w:rPr>
          <w:sz w:val="20"/>
        </w:rPr>
        <w:t>Capital funding has been provided predominantly for purchases of personal protective equipment, masks, and vital medical equipment as well as replenishment of the National Medical Stockpile.</w:t>
      </w:r>
    </w:p>
    <w:p w14:paraId="16167035" w14:textId="77777777" w:rsidR="000529D2" w:rsidRPr="004F0C05" w:rsidRDefault="000529D2" w:rsidP="000529D2">
      <w:pPr>
        <w:spacing w:before="120" w:after="0" w:line="240" w:lineRule="auto"/>
        <w:rPr>
          <w:rFonts w:ascii="Arial" w:hAnsi="Arial" w:cs="Arial"/>
          <w:b/>
          <w:sz w:val="20"/>
        </w:rPr>
      </w:pPr>
      <w:r w:rsidRPr="004F0C05">
        <w:rPr>
          <w:rFonts w:ascii="Arial" w:hAnsi="Arial" w:cs="Arial"/>
          <w:b/>
          <w:sz w:val="20"/>
        </w:rPr>
        <w:t>C</w:t>
      </w:r>
      <w:r w:rsidRPr="004F0C05">
        <w:rPr>
          <w:rFonts w:ascii="Arial" w:hAnsi="Arial" w:cs="Arial"/>
          <w:b/>
          <w:sz w:val="18"/>
          <w:szCs w:val="18"/>
        </w:rPr>
        <w:t>ash Flows</w:t>
      </w:r>
    </w:p>
    <w:p w14:paraId="75DB606A" w14:textId="77777777" w:rsidR="000529D2" w:rsidRPr="000529D2" w:rsidRDefault="000529D2" w:rsidP="000529D2">
      <w:pPr>
        <w:spacing w:before="120" w:after="0" w:line="240" w:lineRule="auto"/>
        <w:rPr>
          <w:sz w:val="20"/>
        </w:rPr>
      </w:pPr>
      <w:r w:rsidRPr="000529D2">
        <w:rPr>
          <w:sz w:val="20"/>
        </w:rPr>
        <w:t>Cash flows are consistent with projected income and expenses, capital injections from Government and investments in inventory.</w:t>
      </w:r>
    </w:p>
    <w:p w14:paraId="52714B42" w14:textId="77777777" w:rsidR="000529D2" w:rsidRPr="000529D2" w:rsidRDefault="000529D2" w:rsidP="00ED0956">
      <w:pPr>
        <w:spacing w:before="120" w:after="0" w:line="240" w:lineRule="auto"/>
        <w:rPr>
          <w:b/>
          <w:sz w:val="20"/>
        </w:rPr>
      </w:pPr>
    </w:p>
    <w:p w14:paraId="45553089" w14:textId="77777777" w:rsidR="000529D2" w:rsidRDefault="000529D2">
      <w:pPr>
        <w:spacing w:before="0" w:after="0" w:line="240" w:lineRule="auto"/>
        <w:rPr>
          <w:rFonts w:ascii="Arial Bold" w:hAnsi="Arial Bold"/>
          <w:b/>
          <w:sz w:val="20"/>
        </w:rPr>
      </w:pPr>
      <w:bookmarkStart w:id="359" w:name="_Toc77998692"/>
      <w:bookmarkStart w:id="360" w:name="_Toc79406121"/>
      <w:bookmarkStart w:id="361" w:name="_Toc79467823"/>
      <w:bookmarkStart w:id="362" w:name="_Toc112137882"/>
      <w:bookmarkStart w:id="363" w:name="_Toc112137904"/>
      <w:bookmarkStart w:id="364" w:name="_Toc210646457"/>
      <w:bookmarkStart w:id="365" w:name="_Toc210698436"/>
      <w:bookmarkStart w:id="366" w:name="_Toc35936967"/>
      <w:bookmarkStart w:id="367" w:name="_Toc533506534"/>
      <w:bookmarkStart w:id="368" w:name="_Toc533506609"/>
      <w:bookmarkStart w:id="369" w:name="_Toc533507059"/>
      <w:r>
        <w:br w:type="page"/>
      </w:r>
    </w:p>
    <w:p w14:paraId="41287F1E" w14:textId="00B54643" w:rsidR="00736DD8" w:rsidRPr="004928FF" w:rsidRDefault="00736DD8" w:rsidP="00736DD8">
      <w:pPr>
        <w:pStyle w:val="Heading4"/>
      </w:pPr>
      <w:r w:rsidRPr="00EC73D1">
        <w:t>3.2.2</w:t>
      </w:r>
      <w:r>
        <w:tab/>
      </w:r>
      <w:r w:rsidRPr="004928FF">
        <w:t xml:space="preserve">Budgeted </w:t>
      </w:r>
      <w:r>
        <w:t>f</w:t>
      </w:r>
      <w:r w:rsidRPr="004928FF">
        <w:t xml:space="preserve">inancial </w:t>
      </w:r>
      <w:r>
        <w:t>s</w:t>
      </w:r>
      <w:r w:rsidRPr="004928FF">
        <w:t>tatements</w:t>
      </w:r>
      <w:bookmarkEnd w:id="359"/>
      <w:bookmarkEnd w:id="360"/>
      <w:bookmarkEnd w:id="361"/>
      <w:bookmarkEnd w:id="362"/>
      <w:bookmarkEnd w:id="363"/>
      <w:bookmarkEnd w:id="364"/>
      <w:bookmarkEnd w:id="365"/>
    </w:p>
    <w:bookmarkEnd w:id="366"/>
    <w:p w14:paraId="49A16DA7" w14:textId="77777777" w:rsidR="00736DD8" w:rsidRDefault="00736DD8" w:rsidP="00736DD8">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600" w:type="dxa"/>
        <w:jc w:val="center"/>
        <w:tblLayout w:type="fixed"/>
        <w:tblLook w:val="04A0" w:firstRow="1" w:lastRow="0" w:firstColumn="1" w:lastColumn="0" w:noHBand="0" w:noVBand="1"/>
      </w:tblPr>
      <w:tblGrid>
        <w:gridCol w:w="3000"/>
        <w:gridCol w:w="920"/>
        <w:gridCol w:w="920"/>
        <w:gridCol w:w="920"/>
        <w:gridCol w:w="920"/>
        <w:gridCol w:w="920"/>
      </w:tblGrid>
      <w:tr w:rsidR="00221320" w:rsidRPr="00221320" w14:paraId="497B5168" w14:textId="77777777" w:rsidTr="00EA054D">
        <w:trPr>
          <w:trHeight w:val="737"/>
          <w:jc w:val="center"/>
        </w:trPr>
        <w:tc>
          <w:tcPr>
            <w:tcW w:w="3000" w:type="dxa"/>
            <w:tcBorders>
              <w:top w:val="single" w:sz="4" w:space="0" w:color="auto"/>
              <w:left w:val="nil"/>
              <w:bottom w:val="nil"/>
              <w:right w:val="nil"/>
            </w:tcBorders>
            <w:shd w:val="clear" w:color="auto" w:fill="auto"/>
            <w:hideMark/>
          </w:tcPr>
          <w:p w14:paraId="6E4A9749" w14:textId="77777777" w:rsidR="00221320" w:rsidRPr="00221320" w:rsidRDefault="00221320" w:rsidP="00EA054D">
            <w:pPr>
              <w:spacing w:before="24" w:after="0" w:line="240" w:lineRule="auto"/>
              <w:jc w:val="right"/>
              <w:rPr>
                <w:rFonts w:ascii="Arial" w:hAnsi="Arial" w:cs="Arial"/>
                <w:color w:val="FF0000"/>
                <w:sz w:val="16"/>
                <w:szCs w:val="16"/>
              </w:rPr>
            </w:pPr>
            <w:r w:rsidRPr="00221320">
              <w:rPr>
                <w:rFonts w:ascii="Arial" w:hAnsi="Arial" w:cs="Arial"/>
                <w:color w:val="FF0000"/>
                <w:sz w:val="16"/>
                <w:szCs w:val="16"/>
              </w:rPr>
              <w:t> </w:t>
            </w:r>
          </w:p>
        </w:tc>
        <w:tc>
          <w:tcPr>
            <w:tcW w:w="920" w:type="dxa"/>
            <w:tcBorders>
              <w:top w:val="single" w:sz="4" w:space="0" w:color="auto"/>
              <w:left w:val="nil"/>
              <w:bottom w:val="single" w:sz="4" w:space="0" w:color="auto"/>
              <w:right w:val="nil"/>
            </w:tcBorders>
            <w:shd w:val="clear" w:color="auto" w:fill="auto"/>
            <w:hideMark/>
          </w:tcPr>
          <w:p w14:paraId="3E9AC2CE" w14:textId="282B24A3" w:rsidR="00221320" w:rsidRPr="00221320" w:rsidRDefault="00221320" w:rsidP="00EA054D">
            <w:pPr>
              <w:spacing w:before="24" w:after="0" w:line="240" w:lineRule="auto"/>
              <w:jc w:val="right"/>
              <w:rPr>
                <w:rFonts w:ascii="Arial" w:hAnsi="Arial" w:cs="Arial"/>
                <w:b/>
                <w:bCs/>
                <w:sz w:val="16"/>
                <w:szCs w:val="16"/>
              </w:rPr>
            </w:pPr>
            <w:r w:rsidRPr="00221320">
              <w:rPr>
                <w:rFonts w:ascii="Arial" w:hAnsi="Arial" w:cs="Arial"/>
                <w:b/>
                <w:bCs/>
                <w:sz w:val="16"/>
                <w:szCs w:val="16"/>
              </w:rPr>
              <w:t>2022</w:t>
            </w:r>
            <w:r>
              <w:rPr>
                <w:rFonts w:ascii="Arial" w:hAnsi="Arial" w:cs="Arial"/>
                <w:b/>
                <w:bCs/>
                <w:sz w:val="16"/>
                <w:szCs w:val="16"/>
              </w:rPr>
              <w:t>–</w:t>
            </w:r>
            <w:r w:rsidRPr="00221320">
              <w:rPr>
                <w:rFonts w:ascii="Arial" w:hAnsi="Arial" w:cs="Arial"/>
                <w:b/>
                <w:bCs/>
                <w:sz w:val="16"/>
                <w:szCs w:val="16"/>
              </w:rPr>
              <w:t>23</w:t>
            </w:r>
            <w:r w:rsidRPr="00221320">
              <w:rPr>
                <w:rFonts w:ascii="Arial" w:hAnsi="Arial" w:cs="Arial"/>
                <w:b/>
                <w:bCs/>
                <w:sz w:val="16"/>
                <w:szCs w:val="16"/>
              </w:rPr>
              <w:br/>
              <w:t>Actual</w:t>
            </w:r>
            <w:r w:rsidRPr="00221320">
              <w:rPr>
                <w:rFonts w:ascii="Arial" w:hAnsi="Arial" w:cs="Arial"/>
                <w:b/>
                <w:bCs/>
                <w:sz w:val="16"/>
                <w:szCs w:val="16"/>
              </w:rPr>
              <w:br/>
            </w:r>
            <w:r w:rsidRPr="00221320">
              <w:rPr>
                <w:rFonts w:ascii="Arial" w:hAnsi="Arial" w:cs="Arial"/>
                <w:b/>
                <w:bCs/>
                <w:sz w:val="16"/>
                <w:szCs w:val="16"/>
              </w:rPr>
              <w:br/>
            </w:r>
            <w:r w:rsidRPr="00221320">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52303945" w14:textId="6429A490" w:rsidR="00221320" w:rsidRPr="00221320" w:rsidRDefault="00221320" w:rsidP="00EA054D">
            <w:pPr>
              <w:spacing w:before="24" w:after="0" w:line="240" w:lineRule="auto"/>
              <w:jc w:val="right"/>
              <w:rPr>
                <w:rFonts w:ascii="Arial" w:hAnsi="Arial" w:cs="Arial"/>
                <w:b/>
                <w:bCs/>
                <w:sz w:val="16"/>
                <w:szCs w:val="16"/>
              </w:rPr>
            </w:pPr>
            <w:r>
              <w:rPr>
                <w:rFonts w:ascii="Arial" w:hAnsi="Arial" w:cs="Arial"/>
                <w:b/>
                <w:bCs/>
                <w:sz w:val="16"/>
                <w:szCs w:val="16"/>
              </w:rPr>
              <w:t>2023–</w:t>
            </w:r>
            <w:r w:rsidRPr="00221320">
              <w:rPr>
                <w:rFonts w:ascii="Arial" w:hAnsi="Arial" w:cs="Arial"/>
                <w:b/>
                <w:bCs/>
                <w:sz w:val="16"/>
                <w:szCs w:val="16"/>
              </w:rPr>
              <w:t>24</w:t>
            </w:r>
            <w:r w:rsidRPr="00221320">
              <w:rPr>
                <w:rFonts w:ascii="Arial" w:hAnsi="Arial" w:cs="Arial"/>
                <w:b/>
                <w:bCs/>
                <w:sz w:val="16"/>
                <w:szCs w:val="16"/>
              </w:rPr>
              <w:br/>
              <w:t xml:space="preserve">Revised Budget </w:t>
            </w:r>
            <w:r w:rsidRPr="00221320">
              <w:rPr>
                <w:rFonts w:ascii="Arial" w:hAnsi="Arial" w:cs="Arial"/>
                <w:sz w:val="16"/>
                <w:szCs w:val="16"/>
              </w:rPr>
              <w:t xml:space="preserve"> </w:t>
            </w:r>
            <w:r w:rsidRPr="00221320">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1F11DD24" w14:textId="53188235" w:rsidR="00221320" w:rsidRPr="00221320" w:rsidRDefault="00221320" w:rsidP="00EA054D">
            <w:pPr>
              <w:spacing w:before="24" w:after="0" w:line="240" w:lineRule="auto"/>
              <w:jc w:val="right"/>
              <w:rPr>
                <w:rFonts w:ascii="Arial" w:hAnsi="Arial" w:cs="Arial"/>
                <w:b/>
                <w:bCs/>
                <w:sz w:val="16"/>
                <w:szCs w:val="16"/>
              </w:rPr>
            </w:pPr>
            <w:r w:rsidRPr="00221320">
              <w:rPr>
                <w:rFonts w:ascii="Arial" w:hAnsi="Arial" w:cs="Arial"/>
                <w:b/>
                <w:bCs/>
                <w:sz w:val="16"/>
                <w:szCs w:val="16"/>
              </w:rPr>
              <w:t>2024</w:t>
            </w:r>
            <w:r>
              <w:rPr>
                <w:rFonts w:ascii="Arial" w:hAnsi="Arial" w:cs="Arial"/>
                <w:b/>
                <w:bCs/>
                <w:sz w:val="16"/>
                <w:szCs w:val="16"/>
              </w:rPr>
              <w:t>–</w:t>
            </w:r>
            <w:r w:rsidRPr="00221320">
              <w:rPr>
                <w:rFonts w:ascii="Arial" w:hAnsi="Arial" w:cs="Arial"/>
                <w:b/>
                <w:bCs/>
                <w:sz w:val="16"/>
                <w:szCs w:val="16"/>
              </w:rPr>
              <w:t>25</w:t>
            </w:r>
            <w:r w:rsidRPr="00221320">
              <w:rPr>
                <w:rFonts w:ascii="Arial" w:hAnsi="Arial" w:cs="Arial"/>
                <w:b/>
                <w:bCs/>
                <w:sz w:val="16"/>
                <w:szCs w:val="16"/>
              </w:rPr>
              <w:br/>
              <w:t xml:space="preserve">Forward estimate </w:t>
            </w:r>
            <w:r w:rsidRPr="00221320">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0B5D7616" w14:textId="5BB10991" w:rsidR="00221320" w:rsidRPr="00221320" w:rsidRDefault="00221320" w:rsidP="00EA054D">
            <w:pPr>
              <w:spacing w:before="24" w:after="0" w:line="240" w:lineRule="auto"/>
              <w:jc w:val="right"/>
              <w:rPr>
                <w:rFonts w:ascii="Arial" w:hAnsi="Arial" w:cs="Arial"/>
                <w:b/>
                <w:bCs/>
                <w:sz w:val="16"/>
                <w:szCs w:val="16"/>
              </w:rPr>
            </w:pPr>
            <w:r>
              <w:rPr>
                <w:rFonts w:ascii="Arial" w:hAnsi="Arial" w:cs="Arial"/>
                <w:b/>
                <w:bCs/>
                <w:sz w:val="16"/>
                <w:szCs w:val="16"/>
              </w:rPr>
              <w:t>2025–</w:t>
            </w:r>
            <w:r w:rsidRPr="00221320">
              <w:rPr>
                <w:rFonts w:ascii="Arial" w:hAnsi="Arial" w:cs="Arial"/>
                <w:b/>
                <w:bCs/>
                <w:sz w:val="16"/>
                <w:szCs w:val="16"/>
              </w:rPr>
              <w:t>26</w:t>
            </w:r>
            <w:r w:rsidRPr="00221320">
              <w:rPr>
                <w:rFonts w:ascii="Arial" w:hAnsi="Arial" w:cs="Arial"/>
                <w:b/>
                <w:bCs/>
                <w:sz w:val="16"/>
                <w:szCs w:val="16"/>
              </w:rPr>
              <w:br/>
              <w:t xml:space="preserve">Forward estimate </w:t>
            </w:r>
            <w:r w:rsidRPr="00221320">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1B87F2D3" w14:textId="4603824E" w:rsidR="00221320" w:rsidRPr="00221320" w:rsidRDefault="00221320" w:rsidP="00EA054D">
            <w:pPr>
              <w:spacing w:before="24" w:after="0" w:line="240" w:lineRule="auto"/>
              <w:jc w:val="right"/>
              <w:rPr>
                <w:rFonts w:ascii="Arial" w:hAnsi="Arial" w:cs="Arial"/>
                <w:b/>
                <w:bCs/>
                <w:sz w:val="16"/>
                <w:szCs w:val="16"/>
              </w:rPr>
            </w:pPr>
            <w:r w:rsidRPr="00221320">
              <w:rPr>
                <w:rFonts w:ascii="Arial" w:hAnsi="Arial" w:cs="Arial"/>
                <w:b/>
                <w:bCs/>
                <w:sz w:val="16"/>
                <w:szCs w:val="16"/>
              </w:rPr>
              <w:t>2026</w:t>
            </w:r>
            <w:r>
              <w:rPr>
                <w:rFonts w:ascii="Arial" w:hAnsi="Arial" w:cs="Arial"/>
                <w:b/>
                <w:bCs/>
                <w:sz w:val="16"/>
                <w:szCs w:val="16"/>
              </w:rPr>
              <w:t>–</w:t>
            </w:r>
            <w:r w:rsidRPr="00221320">
              <w:rPr>
                <w:rFonts w:ascii="Arial" w:hAnsi="Arial" w:cs="Arial"/>
                <w:b/>
                <w:bCs/>
                <w:sz w:val="16"/>
                <w:szCs w:val="16"/>
              </w:rPr>
              <w:t>27</w:t>
            </w:r>
            <w:r w:rsidRPr="00221320">
              <w:rPr>
                <w:rFonts w:ascii="Arial" w:hAnsi="Arial" w:cs="Arial"/>
                <w:b/>
                <w:bCs/>
                <w:sz w:val="16"/>
                <w:szCs w:val="16"/>
              </w:rPr>
              <w:br/>
              <w:t xml:space="preserve">Forward estimate </w:t>
            </w:r>
            <w:r w:rsidRPr="00221320">
              <w:rPr>
                <w:rFonts w:ascii="Arial" w:hAnsi="Arial" w:cs="Arial"/>
                <w:sz w:val="16"/>
                <w:szCs w:val="16"/>
              </w:rPr>
              <w:t>$'000</w:t>
            </w:r>
          </w:p>
        </w:tc>
      </w:tr>
      <w:tr w:rsidR="00221320" w:rsidRPr="00221320" w14:paraId="077E215A"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1AEEEAEF"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EXPENSES</w:t>
            </w:r>
          </w:p>
        </w:tc>
        <w:tc>
          <w:tcPr>
            <w:tcW w:w="920" w:type="dxa"/>
            <w:tcBorders>
              <w:top w:val="single" w:sz="4" w:space="0" w:color="auto"/>
              <w:left w:val="nil"/>
              <w:bottom w:val="nil"/>
              <w:right w:val="nil"/>
            </w:tcBorders>
            <w:shd w:val="clear" w:color="auto" w:fill="auto"/>
            <w:noWrap/>
            <w:vAlign w:val="bottom"/>
            <w:hideMark/>
          </w:tcPr>
          <w:p w14:paraId="5AB798B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single" w:sz="4" w:space="0" w:color="auto"/>
              <w:left w:val="nil"/>
              <w:bottom w:val="nil"/>
              <w:right w:val="nil"/>
            </w:tcBorders>
            <w:shd w:val="clear" w:color="000000" w:fill="D9D9D9"/>
            <w:noWrap/>
            <w:vAlign w:val="bottom"/>
            <w:hideMark/>
          </w:tcPr>
          <w:p w14:paraId="506B29D4"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3A30996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757B14FB"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 </w:t>
            </w:r>
          </w:p>
        </w:tc>
        <w:tc>
          <w:tcPr>
            <w:tcW w:w="920" w:type="dxa"/>
            <w:tcBorders>
              <w:top w:val="single" w:sz="4" w:space="0" w:color="auto"/>
              <w:left w:val="nil"/>
              <w:bottom w:val="nil"/>
              <w:right w:val="nil"/>
            </w:tcBorders>
            <w:shd w:val="clear" w:color="auto" w:fill="auto"/>
            <w:noWrap/>
            <w:vAlign w:val="bottom"/>
            <w:hideMark/>
          </w:tcPr>
          <w:p w14:paraId="0DE0E35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 </w:t>
            </w:r>
          </w:p>
        </w:tc>
      </w:tr>
      <w:tr w:rsidR="00221320" w:rsidRPr="00221320" w14:paraId="0A26AFC4"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0CD23BA3"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Employee benefits</w:t>
            </w:r>
          </w:p>
        </w:tc>
        <w:tc>
          <w:tcPr>
            <w:tcW w:w="920" w:type="dxa"/>
            <w:tcBorders>
              <w:top w:val="nil"/>
              <w:left w:val="nil"/>
              <w:bottom w:val="nil"/>
              <w:right w:val="nil"/>
            </w:tcBorders>
            <w:shd w:val="clear" w:color="auto" w:fill="auto"/>
            <w:noWrap/>
            <w:vAlign w:val="bottom"/>
            <w:hideMark/>
          </w:tcPr>
          <w:p w14:paraId="784689B1"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734,476</w:t>
            </w:r>
          </w:p>
        </w:tc>
        <w:tc>
          <w:tcPr>
            <w:tcW w:w="920" w:type="dxa"/>
            <w:tcBorders>
              <w:top w:val="nil"/>
              <w:left w:val="nil"/>
              <w:bottom w:val="nil"/>
              <w:right w:val="nil"/>
            </w:tcBorders>
            <w:shd w:val="clear" w:color="000000" w:fill="D9D9D9"/>
            <w:noWrap/>
            <w:vAlign w:val="bottom"/>
            <w:hideMark/>
          </w:tcPr>
          <w:p w14:paraId="451D5552"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830,858</w:t>
            </w:r>
          </w:p>
        </w:tc>
        <w:tc>
          <w:tcPr>
            <w:tcW w:w="920" w:type="dxa"/>
            <w:tcBorders>
              <w:top w:val="nil"/>
              <w:left w:val="nil"/>
              <w:bottom w:val="nil"/>
              <w:right w:val="nil"/>
            </w:tcBorders>
            <w:shd w:val="clear" w:color="auto" w:fill="auto"/>
            <w:noWrap/>
            <w:vAlign w:val="bottom"/>
            <w:hideMark/>
          </w:tcPr>
          <w:p w14:paraId="115EF4B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767,359</w:t>
            </w:r>
          </w:p>
        </w:tc>
        <w:tc>
          <w:tcPr>
            <w:tcW w:w="920" w:type="dxa"/>
            <w:tcBorders>
              <w:top w:val="nil"/>
              <w:left w:val="nil"/>
              <w:bottom w:val="nil"/>
              <w:right w:val="nil"/>
            </w:tcBorders>
            <w:shd w:val="clear" w:color="auto" w:fill="auto"/>
            <w:noWrap/>
            <w:vAlign w:val="bottom"/>
            <w:hideMark/>
          </w:tcPr>
          <w:p w14:paraId="02E00195"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727,344</w:t>
            </w:r>
          </w:p>
        </w:tc>
        <w:tc>
          <w:tcPr>
            <w:tcW w:w="920" w:type="dxa"/>
            <w:tcBorders>
              <w:top w:val="nil"/>
              <w:left w:val="nil"/>
              <w:bottom w:val="nil"/>
              <w:right w:val="nil"/>
            </w:tcBorders>
            <w:shd w:val="clear" w:color="auto" w:fill="auto"/>
            <w:noWrap/>
            <w:vAlign w:val="bottom"/>
            <w:hideMark/>
          </w:tcPr>
          <w:p w14:paraId="66A95B7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746,379</w:t>
            </w:r>
          </w:p>
        </w:tc>
      </w:tr>
      <w:tr w:rsidR="00221320" w:rsidRPr="00221320" w14:paraId="27FB7DBB"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093199EB"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Supplier expenses</w:t>
            </w:r>
          </w:p>
        </w:tc>
        <w:tc>
          <w:tcPr>
            <w:tcW w:w="920" w:type="dxa"/>
            <w:tcBorders>
              <w:top w:val="nil"/>
              <w:left w:val="nil"/>
              <w:bottom w:val="nil"/>
              <w:right w:val="nil"/>
            </w:tcBorders>
            <w:shd w:val="clear" w:color="auto" w:fill="auto"/>
            <w:noWrap/>
            <w:vAlign w:val="bottom"/>
            <w:hideMark/>
          </w:tcPr>
          <w:p w14:paraId="4EEA8A30"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471,080</w:t>
            </w:r>
          </w:p>
        </w:tc>
        <w:tc>
          <w:tcPr>
            <w:tcW w:w="920" w:type="dxa"/>
            <w:tcBorders>
              <w:top w:val="nil"/>
              <w:left w:val="nil"/>
              <w:bottom w:val="nil"/>
              <w:right w:val="nil"/>
            </w:tcBorders>
            <w:shd w:val="clear" w:color="000000" w:fill="D9D9D9"/>
            <w:noWrap/>
            <w:vAlign w:val="bottom"/>
            <w:hideMark/>
          </w:tcPr>
          <w:p w14:paraId="16C427A9"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636,352</w:t>
            </w:r>
          </w:p>
        </w:tc>
        <w:tc>
          <w:tcPr>
            <w:tcW w:w="920" w:type="dxa"/>
            <w:tcBorders>
              <w:top w:val="nil"/>
              <w:left w:val="nil"/>
              <w:bottom w:val="nil"/>
              <w:right w:val="nil"/>
            </w:tcBorders>
            <w:shd w:val="clear" w:color="auto" w:fill="auto"/>
            <w:noWrap/>
            <w:vAlign w:val="bottom"/>
            <w:hideMark/>
          </w:tcPr>
          <w:p w14:paraId="7E323829"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442,531</w:t>
            </w:r>
          </w:p>
        </w:tc>
        <w:tc>
          <w:tcPr>
            <w:tcW w:w="920" w:type="dxa"/>
            <w:tcBorders>
              <w:top w:val="nil"/>
              <w:left w:val="nil"/>
              <w:bottom w:val="nil"/>
              <w:right w:val="nil"/>
            </w:tcBorders>
            <w:shd w:val="clear" w:color="auto" w:fill="auto"/>
            <w:noWrap/>
            <w:vAlign w:val="bottom"/>
            <w:hideMark/>
          </w:tcPr>
          <w:p w14:paraId="67A17ED1"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290,174</w:t>
            </w:r>
          </w:p>
        </w:tc>
        <w:tc>
          <w:tcPr>
            <w:tcW w:w="920" w:type="dxa"/>
            <w:tcBorders>
              <w:top w:val="nil"/>
              <w:left w:val="nil"/>
              <w:bottom w:val="nil"/>
              <w:right w:val="nil"/>
            </w:tcBorders>
            <w:shd w:val="clear" w:color="auto" w:fill="auto"/>
            <w:noWrap/>
            <w:vAlign w:val="bottom"/>
            <w:hideMark/>
          </w:tcPr>
          <w:p w14:paraId="398B16E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259,882</w:t>
            </w:r>
          </w:p>
        </w:tc>
      </w:tr>
      <w:tr w:rsidR="00221320" w:rsidRPr="00221320" w14:paraId="578B6C69"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76133D88"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Depreciation and amortisation</w:t>
            </w:r>
          </w:p>
        </w:tc>
        <w:tc>
          <w:tcPr>
            <w:tcW w:w="920" w:type="dxa"/>
            <w:tcBorders>
              <w:top w:val="nil"/>
              <w:left w:val="nil"/>
              <w:bottom w:val="nil"/>
              <w:right w:val="nil"/>
            </w:tcBorders>
            <w:shd w:val="clear" w:color="auto" w:fill="auto"/>
            <w:noWrap/>
            <w:vAlign w:val="bottom"/>
            <w:hideMark/>
          </w:tcPr>
          <w:p w14:paraId="5B2C7900"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94,988</w:t>
            </w:r>
          </w:p>
        </w:tc>
        <w:tc>
          <w:tcPr>
            <w:tcW w:w="920" w:type="dxa"/>
            <w:tcBorders>
              <w:top w:val="nil"/>
              <w:left w:val="nil"/>
              <w:bottom w:val="nil"/>
              <w:right w:val="nil"/>
            </w:tcBorders>
            <w:shd w:val="clear" w:color="000000" w:fill="D9D9D9"/>
            <w:noWrap/>
            <w:vAlign w:val="bottom"/>
            <w:hideMark/>
          </w:tcPr>
          <w:p w14:paraId="542AD2BC"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108,185</w:t>
            </w:r>
          </w:p>
        </w:tc>
        <w:tc>
          <w:tcPr>
            <w:tcW w:w="920" w:type="dxa"/>
            <w:tcBorders>
              <w:top w:val="nil"/>
              <w:left w:val="nil"/>
              <w:bottom w:val="nil"/>
              <w:right w:val="nil"/>
            </w:tcBorders>
            <w:shd w:val="clear" w:color="auto" w:fill="auto"/>
            <w:noWrap/>
            <w:vAlign w:val="bottom"/>
            <w:hideMark/>
          </w:tcPr>
          <w:p w14:paraId="09E3590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133,672</w:t>
            </w:r>
          </w:p>
        </w:tc>
        <w:tc>
          <w:tcPr>
            <w:tcW w:w="920" w:type="dxa"/>
            <w:tcBorders>
              <w:top w:val="nil"/>
              <w:left w:val="nil"/>
              <w:bottom w:val="nil"/>
              <w:right w:val="nil"/>
            </w:tcBorders>
            <w:shd w:val="clear" w:color="auto" w:fill="auto"/>
            <w:noWrap/>
            <w:vAlign w:val="bottom"/>
            <w:hideMark/>
          </w:tcPr>
          <w:p w14:paraId="71DC30F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114,269</w:t>
            </w:r>
          </w:p>
        </w:tc>
        <w:tc>
          <w:tcPr>
            <w:tcW w:w="920" w:type="dxa"/>
            <w:tcBorders>
              <w:top w:val="nil"/>
              <w:left w:val="nil"/>
              <w:bottom w:val="nil"/>
              <w:right w:val="nil"/>
            </w:tcBorders>
            <w:shd w:val="clear" w:color="auto" w:fill="auto"/>
            <w:noWrap/>
            <w:vAlign w:val="bottom"/>
            <w:hideMark/>
          </w:tcPr>
          <w:p w14:paraId="27508858"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113,163</w:t>
            </w:r>
          </w:p>
        </w:tc>
      </w:tr>
      <w:tr w:rsidR="00221320" w:rsidRPr="00221320" w14:paraId="0296C1ED"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1ACAED2F"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Write-down and impairment of assets</w:t>
            </w:r>
          </w:p>
        </w:tc>
        <w:tc>
          <w:tcPr>
            <w:tcW w:w="920" w:type="dxa"/>
            <w:tcBorders>
              <w:top w:val="nil"/>
              <w:left w:val="nil"/>
              <w:bottom w:val="nil"/>
              <w:right w:val="nil"/>
            </w:tcBorders>
            <w:shd w:val="clear" w:color="auto" w:fill="auto"/>
            <w:noWrap/>
            <w:vAlign w:val="bottom"/>
            <w:hideMark/>
          </w:tcPr>
          <w:p w14:paraId="75F9F345"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16,496</w:t>
            </w:r>
          </w:p>
        </w:tc>
        <w:tc>
          <w:tcPr>
            <w:tcW w:w="920" w:type="dxa"/>
            <w:tcBorders>
              <w:top w:val="nil"/>
              <w:left w:val="nil"/>
              <w:bottom w:val="nil"/>
              <w:right w:val="nil"/>
            </w:tcBorders>
            <w:shd w:val="clear" w:color="000000" w:fill="D9D9D9"/>
            <w:noWrap/>
            <w:vAlign w:val="bottom"/>
            <w:hideMark/>
          </w:tcPr>
          <w:p w14:paraId="10F69E0C"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2,210</w:t>
            </w:r>
          </w:p>
        </w:tc>
        <w:tc>
          <w:tcPr>
            <w:tcW w:w="920" w:type="dxa"/>
            <w:tcBorders>
              <w:top w:val="nil"/>
              <w:left w:val="nil"/>
              <w:bottom w:val="nil"/>
              <w:right w:val="nil"/>
            </w:tcBorders>
            <w:shd w:val="clear" w:color="auto" w:fill="auto"/>
            <w:noWrap/>
            <w:vAlign w:val="bottom"/>
            <w:hideMark/>
          </w:tcPr>
          <w:p w14:paraId="6019EF20"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2,372</w:t>
            </w:r>
          </w:p>
        </w:tc>
        <w:tc>
          <w:tcPr>
            <w:tcW w:w="920" w:type="dxa"/>
            <w:tcBorders>
              <w:top w:val="nil"/>
              <w:left w:val="nil"/>
              <w:bottom w:val="nil"/>
              <w:right w:val="nil"/>
            </w:tcBorders>
            <w:shd w:val="clear" w:color="auto" w:fill="auto"/>
            <w:noWrap/>
            <w:vAlign w:val="bottom"/>
            <w:hideMark/>
          </w:tcPr>
          <w:p w14:paraId="5DF78460"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1,071</w:t>
            </w:r>
          </w:p>
        </w:tc>
        <w:tc>
          <w:tcPr>
            <w:tcW w:w="920" w:type="dxa"/>
            <w:tcBorders>
              <w:top w:val="nil"/>
              <w:left w:val="nil"/>
              <w:bottom w:val="nil"/>
              <w:right w:val="nil"/>
            </w:tcBorders>
            <w:shd w:val="clear" w:color="auto" w:fill="auto"/>
            <w:noWrap/>
            <w:vAlign w:val="bottom"/>
            <w:hideMark/>
          </w:tcPr>
          <w:p w14:paraId="7B9E4A5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1,071</w:t>
            </w:r>
          </w:p>
        </w:tc>
      </w:tr>
      <w:tr w:rsidR="00221320" w:rsidRPr="00221320" w14:paraId="472B3C3A"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6C9A5E29"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 xml:space="preserve">Interest on </w:t>
            </w:r>
            <w:proofErr w:type="spellStart"/>
            <w:r w:rsidRPr="00221320">
              <w:rPr>
                <w:rFonts w:ascii="Arial" w:hAnsi="Arial" w:cs="Arial"/>
                <w:sz w:val="16"/>
                <w:szCs w:val="16"/>
              </w:rPr>
              <w:t>RoU</w:t>
            </w:r>
            <w:proofErr w:type="spellEnd"/>
          </w:p>
        </w:tc>
        <w:tc>
          <w:tcPr>
            <w:tcW w:w="920" w:type="dxa"/>
            <w:tcBorders>
              <w:top w:val="nil"/>
              <w:left w:val="nil"/>
              <w:bottom w:val="nil"/>
              <w:right w:val="nil"/>
            </w:tcBorders>
            <w:shd w:val="clear" w:color="auto" w:fill="auto"/>
            <w:noWrap/>
            <w:vAlign w:val="bottom"/>
            <w:hideMark/>
          </w:tcPr>
          <w:p w14:paraId="791B4C85"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27538460"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10,417</w:t>
            </w:r>
          </w:p>
        </w:tc>
        <w:tc>
          <w:tcPr>
            <w:tcW w:w="920" w:type="dxa"/>
            <w:tcBorders>
              <w:top w:val="nil"/>
              <w:left w:val="nil"/>
              <w:bottom w:val="nil"/>
              <w:right w:val="nil"/>
            </w:tcBorders>
            <w:shd w:val="clear" w:color="auto" w:fill="auto"/>
            <w:noWrap/>
            <w:vAlign w:val="bottom"/>
            <w:hideMark/>
          </w:tcPr>
          <w:p w14:paraId="4A0A2CAB"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10,308</w:t>
            </w:r>
          </w:p>
        </w:tc>
        <w:tc>
          <w:tcPr>
            <w:tcW w:w="920" w:type="dxa"/>
            <w:tcBorders>
              <w:top w:val="nil"/>
              <w:left w:val="nil"/>
              <w:bottom w:val="nil"/>
              <w:right w:val="nil"/>
            </w:tcBorders>
            <w:shd w:val="clear" w:color="auto" w:fill="auto"/>
            <w:noWrap/>
            <w:vAlign w:val="bottom"/>
            <w:hideMark/>
          </w:tcPr>
          <w:p w14:paraId="03607524"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11,084</w:t>
            </w:r>
          </w:p>
        </w:tc>
        <w:tc>
          <w:tcPr>
            <w:tcW w:w="920" w:type="dxa"/>
            <w:tcBorders>
              <w:top w:val="nil"/>
              <w:left w:val="nil"/>
              <w:bottom w:val="nil"/>
              <w:right w:val="nil"/>
            </w:tcBorders>
            <w:shd w:val="clear" w:color="auto" w:fill="auto"/>
            <w:noWrap/>
            <w:vAlign w:val="bottom"/>
            <w:hideMark/>
          </w:tcPr>
          <w:p w14:paraId="267A9177"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11,025</w:t>
            </w:r>
          </w:p>
        </w:tc>
      </w:tr>
      <w:tr w:rsidR="00221320" w:rsidRPr="00221320" w14:paraId="5FE23490"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60B2472C"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Other expenses</w:t>
            </w:r>
          </w:p>
        </w:tc>
        <w:tc>
          <w:tcPr>
            <w:tcW w:w="920" w:type="dxa"/>
            <w:tcBorders>
              <w:top w:val="nil"/>
              <w:left w:val="nil"/>
              <w:bottom w:val="nil"/>
              <w:right w:val="nil"/>
            </w:tcBorders>
            <w:shd w:val="clear" w:color="auto" w:fill="auto"/>
            <w:noWrap/>
            <w:vAlign w:val="bottom"/>
            <w:hideMark/>
          </w:tcPr>
          <w:p w14:paraId="3261557A"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33,025</w:t>
            </w:r>
          </w:p>
        </w:tc>
        <w:tc>
          <w:tcPr>
            <w:tcW w:w="920" w:type="dxa"/>
            <w:tcBorders>
              <w:top w:val="nil"/>
              <w:left w:val="nil"/>
              <w:bottom w:val="nil"/>
              <w:right w:val="nil"/>
            </w:tcBorders>
            <w:shd w:val="clear" w:color="000000" w:fill="D9D9D9"/>
            <w:noWrap/>
            <w:vAlign w:val="bottom"/>
            <w:hideMark/>
          </w:tcPr>
          <w:p w14:paraId="5B18F1C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2,642</w:t>
            </w:r>
          </w:p>
        </w:tc>
        <w:tc>
          <w:tcPr>
            <w:tcW w:w="920" w:type="dxa"/>
            <w:tcBorders>
              <w:top w:val="nil"/>
              <w:left w:val="nil"/>
              <w:bottom w:val="nil"/>
              <w:right w:val="nil"/>
            </w:tcBorders>
            <w:shd w:val="clear" w:color="auto" w:fill="auto"/>
            <w:noWrap/>
            <w:vAlign w:val="bottom"/>
            <w:hideMark/>
          </w:tcPr>
          <w:p w14:paraId="67002B91"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2,500</w:t>
            </w:r>
          </w:p>
        </w:tc>
        <w:tc>
          <w:tcPr>
            <w:tcW w:w="920" w:type="dxa"/>
            <w:tcBorders>
              <w:top w:val="nil"/>
              <w:left w:val="nil"/>
              <w:bottom w:val="nil"/>
              <w:right w:val="nil"/>
            </w:tcBorders>
            <w:shd w:val="clear" w:color="auto" w:fill="auto"/>
            <w:noWrap/>
            <w:vAlign w:val="bottom"/>
            <w:hideMark/>
          </w:tcPr>
          <w:p w14:paraId="0C94566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2,500</w:t>
            </w:r>
          </w:p>
        </w:tc>
        <w:tc>
          <w:tcPr>
            <w:tcW w:w="920" w:type="dxa"/>
            <w:tcBorders>
              <w:top w:val="nil"/>
              <w:left w:val="nil"/>
              <w:bottom w:val="nil"/>
              <w:right w:val="nil"/>
            </w:tcBorders>
            <w:shd w:val="clear" w:color="auto" w:fill="auto"/>
            <w:noWrap/>
            <w:vAlign w:val="bottom"/>
            <w:hideMark/>
          </w:tcPr>
          <w:p w14:paraId="31C4A45C"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2,500</w:t>
            </w:r>
          </w:p>
        </w:tc>
      </w:tr>
      <w:tr w:rsidR="00221320" w:rsidRPr="00221320" w14:paraId="54D811AB" w14:textId="77777777" w:rsidTr="006D4744">
        <w:trPr>
          <w:trHeight w:val="225"/>
          <w:jc w:val="center"/>
        </w:trPr>
        <w:tc>
          <w:tcPr>
            <w:tcW w:w="3000" w:type="dxa"/>
            <w:tcBorders>
              <w:top w:val="nil"/>
              <w:left w:val="nil"/>
              <w:bottom w:val="nil"/>
              <w:right w:val="nil"/>
            </w:tcBorders>
            <w:shd w:val="clear" w:color="auto" w:fill="auto"/>
            <w:noWrap/>
            <w:vAlign w:val="bottom"/>
            <w:hideMark/>
          </w:tcPr>
          <w:p w14:paraId="04075BAC" w14:textId="77777777" w:rsidR="00221320" w:rsidRPr="00221320" w:rsidRDefault="00221320" w:rsidP="00221320">
            <w:pPr>
              <w:spacing w:before="0" w:after="0" w:line="240" w:lineRule="auto"/>
              <w:ind w:leftChars="75" w:left="143"/>
              <w:rPr>
                <w:rFonts w:ascii="Arial" w:hAnsi="Arial" w:cs="Arial"/>
                <w:b/>
                <w:bCs/>
                <w:sz w:val="16"/>
                <w:szCs w:val="16"/>
              </w:rPr>
            </w:pPr>
            <w:r w:rsidRPr="00221320">
              <w:rPr>
                <w:rFonts w:ascii="Arial" w:hAnsi="Arial" w:cs="Arial"/>
                <w:b/>
                <w:bCs/>
                <w:sz w:val="16"/>
                <w:szCs w:val="16"/>
              </w:rPr>
              <w:t>Total expenses</w:t>
            </w:r>
          </w:p>
        </w:tc>
        <w:tc>
          <w:tcPr>
            <w:tcW w:w="920" w:type="dxa"/>
            <w:tcBorders>
              <w:top w:val="nil"/>
              <w:left w:val="nil"/>
              <w:bottom w:val="single" w:sz="4" w:space="0" w:color="auto"/>
              <w:right w:val="nil"/>
            </w:tcBorders>
            <w:shd w:val="clear" w:color="auto" w:fill="auto"/>
            <w:noWrap/>
            <w:tcMar>
              <w:left w:w="0" w:type="dxa"/>
            </w:tcMar>
            <w:vAlign w:val="bottom"/>
            <w:hideMark/>
          </w:tcPr>
          <w:p w14:paraId="2954836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1,350,064</w:t>
            </w:r>
          </w:p>
        </w:tc>
        <w:tc>
          <w:tcPr>
            <w:tcW w:w="920" w:type="dxa"/>
            <w:tcBorders>
              <w:top w:val="nil"/>
              <w:left w:val="nil"/>
              <w:bottom w:val="single" w:sz="4" w:space="0" w:color="auto"/>
              <w:right w:val="nil"/>
            </w:tcBorders>
            <w:shd w:val="clear" w:color="000000" w:fill="D9D9D9"/>
            <w:noWrap/>
            <w:tcMar>
              <w:left w:w="0" w:type="dxa"/>
            </w:tcMar>
            <w:vAlign w:val="bottom"/>
            <w:hideMark/>
          </w:tcPr>
          <w:p w14:paraId="2A42609C"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1,590,664</w:t>
            </w:r>
          </w:p>
        </w:tc>
        <w:tc>
          <w:tcPr>
            <w:tcW w:w="920" w:type="dxa"/>
            <w:tcBorders>
              <w:top w:val="nil"/>
              <w:left w:val="nil"/>
              <w:bottom w:val="single" w:sz="4" w:space="0" w:color="auto"/>
              <w:right w:val="nil"/>
            </w:tcBorders>
            <w:shd w:val="clear" w:color="auto" w:fill="auto"/>
            <w:noWrap/>
            <w:tcMar>
              <w:left w:w="0" w:type="dxa"/>
            </w:tcMar>
            <w:vAlign w:val="bottom"/>
            <w:hideMark/>
          </w:tcPr>
          <w:p w14:paraId="4F81181D"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1,358,742</w:t>
            </w:r>
          </w:p>
        </w:tc>
        <w:tc>
          <w:tcPr>
            <w:tcW w:w="920" w:type="dxa"/>
            <w:tcBorders>
              <w:top w:val="nil"/>
              <w:left w:val="nil"/>
              <w:bottom w:val="single" w:sz="4" w:space="0" w:color="auto"/>
              <w:right w:val="nil"/>
            </w:tcBorders>
            <w:shd w:val="clear" w:color="auto" w:fill="auto"/>
            <w:noWrap/>
            <w:tcMar>
              <w:left w:w="0" w:type="dxa"/>
            </w:tcMar>
            <w:vAlign w:val="bottom"/>
            <w:hideMark/>
          </w:tcPr>
          <w:p w14:paraId="2686E96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1,146,442</w:t>
            </w:r>
          </w:p>
        </w:tc>
        <w:tc>
          <w:tcPr>
            <w:tcW w:w="920" w:type="dxa"/>
            <w:tcBorders>
              <w:top w:val="nil"/>
              <w:left w:val="nil"/>
              <w:bottom w:val="single" w:sz="4" w:space="0" w:color="auto"/>
              <w:right w:val="nil"/>
            </w:tcBorders>
            <w:shd w:val="clear" w:color="auto" w:fill="auto"/>
            <w:noWrap/>
            <w:tcMar>
              <w:left w:w="0" w:type="dxa"/>
            </w:tcMar>
            <w:vAlign w:val="bottom"/>
            <w:hideMark/>
          </w:tcPr>
          <w:p w14:paraId="20B4D83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1,134,020</w:t>
            </w:r>
          </w:p>
        </w:tc>
      </w:tr>
      <w:tr w:rsidR="00221320" w:rsidRPr="00221320" w14:paraId="7948D10A"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002ABCD8"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 xml:space="preserve">LESS: </w:t>
            </w:r>
          </w:p>
        </w:tc>
        <w:tc>
          <w:tcPr>
            <w:tcW w:w="920" w:type="dxa"/>
            <w:tcBorders>
              <w:top w:val="nil"/>
              <w:left w:val="nil"/>
              <w:bottom w:val="nil"/>
              <w:right w:val="nil"/>
            </w:tcBorders>
            <w:shd w:val="clear" w:color="auto" w:fill="auto"/>
            <w:noWrap/>
            <w:vAlign w:val="bottom"/>
            <w:hideMark/>
          </w:tcPr>
          <w:p w14:paraId="029B5748" w14:textId="77777777" w:rsidR="00221320" w:rsidRPr="00221320" w:rsidRDefault="00221320" w:rsidP="00221320">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1C700A1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nil"/>
              <w:left w:val="nil"/>
              <w:bottom w:val="nil"/>
              <w:right w:val="nil"/>
            </w:tcBorders>
            <w:shd w:val="clear" w:color="auto" w:fill="auto"/>
            <w:noWrap/>
            <w:vAlign w:val="bottom"/>
            <w:hideMark/>
          </w:tcPr>
          <w:p w14:paraId="114037FE" w14:textId="77777777" w:rsidR="00221320" w:rsidRPr="00221320" w:rsidRDefault="00221320" w:rsidP="00221320">
            <w:pPr>
              <w:spacing w:before="0"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7B0B378" w14:textId="77777777" w:rsidR="00221320" w:rsidRPr="00221320" w:rsidRDefault="00221320" w:rsidP="00221320">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0E200E4" w14:textId="77777777" w:rsidR="00221320" w:rsidRPr="00221320" w:rsidRDefault="00221320" w:rsidP="00221320">
            <w:pPr>
              <w:spacing w:before="0" w:after="0" w:line="240" w:lineRule="auto"/>
              <w:jc w:val="right"/>
              <w:rPr>
                <w:rFonts w:ascii="Times New Roman" w:hAnsi="Times New Roman"/>
                <w:sz w:val="20"/>
              </w:rPr>
            </w:pPr>
          </w:p>
        </w:tc>
      </w:tr>
      <w:tr w:rsidR="00221320" w:rsidRPr="00221320" w14:paraId="6885968F"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79885EE5"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OWN-SOURCE INCOME</w:t>
            </w:r>
          </w:p>
        </w:tc>
        <w:tc>
          <w:tcPr>
            <w:tcW w:w="920" w:type="dxa"/>
            <w:tcBorders>
              <w:top w:val="nil"/>
              <w:left w:val="nil"/>
              <w:bottom w:val="nil"/>
              <w:right w:val="nil"/>
            </w:tcBorders>
            <w:shd w:val="clear" w:color="auto" w:fill="auto"/>
            <w:noWrap/>
            <w:vAlign w:val="bottom"/>
            <w:hideMark/>
          </w:tcPr>
          <w:p w14:paraId="7FAD8314" w14:textId="77777777" w:rsidR="00221320" w:rsidRPr="00221320" w:rsidRDefault="00221320" w:rsidP="00221320">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3E8A9B44"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nil"/>
              <w:left w:val="nil"/>
              <w:bottom w:val="nil"/>
              <w:right w:val="nil"/>
            </w:tcBorders>
            <w:shd w:val="clear" w:color="auto" w:fill="auto"/>
            <w:noWrap/>
            <w:vAlign w:val="bottom"/>
            <w:hideMark/>
          </w:tcPr>
          <w:p w14:paraId="66734310" w14:textId="77777777" w:rsidR="00221320" w:rsidRPr="00221320" w:rsidRDefault="00221320" w:rsidP="00221320">
            <w:pPr>
              <w:spacing w:before="0"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EE0A1F7" w14:textId="77777777" w:rsidR="00221320" w:rsidRPr="00221320" w:rsidRDefault="00221320" w:rsidP="00221320">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3AB262D0" w14:textId="77777777" w:rsidR="00221320" w:rsidRPr="00221320" w:rsidRDefault="00221320" w:rsidP="00221320">
            <w:pPr>
              <w:spacing w:before="0" w:after="0" w:line="240" w:lineRule="auto"/>
              <w:jc w:val="right"/>
              <w:rPr>
                <w:rFonts w:ascii="Times New Roman" w:hAnsi="Times New Roman"/>
                <w:sz w:val="20"/>
              </w:rPr>
            </w:pPr>
          </w:p>
        </w:tc>
      </w:tr>
      <w:tr w:rsidR="00221320" w:rsidRPr="00221320" w14:paraId="30A69EB1"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67EDD359" w14:textId="77777777" w:rsidR="00221320" w:rsidRPr="00221320" w:rsidRDefault="00221320" w:rsidP="00221320">
            <w:pPr>
              <w:spacing w:before="0" w:after="0" w:line="240" w:lineRule="auto"/>
              <w:ind w:leftChars="75" w:left="143"/>
              <w:rPr>
                <w:rFonts w:ascii="Arial" w:hAnsi="Arial" w:cs="Arial"/>
                <w:b/>
                <w:bCs/>
                <w:sz w:val="16"/>
                <w:szCs w:val="16"/>
              </w:rPr>
            </w:pPr>
            <w:r w:rsidRPr="00221320">
              <w:rPr>
                <w:rFonts w:ascii="Arial" w:hAnsi="Arial" w:cs="Arial"/>
                <w:b/>
                <w:bCs/>
                <w:sz w:val="16"/>
                <w:szCs w:val="16"/>
              </w:rPr>
              <w:t>Revenue</w:t>
            </w:r>
          </w:p>
        </w:tc>
        <w:tc>
          <w:tcPr>
            <w:tcW w:w="920" w:type="dxa"/>
            <w:tcBorders>
              <w:top w:val="nil"/>
              <w:left w:val="nil"/>
              <w:bottom w:val="nil"/>
              <w:right w:val="nil"/>
            </w:tcBorders>
            <w:shd w:val="clear" w:color="auto" w:fill="auto"/>
            <w:noWrap/>
            <w:vAlign w:val="bottom"/>
            <w:hideMark/>
          </w:tcPr>
          <w:p w14:paraId="29D1F0A6" w14:textId="77777777" w:rsidR="00221320" w:rsidRPr="00221320" w:rsidRDefault="00221320" w:rsidP="00221320">
            <w:pPr>
              <w:spacing w:before="0" w:after="0" w:line="240" w:lineRule="auto"/>
              <w:ind w:firstLineChars="100" w:firstLine="161"/>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7609D8AF"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nil"/>
              <w:left w:val="nil"/>
              <w:bottom w:val="nil"/>
              <w:right w:val="nil"/>
            </w:tcBorders>
            <w:shd w:val="clear" w:color="auto" w:fill="auto"/>
            <w:noWrap/>
            <w:vAlign w:val="bottom"/>
            <w:hideMark/>
          </w:tcPr>
          <w:p w14:paraId="72CA9D3E" w14:textId="77777777" w:rsidR="00221320" w:rsidRPr="00221320" w:rsidRDefault="00221320" w:rsidP="00221320">
            <w:pPr>
              <w:spacing w:before="0"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1FF5479" w14:textId="77777777" w:rsidR="00221320" w:rsidRPr="00221320" w:rsidRDefault="00221320" w:rsidP="00221320">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B589707" w14:textId="77777777" w:rsidR="00221320" w:rsidRPr="00221320" w:rsidRDefault="00221320" w:rsidP="00221320">
            <w:pPr>
              <w:spacing w:before="0" w:after="0" w:line="240" w:lineRule="auto"/>
              <w:jc w:val="right"/>
              <w:rPr>
                <w:rFonts w:ascii="Times New Roman" w:hAnsi="Times New Roman"/>
                <w:sz w:val="20"/>
              </w:rPr>
            </w:pPr>
          </w:p>
        </w:tc>
      </w:tr>
      <w:tr w:rsidR="00221320" w:rsidRPr="00221320" w14:paraId="6375C2C2" w14:textId="77777777" w:rsidTr="00EA054D">
        <w:trPr>
          <w:trHeight w:val="425"/>
          <w:jc w:val="center"/>
        </w:trPr>
        <w:tc>
          <w:tcPr>
            <w:tcW w:w="3000" w:type="dxa"/>
            <w:tcBorders>
              <w:top w:val="nil"/>
              <w:left w:val="nil"/>
              <w:bottom w:val="nil"/>
              <w:right w:val="nil"/>
            </w:tcBorders>
            <w:shd w:val="clear" w:color="auto" w:fill="auto"/>
            <w:vAlign w:val="bottom"/>
            <w:hideMark/>
          </w:tcPr>
          <w:p w14:paraId="0322BA28" w14:textId="77777777" w:rsidR="00221320" w:rsidRPr="00221320" w:rsidRDefault="00221320" w:rsidP="00C27A52">
            <w:pPr>
              <w:spacing w:before="0" w:after="0" w:line="240" w:lineRule="auto"/>
              <w:ind w:leftChars="150" w:left="285"/>
              <w:rPr>
                <w:rFonts w:ascii="Arial" w:hAnsi="Arial" w:cs="Arial"/>
                <w:sz w:val="16"/>
                <w:szCs w:val="16"/>
              </w:rPr>
            </w:pPr>
            <w:r w:rsidRPr="00221320">
              <w:rPr>
                <w:rFonts w:ascii="Arial" w:hAnsi="Arial" w:cs="Arial"/>
                <w:sz w:val="16"/>
                <w:szCs w:val="16"/>
              </w:rPr>
              <w:t>Sale of goods and rendering of services</w:t>
            </w:r>
          </w:p>
        </w:tc>
        <w:tc>
          <w:tcPr>
            <w:tcW w:w="920" w:type="dxa"/>
            <w:tcBorders>
              <w:top w:val="nil"/>
              <w:left w:val="nil"/>
              <w:bottom w:val="nil"/>
              <w:right w:val="nil"/>
            </w:tcBorders>
            <w:shd w:val="clear" w:color="auto" w:fill="auto"/>
            <w:noWrap/>
            <w:vAlign w:val="bottom"/>
            <w:hideMark/>
          </w:tcPr>
          <w:p w14:paraId="664C3971"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220,841</w:t>
            </w:r>
          </w:p>
        </w:tc>
        <w:tc>
          <w:tcPr>
            <w:tcW w:w="920" w:type="dxa"/>
            <w:tcBorders>
              <w:top w:val="nil"/>
              <w:left w:val="nil"/>
              <w:bottom w:val="nil"/>
              <w:right w:val="nil"/>
            </w:tcBorders>
            <w:shd w:val="clear" w:color="000000" w:fill="D9D9D9"/>
            <w:noWrap/>
            <w:vAlign w:val="bottom"/>
            <w:hideMark/>
          </w:tcPr>
          <w:p w14:paraId="154484A3"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239,746</w:t>
            </w:r>
          </w:p>
        </w:tc>
        <w:tc>
          <w:tcPr>
            <w:tcW w:w="920" w:type="dxa"/>
            <w:tcBorders>
              <w:top w:val="nil"/>
              <w:left w:val="nil"/>
              <w:bottom w:val="nil"/>
              <w:right w:val="nil"/>
            </w:tcBorders>
            <w:shd w:val="clear" w:color="auto" w:fill="auto"/>
            <w:noWrap/>
            <w:vAlign w:val="bottom"/>
            <w:hideMark/>
          </w:tcPr>
          <w:p w14:paraId="00A130D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247,376</w:t>
            </w:r>
          </w:p>
        </w:tc>
        <w:tc>
          <w:tcPr>
            <w:tcW w:w="920" w:type="dxa"/>
            <w:tcBorders>
              <w:top w:val="nil"/>
              <w:left w:val="nil"/>
              <w:bottom w:val="nil"/>
              <w:right w:val="nil"/>
            </w:tcBorders>
            <w:shd w:val="clear" w:color="auto" w:fill="auto"/>
            <w:noWrap/>
            <w:vAlign w:val="bottom"/>
            <w:hideMark/>
          </w:tcPr>
          <w:p w14:paraId="42DC6B59"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251,943</w:t>
            </w:r>
          </w:p>
        </w:tc>
        <w:tc>
          <w:tcPr>
            <w:tcW w:w="920" w:type="dxa"/>
            <w:tcBorders>
              <w:top w:val="nil"/>
              <w:left w:val="nil"/>
              <w:bottom w:val="nil"/>
              <w:right w:val="nil"/>
            </w:tcBorders>
            <w:shd w:val="clear" w:color="auto" w:fill="auto"/>
            <w:noWrap/>
            <w:vAlign w:val="bottom"/>
            <w:hideMark/>
          </w:tcPr>
          <w:p w14:paraId="1D0EFFBD"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256,376</w:t>
            </w:r>
          </w:p>
        </w:tc>
      </w:tr>
      <w:tr w:rsidR="00221320" w:rsidRPr="00221320" w14:paraId="4BD29563"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37BD8928" w14:textId="77777777" w:rsidR="00221320" w:rsidRPr="00221320" w:rsidRDefault="00221320" w:rsidP="00C27A52">
            <w:pPr>
              <w:spacing w:before="0" w:after="0" w:line="240" w:lineRule="auto"/>
              <w:ind w:leftChars="150" w:left="285"/>
              <w:rPr>
                <w:rFonts w:ascii="Arial" w:hAnsi="Arial" w:cs="Arial"/>
                <w:sz w:val="16"/>
                <w:szCs w:val="16"/>
              </w:rPr>
            </w:pPr>
            <w:r w:rsidRPr="00221320">
              <w:rPr>
                <w:rFonts w:ascii="Arial" w:hAnsi="Arial" w:cs="Arial"/>
                <w:sz w:val="16"/>
                <w:szCs w:val="16"/>
              </w:rPr>
              <w:t>Interest</w:t>
            </w:r>
          </w:p>
        </w:tc>
        <w:tc>
          <w:tcPr>
            <w:tcW w:w="920" w:type="dxa"/>
            <w:tcBorders>
              <w:top w:val="nil"/>
              <w:left w:val="nil"/>
              <w:bottom w:val="nil"/>
              <w:right w:val="nil"/>
            </w:tcBorders>
            <w:shd w:val="clear" w:color="auto" w:fill="auto"/>
            <w:noWrap/>
            <w:vAlign w:val="bottom"/>
            <w:hideMark/>
          </w:tcPr>
          <w:p w14:paraId="7D43A6F5"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276906A2"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0330319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885</w:t>
            </w:r>
          </w:p>
        </w:tc>
        <w:tc>
          <w:tcPr>
            <w:tcW w:w="920" w:type="dxa"/>
            <w:tcBorders>
              <w:top w:val="nil"/>
              <w:left w:val="nil"/>
              <w:bottom w:val="nil"/>
              <w:right w:val="nil"/>
            </w:tcBorders>
            <w:shd w:val="clear" w:color="auto" w:fill="auto"/>
            <w:noWrap/>
            <w:vAlign w:val="bottom"/>
            <w:hideMark/>
          </w:tcPr>
          <w:p w14:paraId="6AEC602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885</w:t>
            </w:r>
          </w:p>
        </w:tc>
        <w:tc>
          <w:tcPr>
            <w:tcW w:w="920" w:type="dxa"/>
            <w:tcBorders>
              <w:top w:val="nil"/>
              <w:left w:val="nil"/>
              <w:bottom w:val="nil"/>
              <w:right w:val="nil"/>
            </w:tcBorders>
            <w:shd w:val="clear" w:color="auto" w:fill="auto"/>
            <w:noWrap/>
            <w:vAlign w:val="bottom"/>
            <w:hideMark/>
          </w:tcPr>
          <w:p w14:paraId="0931854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885</w:t>
            </w:r>
          </w:p>
        </w:tc>
      </w:tr>
      <w:tr w:rsidR="00221320" w:rsidRPr="00221320" w14:paraId="60370D71"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68B9D154" w14:textId="77777777" w:rsidR="00221320" w:rsidRPr="00221320" w:rsidRDefault="00221320" w:rsidP="00C27A52">
            <w:pPr>
              <w:spacing w:before="0" w:after="0" w:line="240" w:lineRule="auto"/>
              <w:ind w:leftChars="150" w:left="285"/>
              <w:rPr>
                <w:rFonts w:ascii="Arial" w:hAnsi="Arial" w:cs="Arial"/>
                <w:sz w:val="16"/>
                <w:szCs w:val="16"/>
              </w:rPr>
            </w:pPr>
            <w:r w:rsidRPr="00221320">
              <w:rPr>
                <w:rFonts w:ascii="Arial" w:hAnsi="Arial" w:cs="Arial"/>
                <w:sz w:val="16"/>
                <w:szCs w:val="16"/>
              </w:rPr>
              <w:t>Other revenue</w:t>
            </w:r>
          </w:p>
        </w:tc>
        <w:tc>
          <w:tcPr>
            <w:tcW w:w="920" w:type="dxa"/>
            <w:tcBorders>
              <w:top w:val="nil"/>
              <w:left w:val="nil"/>
              <w:bottom w:val="nil"/>
              <w:right w:val="nil"/>
            </w:tcBorders>
            <w:shd w:val="clear" w:color="auto" w:fill="auto"/>
            <w:noWrap/>
            <w:vAlign w:val="bottom"/>
            <w:hideMark/>
          </w:tcPr>
          <w:p w14:paraId="3BA05F9A"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15,167</w:t>
            </w:r>
          </w:p>
        </w:tc>
        <w:tc>
          <w:tcPr>
            <w:tcW w:w="920" w:type="dxa"/>
            <w:tcBorders>
              <w:top w:val="nil"/>
              <w:left w:val="nil"/>
              <w:bottom w:val="nil"/>
              <w:right w:val="nil"/>
            </w:tcBorders>
            <w:shd w:val="clear" w:color="000000" w:fill="D9D9D9"/>
            <w:noWrap/>
            <w:vAlign w:val="bottom"/>
            <w:hideMark/>
          </w:tcPr>
          <w:p w14:paraId="128079DB"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1,847</w:t>
            </w:r>
          </w:p>
        </w:tc>
        <w:tc>
          <w:tcPr>
            <w:tcW w:w="920" w:type="dxa"/>
            <w:tcBorders>
              <w:top w:val="nil"/>
              <w:left w:val="nil"/>
              <w:bottom w:val="nil"/>
              <w:right w:val="nil"/>
            </w:tcBorders>
            <w:shd w:val="clear" w:color="auto" w:fill="auto"/>
            <w:noWrap/>
            <w:vAlign w:val="bottom"/>
            <w:hideMark/>
          </w:tcPr>
          <w:p w14:paraId="65CF710A"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1,847</w:t>
            </w:r>
          </w:p>
        </w:tc>
        <w:tc>
          <w:tcPr>
            <w:tcW w:w="920" w:type="dxa"/>
            <w:tcBorders>
              <w:top w:val="nil"/>
              <w:left w:val="nil"/>
              <w:bottom w:val="nil"/>
              <w:right w:val="nil"/>
            </w:tcBorders>
            <w:shd w:val="clear" w:color="auto" w:fill="auto"/>
            <w:noWrap/>
            <w:vAlign w:val="bottom"/>
            <w:hideMark/>
          </w:tcPr>
          <w:p w14:paraId="62308C75"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1,847</w:t>
            </w:r>
          </w:p>
        </w:tc>
        <w:tc>
          <w:tcPr>
            <w:tcW w:w="920" w:type="dxa"/>
            <w:tcBorders>
              <w:top w:val="nil"/>
              <w:left w:val="nil"/>
              <w:bottom w:val="nil"/>
              <w:right w:val="nil"/>
            </w:tcBorders>
            <w:shd w:val="clear" w:color="auto" w:fill="auto"/>
            <w:noWrap/>
            <w:vAlign w:val="bottom"/>
            <w:hideMark/>
          </w:tcPr>
          <w:p w14:paraId="7B89600F"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1,847</w:t>
            </w:r>
          </w:p>
        </w:tc>
      </w:tr>
      <w:tr w:rsidR="00221320" w:rsidRPr="00221320" w14:paraId="13D9364C"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3B0B9AC4" w14:textId="77777777" w:rsidR="00221320" w:rsidRPr="00221320" w:rsidRDefault="00221320" w:rsidP="00C27A52">
            <w:pPr>
              <w:spacing w:before="0" w:after="0" w:line="240" w:lineRule="auto"/>
              <w:ind w:leftChars="150" w:left="285"/>
              <w:rPr>
                <w:rFonts w:ascii="Arial" w:hAnsi="Arial" w:cs="Arial"/>
                <w:b/>
                <w:bCs/>
                <w:sz w:val="16"/>
                <w:szCs w:val="16"/>
              </w:rPr>
            </w:pPr>
            <w:r w:rsidRPr="00221320">
              <w:rPr>
                <w:rFonts w:ascii="Arial" w:hAnsi="Arial" w:cs="Arial"/>
                <w:b/>
                <w:bCs/>
                <w:sz w:val="16"/>
                <w:szCs w:val="16"/>
              </w:rPr>
              <w:t>Total revenue</w:t>
            </w:r>
          </w:p>
        </w:tc>
        <w:tc>
          <w:tcPr>
            <w:tcW w:w="920" w:type="dxa"/>
            <w:tcBorders>
              <w:top w:val="nil"/>
              <w:left w:val="nil"/>
              <w:bottom w:val="single" w:sz="4" w:space="0" w:color="auto"/>
              <w:right w:val="nil"/>
            </w:tcBorders>
            <w:shd w:val="clear" w:color="auto" w:fill="auto"/>
            <w:noWrap/>
            <w:vAlign w:val="bottom"/>
            <w:hideMark/>
          </w:tcPr>
          <w:p w14:paraId="473D2E90"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236,008</w:t>
            </w:r>
          </w:p>
        </w:tc>
        <w:tc>
          <w:tcPr>
            <w:tcW w:w="920" w:type="dxa"/>
            <w:tcBorders>
              <w:top w:val="nil"/>
              <w:left w:val="nil"/>
              <w:bottom w:val="single" w:sz="4" w:space="0" w:color="auto"/>
              <w:right w:val="nil"/>
            </w:tcBorders>
            <w:shd w:val="clear" w:color="000000" w:fill="D9D9D9"/>
            <w:noWrap/>
            <w:vAlign w:val="bottom"/>
            <w:hideMark/>
          </w:tcPr>
          <w:p w14:paraId="11303098"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241,593</w:t>
            </w:r>
          </w:p>
        </w:tc>
        <w:tc>
          <w:tcPr>
            <w:tcW w:w="920" w:type="dxa"/>
            <w:tcBorders>
              <w:top w:val="nil"/>
              <w:left w:val="nil"/>
              <w:bottom w:val="single" w:sz="4" w:space="0" w:color="auto"/>
              <w:right w:val="nil"/>
            </w:tcBorders>
            <w:shd w:val="clear" w:color="auto" w:fill="auto"/>
            <w:noWrap/>
            <w:vAlign w:val="bottom"/>
            <w:hideMark/>
          </w:tcPr>
          <w:p w14:paraId="00C4E860"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250,108</w:t>
            </w:r>
          </w:p>
        </w:tc>
        <w:tc>
          <w:tcPr>
            <w:tcW w:w="920" w:type="dxa"/>
            <w:tcBorders>
              <w:top w:val="nil"/>
              <w:left w:val="nil"/>
              <w:bottom w:val="single" w:sz="4" w:space="0" w:color="auto"/>
              <w:right w:val="nil"/>
            </w:tcBorders>
            <w:shd w:val="clear" w:color="auto" w:fill="auto"/>
            <w:noWrap/>
            <w:vAlign w:val="bottom"/>
            <w:hideMark/>
          </w:tcPr>
          <w:p w14:paraId="1D136459"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254,675</w:t>
            </w:r>
          </w:p>
        </w:tc>
        <w:tc>
          <w:tcPr>
            <w:tcW w:w="920" w:type="dxa"/>
            <w:tcBorders>
              <w:top w:val="nil"/>
              <w:left w:val="nil"/>
              <w:bottom w:val="single" w:sz="4" w:space="0" w:color="auto"/>
              <w:right w:val="nil"/>
            </w:tcBorders>
            <w:shd w:val="clear" w:color="auto" w:fill="auto"/>
            <w:noWrap/>
            <w:vAlign w:val="bottom"/>
            <w:hideMark/>
          </w:tcPr>
          <w:p w14:paraId="0BFD6A0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259,108</w:t>
            </w:r>
          </w:p>
        </w:tc>
      </w:tr>
      <w:tr w:rsidR="00221320" w:rsidRPr="00221320" w14:paraId="70E9A41E"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0F04AFBB" w14:textId="77777777" w:rsidR="00221320" w:rsidRPr="00221320" w:rsidRDefault="00221320" w:rsidP="00221320">
            <w:pPr>
              <w:spacing w:before="0" w:after="0" w:line="240" w:lineRule="auto"/>
              <w:ind w:leftChars="75" w:left="143"/>
              <w:rPr>
                <w:rFonts w:ascii="Arial" w:hAnsi="Arial" w:cs="Arial"/>
                <w:b/>
                <w:bCs/>
                <w:sz w:val="16"/>
                <w:szCs w:val="16"/>
              </w:rPr>
            </w:pPr>
            <w:r w:rsidRPr="00221320">
              <w:rPr>
                <w:rFonts w:ascii="Arial" w:hAnsi="Arial" w:cs="Arial"/>
                <w:b/>
                <w:bCs/>
                <w:sz w:val="16"/>
                <w:szCs w:val="16"/>
              </w:rPr>
              <w:t>Gains</w:t>
            </w:r>
          </w:p>
        </w:tc>
        <w:tc>
          <w:tcPr>
            <w:tcW w:w="920" w:type="dxa"/>
            <w:tcBorders>
              <w:top w:val="nil"/>
              <w:left w:val="nil"/>
              <w:bottom w:val="nil"/>
              <w:right w:val="nil"/>
            </w:tcBorders>
            <w:shd w:val="clear" w:color="auto" w:fill="auto"/>
            <w:noWrap/>
            <w:vAlign w:val="bottom"/>
            <w:hideMark/>
          </w:tcPr>
          <w:p w14:paraId="41D657E9" w14:textId="77777777" w:rsidR="00221320" w:rsidRPr="00221320" w:rsidRDefault="00221320" w:rsidP="00221320">
            <w:pPr>
              <w:spacing w:before="0" w:after="0" w:line="240" w:lineRule="auto"/>
              <w:ind w:firstLineChars="100" w:firstLine="161"/>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56F765F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nil"/>
              <w:left w:val="nil"/>
              <w:bottom w:val="nil"/>
              <w:right w:val="nil"/>
            </w:tcBorders>
            <w:shd w:val="clear" w:color="auto" w:fill="auto"/>
            <w:noWrap/>
            <w:vAlign w:val="bottom"/>
            <w:hideMark/>
          </w:tcPr>
          <w:p w14:paraId="6C0F8E7E" w14:textId="77777777" w:rsidR="00221320" w:rsidRPr="00221320" w:rsidRDefault="00221320" w:rsidP="00221320">
            <w:pPr>
              <w:spacing w:before="0"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2BDA68D7" w14:textId="77777777" w:rsidR="00221320" w:rsidRPr="00221320" w:rsidRDefault="00221320" w:rsidP="00221320">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74F4DDB0" w14:textId="77777777" w:rsidR="00221320" w:rsidRPr="00221320" w:rsidRDefault="00221320" w:rsidP="00221320">
            <w:pPr>
              <w:spacing w:before="0" w:after="0" w:line="240" w:lineRule="auto"/>
              <w:jc w:val="right"/>
              <w:rPr>
                <w:rFonts w:ascii="Times New Roman" w:hAnsi="Times New Roman"/>
                <w:sz w:val="20"/>
              </w:rPr>
            </w:pPr>
          </w:p>
        </w:tc>
      </w:tr>
      <w:tr w:rsidR="00221320" w:rsidRPr="00221320" w14:paraId="31992A6B"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4E4A046A" w14:textId="77777777" w:rsidR="00221320" w:rsidRPr="00221320" w:rsidRDefault="00221320" w:rsidP="00C27A52">
            <w:pPr>
              <w:spacing w:before="0" w:after="0" w:line="240" w:lineRule="auto"/>
              <w:ind w:leftChars="150" w:left="285"/>
              <w:rPr>
                <w:rFonts w:ascii="Arial" w:hAnsi="Arial" w:cs="Arial"/>
                <w:sz w:val="16"/>
                <w:szCs w:val="16"/>
              </w:rPr>
            </w:pPr>
            <w:r w:rsidRPr="00221320">
              <w:rPr>
                <w:rFonts w:ascii="Arial" w:hAnsi="Arial" w:cs="Arial"/>
                <w:sz w:val="16"/>
                <w:szCs w:val="16"/>
              </w:rPr>
              <w:t>Other</w:t>
            </w:r>
          </w:p>
        </w:tc>
        <w:tc>
          <w:tcPr>
            <w:tcW w:w="920" w:type="dxa"/>
            <w:tcBorders>
              <w:top w:val="nil"/>
              <w:left w:val="nil"/>
              <w:bottom w:val="nil"/>
              <w:right w:val="nil"/>
            </w:tcBorders>
            <w:shd w:val="clear" w:color="auto" w:fill="auto"/>
            <w:noWrap/>
            <w:vAlign w:val="bottom"/>
            <w:hideMark/>
          </w:tcPr>
          <w:p w14:paraId="0898378B"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9,810</w:t>
            </w:r>
          </w:p>
        </w:tc>
        <w:tc>
          <w:tcPr>
            <w:tcW w:w="920" w:type="dxa"/>
            <w:tcBorders>
              <w:top w:val="nil"/>
              <w:left w:val="nil"/>
              <w:bottom w:val="nil"/>
              <w:right w:val="nil"/>
            </w:tcBorders>
            <w:shd w:val="clear" w:color="000000" w:fill="D9D9D9"/>
            <w:noWrap/>
            <w:vAlign w:val="bottom"/>
            <w:hideMark/>
          </w:tcPr>
          <w:p w14:paraId="52978B96"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920</w:t>
            </w:r>
          </w:p>
        </w:tc>
        <w:tc>
          <w:tcPr>
            <w:tcW w:w="920" w:type="dxa"/>
            <w:tcBorders>
              <w:top w:val="nil"/>
              <w:left w:val="nil"/>
              <w:bottom w:val="nil"/>
              <w:right w:val="nil"/>
            </w:tcBorders>
            <w:shd w:val="clear" w:color="auto" w:fill="auto"/>
            <w:noWrap/>
            <w:vAlign w:val="bottom"/>
            <w:hideMark/>
          </w:tcPr>
          <w:p w14:paraId="1AD2ED42"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920</w:t>
            </w:r>
          </w:p>
        </w:tc>
        <w:tc>
          <w:tcPr>
            <w:tcW w:w="920" w:type="dxa"/>
            <w:tcBorders>
              <w:top w:val="nil"/>
              <w:left w:val="nil"/>
              <w:bottom w:val="nil"/>
              <w:right w:val="nil"/>
            </w:tcBorders>
            <w:shd w:val="clear" w:color="auto" w:fill="auto"/>
            <w:noWrap/>
            <w:vAlign w:val="bottom"/>
            <w:hideMark/>
          </w:tcPr>
          <w:p w14:paraId="28E4C8C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920</w:t>
            </w:r>
          </w:p>
        </w:tc>
        <w:tc>
          <w:tcPr>
            <w:tcW w:w="920" w:type="dxa"/>
            <w:tcBorders>
              <w:top w:val="nil"/>
              <w:left w:val="nil"/>
              <w:bottom w:val="nil"/>
              <w:right w:val="nil"/>
            </w:tcBorders>
            <w:shd w:val="clear" w:color="auto" w:fill="auto"/>
            <w:noWrap/>
            <w:vAlign w:val="bottom"/>
            <w:hideMark/>
          </w:tcPr>
          <w:p w14:paraId="6BF859C7"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920</w:t>
            </w:r>
          </w:p>
        </w:tc>
      </w:tr>
      <w:tr w:rsidR="00221320" w:rsidRPr="00221320" w14:paraId="2ABD7449" w14:textId="77777777" w:rsidTr="00221320">
        <w:trPr>
          <w:trHeight w:val="225"/>
          <w:jc w:val="center"/>
        </w:trPr>
        <w:tc>
          <w:tcPr>
            <w:tcW w:w="3000" w:type="dxa"/>
            <w:tcBorders>
              <w:top w:val="nil"/>
              <w:left w:val="nil"/>
              <w:bottom w:val="nil"/>
              <w:right w:val="nil"/>
            </w:tcBorders>
            <w:shd w:val="clear" w:color="auto" w:fill="auto"/>
            <w:noWrap/>
            <w:vAlign w:val="bottom"/>
            <w:hideMark/>
          </w:tcPr>
          <w:p w14:paraId="5BFD1FEA" w14:textId="77777777" w:rsidR="00221320" w:rsidRPr="00221320" w:rsidRDefault="00221320" w:rsidP="00C27A52">
            <w:pPr>
              <w:spacing w:before="0" w:after="0" w:line="240" w:lineRule="auto"/>
              <w:ind w:leftChars="150" w:left="285"/>
              <w:rPr>
                <w:rFonts w:ascii="Arial" w:hAnsi="Arial" w:cs="Arial"/>
                <w:b/>
                <w:bCs/>
                <w:sz w:val="16"/>
                <w:szCs w:val="16"/>
              </w:rPr>
            </w:pPr>
            <w:r w:rsidRPr="00221320">
              <w:rPr>
                <w:rFonts w:ascii="Arial" w:hAnsi="Arial" w:cs="Arial"/>
                <w:b/>
                <w:bCs/>
                <w:sz w:val="16"/>
                <w:szCs w:val="16"/>
              </w:rPr>
              <w:t>Total gains</w:t>
            </w:r>
          </w:p>
        </w:tc>
        <w:tc>
          <w:tcPr>
            <w:tcW w:w="920" w:type="dxa"/>
            <w:tcBorders>
              <w:top w:val="nil"/>
              <w:left w:val="nil"/>
              <w:bottom w:val="single" w:sz="4" w:space="0" w:color="auto"/>
              <w:right w:val="nil"/>
            </w:tcBorders>
            <w:shd w:val="clear" w:color="auto" w:fill="auto"/>
            <w:noWrap/>
            <w:vAlign w:val="bottom"/>
            <w:hideMark/>
          </w:tcPr>
          <w:p w14:paraId="18BE3412"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9,810</w:t>
            </w:r>
          </w:p>
        </w:tc>
        <w:tc>
          <w:tcPr>
            <w:tcW w:w="920" w:type="dxa"/>
            <w:tcBorders>
              <w:top w:val="nil"/>
              <w:left w:val="nil"/>
              <w:bottom w:val="single" w:sz="4" w:space="0" w:color="auto"/>
              <w:right w:val="nil"/>
            </w:tcBorders>
            <w:shd w:val="clear" w:color="000000" w:fill="D9D9D9"/>
            <w:noWrap/>
            <w:vAlign w:val="bottom"/>
            <w:hideMark/>
          </w:tcPr>
          <w:p w14:paraId="53E044C5"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920</w:t>
            </w:r>
          </w:p>
        </w:tc>
        <w:tc>
          <w:tcPr>
            <w:tcW w:w="920" w:type="dxa"/>
            <w:tcBorders>
              <w:top w:val="nil"/>
              <w:left w:val="nil"/>
              <w:bottom w:val="single" w:sz="4" w:space="0" w:color="auto"/>
              <w:right w:val="nil"/>
            </w:tcBorders>
            <w:shd w:val="clear" w:color="auto" w:fill="auto"/>
            <w:noWrap/>
            <w:vAlign w:val="bottom"/>
            <w:hideMark/>
          </w:tcPr>
          <w:p w14:paraId="5DBB162D"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920</w:t>
            </w:r>
          </w:p>
        </w:tc>
        <w:tc>
          <w:tcPr>
            <w:tcW w:w="920" w:type="dxa"/>
            <w:tcBorders>
              <w:top w:val="nil"/>
              <w:left w:val="nil"/>
              <w:bottom w:val="single" w:sz="4" w:space="0" w:color="auto"/>
              <w:right w:val="nil"/>
            </w:tcBorders>
            <w:shd w:val="clear" w:color="auto" w:fill="auto"/>
            <w:noWrap/>
            <w:vAlign w:val="bottom"/>
            <w:hideMark/>
          </w:tcPr>
          <w:p w14:paraId="6D4EA9A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920</w:t>
            </w:r>
          </w:p>
        </w:tc>
        <w:tc>
          <w:tcPr>
            <w:tcW w:w="920" w:type="dxa"/>
            <w:tcBorders>
              <w:top w:val="nil"/>
              <w:left w:val="nil"/>
              <w:bottom w:val="single" w:sz="4" w:space="0" w:color="auto"/>
              <w:right w:val="nil"/>
            </w:tcBorders>
            <w:shd w:val="clear" w:color="auto" w:fill="auto"/>
            <w:noWrap/>
            <w:vAlign w:val="bottom"/>
            <w:hideMark/>
          </w:tcPr>
          <w:p w14:paraId="7DCFDF7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920</w:t>
            </w:r>
          </w:p>
        </w:tc>
      </w:tr>
      <w:tr w:rsidR="00221320" w:rsidRPr="00221320" w14:paraId="7E763FEC"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4122DF13" w14:textId="77777777" w:rsidR="00221320" w:rsidRPr="00221320" w:rsidRDefault="00221320" w:rsidP="00221320">
            <w:pPr>
              <w:spacing w:before="0" w:after="0" w:line="240" w:lineRule="auto"/>
              <w:ind w:leftChars="75" w:left="143"/>
              <w:rPr>
                <w:rFonts w:ascii="Arial" w:hAnsi="Arial" w:cs="Arial"/>
                <w:b/>
                <w:bCs/>
                <w:sz w:val="16"/>
                <w:szCs w:val="16"/>
              </w:rPr>
            </w:pPr>
            <w:r w:rsidRPr="00221320">
              <w:rPr>
                <w:rFonts w:ascii="Arial" w:hAnsi="Arial" w:cs="Arial"/>
                <w:b/>
                <w:bCs/>
                <w:sz w:val="16"/>
                <w:szCs w:val="16"/>
              </w:rPr>
              <w:t>Total own-source income</w:t>
            </w:r>
          </w:p>
        </w:tc>
        <w:tc>
          <w:tcPr>
            <w:tcW w:w="920" w:type="dxa"/>
            <w:tcBorders>
              <w:top w:val="nil"/>
              <w:left w:val="nil"/>
              <w:bottom w:val="single" w:sz="4" w:space="0" w:color="auto"/>
              <w:right w:val="nil"/>
            </w:tcBorders>
            <w:shd w:val="clear" w:color="auto" w:fill="auto"/>
            <w:noWrap/>
            <w:vAlign w:val="bottom"/>
            <w:hideMark/>
          </w:tcPr>
          <w:p w14:paraId="71D4AB79"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245,818</w:t>
            </w:r>
          </w:p>
        </w:tc>
        <w:tc>
          <w:tcPr>
            <w:tcW w:w="920" w:type="dxa"/>
            <w:tcBorders>
              <w:top w:val="nil"/>
              <w:left w:val="nil"/>
              <w:bottom w:val="single" w:sz="4" w:space="0" w:color="auto"/>
              <w:right w:val="nil"/>
            </w:tcBorders>
            <w:shd w:val="clear" w:color="000000" w:fill="D9D9D9"/>
            <w:noWrap/>
            <w:vAlign w:val="bottom"/>
            <w:hideMark/>
          </w:tcPr>
          <w:p w14:paraId="06C33D6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242,513</w:t>
            </w:r>
          </w:p>
        </w:tc>
        <w:tc>
          <w:tcPr>
            <w:tcW w:w="920" w:type="dxa"/>
            <w:tcBorders>
              <w:top w:val="nil"/>
              <w:left w:val="nil"/>
              <w:bottom w:val="single" w:sz="4" w:space="0" w:color="auto"/>
              <w:right w:val="nil"/>
            </w:tcBorders>
            <w:shd w:val="clear" w:color="auto" w:fill="auto"/>
            <w:noWrap/>
            <w:vAlign w:val="bottom"/>
            <w:hideMark/>
          </w:tcPr>
          <w:p w14:paraId="0B17DA1C"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251,028</w:t>
            </w:r>
          </w:p>
        </w:tc>
        <w:tc>
          <w:tcPr>
            <w:tcW w:w="920" w:type="dxa"/>
            <w:tcBorders>
              <w:top w:val="nil"/>
              <w:left w:val="nil"/>
              <w:bottom w:val="single" w:sz="4" w:space="0" w:color="auto"/>
              <w:right w:val="nil"/>
            </w:tcBorders>
            <w:shd w:val="clear" w:color="auto" w:fill="auto"/>
            <w:noWrap/>
            <w:vAlign w:val="bottom"/>
            <w:hideMark/>
          </w:tcPr>
          <w:p w14:paraId="2D172C6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255,595</w:t>
            </w:r>
          </w:p>
        </w:tc>
        <w:tc>
          <w:tcPr>
            <w:tcW w:w="920" w:type="dxa"/>
            <w:tcBorders>
              <w:top w:val="nil"/>
              <w:left w:val="nil"/>
              <w:bottom w:val="single" w:sz="4" w:space="0" w:color="auto"/>
              <w:right w:val="nil"/>
            </w:tcBorders>
            <w:shd w:val="clear" w:color="auto" w:fill="auto"/>
            <w:noWrap/>
            <w:vAlign w:val="bottom"/>
            <w:hideMark/>
          </w:tcPr>
          <w:p w14:paraId="6D0F492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260,028</w:t>
            </w:r>
          </w:p>
        </w:tc>
      </w:tr>
      <w:tr w:rsidR="00221320" w:rsidRPr="00221320" w14:paraId="18BBDD87" w14:textId="77777777" w:rsidTr="006D4744">
        <w:trPr>
          <w:trHeight w:val="454"/>
          <w:jc w:val="center"/>
        </w:trPr>
        <w:tc>
          <w:tcPr>
            <w:tcW w:w="3000" w:type="dxa"/>
            <w:tcBorders>
              <w:top w:val="nil"/>
              <w:left w:val="nil"/>
              <w:bottom w:val="nil"/>
              <w:right w:val="nil"/>
            </w:tcBorders>
            <w:shd w:val="clear" w:color="auto" w:fill="auto"/>
            <w:vAlign w:val="bottom"/>
            <w:hideMark/>
          </w:tcPr>
          <w:p w14:paraId="197F2A29"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 xml:space="preserve">Net cost of (contribution by) services </w:t>
            </w:r>
          </w:p>
        </w:tc>
        <w:tc>
          <w:tcPr>
            <w:tcW w:w="920" w:type="dxa"/>
            <w:tcBorders>
              <w:top w:val="nil"/>
              <w:left w:val="nil"/>
              <w:bottom w:val="single" w:sz="4" w:space="0" w:color="auto"/>
              <w:right w:val="nil"/>
            </w:tcBorders>
            <w:shd w:val="clear" w:color="auto" w:fill="auto"/>
            <w:noWrap/>
            <w:tcMar>
              <w:left w:w="0" w:type="dxa"/>
            </w:tcMar>
            <w:vAlign w:val="bottom"/>
            <w:hideMark/>
          </w:tcPr>
          <w:p w14:paraId="3E813040"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1,104,246</w:t>
            </w:r>
          </w:p>
        </w:tc>
        <w:tc>
          <w:tcPr>
            <w:tcW w:w="920" w:type="dxa"/>
            <w:tcBorders>
              <w:top w:val="nil"/>
              <w:left w:val="nil"/>
              <w:bottom w:val="single" w:sz="4" w:space="0" w:color="auto"/>
              <w:right w:val="nil"/>
            </w:tcBorders>
            <w:shd w:val="clear" w:color="000000" w:fill="D9D9D9"/>
            <w:noWrap/>
            <w:tcMar>
              <w:left w:w="0" w:type="dxa"/>
            </w:tcMar>
            <w:vAlign w:val="bottom"/>
            <w:hideMark/>
          </w:tcPr>
          <w:p w14:paraId="7D24DA6B"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1,348,151</w:t>
            </w:r>
          </w:p>
        </w:tc>
        <w:tc>
          <w:tcPr>
            <w:tcW w:w="920" w:type="dxa"/>
            <w:tcBorders>
              <w:top w:val="nil"/>
              <w:left w:val="nil"/>
              <w:bottom w:val="single" w:sz="4" w:space="0" w:color="auto"/>
              <w:right w:val="nil"/>
            </w:tcBorders>
            <w:shd w:val="clear" w:color="auto" w:fill="auto"/>
            <w:noWrap/>
            <w:tcMar>
              <w:left w:w="0" w:type="dxa"/>
            </w:tcMar>
            <w:vAlign w:val="bottom"/>
            <w:hideMark/>
          </w:tcPr>
          <w:p w14:paraId="09DC2C8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1,107,714</w:t>
            </w:r>
          </w:p>
        </w:tc>
        <w:tc>
          <w:tcPr>
            <w:tcW w:w="920" w:type="dxa"/>
            <w:tcBorders>
              <w:top w:val="nil"/>
              <w:left w:val="nil"/>
              <w:bottom w:val="single" w:sz="4" w:space="0" w:color="auto"/>
              <w:right w:val="nil"/>
            </w:tcBorders>
            <w:shd w:val="clear" w:color="auto" w:fill="auto"/>
            <w:noWrap/>
            <w:vAlign w:val="bottom"/>
            <w:hideMark/>
          </w:tcPr>
          <w:p w14:paraId="5EA572BD"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890,847</w:t>
            </w:r>
          </w:p>
        </w:tc>
        <w:tc>
          <w:tcPr>
            <w:tcW w:w="920" w:type="dxa"/>
            <w:tcBorders>
              <w:top w:val="nil"/>
              <w:left w:val="nil"/>
              <w:bottom w:val="single" w:sz="4" w:space="0" w:color="auto"/>
              <w:right w:val="nil"/>
            </w:tcBorders>
            <w:shd w:val="clear" w:color="auto" w:fill="auto"/>
            <w:noWrap/>
            <w:vAlign w:val="bottom"/>
            <w:hideMark/>
          </w:tcPr>
          <w:p w14:paraId="0C2F96E1"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873,992</w:t>
            </w:r>
          </w:p>
        </w:tc>
      </w:tr>
      <w:tr w:rsidR="00221320" w:rsidRPr="00221320" w14:paraId="11E5BF49" w14:textId="77777777" w:rsidTr="006D4744">
        <w:trPr>
          <w:trHeight w:val="283"/>
          <w:jc w:val="center"/>
        </w:trPr>
        <w:tc>
          <w:tcPr>
            <w:tcW w:w="3000" w:type="dxa"/>
            <w:tcBorders>
              <w:top w:val="nil"/>
              <w:left w:val="nil"/>
              <w:bottom w:val="nil"/>
              <w:right w:val="nil"/>
            </w:tcBorders>
            <w:shd w:val="clear" w:color="auto" w:fill="auto"/>
            <w:noWrap/>
            <w:vAlign w:val="bottom"/>
            <w:hideMark/>
          </w:tcPr>
          <w:p w14:paraId="7A2E48D3"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Revenue from Government</w:t>
            </w:r>
          </w:p>
        </w:tc>
        <w:tc>
          <w:tcPr>
            <w:tcW w:w="920" w:type="dxa"/>
            <w:tcBorders>
              <w:top w:val="nil"/>
              <w:left w:val="nil"/>
              <w:bottom w:val="nil"/>
              <w:right w:val="nil"/>
            </w:tcBorders>
            <w:shd w:val="clear" w:color="auto" w:fill="auto"/>
            <w:noWrap/>
            <w:tcMar>
              <w:left w:w="0" w:type="dxa"/>
            </w:tcMar>
            <w:vAlign w:val="bottom"/>
            <w:hideMark/>
          </w:tcPr>
          <w:p w14:paraId="5CACBD1D"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1,066,637</w:t>
            </w:r>
          </w:p>
        </w:tc>
        <w:tc>
          <w:tcPr>
            <w:tcW w:w="920" w:type="dxa"/>
            <w:tcBorders>
              <w:top w:val="nil"/>
              <w:left w:val="nil"/>
              <w:bottom w:val="nil"/>
              <w:right w:val="nil"/>
            </w:tcBorders>
            <w:shd w:val="clear" w:color="000000" w:fill="D9D9D9"/>
            <w:noWrap/>
            <w:tcMar>
              <w:left w:w="0" w:type="dxa"/>
            </w:tcMar>
            <w:vAlign w:val="bottom"/>
            <w:hideMark/>
          </w:tcPr>
          <w:p w14:paraId="69DFE21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1,305,903</w:t>
            </w:r>
          </w:p>
        </w:tc>
        <w:tc>
          <w:tcPr>
            <w:tcW w:w="920" w:type="dxa"/>
            <w:tcBorders>
              <w:top w:val="nil"/>
              <w:left w:val="nil"/>
              <w:bottom w:val="nil"/>
              <w:right w:val="nil"/>
            </w:tcBorders>
            <w:shd w:val="clear" w:color="auto" w:fill="auto"/>
            <w:noWrap/>
            <w:tcMar>
              <w:left w:w="0" w:type="dxa"/>
            </w:tcMar>
            <w:vAlign w:val="bottom"/>
            <w:hideMark/>
          </w:tcPr>
          <w:p w14:paraId="4CF277E8"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1,042,790</w:t>
            </w:r>
          </w:p>
        </w:tc>
        <w:tc>
          <w:tcPr>
            <w:tcW w:w="920" w:type="dxa"/>
            <w:tcBorders>
              <w:top w:val="nil"/>
              <w:left w:val="nil"/>
              <w:bottom w:val="nil"/>
              <w:right w:val="nil"/>
            </w:tcBorders>
            <w:shd w:val="clear" w:color="auto" w:fill="auto"/>
            <w:noWrap/>
            <w:vAlign w:val="bottom"/>
            <w:hideMark/>
          </w:tcPr>
          <w:p w14:paraId="0CEEE569"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837,061</w:t>
            </w:r>
          </w:p>
        </w:tc>
        <w:tc>
          <w:tcPr>
            <w:tcW w:w="920" w:type="dxa"/>
            <w:tcBorders>
              <w:top w:val="nil"/>
              <w:left w:val="nil"/>
              <w:bottom w:val="nil"/>
              <w:right w:val="nil"/>
            </w:tcBorders>
            <w:shd w:val="clear" w:color="auto" w:fill="auto"/>
            <w:noWrap/>
            <w:vAlign w:val="bottom"/>
            <w:hideMark/>
          </w:tcPr>
          <w:p w14:paraId="43E3B6B9"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821,312</w:t>
            </w:r>
          </w:p>
        </w:tc>
      </w:tr>
      <w:tr w:rsidR="00221320" w:rsidRPr="00221320" w14:paraId="5B0CBEC7"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35E81276"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Surplus (Deficit)</w:t>
            </w:r>
          </w:p>
        </w:tc>
        <w:tc>
          <w:tcPr>
            <w:tcW w:w="920" w:type="dxa"/>
            <w:tcBorders>
              <w:top w:val="nil"/>
              <w:left w:val="nil"/>
              <w:bottom w:val="single" w:sz="4" w:space="0" w:color="auto"/>
              <w:right w:val="nil"/>
            </w:tcBorders>
            <w:shd w:val="clear" w:color="auto" w:fill="auto"/>
            <w:noWrap/>
            <w:vAlign w:val="bottom"/>
            <w:hideMark/>
          </w:tcPr>
          <w:p w14:paraId="23190286"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(37,609)</w:t>
            </w:r>
          </w:p>
        </w:tc>
        <w:tc>
          <w:tcPr>
            <w:tcW w:w="920" w:type="dxa"/>
            <w:tcBorders>
              <w:top w:val="nil"/>
              <w:left w:val="nil"/>
              <w:bottom w:val="single" w:sz="4" w:space="0" w:color="auto"/>
              <w:right w:val="nil"/>
            </w:tcBorders>
            <w:shd w:val="clear" w:color="000000" w:fill="D9D9D9"/>
            <w:noWrap/>
            <w:vAlign w:val="bottom"/>
            <w:hideMark/>
          </w:tcPr>
          <w:p w14:paraId="1182975D"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(42,248)</w:t>
            </w:r>
          </w:p>
        </w:tc>
        <w:tc>
          <w:tcPr>
            <w:tcW w:w="920" w:type="dxa"/>
            <w:tcBorders>
              <w:top w:val="nil"/>
              <w:left w:val="nil"/>
              <w:bottom w:val="single" w:sz="4" w:space="0" w:color="auto"/>
              <w:right w:val="nil"/>
            </w:tcBorders>
            <w:shd w:val="clear" w:color="auto" w:fill="auto"/>
            <w:noWrap/>
            <w:vAlign w:val="bottom"/>
            <w:hideMark/>
          </w:tcPr>
          <w:p w14:paraId="59F5859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(64,924)</w:t>
            </w:r>
          </w:p>
        </w:tc>
        <w:tc>
          <w:tcPr>
            <w:tcW w:w="920" w:type="dxa"/>
            <w:tcBorders>
              <w:top w:val="nil"/>
              <w:left w:val="nil"/>
              <w:bottom w:val="single" w:sz="4" w:space="0" w:color="auto"/>
              <w:right w:val="nil"/>
            </w:tcBorders>
            <w:shd w:val="clear" w:color="auto" w:fill="auto"/>
            <w:noWrap/>
            <w:vAlign w:val="bottom"/>
            <w:hideMark/>
          </w:tcPr>
          <w:p w14:paraId="3B135557"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(53,786)</w:t>
            </w:r>
          </w:p>
        </w:tc>
        <w:tc>
          <w:tcPr>
            <w:tcW w:w="920" w:type="dxa"/>
            <w:tcBorders>
              <w:top w:val="nil"/>
              <w:left w:val="nil"/>
              <w:bottom w:val="single" w:sz="4" w:space="0" w:color="auto"/>
              <w:right w:val="nil"/>
            </w:tcBorders>
            <w:shd w:val="clear" w:color="auto" w:fill="auto"/>
            <w:noWrap/>
            <w:vAlign w:val="bottom"/>
            <w:hideMark/>
          </w:tcPr>
          <w:p w14:paraId="6FBDAFC3"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(52,680)</w:t>
            </w:r>
          </w:p>
        </w:tc>
      </w:tr>
      <w:tr w:rsidR="00221320" w:rsidRPr="00221320" w14:paraId="2113906F" w14:textId="77777777" w:rsidTr="00EA054D">
        <w:trPr>
          <w:trHeight w:val="595"/>
          <w:jc w:val="center"/>
        </w:trPr>
        <w:tc>
          <w:tcPr>
            <w:tcW w:w="3000" w:type="dxa"/>
            <w:tcBorders>
              <w:top w:val="nil"/>
              <w:left w:val="nil"/>
              <w:bottom w:val="nil"/>
              <w:right w:val="nil"/>
            </w:tcBorders>
            <w:shd w:val="clear" w:color="auto" w:fill="auto"/>
            <w:vAlign w:val="bottom"/>
            <w:hideMark/>
          </w:tcPr>
          <w:p w14:paraId="12FFCAB6"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Surplus (Deficit)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7A10699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(37,609)</w:t>
            </w:r>
          </w:p>
        </w:tc>
        <w:tc>
          <w:tcPr>
            <w:tcW w:w="920" w:type="dxa"/>
            <w:tcBorders>
              <w:top w:val="nil"/>
              <w:left w:val="nil"/>
              <w:bottom w:val="single" w:sz="4" w:space="0" w:color="auto"/>
              <w:right w:val="nil"/>
            </w:tcBorders>
            <w:shd w:val="clear" w:color="000000" w:fill="D9D9D9"/>
            <w:noWrap/>
            <w:vAlign w:val="bottom"/>
            <w:hideMark/>
          </w:tcPr>
          <w:p w14:paraId="62B02FB4"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(42,248)</w:t>
            </w:r>
          </w:p>
        </w:tc>
        <w:tc>
          <w:tcPr>
            <w:tcW w:w="920" w:type="dxa"/>
            <w:tcBorders>
              <w:top w:val="nil"/>
              <w:left w:val="nil"/>
              <w:bottom w:val="single" w:sz="4" w:space="0" w:color="auto"/>
              <w:right w:val="nil"/>
            </w:tcBorders>
            <w:shd w:val="clear" w:color="auto" w:fill="auto"/>
            <w:noWrap/>
            <w:vAlign w:val="bottom"/>
            <w:hideMark/>
          </w:tcPr>
          <w:p w14:paraId="1C2308D9"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(64,924)</w:t>
            </w:r>
          </w:p>
        </w:tc>
        <w:tc>
          <w:tcPr>
            <w:tcW w:w="920" w:type="dxa"/>
            <w:tcBorders>
              <w:top w:val="nil"/>
              <w:left w:val="nil"/>
              <w:bottom w:val="single" w:sz="4" w:space="0" w:color="auto"/>
              <w:right w:val="nil"/>
            </w:tcBorders>
            <w:shd w:val="clear" w:color="auto" w:fill="auto"/>
            <w:noWrap/>
            <w:vAlign w:val="bottom"/>
            <w:hideMark/>
          </w:tcPr>
          <w:p w14:paraId="07173B5C"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(53,786)</w:t>
            </w:r>
          </w:p>
        </w:tc>
        <w:tc>
          <w:tcPr>
            <w:tcW w:w="920" w:type="dxa"/>
            <w:tcBorders>
              <w:top w:val="nil"/>
              <w:left w:val="nil"/>
              <w:bottom w:val="single" w:sz="4" w:space="0" w:color="auto"/>
              <w:right w:val="nil"/>
            </w:tcBorders>
            <w:shd w:val="clear" w:color="auto" w:fill="auto"/>
            <w:noWrap/>
            <w:vAlign w:val="bottom"/>
            <w:hideMark/>
          </w:tcPr>
          <w:p w14:paraId="214CF9B0"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(52,680)</w:t>
            </w:r>
          </w:p>
        </w:tc>
      </w:tr>
      <w:tr w:rsidR="00221320" w:rsidRPr="00221320" w14:paraId="26333ABF" w14:textId="77777777" w:rsidTr="00EA054D">
        <w:trPr>
          <w:trHeight w:val="283"/>
          <w:jc w:val="center"/>
        </w:trPr>
        <w:tc>
          <w:tcPr>
            <w:tcW w:w="3000" w:type="dxa"/>
            <w:tcBorders>
              <w:top w:val="nil"/>
              <w:left w:val="nil"/>
              <w:bottom w:val="nil"/>
              <w:right w:val="nil"/>
            </w:tcBorders>
            <w:shd w:val="clear" w:color="auto" w:fill="auto"/>
            <w:noWrap/>
            <w:vAlign w:val="bottom"/>
            <w:hideMark/>
          </w:tcPr>
          <w:p w14:paraId="0698AE58"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OTHER COMPREHENSIVE INCOME</w:t>
            </w:r>
          </w:p>
        </w:tc>
        <w:tc>
          <w:tcPr>
            <w:tcW w:w="920" w:type="dxa"/>
            <w:tcBorders>
              <w:top w:val="nil"/>
              <w:left w:val="nil"/>
              <w:bottom w:val="nil"/>
              <w:right w:val="nil"/>
            </w:tcBorders>
            <w:shd w:val="clear" w:color="auto" w:fill="auto"/>
            <w:noWrap/>
            <w:vAlign w:val="bottom"/>
            <w:hideMark/>
          </w:tcPr>
          <w:p w14:paraId="2A652C67" w14:textId="77777777" w:rsidR="00221320" w:rsidRPr="00221320" w:rsidRDefault="00221320" w:rsidP="00221320">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06653B5F"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 </w:t>
            </w:r>
          </w:p>
        </w:tc>
        <w:tc>
          <w:tcPr>
            <w:tcW w:w="920" w:type="dxa"/>
            <w:tcBorders>
              <w:top w:val="nil"/>
              <w:left w:val="nil"/>
              <w:bottom w:val="nil"/>
              <w:right w:val="nil"/>
            </w:tcBorders>
            <w:shd w:val="clear" w:color="auto" w:fill="auto"/>
            <w:noWrap/>
            <w:vAlign w:val="bottom"/>
            <w:hideMark/>
          </w:tcPr>
          <w:p w14:paraId="74A357B7" w14:textId="77777777" w:rsidR="00221320" w:rsidRPr="00221320" w:rsidRDefault="00221320" w:rsidP="00221320">
            <w:pPr>
              <w:spacing w:before="0"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39690E21" w14:textId="77777777" w:rsidR="00221320" w:rsidRPr="00221320" w:rsidRDefault="00221320" w:rsidP="00221320">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E4FCB34" w14:textId="77777777" w:rsidR="00221320" w:rsidRPr="00221320" w:rsidRDefault="00221320" w:rsidP="00221320">
            <w:pPr>
              <w:spacing w:before="0" w:after="0" w:line="240" w:lineRule="auto"/>
              <w:jc w:val="right"/>
              <w:rPr>
                <w:rFonts w:ascii="Times New Roman" w:hAnsi="Times New Roman"/>
                <w:sz w:val="20"/>
              </w:rPr>
            </w:pPr>
          </w:p>
        </w:tc>
      </w:tr>
      <w:tr w:rsidR="00221320" w:rsidRPr="00221320" w14:paraId="45EF93CF" w14:textId="77777777" w:rsidTr="00EA054D">
        <w:trPr>
          <w:trHeight w:val="425"/>
          <w:jc w:val="center"/>
        </w:trPr>
        <w:tc>
          <w:tcPr>
            <w:tcW w:w="3000" w:type="dxa"/>
            <w:tcBorders>
              <w:top w:val="nil"/>
              <w:left w:val="nil"/>
              <w:bottom w:val="nil"/>
              <w:right w:val="nil"/>
            </w:tcBorders>
            <w:shd w:val="clear" w:color="auto" w:fill="auto"/>
            <w:vAlign w:val="bottom"/>
            <w:hideMark/>
          </w:tcPr>
          <w:p w14:paraId="16617559" w14:textId="77777777" w:rsidR="00221320" w:rsidRPr="00221320" w:rsidRDefault="00221320" w:rsidP="00221320">
            <w:pPr>
              <w:spacing w:before="0" w:after="0" w:line="240" w:lineRule="auto"/>
              <w:ind w:leftChars="75" w:left="143"/>
              <w:rPr>
                <w:rFonts w:ascii="Arial" w:hAnsi="Arial" w:cs="Arial"/>
                <w:sz w:val="16"/>
                <w:szCs w:val="16"/>
              </w:rPr>
            </w:pPr>
            <w:r w:rsidRPr="00221320">
              <w:rPr>
                <w:rFonts w:ascii="Arial" w:hAnsi="Arial" w:cs="Arial"/>
                <w:sz w:val="16"/>
                <w:szCs w:val="16"/>
              </w:rPr>
              <w:t>Changes in asset revaluation reserves</w:t>
            </w:r>
          </w:p>
        </w:tc>
        <w:tc>
          <w:tcPr>
            <w:tcW w:w="920" w:type="dxa"/>
            <w:tcBorders>
              <w:top w:val="nil"/>
              <w:left w:val="nil"/>
              <w:bottom w:val="nil"/>
              <w:right w:val="nil"/>
            </w:tcBorders>
            <w:shd w:val="clear" w:color="auto" w:fill="auto"/>
            <w:noWrap/>
            <w:vAlign w:val="bottom"/>
            <w:hideMark/>
          </w:tcPr>
          <w:p w14:paraId="33DFA782"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4,624</w:t>
            </w:r>
          </w:p>
        </w:tc>
        <w:tc>
          <w:tcPr>
            <w:tcW w:w="920" w:type="dxa"/>
            <w:tcBorders>
              <w:top w:val="nil"/>
              <w:left w:val="nil"/>
              <w:bottom w:val="nil"/>
              <w:right w:val="nil"/>
            </w:tcBorders>
            <w:shd w:val="clear" w:color="000000" w:fill="D9D9D9"/>
            <w:noWrap/>
            <w:vAlign w:val="bottom"/>
            <w:hideMark/>
          </w:tcPr>
          <w:p w14:paraId="2629E757"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309CC887"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09C5A74E"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7EB02104" w14:textId="77777777" w:rsidR="00221320" w:rsidRPr="00221320" w:rsidRDefault="00221320" w:rsidP="00221320">
            <w:pPr>
              <w:spacing w:before="0" w:after="0" w:line="240" w:lineRule="auto"/>
              <w:jc w:val="right"/>
              <w:rPr>
                <w:rFonts w:ascii="Arial" w:hAnsi="Arial" w:cs="Arial"/>
                <w:sz w:val="16"/>
                <w:szCs w:val="16"/>
              </w:rPr>
            </w:pPr>
            <w:r w:rsidRPr="00221320">
              <w:rPr>
                <w:rFonts w:ascii="Arial" w:hAnsi="Arial" w:cs="Arial"/>
                <w:sz w:val="16"/>
                <w:szCs w:val="16"/>
              </w:rPr>
              <w:t>-</w:t>
            </w:r>
          </w:p>
        </w:tc>
      </w:tr>
      <w:tr w:rsidR="00221320" w:rsidRPr="00221320" w14:paraId="1C22C678" w14:textId="77777777" w:rsidTr="00EA054D">
        <w:trPr>
          <w:trHeight w:val="454"/>
          <w:jc w:val="center"/>
        </w:trPr>
        <w:tc>
          <w:tcPr>
            <w:tcW w:w="3000" w:type="dxa"/>
            <w:tcBorders>
              <w:top w:val="nil"/>
              <w:left w:val="nil"/>
              <w:bottom w:val="nil"/>
              <w:right w:val="nil"/>
            </w:tcBorders>
            <w:shd w:val="clear" w:color="auto" w:fill="auto"/>
            <w:vAlign w:val="bottom"/>
            <w:hideMark/>
          </w:tcPr>
          <w:p w14:paraId="130641B2" w14:textId="77777777" w:rsidR="00221320" w:rsidRPr="00221320" w:rsidRDefault="00221320" w:rsidP="00221320">
            <w:pPr>
              <w:spacing w:before="0" w:after="0" w:line="240" w:lineRule="auto"/>
              <w:ind w:leftChars="75" w:left="143"/>
              <w:rPr>
                <w:rFonts w:ascii="Arial" w:hAnsi="Arial" w:cs="Arial"/>
                <w:b/>
                <w:bCs/>
                <w:sz w:val="16"/>
                <w:szCs w:val="16"/>
              </w:rPr>
            </w:pPr>
            <w:r w:rsidRPr="00221320">
              <w:rPr>
                <w:rFonts w:ascii="Arial" w:hAnsi="Arial" w:cs="Arial"/>
                <w:b/>
                <w:bCs/>
                <w:sz w:val="16"/>
                <w:szCs w:val="16"/>
              </w:rPr>
              <w:t>Total other comprehensive income (loss)</w:t>
            </w:r>
          </w:p>
        </w:tc>
        <w:tc>
          <w:tcPr>
            <w:tcW w:w="920" w:type="dxa"/>
            <w:tcBorders>
              <w:top w:val="nil"/>
              <w:left w:val="nil"/>
              <w:bottom w:val="single" w:sz="4" w:space="0" w:color="auto"/>
              <w:right w:val="nil"/>
            </w:tcBorders>
            <w:shd w:val="clear" w:color="auto" w:fill="auto"/>
            <w:noWrap/>
            <w:vAlign w:val="bottom"/>
            <w:hideMark/>
          </w:tcPr>
          <w:p w14:paraId="721306CE"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4,624</w:t>
            </w:r>
          </w:p>
        </w:tc>
        <w:tc>
          <w:tcPr>
            <w:tcW w:w="920" w:type="dxa"/>
            <w:tcBorders>
              <w:top w:val="nil"/>
              <w:left w:val="nil"/>
              <w:bottom w:val="single" w:sz="4" w:space="0" w:color="auto"/>
              <w:right w:val="nil"/>
            </w:tcBorders>
            <w:shd w:val="clear" w:color="000000" w:fill="D9D9D9"/>
            <w:noWrap/>
            <w:vAlign w:val="bottom"/>
            <w:hideMark/>
          </w:tcPr>
          <w:p w14:paraId="5EF8EF11"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0EF83E1D"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64739754"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41816594"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w:t>
            </w:r>
          </w:p>
        </w:tc>
      </w:tr>
      <w:tr w:rsidR="00221320" w:rsidRPr="00221320" w14:paraId="0A47C925" w14:textId="77777777" w:rsidTr="00EA054D">
        <w:trPr>
          <w:trHeight w:val="624"/>
          <w:jc w:val="center"/>
        </w:trPr>
        <w:tc>
          <w:tcPr>
            <w:tcW w:w="3000" w:type="dxa"/>
            <w:tcBorders>
              <w:top w:val="nil"/>
              <w:left w:val="nil"/>
              <w:bottom w:val="single" w:sz="4" w:space="0" w:color="auto"/>
              <w:right w:val="nil"/>
            </w:tcBorders>
            <w:shd w:val="clear" w:color="auto" w:fill="auto"/>
            <w:vAlign w:val="bottom"/>
            <w:hideMark/>
          </w:tcPr>
          <w:p w14:paraId="7D24AC0D" w14:textId="77777777" w:rsidR="00221320" w:rsidRPr="00221320" w:rsidRDefault="00221320" w:rsidP="00221320">
            <w:pPr>
              <w:spacing w:before="0" w:after="0" w:line="240" w:lineRule="auto"/>
              <w:rPr>
                <w:rFonts w:ascii="Arial" w:hAnsi="Arial" w:cs="Arial"/>
                <w:b/>
                <w:bCs/>
                <w:sz w:val="16"/>
                <w:szCs w:val="16"/>
              </w:rPr>
            </w:pPr>
            <w:r w:rsidRPr="00221320">
              <w:rPr>
                <w:rFonts w:ascii="Arial" w:hAnsi="Arial" w:cs="Arial"/>
                <w:b/>
                <w:bCs/>
                <w:sz w:val="16"/>
                <w:szCs w:val="16"/>
              </w:rPr>
              <w:t>Total comprehensive income (loss) attributable to the Australian Government</w:t>
            </w:r>
          </w:p>
        </w:tc>
        <w:tc>
          <w:tcPr>
            <w:tcW w:w="920" w:type="dxa"/>
            <w:tcBorders>
              <w:top w:val="nil"/>
              <w:left w:val="nil"/>
              <w:bottom w:val="single" w:sz="4" w:space="0" w:color="auto"/>
              <w:right w:val="nil"/>
            </w:tcBorders>
            <w:shd w:val="clear" w:color="auto" w:fill="auto"/>
            <w:noWrap/>
            <w:vAlign w:val="bottom"/>
            <w:hideMark/>
          </w:tcPr>
          <w:p w14:paraId="02E9735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(32,985)</w:t>
            </w:r>
          </w:p>
        </w:tc>
        <w:tc>
          <w:tcPr>
            <w:tcW w:w="920" w:type="dxa"/>
            <w:tcBorders>
              <w:top w:val="nil"/>
              <w:left w:val="nil"/>
              <w:bottom w:val="single" w:sz="4" w:space="0" w:color="auto"/>
              <w:right w:val="nil"/>
            </w:tcBorders>
            <w:shd w:val="clear" w:color="000000" w:fill="D9D9D9"/>
            <w:noWrap/>
            <w:vAlign w:val="bottom"/>
            <w:hideMark/>
          </w:tcPr>
          <w:p w14:paraId="50FAE44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(42,248)</w:t>
            </w:r>
          </w:p>
        </w:tc>
        <w:tc>
          <w:tcPr>
            <w:tcW w:w="920" w:type="dxa"/>
            <w:tcBorders>
              <w:top w:val="nil"/>
              <w:left w:val="nil"/>
              <w:bottom w:val="single" w:sz="4" w:space="0" w:color="auto"/>
              <w:right w:val="nil"/>
            </w:tcBorders>
            <w:shd w:val="clear" w:color="auto" w:fill="auto"/>
            <w:noWrap/>
            <w:vAlign w:val="bottom"/>
            <w:hideMark/>
          </w:tcPr>
          <w:p w14:paraId="4414C540"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(64,924)</w:t>
            </w:r>
          </w:p>
        </w:tc>
        <w:tc>
          <w:tcPr>
            <w:tcW w:w="920" w:type="dxa"/>
            <w:tcBorders>
              <w:top w:val="nil"/>
              <w:left w:val="nil"/>
              <w:bottom w:val="single" w:sz="4" w:space="0" w:color="auto"/>
              <w:right w:val="nil"/>
            </w:tcBorders>
            <w:shd w:val="clear" w:color="auto" w:fill="auto"/>
            <w:noWrap/>
            <w:vAlign w:val="bottom"/>
            <w:hideMark/>
          </w:tcPr>
          <w:p w14:paraId="6BDFF4F9"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(53,786)</w:t>
            </w:r>
          </w:p>
        </w:tc>
        <w:tc>
          <w:tcPr>
            <w:tcW w:w="920" w:type="dxa"/>
            <w:tcBorders>
              <w:top w:val="nil"/>
              <w:left w:val="nil"/>
              <w:bottom w:val="single" w:sz="4" w:space="0" w:color="auto"/>
              <w:right w:val="nil"/>
            </w:tcBorders>
            <w:shd w:val="clear" w:color="auto" w:fill="auto"/>
            <w:noWrap/>
            <w:vAlign w:val="bottom"/>
            <w:hideMark/>
          </w:tcPr>
          <w:p w14:paraId="09C5F4AA" w14:textId="77777777" w:rsidR="00221320" w:rsidRPr="00221320" w:rsidRDefault="00221320" w:rsidP="00221320">
            <w:pPr>
              <w:spacing w:before="0" w:after="0" w:line="240" w:lineRule="auto"/>
              <w:jc w:val="right"/>
              <w:rPr>
                <w:rFonts w:ascii="Arial" w:hAnsi="Arial" w:cs="Arial"/>
                <w:b/>
                <w:bCs/>
                <w:sz w:val="16"/>
                <w:szCs w:val="16"/>
              </w:rPr>
            </w:pPr>
            <w:r w:rsidRPr="00221320">
              <w:rPr>
                <w:rFonts w:ascii="Arial" w:hAnsi="Arial" w:cs="Arial"/>
                <w:b/>
                <w:bCs/>
                <w:sz w:val="16"/>
                <w:szCs w:val="16"/>
              </w:rPr>
              <w:t>(52,680)</w:t>
            </w:r>
          </w:p>
        </w:tc>
      </w:tr>
    </w:tbl>
    <w:p w14:paraId="654679D2" w14:textId="77777777" w:rsidR="00736DD8" w:rsidRDefault="00736DD8" w:rsidP="00736DD8">
      <w:pPr>
        <w:pStyle w:val="TableGraphic"/>
      </w:pPr>
    </w:p>
    <w:p w14:paraId="5BBC682C" w14:textId="77777777" w:rsidR="00736DD8" w:rsidRDefault="00736DD8" w:rsidP="00736DD8">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tbl>
      <w:tblPr>
        <w:tblW w:w="7600" w:type="dxa"/>
        <w:jc w:val="center"/>
        <w:tblLayout w:type="fixed"/>
        <w:tblLook w:val="04A0" w:firstRow="1" w:lastRow="0" w:firstColumn="1" w:lastColumn="0" w:noHBand="0" w:noVBand="1"/>
      </w:tblPr>
      <w:tblGrid>
        <w:gridCol w:w="3000"/>
        <w:gridCol w:w="920"/>
        <w:gridCol w:w="920"/>
        <w:gridCol w:w="920"/>
        <w:gridCol w:w="920"/>
        <w:gridCol w:w="920"/>
      </w:tblGrid>
      <w:tr w:rsidR="00C27A52" w:rsidRPr="00C27A52" w14:paraId="794FDC1D" w14:textId="77777777" w:rsidTr="00C27A52">
        <w:trPr>
          <w:trHeight w:val="300"/>
          <w:jc w:val="center"/>
        </w:trPr>
        <w:tc>
          <w:tcPr>
            <w:tcW w:w="7600" w:type="dxa"/>
            <w:gridSpan w:val="6"/>
            <w:tcBorders>
              <w:top w:val="single" w:sz="4" w:space="0" w:color="auto"/>
              <w:left w:val="nil"/>
              <w:bottom w:val="single" w:sz="4" w:space="0" w:color="auto"/>
              <w:right w:val="nil"/>
            </w:tcBorders>
            <w:shd w:val="clear" w:color="auto" w:fill="auto"/>
            <w:noWrap/>
            <w:vAlign w:val="bottom"/>
            <w:hideMark/>
          </w:tcPr>
          <w:p w14:paraId="11C979BC" w14:textId="77777777" w:rsidR="00C27A52" w:rsidRPr="00C27A52" w:rsidRDefault="00C27A52" w:rsidP="00C27A52">
            <w:pPr>
              <w:spacing w:before="24" w:after="24" w:line="240" w:lineRule="auto"/>
              <w:rPr>
                <w:rFonts w:ascii="Arial" w:hAnsi="Arial" w:cs="Arial"/>
                <w:b/>
                <w:bCs/>
                <w:color w:val="000000"/>
                <w:sz w:val="16"/>
                <w:szCs w:val="16"/>
              </w:rPr>
            </w:pPr>
            <w:r w:rsidRPr="00C27A52">
              <w:rPr>
                <w:rFonts w:ascii="Arial" w:hAnsi="Arial" w:cs="Arial"/>
                <w:b/>
                <w:bCs/>
                <w:color w:val="000000"/>
                <w:sz w:val="16"/>
                <w:szCs w:val="16"/>
              </w:rPr>
              <w:t>Note: Reconciliation of comprehensive income attributable to the entity</w:t>
            </w:r>
          </w:p>
        </w:tc>
      </w:tr>
      <w:tr w:rsidR="00C27A52" w:rsidRPr="00C27A52" w14:paraId="336C5801" w14:textId="77777777" w:rsidTr="00EE3DDA">
        <w:trPr>
          <w:trHeight w:val="737"/>
          <w:jc w:val="center"/>
        </w:trPr>
        <w:tc>
          <w:tcPr>
            <w:tcW w:w="3000" w:type="dxa"/>
            <w:tcBorders>
              <w:top w:val="nil"/>
              <w:left w:val="nil"/>
              <w:bottom w:val="nil"/>
              <w:right w:val="nil"/>
            </w:tcBorders>
            <w:shd w:val="clear" w:color="auto" w:fill="auto"/>
            <w:hideMark/>
          </w:tcPr>
          <w:p w14:paraId="07BC34EE" w14:textId="77777777" w:rsidR="00C27A52" w:rsidRPr="00C27A52" w:rsidRDefault="00C27A52" w:rsidP="00EE3DDA">
            <w:pPr>
              <w:spacing w:before="24" w:after="0" w:line="240" w:lineRule="auto"/>
              <w:jc w:val="right"/>
              <w:rPr>
                <w:rFonts w:ascii="Arial" w:hAnsi="Arial" w:cs="Arial"/>
                <w:b/>
                <w:bCs/>
                <w:color w:val="000000"/>
                <w:sz w:val="16"/>
                <w:szCs w:val="16"/>
              </w:rPr>
            </w:pPr>
          </w:p>
        </w:tc>
        <w:tc>
          <w:tcPr>
            <w:tcW w:w="920" w:type="dxa"/>
            <w:tcBorders>
              <w:top w:val="nil"/>
              <w:left w:val="nil"/>
              <w:bottom w:val="single" w:sz="4" w:space="0" w:color="auto"/>
              <w:right w:val="nil"/>
            </w:tcBorders>
            <w:shd w:val="clear" w:color="auto" w:fill="auto"/>
            <w:hideMark/>
          </w:tcPr>
          <w:p w14:paraId="5A47539E" w14:textId="500ECEF3" w:rsidR="00C27A52" w:rsidRPr="00C27A52" w:rsidRDefault="00C27A52" w:rsidP="00EE3DDA">
            <w:pPr>
              <w:spacing w:before="24" w:after="0" w:line="240" w:lineRule="auto"/>
              <w:jc w:val="right"/>
              <w:rPr>
                <w:rFonts w:ascii="Arial" w:hAnsi="Arial" w:cs="Arial"/>
                <w:b/>
                <w:bCs/>
                <w:sz w:val="16"/>
                <w:szCs w:val="16"/>
              </w:rPr>
            </w:pPr>
            <w:r>
              <w:rPr>
                <w:rFonts w:ascii="Arial" w:hAnsi="Arial" w:cs="Arial"/>
                <w:b/>
                <w:bCs/>
                <w:sz w:val="16"/>
                <w:szCs w:val="16"/>
              </w:rPr>
              <w:t>2022–</w:t>
            </w:r>
            <w:r w:rsidRPr="00C27A52">
              <w:rPr>
                <w:rFonts w:ascii="Arial" w:hAnsi="Arial" w:cs="Arial"/>
                <w:b/>
                <w:bCs/>
                <w:sz w:val="16"/>
                <w:szCs w:val="16"/>
              </w:rPr>
              <w:t>23</w:t>
            </w:r>
            <w:r w:rsidRPr="00C27A52">
              <w:rPr>
                <w:rFonts w:ascii="Arial" w:hAnsi="Arial" w:cs="Arial"/>
                <w:b/>
                <w:bCs/>
                <w:sz w:val="16"/>
                <w:szCs w:val="16"/>
              </w:rPr>
              <w:br/>
              <w:t>Actual</w:t>
            </w:r>
            <w:r w:rsidRPr="00C27A52">
              <w:rPr>
                <w:rFonts w:ascii="Arial" w:hAnsi="Arial" w:cs="Arial"/>
                <w:b/>
                <w:bCs/>
                <w:sz w:val="16"/>
                <w:szCs w:val="16"/>
              </w:rPr>
              <w:br/>
            </w:r>
            <w:r w:rsidRPr="00C27A52">
              <w:rPr>
                <w:rFonts w:ascii="Arial" w:hAnsi="Arial" w:cs="Arial"/>
                <w:b/>
                <w:bCs/>
                <w:sz w:val="16"/>
                <w:szCs w:val="16"/>
              </w:rPr>
              <w:br/>
            </w:r>
            <w:r w:rsidRPr="00C27A52">
              <w:rPr>
                <w:rFonts w:ascii="Arial" w:hAnsi="Arial" w:cs="Arial"/>
                <w:sz w:val="16"/>
                <w:szCs w:val="16"/>
              </w:rPr>
              <w:t>$'000</w:t>
            </w:r>
          </w:p>
        </w:tc>
        <w:tc>
          <w:tcPr>
            <w:tcW w:w="920" w:type="dxa"/>
            <w:tcBorders>
              <w:top w:val="nil"/>
              <w:left w:val="nil"/>
              <w:bottom w:val="single" w:sz="4" w:space="0" w:color="auto"/>
              <w:right w:val="nil"/>
            </w:tcBorders>
            <w:shd w:val="clear" w:color="000000" w:fill="D9D9D9"/>
            <w:hideMark/>
          </w:tcPr>
          <w:p w14:paraId="7D5FC756" w14:textId="03C66633" w:rsidR="00C27A52" w:rsidRPr="00C27A52" w:rsidRDefault="00C27A52" w:rsidP="00EE3DDA">
            <w:pPr>
              <w:spacing w:before="24" w:after="0" w:line="240" w:lineRule="auto"/>
              <w:jc w:val="right"/>
              <w:rPr>
                <w:rFonts w:ascii="Arial" w:hAnsi="Arial" w:cs="Arial"/>
                <w:b/>
                <w:bCs/>
                <w:sz w:val="16"/>
                <w:szCs w:val="16"/>
              </w:rPr>
            </w:pPr>
            <w:r>
              <w:rPr>
                <w:rFonts w:ascii="Arial" w:hAnsi="Arial" w:cs="Arial"/>
                <w:b/>
                <w:bCs/>
                <w:sz w:val="16"/>
                <w:szCs w:val="16"/>
              </w:rPr>
              <w:t>2023–</w:t>
            </w:r>
            <w:r w:rsidRPr="00C27A52">
              <w:rPr>
                <w:rFonts w:ascii="Arial" w:hAnsi="Arial" w:cs="Arial"/>
                <w:b/>
                <w:bCs/>
                <w:sz w:val="16"/>
                <w:szCs w:val="16"/>
              </w:rPr>
              <w:t>24</w:t>
            </w:r>
            <w:r w:rsidRPr="00C27A52">
              <w:rPr>
                <w:rFonts w:ascii="Arial" w:hAnsi="Arial" w:cs="Arial"/>
                <w:b/>
                <w:bCs/>
                <w:sz w:val="16"/>
                <w:szCs w:val="16"/>
              </w:rPr>
              <w:br/>
              <w:t xml:space="preserve">Revised Budget </w:t>
            </w:r>
            <w:r w:rsidRPr="00C27A52">
              <w:rPr>
                <w:rFonts w:ascii="Arial" w:hAnsi="Arial" w:cs="Arial"/>
                <w:sz w:val="16"/>
                <w:szCs w:val="16"/>
              </w:rPr>
              <w:t xml:space="preserve"> </w:t>
            </w:r>
            <w:r w:rsidRPr="00C27A52">
              <w:rPr>
                <w:rFonts w:ascii="Arial" w:hAnsi="Arial" w:cs="Arial"/>
                <w:sz w:val="16"/>
                <w:szCs w:val="16"/>
              </w:rPr>
              <w:br/>
              <w:t>$'000</w:t>
            </w:r>
          </w:p>
        </w:tc>
        <w:tc>
          <w:tcPr>
            <w:tcW w:w="920" w:type="dxa"/>
            <w:tcBorders>
              <w:top w:val="nil"/>
              <w:left w:val="nil"/>
              <w:bottom w:val="single" w:sz="4" w:space="0" w:color="auto"/>
              <w:right w:val="nil"/>
            </w:tcBorders>
            <w:shd w:val="clear" w:color="auto" w:fill="auto"/>
            <w:hideMark/>
          </w:tcPr>
          <w:p w14:paraId="5E6F2082" w14:textId="180732B5" w:rsidR="00C27A52" w:rsidRPr="00C27A52" w:rsidRDefault="00C27A52" w:rsidP="00EE3DDA">
            <w:pPr>
              <w:spacing w:before="24" w:after="0" w:line="240" w:lineRule="auto"/>
              <w:jc w:val="right"/>
              <w:rPr>
                <w:rFonts w:ascii="Arial" w:hAnsi="Arial" w:cs="Arial"/>
                <w:b/>
                <w:bCs/>
                <w:sz w:val="16"/>
                <w:szCs w:val="16"/>
              </w:rPr>
            </w:pPr>
            <w:r>
              <w:rPr>
                <w:rFonts w:ascii="Arial" w:hAnsi="Arial" w:cs="Arial"/>
                <w:b/>
                <w:bCs/>
                <w:sz w:val="16"/>
                <w:szCs w:val="16"/>
              </w:rPr>
              <w:t>2024–</w:t>
            </w:r>
            <w:r w:rsidRPr="00C27A52">
              <w:rPr>
                <w:rFonts w:ascii="Arial" w:hAnsi="Arial" w:cs="Arial"/>
                <w:b/>
                <w:bCs/>
                <w:sz w:val="16"/>
                <w:szCs w:val="16"/>
              </w:rPr>
              <w:t>25</w:t>
            </w:r>
            <w:r w:rsidRPr="00C27A52">
              <w:rPr>
                <w:rFonts w:ascii="Arial" w:hAnsi="Arial" w:cs="Arial"/>
                <w:b/>
                <w:bCs/>
                <w:sz w:val="16"/>
                <w:szCs w:val="16"/>
              </w:rPr>
              <w:br/>
              <w:t xml:space="preserve">Forward estimate </w:t>
            </w:r>
            <w:r w:rsidRPr="00C27A52">
              <w:rPr>
                <w:rFonts w:ascii="Arial" w:hAnsi="Arial" w:cs="Arial"/>
                <w:sz w:val="16"/>
                <w:szCs w:val="16"/>
              </w:rPr>
              <w:t>$'000</w:t>
            </w:r>
          </w:p>
        </w:tc>
        <w:tc>
          <w:tcPr>
            <w:tcW w:w="920" w:type="dxa"/>
            <w:tcBorders>
              <w:top w:val="nil"/>
              <w:left w:val="nil"/>
              <w:bottom w:val="single" w:sz="4" w:space="0" w:color="auto"/>
              <w:right w:val="nil"/>
            </w:tcBorders>
            <w:shd w:val="clear" w:color="auto" w:fill="auto"/>
            <w:hideMark/>
          </w:tcPr>
          <w:p w14:paraId="683EF537" w14:textId="7B2A641E" w:rsidR="00C27A52" w:rsidRPr="00C27A52" w:rsidRDefault="00C27A52" w:rsidP="00EE3DDA">
            <w:pPr>
              <w:spacing w:before="24" w:after="0" w:line="240" w:lineRule="auto"/>
              <w:jc w:val="right"/>
              <w:rPr>
                <w:rFonts w:ascii="Arial" w:hAnsi="Arial" w:cs="Arial"/>
                <w:b/>
                <w:bCs/>
                <w:sz w:val="16"/>
                <w:szCs w:val="16"/>
              </w:rPr>
            </w:pPr>
            <w:r w:rsidRPr="00C27A52">
              <w:rPr>
                <w:rFonts w:ascii="Arial" w:hAnsi="Arial" w:cs="Arial"/>
                <w:b/>
                <w:bCs/>
                <w:sz w:val="16"/>
                <w:szCs w:val="16"/>
              </w:rPr>
              <w:t>2025</w:t>
            </w:r>
            <w:r>
              <w:rPr>
                <w:rFonts w:ascii="Arial" w:hAnsi="Arial" w:cs="Arial"/>
                <w:b/>
                <w:bCs/>
                <w:sz w:val="16"/>
                <w:szCs w:val="16"/>
              </w:rPr>
              <w:t>–</w:t>
            </w:r>
            <w:r w:rsidRPr="00C27A52">
              <w:rPr>
                <w:rFonts w:ascii="Arial" w:hAnsi="Arial" w:cs="Arial"/>
                <w:b/>
                <w:bCs/>
                <w:sz w:val="16"/>
                <w:szCs w:val="16"/>
              </w:rPr>
              <w:t>26</w:t>
            </w:r>
            <w:r w:rsidRPr="00C27A52">
              <w:rPr>
                <w:rFonts w:ascii="Arial" w:hAnsi="Arial" w:cs="Arial"/>
                <w:b/>
                <w:bCs/>
                <w:sz w:val="16"/>
                <w:szCs w:val="16"/>
              </w:rPr>
              <w:br/>
              <w:t xml:space="preserve">Forward estimate </w:t>
            </w:r>
            <w:r w:rsidRPr="00C27A52">
              <w:rPr>
                <w:rFonts w:ascii="Arial" w:hAnsi="Arial" w:cs="Arial"/>
                <w:sz w:val="16"/>
                <w:szCs w:val="16"/>
              </w:rPr>
              <w:t>$'000</w:t>
            </w:r>
          </w:p>
        </w:tc>
        <w:tc>
          <w:tcPr>
            <w:tcW w:w="920" w:type="dxa"/>
            <w:tcBorders>
              <w:top w:val="nil"/>
              <w:left w:val="nil"/>
              <w:bottom w:val="single" w:sz="4" w:space="0" w:color="auto"/>
              <w:right w:val="nil"/>
            </w:tcBorders>
            <w:shd w:val="clear" w:color="auto" w:fill="auto"/>
            <w:hideMark/>
          </w:tcPr>
          <w:p w14:paraId="52521E97" w14:textId="0225729A" w:rsidR="00C27A52" w:rsidRPr="00C27A52" w:rsidRDefault="00C27A52" w:rsidP="00EE3DDA">
            <w:pPr>
              <w:spacing w:before="24" w:after="0" w:line="240" w:lineRule="auto"/>
              <w:jc w:val="right"/>
              <w:rPr>
                <w:rFonts w:ascii="Arial" w:hAnsi="Arial" w:cs="Arial"/>
                <w:b/>
                <w:bCs/>
                <w:sz w:val="16"/>
                <w:szCs w:val="16"/>
              </w:rPr>
            </w:pPr>
            <w:r>
              <w:rPr>
                <w:rFonts w:ascii="Arial" w:hAnsi="Arial" w:cs="Arial"/>
                <w:b/>
                <w:bCs/>
                <w:sz w:val="16"/>
                <w:szCs w:val="16"/>
              </w:rPr>
              <w:t>2026–</w:t>
            </w:r>
            <w:r w:rsidRPr="00C27A52">
              <w:rPr>
                <w:rFonts w:ascii="Arial" w:hAnsi="Arial" w:cs="Arial"/>
                <w:b/>
                <w:bCs/>
                <w:sz w:val="16"/>
                <w:szCs w:val="16"/>
              </w:rPr>
              <w:t>27</w:t>
            </w:r>
            <w:r w:rsidRPr="00C27A52">
              <w:rPr>
                <w:rFonts w:ascii="Arial" w:hAnsi="Arial" w:cs="Arial"/>
                <w:b/>
                <w:bCs/>
                <w:sz w:val="16"/>
                <w:szCs w:val="16"/>
              </w:rPr>
              <w:br/>
              <w:t xml:space="preserve">Forward estimate </w:t>
            </w:r>
            <w:r w:rsidRPr="00C27A52">
              <w:rPr>
                <w:rFonts w:ascii="Arial" w:hAnsi="Arial" w:cs="Arial"/>
                <w:sz w:val="16"/>
                <w:szCs w:val="16"/>
              </w:rPr>
              <w:t>$'000</w:t>
            </w:r>
          </w:p>
        </w:tc>
      </w:tr>
      <w:tr w:rsidR="00C27A52" w:rsidRPr="00C27A52" w14:paraId="5B90AEED" w14:textId="77777777" w:rsidTr="00EE3DDA">
        <w:trPr>
          <w:trHeight w:val="624"/>
          <w:jc w:val="center"/>
        </w:trPr>
        <w:tc>
          <w:tcPr>
            <w:tcW w:w="3000" w:type="dxa"/>
            <w:tcBorders>
              <w:top w:val="nil"/>
              <w:left w:val="nil"/>
              <w:bottom w:val="nil"/>
              <w:right w:val="nil"/>
            </w:tcBorders>
            <w:shd w:val="clear" w:color="auto" w:fill="auto"/>
            <w:vAlign w:val="bottom"/>
            <w:hideMark/>
          </w:tcPr>
          <w:p w14:paraId="5E78ED56" w14:textId="77777777" w:rsidR="00C27A52" w:rsidRPr="00C27A52" w:rsidRDefault="00C27A52" w:rsidP="00C27A52">
            <w:pPr>
              <w:spacing w:before="0" w:after="0" w:line="240" w:lineRule="auto"/>
              <w:rPr>
                <w:rFonts w:ascii="Arial" w:hAnsi="Arial" w:cs="Arial"/>
                <w:b/>
                <w:bCs/>
                <w:sz w:val="16"/>
                <w:szCs w:val="16"/>
              </w:rPr>
            </w:pPr>
            <w:r w:rsidRPr="00C27A52">
              <w:rPr>
                <w:rFonts w:ascii="Arial" w:hAnsi="Arial" w:cs="Arial"/>
                <w:b/>
                <w:bCs/>
                <w:sz w:val="16"/>
                <w:szCs w:val="16"/>
              </w:rPr>
              <w:t>Total comprehensive income (loss) attributable to the Australian Government</w:t>
            </w:r>
          </w:p>
        </w:tc>
        <w:tc>
          <w:tcPr>
            <w:tcW w:w="920" w:type="dxa"/>
            <w:tcBorders>
              <w:top w:val="nil"/>
              <w:left w:val="nil"/>
              <w:bottom w:val="nil"/>
              <w:right w:val="nil"/>
            </w:tcBorders>
            <w:shd w:val="clear" w:color="auto" w:fill="auto"/>
            <w:noWrap/>
            <w:vAlign w:val="bottom"/>
            <w:hideMark/>
          </w:tcPr>
          <w:p w14:paraId="6035E750" w14:textId="77777777" w:rsidR="00C27A52" w:rsidRPr="00C27A52" w:rsidRDefault="00C27A52" w:rsidP="00C27A52">
            <w:pPr>
              <w:spacing w:before="0" w:after="0" w:line="240" w:lineRule="auto"/>
              <w:jc w:val="right"/>
              <w:rPr>
                <w:rFonts w:ascii="Arial" w:hAnsi="Arial" w:cs="Arial"/>
                <w:b/>
                <w:bCs/>
                <w:color w:val="000000"/>
                <w:sz w:val="16"/>
                <w:szCs w:val="16"/>
              </w:rPr>
            </w:pPr>
            <w:r w:rsidRPr="00C27A52">
              <w:rPr>
                <w:rFonts w:ascii="Arial" w:hAnsi="Arial" w:cs="Arial"/>
                <w:b/>
                <w:bCs/>
                <w:color w:val="000000"/>
                <w:sz w:val="16"/>
                <w:szCs w:val="16"/>
              </w:rPr>
              <w:t>(32,985)</w:t>
            </w:r>
          </w:p>
        </w:tc>
        <w:tc>
          <w:tcPr>
            <w:tcW w:w="920" w:type="dxa"/>
            <w:tcBorders>
              <w:top w:val="nil"/>
              <w:left w:val="nil"/>
              <w:bottom w:val="nil"/>
              <w:right w:val="nil"/>
            </w:tcBorders>
            <w:shd w:val="clear" w:color="000000" w:fill="D9D9D9"/>
            <w:noWrap/>
            <w:vAlign w:val="bottom"/>
            <w:hideMark/>
          </w:tcPr>
          <w:p w14:paraId="0EF7D78F" w14:textId="77777777" w:rsidR="00C27A52" w:rsidRPr="00C27A52" w:rsidRDefault="00C27A52" w:rsidP="00C27A52">
            <w:pPr>
              <w:spacing w:before="0" w:after="0" w:line="240" w:lineRule="auto"/>
              <w:jc w:val="right"/>
              <w:rPr>
                <w:rFonts w:ascii="Arial" w:hAnsi="Arial" w:cs="Arial"/>
                <w:b/>
                <w:bCs/>
                <w:color w:val="000000"/>
                <w:sz w:val="16"/>
                <w:szCs w:val="16"/>
              </w:rPr>
            </w:pPr>
            <w:r w:rsidRPr="00C27A52">
              <w:rPr>
                <w:rFonts w:ascii="Arial" w:hAnsi="Arial" w:cs="Arial"/>
                <w:b/>
                <w:bCs/>
                <w:color w:val="000000"/>
                <w:sz w:val="16"/>
                <w:szCs w:val="16"/>
              </w:rPr>
              <w:t>(42,248)</w:t>
            </w:r>
          </w:p>
        </w:tc>
        <w:tc>
          <w:tcPr>
            <w:tcW w:w="920" w:type="dxa"/>
            <w:tcBorders>
              <w:top w:val="nil"/>
              <w:left w:val="nil"/>
              <w:bottom w:val="nil"/>
              <w:right w:val="nil"/>
            </w:tcBorders>
            <w:shd w:val="clear" w:color="auto" w:fill="auto"/>
            <w:noWrap/>
            <w:vAlign w:val="bottom"/>
            <w:hideMark/>
          </w:tcPr>
          <w:p w14:paraId="55154737" w14:textId="77777777" w:rsidR="00C27A52" w:rsidRPr="00C27A52" w:rsidRDefault="00C27A52" w:rsidP="00C27A52">
            <w:pPr>
              <w:spacing w:before="0" w:after="0" w:line="240" w:lineRule="auto"/>
              <w:jc w:val="right"/>
              <w:rPr>
                <w:rFonts w:ascii="Arial" w:hAnsi="Arial" w:cs="Arial"/>
                <w:b/>
                <w:bCs/>
                <w:color w:val="000000"/>
                <w:sz w:val="16"/>
                <w:szCs w:val="16"/>
              </w:rPr>
            </w:pPr>
            <w:r w:rsidRPr="00C27A52">
              <w:rPr>
                <w:rFonts w:ascii="Arial" w:hAnsi="Arial" w:cs="Arial"/>
                <w:b/>
                <w:bCs/>
                <w:color w:val="000000"/>
                <w:sz w:val="16"/>
                <w:szCs w:val="16"/>
              </w:rPr>
              <w:t>(64,924)</w:t>
            </w:r>
          </w:p>
        </w:tc>
        <w:tc>
          <w:tcPr>
            <w:tcW w:w="920" w:type="dxa"/>
            <w:tcBorders>
              <w:top w:val="nil"/>
              <w:left w:val="nil"/>
              <w:bottom w:val="nil"/>
              <w:right w:val="nil"/>
            </w:tcBorders>
            <w:shd w:val="clear" w:color="auto" w:fill="auto"/>
            <w:noWrap/>
            <w:vAlign w:val="bottom"/>
            <w:hideMark/>
          </w:tcPr>
          <w:p w14:paraId="2C59E0A6" w14:textId="77777777" w:rsidR="00C27A52" w:rsidRPr="00C27A52" w:rsidRDefault="00C27A52" w:rsidP="00C27A52">
            <w:pPr>
              <w:spacing w:before="0" w:after="0" w:line="240" w:lineRule="auto"/>
              <w:jc w:val="right"/>
              <w:rPr>
                <w:rFonts w:ascii="Arial" w:hAnsi="Arial" w:cs="Arial"/>
                <w:b/>
                <w:bCs/>
                <w:color w:val="000000"/>
                <w:sz w:val="16"/>
                <w:szCs w:val="16"/>
              </w:rPr>
            </w:pPr>
            <w:r w:rsidRPr="00C27A52">
              <w:rPr>
                <w:rFonts w:ascii="Arial" w:hAnsi="Arial" w:cs="Arial"/>
                <w:b/>
                <w:bCs/>
                <w:color w:val="000000"/>
                <w:sz w:val="16"/>
                <w:szCs w:val="16"/>
              </w:rPr>
              <w:t>(53,786)</w:t>
            </w:r>
          </w:p>
        </w:tc>
        <w:tc>
          <w:tcPr>
            <w:tcW w:w="920" w:type="dxa"/>
            <w:tcBorders>
              <w:top w:val="nil"/>
              <w:left w:val="nil"/>
              <w:bottom w:val="nil"/>
              <w:right w:val="nil"/>
            </w:tcBorders>
            <w:shd w:val="clear" w:color="auto" w:fill="auto"/>
            <w:noWrap/>
            <w:vAlign w:val="bottom"/>
            <w:hideMark/>
          </w:tcPr>
          <w:p w14:paraId="0F0C07B7" w14:textId="77777777" w:rsidR="00C27A52" w:rsidRPr="00C27A52" w:rsidRDefault="00C27A52" w:rsidP="00C27A52">
            <w:pPr>
              <w:spacing w:before="0" w:after="0" w:line="240" w:lineRule="auto"/>
              <w:jc w:val="right"/>
              <w:rPr>
                <w:rFonts w:ascii="Arial" w:hAnsi="Arial" w:cs="Arial"/>
                <w:b/>
                <w:bCs/>
                <w:color w:val="000000"/>
                <w:sz w:val="16"/>
                <w:szCs w:val="16"/>
              </w:rPr>
            </w:pPr>
            <w:r w:rsidRPr="00C27A52">
              <w:rPr>
                <w:rFonts w:ascii="Arial" w:hAnsi="Arial" w:cs="Arial"/>
                <w:b/>
                <w:bCs/>
                <w:color w:val="000000"/>
                <w:sz w:val="16"/>
                <w:szCs w:val="16"/>
              </w:rPr>
              <w:t>(52,680)</w:t>
            </w:r>
          </w:p>
        </w:tc>
      </w:tr>
      <w:tr w:rsidR="00C27A52" w:rsidRPr="00C27A52" w14:paraId="434E9B6E" w14:textId="77777777" w:rsidTr="00EE3DDA">
        <w:trPr>
          <w:trHeight w:val="624"/>
          <w:jc w:val="center"/>
        </w:trPr>
        <w:tc>
          <w:tcPr>
            <w:tcW w:w="3000" w:type="dxa"/>
            <w:tcBorders>
              <w:top w:val="nil"/>
              <w:left w:val="nil"/>
              <w:bottom w:val="nil"/>
              <w:right w:val="nil"/>
            </w:tcBorders>
            <w:shd w:val="clear" w:color="auto" w:fill="auto"/>
            <w:vAlign w:val="bottom"/>
            <w:hideMark/>
          </w:tcPr>
          <w:p w14:paraId="5893A3D2" w14:textId="77777777" w:rsidR="00C27A52" w:rsidRPr="00C27A52" w:rsidRDefault="00C27A52" w:rsidP="00C27A52">
            <w:pPr>
              <w:spacing w:before="0" w:after="0" w:line="240" w:lineRule="auto"/>
              <w:ind w:leftChars="75" w:left="143"/>
              <w:rPr>
                <w:rFonts w:ascii="Arial" w:hAnsi="Arial" w:cs="Arial"/>
                <w:color w:val="000000"/>
                <w:sz w:val="16"/>
                <w:szCs w:val="16"/>
              </w:rPr>
            </w:pPr>
            <w:proofErr w:type="gramStart"/>
            <w:r w:rsidRPr="00C27A52">
              <w:rPr>
                <w:rFonts w:ascii="Arial" w:hAnsi="Arial" w:cs="Arial"/>
                <w:color w:val="000000"/>
                <w:sz w:val="16"/>
                <w:szCs w:val="16"/>
              </w:rPr>
              <w:t>plus</w:t>
            </w:r>
            <w:proofErr w:type="gramEnd"/>
            <w:r w:rsidRPr="00C27A52">
              <w:rPr>
                <w:rFonts w:ascii="Arial" w:hAnsi="Arial" w:cs="Arial"/>
                <w:color w:val="000000"/>
                <w:sz w:val="16"/>
                <w:szCs w:val="16"/>
              </w:rPr>
              <w:t xml:space="preserve"> non-appropriated expenses including depreciation and amortisation expenses</w:t>
            </w:r>
          </w:p>
        </w:tc>
        <w:tc>
          <w:tcPr>
            <w:tcW w:w="920" w:type="dxa"/>
            <w:tcBorders>
              <w:top w:val="nil"/>
              <w:left w:val="nil"/>
              <w:bottom w:val="nil"/>
              <w:right w:val="nil"/>
            </w:tcBorders>
            <w:shd w:val="clear" w:color="auto" w:fill="auto"/>
            <w:noWrap/>
            <w:vAlign w:val="bottom"/>
            <w:hideMark/>
          </w:tcPr>
          <w:p w14:paraId="33009472"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38,166</w:t>
            </w:r>
          </w:p>
        </w:tc>
        <w:tc>
          <w:tcPr>
            <w:tcW w:w="920" w:type="dxa"/>
            <w:tcBorders>
              <w:top w:val="nil"/>
              <w:left w:val="nil"/>
              <w:bottom w:val="nil"/>
              <w:right w:val="nil"/>
            </w:tcBorders>
            <w:shd w:val="clear" w:color="000000" w:fill="D9D9D9"/>
            <w:noWrap/>
            <w:vAlign w:val="bottom"/>
            <w:hideMark/>
          </w:tcPr>
          <w:p w14:paraId="384B9522"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42,875</w:t>
            </w:r>
          </w:p>
        </w:tc>
        <w:tc>
          <w:tcPr>
            <w:tcW w:w="920" w:type="dxa"/>
            <w:tcBorders>
              <w:top w:val="nil"/>
              <w:left w:val="nil"/>
              <w:bottom w:val="nil"/>
              <w:right w:val="nil"/>
            </w:tcBorders>
            <w:shd w:val="clear" w:color="auto" w:fill="auto"/>
            <w:noWrap/>
            <w:vAlign w:val="bottom"/>
            <w:hideMark/>
          </w:tcPr>
          <w:p w14:paraId="46A50A46"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68,744</w:t>
            </w:r>
          </w:p>
        </w:tc>
        <w:tc>
          <w:tcPr>
            <w:tcW w:w="920" w:type="dxa"/>
            <w:tcBorders>
              <w:top w:val="nil"/>
              <w:left w:val="nil"/>
              <w:bottom w:val="nil"/>
              <w:right w:val="nil"/>
            </w:tcBorders>
            <w:shd w:val="clear" w:color="auto" w:fill="auto"/>
            <w:noWrap/>
            <w:vAlign w:val="bottom"/>
            <w:hideMark/>
          </w:tcPr>
          <w:p w14:paraId="4487FFDD"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58,887</w:t>
            </w:r>
          </w:p>
        </w:tc>
        <w:tc>
          <w:tcPr>
            <w:tcW w:w="920" w:type="dxa"/>
            <w:tcBorders>
              <w:top w:val="nil"/>
              <w:left w:val="nil"/>
              <w:bottom w:val="nil"/>
              <w:right w:val="nil"/>
            </w:tcBorders>
            <w:shd w:val="clear" w:color="auto" w:fill="auto"/>
            <w:noWrap/>
            <w:vAlign w:val="bottom"/>
            <w:hideMark/>
          </w:tcPr>
          <w:p w14:paraId="306F925C"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57,781</w:t>
            </w:r>
          </w:p>
        </w:tc>
      </w:tr>
      <w:tr w:rsidR="00C27A52" w:rsidRPr="00C27A52" w14:paraId="290FB719" w14:textId="77777777" w:rsidTr="00EE3DDA">
        <w:trPr>
          <w:trHeight w:val="283"/>
          <w:jc w:val="center"/>
        </w:trPr>
        <w:tc>
          <w:tcPr>
            <w:tcW w:w="3000" w:type="dxa"/>
            <w:tcBorders>
              <w:top w:val="nil"/>
              <w:left w:val="nil"/>
              <w:bottom w:val="nil"/>
              <w:right w:val="nil"/>
            </w:tcBorders>
            <w:shd w:val="clear" w:color="auto" w:fill="auto"/>
            <w:vAlign w:val="bottom"/>
            <w:hideMark/>
          </w:tcPr>
          <w:p w14:paraId="39AD93CB" w14:textId="77777777" w:rsidR="00C27A52" w:rsidRPr="00C27A52" w:rsidRDefault="00C27A52" w:rsidP="00C27A52">
            <w:pPr>
              <w:spacing w:before="0" w:after="0" w:line="240" w:lineRule="auto"/>
              <w:ind w:leftChars="75" w:left="143"/>
              <w:rPr>
                <w:rFonts w:ascii="Arial" w:hAnsi="Arial" w:cs="Arial"/>
                <w:color w:val="000000"/>
                <w:sz w:val="16"/>
                <w:szCs w:val="16"/>
              </w:rPr>
            </w:pPr>
            <w:r w:rsidRPr="00C27A52">
              <w:rPr>
                <w:rFonts w:ascii="Arial" w:hAnsi="Arial" w:cs="Arial"/>
                <w:color w:val="000000"/>
                <w:sz w:val="16"/>
                <w:szCs w:val="16"/>
              </w:rPr>
              <w:t>less cost recovered depreciation</w:t>
            </w:r>
          </w:p>
        </w:tc>
        <w:tc>
          <w:tcPr>
            <w:tcW w:w="920" w:type="dxa"/>
            <w:tcBorders>
              <w:top w:val="nil"/>
              <w:left w:val="nil"/>
              <w:bottom w:val="nil"/>
              <w:right w:val="nil"/>
            </w:tcBorders>
            <w:shd w:val="clear" w:color="auto" w:fill="auto"/>
            <w:noWrap/>
            <w:vAlign w:val="bottom"/>
            <w:hideMark/>
          </w:tcPr>
          <w:p w14:paraId="530B9B80" w14:textId="77777777" w:rsidR="00C27A52" w:rsidRPr="00C27A52" w:rsidRDefault="00C27A52" w:rsidP="00C27A52">
            <w:pPr>
              <w:spacing w:before="0" w:after="0" w:line="240" w:lineRule="auto"/>
              <w:ind w:firstLineChars="100" w:firstLine="160"/>
              <w:rPr>
                <w:rFonts w:ascii="Arial" w:hAnsi="Arial" w:cs="Arial"/>
                <w:color w:val="000000"/>
                <w:sz w:val="16"/>
                <w:szCs w:val="16"/>
              </w:rPr>
            </w:pPr>
          </w:p>
        </w:tc>
        <w:tc>
          <w:tcPr>
            <w:tcW w:w="920" w:type="dxa"/>
            <w:tcBorders>
              <w:top w:val="nil"/>
              <w:left w:val="nil"/>
              <w:bottom w:val="nil"/>
              <w:right w:val="nil"/>
            </w:tcBorders>
            <w:shd w:val="clear" w:color="000000" w:fill="D9D9D9"/>
            <w:noWrap/>
            <w:vAlign w:val="bottom"/>
            <w:hideMark/>
          </w:tcPr>
          <w:p w14:paraId="7F5965A6"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39D7D94" w14:textId="77777777" w:rsidR="00C27A52" w:rsidRPr="00C27A52" w:rsidRDefault="00C27A52" w:rsidP="00C27A52">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BE75C5F" w14:textId="77777777" w:rsidR="00C27A52" w:rsidRPr="00C27A52" w:rsidRDefault="00C27A52" w:rsidP="00C27A52">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5CF9EE6" w14:textId="77777777" w:rsidR="00C27A52" w:rsidRPr="00C27A52" w:rsidRDefault="00C27A52" w:rsidP="00C27A52">
            <w:pPr>
              <w:spacing w:before="0" w:after="0" w:line="240" w:lineRule="auto"/>
              <w:jc w:val="right"/>
              <w:rPr>
                <w:rFonts w:ascii="Times New Roman" w:hAnsi="Times New Roman"/>
                <w:sz w:val="20"/>
              </w:rPr>
            </w:pPr>
          </w:p>
        </w:tc>
      </w:tr>
      <w:tr w:rsidR="00C27A52" w:rsidRPr="00C27A52" w14:paraId="45196FBD" w14:textId="77777777" w:rsidTr="00C27A52">
        <w:trPr>
          <w:trHeight w:val="225"/>
          <w:jc w:val="center"/>
        </w:trPr>
        <w:tc>
          <w:tcPr>
            <w:tcW w:w="3000" w:type="dxa"/>
            <w:tcBorders>
              <w:top w:val="nil"/>
              <w:left w:val="nil"/>
              <w:bottom w:val="nil"/>
              <w:right w:val="nil"/>
            </w:tcBorders>
            <w:shd w:val="clear" w:color="auto" w:fill="auto"/>
            <w:vAlign w:val="bottom"/>
            <w:hideMark/>
          </w:tcPr>
          <w:p w14:paraId="5AEFEFE1" w14:textId="3AC6B434" w:rsidR="00C27A52" w:rsidRPr="00C27A52" w:rsidRDefault="00C27A52" w:rsidP="00C27A52">
            <w:pPr>
              <w:spacing w:before="0" w:after="0" w:line="240" w:lineRule="auto"/>
              <w:ind w:leftChars="150" w:left="285"/>
              <w:rPr>
                <w:rFonts w:ascii="Arial" w:hAnsi="Arial" w:cs="Arial"/>
                <w:color w:val="000000"/>
                <w:sz w:val="16"/>
                <w:szCs w:val="16"/>
              </w:rPr>
            </w:pPr>
            <w:r w:rsidRPr="00C27A52">
              <w:rPr>
                <w:rFonts w:ascii="Arial" w:hAnsi="Arial" w:cs="Arial"/>
                <w:color w:val="000000"/>
                <w:sz w:val="16"/>
                <w:szCs w:val="16"/>
              </w:rPr>
              <w:t>AICIS</w:t>
            </w:r>
            <w:r w:rsidR="00FC1184" w:rsidRPr="00FC1184">
              <w:rPr>
                <w:rFonts w:ascii="Arial" w:hAnsi="Arial" w:cs="Arial"/>
                <w:color w:val="000000"/>
                <w:sz w:val="16"/>
                <w:szCs w:val="16"/>
                <w:vertAlign w:val="superscript"/>
              </w:rPr>
              <w:t>(a)</w:t>
            </w:r>
          </w:p>
        </w:tc>
        <w:tc>
          <w:tcPr>
            <w:tcW w:w="920" w:type="dxa"/>
            <w:tcBorders>
              <w:top w:val="nil"/>
              <w:left w:val="nil"/>
              <w:bottom w:val="nil"/>
              <w:right w:val="nil"/>
            </w:tcBorders>
            <w:shd w:val="clear" w:color="auto" w:fill="auto"/>
            <w:noWrap/>
            <w:vAlign w:val="bottom"/>
            <w:hideMark/>
          </w:tcPr>
          <w:p w14:paraId="41D2749D"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(2,431)</w:t>
            </w:r>
          </w:p>
        </w:tc>
        <w:tc>
          <w:tcPr>
            <w:tcW w:w="920" w:type="dxa"/>
            <w:tcBorders>
              <w:top w:val="nil"/>
              <w:left w:val="nil"/>
              <w:bottom w:val="nil"/>
              <w:right w:val="nil"/>
            </w:tcBorders>
            <w:shd w:val="clear" w:color="000000" w:fill="D9D9D9"/>
            <w:noWrap/>
            <w:vAlign w:val="bottom"/>
            <w:hideMark/>
          </w:tcPr>
          <w:p w14:paraId="41D077C3"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(2,500)</w:t>
            </w:r>
          </w:p>
        </w:tc>
        <w:tc>
          <w:tcPr>
            <w:tcW w:w="920" w:type="dxa"/>
            <w:tcBorders>
              <w:top w:val="nil"/>
              <w:left w:val="nil"/>
              <w:bottom w:val="nil"/>
              <w:right w:val="nil"/>
            </w:tcBorders>
            <w:shd w:val="clear" w:color="auto" w:fill="auto"/>
            <w:noWrap/>
            <w:vAlign w:val="bottom"/>
            <w:hideMark/>
          </w:tcPr>
          <w:p w14:paraId="758F4DAD"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(2,500)</w:t>
            </w:r>
          </w:p>
        </w:tc>
        <w:tc>
          <w:tcPr>
            <w:tcW w:w="920" w:type="dxa"/>
            <w:tcBorders>
              <w:top w:val="nil"/>
              <w:left w:val="nil"/>
              <w:bottom w:val="nil"/>
              <w:right w:val="nil"/>
            </w:tcBorders>
            <w:shd w:val="clear" w:color="auto" w:fill="auto"/>
            <w:noWrap/>
            <w:vAlign w:val="bottom"/>
            <w:hideMark/>
          </w:tcPr>
          <w:p w14:paraId="15A3DDE3"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(2,500)</w:t>
            </w:r>
          </w:p>
        </w:tc>
        <w:tc>
          <w:tcPr>
            <w:tcW w:w="920" w:type="dxa"/>
            <w:tcBorders>
              <w:top w:val="nil"/>
              <w:left w:val="nil"/>
              <w:bottom w:val="nil"/>
              <w:right w:val="nil"/>
            </w:tcBorders>
            <w:shd w:val="clear" w:color="auto" w:fill="auto"/>
            <w:noWrap/>
            <w:vAlign w:val="bottom"/>
            <w:hideMark/>
          </w:tcPr>
          <w:p w14:paraId="4A8400A4"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(2,500)</w:t>
            </w:r>
          </w:p>
        </w:tc>
      </w:tr>
      <w:tr w:rsidR="00C27A52" w:rsidRPr="00C27A52" w14:paraId="50822CBE" w14:textId="77777777" w:rsidTr="00C27A52">
        <w:trPr>
          <w:trHeight w:val="225"/>
          <w:jc w:val="center"/>
        </w:trPr>
        <w:tc>
          <w:tcPr>
            <w:tcW w:w="3000" w:type="dxa"/>
            <w:tcBorders>
              <w:top w:val="nil"/>
              <w:left w:val="nil"/>
              <w:bottom w:val="nil"/>
              <w:right w:val="nil"/>
            </w:tcBorders>
            <w:shd w:val="clear" w:color="auto" w:fill="auto"/>
            <w:vAlign w:val="bottom"/>
            <w:hideMark/>
          </w:tcPr>
          <w:p w14:paraId="7BE08F88" w14:textId="684D8221" w:rsidR="00C27A52" w:rsidRPr="00C27A52" w:rsidRDefault="00C27A52" w:rsidP="00C27A52">
            <w:pPr>
              <w:spacing w:before="0" w:after="0" w:line="240" w:lineRule="auto"/>
              <w:ind w:leftChars="150" w:left="285"/>
              <w:rPr>
                <w:rFonts w:ascii="Arial" w:hAnsi="Arial" w:cs="Arial"/>
                <w:color w:val="000000"/>
                <w:sz w:val="16"/>
                <w:szCs w:val="16"/>
              </w:rPr>
            </w:pPr>
            <w:r w:rsidRPr="00C27A52">
              <w:rPr>
                <w:rFonts w:ascii="Arial" w:hAnsi="Arial" w:cs="Arial"/>
                <w:color w:val="000000"/>
                <w:sz w:val="16"/>
                <w:szCs w:val="16"/>
              </w:rPr>
              <w:t>TGA</w:t>
            </w:r>
            <w:r w:rsidR="00FC1184" w:rsidRPr="00FC1184">
              <w:rPr>
                <w:rFonts w:ascii="Arial" w:hAnsi="Arial" w:cs="Arial"/>
                <w:color w:val="000000"/>
                <w:sz w:val="16"/>
                <w:szCs w:val="16"/>
                <w:vertAlign w:val="superscript"/>
              </w:rPr>
              <w:t>(b)</w:t>
            </w:r>
          </w:p>
        </w:tc>
        <w:tc>
          <w:tcPr>
            <w:tcW w:w="920" w:type="dxa"/>
            <w:tcBorders>
              <w:top w:val="nil"/>
              <w:left w:val="nil"/>
              <w:bottom w:val="nil"/>
              <w:right w:val="nil"/>
            </w:tcBorders>
            <w:shd w:val="clear" w:color="auto" w:fill="auto"/>
            <w:noWrap/>
            <w:vAlign w:val="bottom"/>
            <w:hideMark/>
          </w:tcPr>
          <w:p w14:paraId="70EF477E"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(5,402)</w:t>
            </w:r>
          </w:p>
        </w:tc>
        <w:tc>
          <w:tcPr>
            <w:tcW w:w="920" w:type="dxa"/>
            <w:tcBorders>
              <w:top w:val="nil"/>
              <w:left w:val="nil"/>
              <w:bottom w:val="nil"/>
              <w:right w:val="nil"/>
            </w:tcBorders>
            <w:shd w:val="clear" w:color="000000" w:fill="D9D9D9"/>
            <w:noWrap/>
            <w:vAlign w:val="bottom"/>
            <w:hideMark/>
          </w:tcPr>
          <w:p w14:paraId="2696ACFA"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(5,971)</w:t>
            </w:r>
          </w:p>
        </w:tc>
        <w:tc>
          <w:tcPr>
            <w:tcW w:w="920" w:type="dxa"/>
            <w:tcBorders>
              <w:top w:val="nil"/>
              <w:left w:val="nil"/>
              <w:bottom w:val="nil"/>
              <w:right w:val="nil"/>
            </w:tcBorders>
            <w:shd w:val="clear" w:color="auto" w:fill="auto"/>
            <w:noWrap/>
            <w:vAlign w:val="bottom"/>
            <w:hideMark/>
          </w:tcPr>
          <w:p w14:paraId="7D76C490"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(5,971)</w:t>
            </w:r>
          </w:p>
        </w:tc>
        <w:tc>
          <w:tcPr>
            <w:tcW w:w="920" w:type="dxa"/>
            <w:tcBorders>
              <w:top w:val="nil"/>
              <w:left w:val="nil"/>
              <w:bottom w:val="nil"/>
              <w:right w:val="nil"/>
            </w:tcBorders>
            <w:shd w:val="clear" w:color="auto" w:fill="auto"/>
            <w:noWrap/>
            <w:vAlign w:val="bottom"/>
            <w:hideMark/>
          </w:tcPr>
          <w:p w14:paraId="505FCF08"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(5,971)</w:t>
            </w:r>
          </w:p>
        </w:tc>
        <w:tc>
          <w:tcPr>
            <w:tcW w:w="920" w:type="dxa"/>
            <w:tcBorders>
              <w:top w:val="nil"/>
              <w:left w:val="nil"/>
              <w:bottom w:val="nil"/>
              <w:right w:val="nil"/>
            </w:tcBorders>
            <w:shd w:val="clear" w:color="auto" w:fill="auto"/>
            <w:noWrap/>
            <w:vAlign w:val="bottom"/>
            <w:hideMark/>
          </w:tcPr>
          <w:p w14:paraId="06965687"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(5,971)</w:t>
            </w:r>
          </w:p>
        </w:tc>
      </w:tr>
      <w:tr w:rsidR="00C27A52" w:rsidRPr="00C27A52" w14:paraId="1109E617" w14:textId="77777777" w:rsidTr="00EE3DDA">
        <w:trPr>
          <w:trHeight w:val="454"/>
          <w:jc w:val="center"/>
        </w:trPr>
        <w:tc>
          <w:tcPr>
            <w:tcW w:w="3000" w:type="dxa"/>
            <w:tcBorders>
              <w:top w:val="nil"/>
              <w:left w:val="nil"/>
              <w:bottom w:val="nil"/>
              <w:right w:val="nil"/>
            </w:tcBorders>
            <w:shd w:val="clear" w:color="auto" w:fill="auto"/>
            <w:vAlign w:val="bottom"/>
            <w:hideMark/>
          </w:tcPr>
          <w:p w14:paraId="2CFB5B9A" w14:textId="77777777" w:rsidR="00C27A52" w:rsidRPr="00C27A52" w:rsidRDefault="00C27A52" w:rsidP="00C27A52">
            <w:pPr>
              <w:spacing w:before="0" w:after="0" w:line="240" w:lineRule="auto"/>
              <w:ind w:leftChars="75" w:left="143"/>
              <w:rPr>
                <w:rFonts w:ascii="Arial" w:hAnsi="Arial" w:cs="Arial"/>
                <w:color w:val="000000"/>
                <w:sz w:val="16"/>
                <w:szCs w:val="16"/>
              </w:rPr>
            </w:pPr>
            <w:proofErr w:type="gramStart"/>
            <w:r w:rsidRPr="00C27A52">
              <w:rPr>
                <w:rFonts w:ascii="Arial" w:hAnsi="Arial" w:cs="Arial"/>
                <w:color w:val="000000"/>
                <w:sz w:val="16"/>
                <w:szCs w:val="16"/>
              </w:rPr>
              <w:t>plus</w:t>
            </w:r>
            <w:proofErr w:type="gramEnd"/>
            <w:r w:rsidRPr="00C27A52">
              <w:rPr>
                <w:rFonts w:ascii="Arial" w:hAnsi="Arial" w:cs="Arial"/>
                <w:color w:val="000000"/>
                <w:sz w:val="16"/>
                <w:szCs w:val="16"/>
              </w:rPr>
              <w:t xml:space="preserve"> depreciation and amortisation expenses for </w:t>
            </w:r>
            <w:proofErr w:type="spellStart"/>
            <w:r w:rsidRPr="00C27A52">
              <w:rPr>
                <w:rFonts w:ascii="Arial" w:hAnsi="Arial" w:cs="Arial"/>
                <w:color w:val="000000"/>
                <w:sz w:val="16"/>
                <w:szCs w:val="16"/>
              </w:rPr>
              <w:t>RoU</w:t>
            </w:r>
            <w:proofErr w:type="spellEnd"/>
          </w:p>
        </w:tc>
        <w:tc>
          <w:tcPr>
            <w:tcW w:w="920" w:type="dxa"/>
            <w:tcBorders>
              <w:top w:val="nil"/>
              <w:left w:val="nil"/>
              <w:bottom w:val="nil"/>
              <w:right w:val="nil"/>
            </w:tcBorders>
            <w:shd w:val="clear" w:color="auto" w:fill="auto"/>
            <w:noWrap/>
            <w:vAlign w:val="bottom"/>
            <w:hideMark/>
          </w:tcPr>
          <w:p w14:paraId="41F5EFF9"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56,822</w:t>
            </w:r>
          </w:p>
        </w:tc>
        <w:tc>
          <w:tcPr>
            <w:tcW w:w="920" w:type="dxa"/>
            <w:tcBorders>
              <w:top w:val="nil"/>
              <w:left w:val="nil"/>
              <w:bottom w:val="nil"/>
              <w:right w:val="nil"/>
            </w:tcBorders>
            <w:shd w:val="clear" w:color="000000" w:fill="D9D9D9"/>
            <w:noWrap/>
            <w:vAlign w:val="bottom"/>
            <w:hideMark/>
          </w:tcPr>
          <w:p w14:paraId="1303F2CF"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65,310</w:t>
            </w:r>
          </w:p>
        </w:tc>
        <w:tc>
          <w:tcPr>
            <w:tcW w:w="920" w:type="dxa"/>
            <w:tcBorders>
              <w:top w:val="nil"/>
              <w:left w:val="nil"/>
              <w:bottom w:val="nil"/>
              <w:right w:val="nil"/>
            </w:tcBorders>
            <w:shd w:val="clear" w:color="auto" w:fill="auto"/>
            <w:noWrap/>
            <w:vAlign w:val="bottom"/>
            <w:hideMark/>
          </w:tcPr>
          <w:p w14:paraId="1986B064"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64,928</w:t>
            </w:r>
          </w:p>
        </w:tc>
        <w:tc>
          <w:tcPr>
            <w:tcW w:w="920" w:type="dxa"/>
            <w:tcBorders>
              <w:top w:val="nil"/>
              <w:left w:val="nil"/>
              <w:bottom w:val="nil"/>
              <w:right w:val="nil"/>
            </w:tcBorders>
            <w:shd w:val="clear" w:color="auto" w:fill="auto"/>
            <w:noWrap/>
            <w:vAlign w:val="bottom"/>
            <w:hideMark/>
          </w:tcPr>
          <w:p w14:paraId="5F29A0DA"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55,382</w:t>
            </w:r>
          </w:p>
        </w:tc>
        <w:tc>
          <w:tcPr>
            <w:tcW w:w="920" w:type="dxa"/>
            <w:tcBorders>
              <w:top w:val="nil"/>
              <w:left w:val="nil"/>
              <w:bottom w:val="nil"/>
              <w:right w:val="nil"/>
            </w:tcBorders>
            <w:shd w:val="clear" w:color="auto" w:fill="auto"/>
            <w:noWrap/>
            <w:vAlign w:val="bottom"/>
            <w:hideMark/>
          </w:tcPr>
          <w:p w14:paraId="5B0CB1B2"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55,382</w:t>
            </w:r>
          </w:p>
        </w:tc>
      </w:tr>
      <w:tr w:rsidR="00C27A52" w:rsidRPr="00C27A52" w14:paraId="68B2DAEB" w14:textId="77777777" w:rsidTr="00EE3DDA">
        <w:trPr>
          <w:trHeight w:val="283"/>
          <w:jc w:val="center"/>
        </w:trPr>
        <w:tc>
          <w:tcPr>
            <w:tcW w:w="3000" w:type="dxa"/>
            <w:tcBorders>
              <w:top w:val="nil"/>
              <w:left w:val="nil"/>
              <w:bottom w:val="nil"/>
              <w:right w:val="nil"/>
            </w:tcBorders>
            <w:shd w:val="clear" w:color="auto" w:fill="auto"/>
            <w:vAlign w:val="bottom"/>
            <w:hideMark/>
          </w:tcPr>
          <w:p w14:paraId="43CCAD76" w14:textId="77777777" w:rsidR="00C27A52" w:rsidRPr="00C27A52" w:rsidRDefault="00C27A52" w:rsidP="00C27A52">
            <w:pPr>
              <w:spacing w:before="0" w:after="0" w:line="240" w:lineRule="auto"/>
              <w:ind w:leftChars="75" w:left="143"/>
              <w:rPr>
                <w:rFonts w:ascii="Arial" w:hAnsi="Arial" w:cs="Arial"/>
                <w:color w:val="000000"/>
                <w:sz w:val="16"/>
                <w:szCs w:val="16"/>
              </w:rPr>
            </w:pPr>
            <w:r w:rsidRPr="00C27A52">
              <w:rPr>
                <w:rFonts w:ascii="Arial" w:hAnsi="Arial" w:cs="Arial"/>
                <w:color w:val="000000"/>
                <w:sz w:val="16"/>
                <w:szCs w:val="16"/>
              </w:rPr>
              <w:t>less lease principal repayments</w:t>
            </w:r>
          </w:p>
        </w:tc>
        <w:tc>
          <w:tcPr>
            <w:tcW w:w="920" w:type="dxa"/>
            <w:tcBorders>
              <w:top w:val="nil"/>
              <w:left w:val="nil"/>
              <w:bottom w:val="nil"/>
              <w:right w:val="nil"/>
            </w:tcBorders>
            <w:shd w:val="clear" w:color="auto" w:fill="auto"/>
            <w:noWrap/>
            <w:vAlign w:val="bottom"/>
            <w:hideMark/>
          </w:tcPr>
          <w:p w14:paraId="1E276F0C"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(41,825)</w:t>
            </w:r>
          </w:p>
        </w:tc>
        <w:tc>
          <w:tcPr>
            <w:tcW w:w="920" w:type="dxa"/>
            <w:tcBorders>
              <w:top w:val="nil"/>
              <w:left w:val="nil"/>
              <w:bottom w:val="nil"/>
              <w:right w:val="nil"/>
            </w:tcBorders>
            <w:shd w:val="clear" w:color="000000" w:fill="D9D9D9"/>
            <w:noWrap/>
            <w:vAlign w:val="bottom"/>
            <w:hideMark/>
          </w:tcPr>
          <w:p w14:paraId="69DBD767"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(57,943)</w:t>
            </w:r>
          </w:p>
        </w:tc>
        <w:tc>
          <w:tcPr>
            <w:tcW w:w="920" w:type="dxa"/>
            <w:tcBorders>
              <w:top w:val="nil"/>
              <w:left w:val="nil"/>
              <w:bottom w:val="nil"/>
              <w:right w:val="nil"/>
            </w:tcBorders>
            <w:shd w:val="clear" w:color="auto" w:fill="auto"/>
            <w:noWrap/>
            <w:vAlign w:val="bottom"/>
            <w:hideMark/>
          </w:tcPr>
          <w:p w14:paraId="31E38587"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(60,277)</w:t>
            </w:r>
          </w:p>
        </w:tc>
        <w:tc>
          <w:tcPr>
            <w:tcW w:w="920" w:type="dxa"/>
            <w:tcBorders>
              <w:top w:val="nil"/>
              <w:left w:val="nil"/>
              <w:bottom w:val="nil"/>
              <w:right w:val="nil"/>
            </w:tcBorders>
            <w:shd w:val="clear" w:color="auto" w:fill="auto"/>
            <w:noWrap/>
            <w:vAlign w:val="bottom"/>
            <w:hideMark/>
          </w:tcPr>
          <w:p w14:paraId="0086503B"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(52,012)</w:t>
            </w:r>
          </w:p>
        </w:tc>
        <w:tc>
          <w:tcPr>
            <w:tcW w:w="920" w:type="dxa"/>
            <w:tcBorders>
              <w:top w:val="nil"/>
              <w:left w:val="nil"/>
              <w:bottom w:val="nil"/>
              <w:right w:val="nil"/>
            </w:tcBorders>
            <w:shd w:val="clear" w:color="auto" w:fill="auto"/>
            <w:noWrap/>
            <w:vAlign w:val="bottom"/>
            <w:hideMark/>
          </w:tcPr>
          <w:p w14:paraId="3BC0A626" w14:textId="77777777" w:rsidR="00C27A52" w:rsidRPr="00C27A52" w:rsidRDefault="00C27A52" w:rsidP="00C27A52">
            <w:pPr>
              <w:spacing w:before="0" w:after="0" w:line="240" w:lineRule="auto"/>
              <w:jc w:val="right"/>
              <w:rPr>
                <w:rFonts w:ascii="Arial" w:hAnsi="Arial" w:cs="Arial"/>
                <w:sz w:val="16"/>
                <w:szCs w:val="16"/>
              </w:rPr>
            </w:pPr>
            <w:r w:rsidRPr="00C27A52">
              <w:rPr>
                <w:rFonts w:ascii="Arial" w:hAnsi="Arial" w:cs="Arial"/>
                <w:sz w:val="16"/>
                <w:szCs w:val="16"/>
              </w:rPr>
              <w:t>(52,012)</w:t>
            </w:r>
          </w:p>
        </w:tc>
      </w:tr>
      <w:tr w:rsidR="00C27A52" w:rsidRPr="00C27A52" w14:paraId="6CB74643" w14:textId="77777777" w:rsidTr="00EE3DDA">
        <w:trPr>
          <w:trHeight w:val="454"/>
          <w:jc w:val="center"/>
        </w:trPr>
        <w:tc>
          <w:tcPr>
            <w:tcW w:w="3000" w:type="dxa"/>
            <w:tcBorders>
              <w:top w:val="nil"/>
              <w:left w:val="nil"/>
              <w:bottom w:val="single" w:sz="4" w:space="0" w:color="auto"/>
              <w:right w:val="nil"/>
            </w:tcBorders>
            <w:shd w:val="clear" w:color="auto" w:fill="auto"/>
            <w:vAlign w:val="bottom"/>
            <w:hideMark/>
          </w:tcPr>
          <w:p w14:paraId="308549E1" w14:textId="77777777" w:rsidR="00C27A52" w:rsidRPr="00C27A52" w:rsidRDefault="00C27A52" w:rsidP="00C27A52">
            <w:pPr>
              <w:spacing w:before="0" w:after="0" w:line="240" w:lineRule="auto"/>
              <w:rPr>
                <w:rFonts w:ascii="Arial" w:hAnsi="Arial" w:cs="Arial"/>
                <w:b/>
                <w:bCs/>
                <w:sz w:val="16"/>
                <w:szCs w:val="16"/>
              </w:rPr>
            </w:pPr>
            <w:r w:rsidRPr="00C27A52">
              <w:rPr>
                <w:rFonts w:ascii="Arial" w:hAnsi="Arial" w:cs="Arial"/>
                <w:b/>
                <w:bCs/>
                <w:sz w:val="16"/>
                <w:szCs w:val="16"/>
              </w:rPr>
              <w:t>Total comprehensive income (loss) attributable to the agency</w:t>
            </w:r>
          </w:p>
        </w:tc>
        <w:tc>
          <w:tcPr>
            <w:tcW w:w="920" w:type="dxa"/>
            <w:tcBorders>
              <w:top w:val="nil"/>
              <w:left w:val="nil"/>
              <w:bottom w:val="single" w:sz="4" w:space="0" w:color="auto"/>
              <w:right w:val="nil"/>
            </w:tcBorders>
            <w:shd w:val="clear" w:color="auto" w:fill="auto"/>
            <w:noWrap/>
            <w:vAlign w:val="bottom"/>
            <w:hideMark/>
          </w:tcPr>
          <w:p w14:paraId="047014C8" w14:textId="77777777" w:rsidR="00C27A52" w:rsidRPr="00C27A52" w:rsidRDefault="00C27A52" w:rsidP="00C27A52">
            <w:pPr>
              <w:spacing w:before="0" w:after="0" w:line="240" w:lineRule="auto"/>
              <w:jc w:val="right"/>
              <w:rPr>
                <w:rFonts w:ascii="Arial" w:hAnsi="Arial" w:cs="Arial"/>
                <w:b/>
                <w:bCs/>
                <w:sz w:val="16"/>
                <w:szCs w:val="16"/>
              </w:rPr>
            </w:pPr>
            <w:r w:rsidRPr="00C27A52">
              <w:rPr>
                <w:rFonts w:ascii="Arial" w:hAnsi="Arial" w:cs="Arial"/>
                <w:b/>
                <w:bCs/>
                <w:sz w:val="16"/>
                <w:szCs w:val="16"/>
              </w:rPr>
              <w:t>12,345</w:t>
            </w:r>
          </w:p>
        </w:tc>
        <w:tc>
          <w:tcPr>
            <w:tcW w:w="920" w:type="dxa"/>
            <w:tcBorders>
              <w:top w:val="nil"/>
              <w:left w:val="nil"/>
              <w:bottom w:val="single" w:sz="4" w:space="0" w:color="auto"/>
              <w:right w:val="nil"/>
            </w:tcBorders>
            <w:shd w:val="clear" w:color="000000" w:fill="D9D9D9"/>
            <w:noWrap/>
            <w:vAlign w:val="bottom"/>
            <w:hideMark/>
          </w:tcPr>
          <w:p w14:paraId="5ADA008A" w14:textId="77777777" w:rsidR="00C27A52" w:rsidRPr="00C27A52" w:rsidRDefault="00C27A52" w:rsidP="00C27A52">
            <w:pPr>
              <w:spacing w:before="0" w:after="0" w:line="240" w:lineRule="auto"/>
              <w:jc w:val="right"/>
              <w:rPr>
                <w:rFonts w:ascii="Arial" w:hAnsi="Arial" w:cs="Arial"/>
                <w:b/>
                <w:bCs/>
                <w:sz w:val="16"/>
                <w:szCs w:val="16"/>
              </w:rPr>
            </w:pPr>
            <w:r w:rsidRPr="00C27A52">
              <w:rPr>
                <w:rFonts w:ascii="Arial" w:hAnsi="Arial" w:cs="Arial"/>
                <w:b/>
                <w:bCs/>
                <w:sz w:val="16"/>
                <w:szCs w:val="16"/>
              </w:rPr>
              <w:t>(477)</w:t>
            </w:r>
          </w:p>
        </w:tc>
        <w:tc>
          <w:tcPr>
            <w:tcW w:w="920" w:type="dxa"/>
            <w:tcBorders>
              <w:top w:val="nil"/>
              <w:left w:val="nil"/>
              <w:bottom w:val="single" w:sz="4" w:space="0" w:color="auto"/>
              <w:right w:val="nil"/>
            </w:tcBorders>
            <w:shd w:val="clear" w:color="auto" w:fill="auto"/>
            <w:noWrap/>
            <w:vAlign w:val="bottom"/>
            <w:hideMark/>
          </w:tcPr>
          <w:p w14:paraId="78539DB3" w14:textId="77777777" w:rsidR="00C27A52" w:rsidRPr="00C27A52" w:rsidRDefault="00C27A52" w:rsidP="00C27A52">
            <w:pPr>
              <w:spacing w:before="0" w:after="0" w:line="240" w:lineRule="auto"/>
              <w:jc w:val="right"/>
              <w:rPr>
                <w:rFonts w:ascii="Arial" w:hAnsi="Arial" w:cs="Arial"/>
                <w:b/>
                <w:bCs/>
                <w:sz w:val="16"/>
                <w:szCs w:val="16"/>
              </w:rPr>
            </w:pPr>
            <w:r w:rsidRPr="00C27A52">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3AD5C7A0" w14:textId="77777777" w:rsidR="00C27A52" w:rsidRPr="00C27A52" w:rsidRDefault="00C27A52" w:rsidP="00C27A52">
            <w:pPr>
              <w:spacing w:before="0" w:after="0" w:line="240" w:lineRule="auto"/>
              <w:jc w:val="right"/>
              <w:rPr>
                <w:rFonts w:ascii="Arial" w:hAnsi="Arial" w:cs="Arial"/>
                <w:b/>
                <w:bCs/>
                <w:sz w:val="16"/>
                <w:szCs w:val="16"/>
              </w:rPr>
            </w:pPr>
            <w:r w:rsidRPr="00C27A52">
              <w:rPr>
                <w:rFonts w:ascii="Arial" w:hAnsi="Arial" w:cs="Arial"/>
                <w:b/>
                <w:bCs/>
                <w:sz w:val="16"/>
                <w:szCs w:val="16"/>
              </w:rPr>
              <w:t>-</w:t>
            </w:r>
          </w:p>
        </w:tc>
        <w:tc>
          <w:tcPr>
            <w:tcW w:w="920" w:type="dxa"/>
            <w:tcBorders>
              <w:top w:val="nil"/>
              <w:left w:val="nil"/>
              <w:bottom w:val="single" w:sz="4" w:space="0" w:color="auto"/>
              <w:right w:val="nil"/>
            </w:tcBorders>
            <w:shd w:val="clear" w:color="auto" w:fill="auto"/>
            <w:noWrap/>
            <w:vAlign w:val="bottom"/>
            <w:hideMark/>
          </w:tcPr>
          <w:p w14:paraId="365818AC" w14:textId="77777777" w:rsidR="00C27A52" w:rsidRPr="00C27A52" w:rsidRDefault="00C27A52" w:rsidP="00C27A52">
            <w:pPr>
              <w:spacing w:before="0" w:after="0" w:line="240" w:lineRule="auto"/>
              <w:jc w:val="right"/>
              <w:rPr>
                <w:rFonts w:ascii="Arial" w:hAnsi="Arial" w:cs="Arial"/>
                <w:b/>
                <w:bCs/>
                <w:sz w:val="16"/>
                <w:szCs w:val="16"/>
              </w:rPr>
            </w:pPr>
            <w:r w:rsidRPr="00C27A52">
              <w:rPr>
                <w:rFonts w:ascii="Arial" w:hAnsi="Arial" w:cs="Arial"/>
                <w:b/>
                <w:bCs/>
                <w:sz w:val="16"/>
                <w:szCs w:val="16"/>
              </w:rPr>
              <w:t>-</w:t>
            </w:r>
          </w:p>
        </w:tc>
      </w:tr>
    </w:tbl>
    <w:p w14:paraId="7C8A16D4" w14:textId="2503CB04" w:rsidR="00440C2B" w:rsidRDefault="003F1224" w:rsidP="00C27A52">
      <w:pPr>
        <w:pStyle w:val="FootnoteText"/>
        <w:spacing w:before="120"/>
        <w:rPr>
          <w:snapToGrid w:val="0"/>
        </w:rPr>
      </w:pPr>
      <w:proofErr w:type="spellStart"/>
      <w:r w:rsidRPr="003F1224">
        <w:rPr>
          <w:snapToGrid w:val="0"/>
        </w:rPr>
        <w:t>RoU</w:t>
      </w:r>
      <w:proofErr w:type="spellEnd"/>
      <w:r w:rsidRPr="003F1224">
        <w:rPr>
          <w:snapToGrid w:val="0"/>
        </w:rPr>
        <w:t xml:space="preserve"> = Right-of-Use asset</w:t>
      </w:r>
    </w:p>
    <w:p w14:paraId="12AC001D" w14:textId="3C4B58E8" w:rsidR="00FC1184" w:rsidRDefault="00FC1184" w:rsidP="00FC1184">
      <w:pPr>
        <w:pStyle w:val="FootnoteText"/>
        <w:numPr>
          <w:ilvl w:val="0"/>
          <w:numId w:val="58"/>
        </w:numPr>
      </w:pPr>
      <w:r>
        <w:t>Australian Industrial Chemicals Introduction Scheme</w:t>
      </w:r>
    </w:p>
    <w:p w14:paraId="319E9AFE" w14:textId="7B5A52A9" w:rsidR="00FC1184" w:rsidRDefault="00FC1184" w:rsidP="00FC1184">
      <w:pPr>
        <w:pStyle w:val="FootnoteText"/>
        <w:numPr>
          <w:ilvl w:val="0"/>
          <w:numId w:val="58"/>
        </w:numPr>
      </w:pPr>
      <w:r>
        <w:t>Therapeutic Goods Administration</w:t>
      </w:r>
    </w:p>
    <w:p w14:paraId="2C52B41B" w14:textId="50F57BA1" w:rsidR="00440C2B" w:rsidRPr="00440C2B" w:rsidRDefault="00440C2B" w:rsidP="00440C2B">
      <w:pPr>
        <w:spacing w:before="0" w:after="0" w:line="240" w:lineRule="auto"/>
        <w:rPr>
          <w:rFonts w:ascii="Arial" w:hAnsi="Arial"/>
          <w:snapToGrid w:val="0"/>
          <w:sz w:val="16"/>
        </w:rPr>
      </w:pPr>
      <w:r>
        <w:rPr>
          <w:snapToGrid w:val="0"/>
        </w:rPr>
        <w:br w:type="page"/>
      </w:r>
    </w:p>
    <w:p w14:paraId="131590AB" w14:textId="77777777" w:rsidR="00736DD8" w:rsidRDefault="00736DD8" w:rsidP="00736DD8">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600" w:type="dxa"/>
        <w:jc w:val="center"/>
        <w:tblLayout w:type="fixed"/>
        <w:tblLook w:val="04A0" w:firstRow="1" w:lastRow="0" w:firstColumn="1" w:lastColumn="0" w:noHBand="0" w:noVBand="1"/>
      </w:tblPr>
      <w:tblGrid>
        <w:gridCol w:w="3000"/>
        <w:gridCol w:w="920"/>
        <w:gridCol w:w="920"/>
        <w:gridCol w:w="920"/>
        <w:gridCol w:w="920"/>
        <w:gridCol w:w="920"/>
      </w:tblGrid>
      <w:tr w:rsidR="00440C2B" w:rsidRPr="00440C2B" w14:paraId="54FC8D20" w14:textId="77777777" w:rsidTr="00440C2B">
        <w:trPr>
          <w:trHeight w:val="680"/>
          <w:jc w:val="center"/>
        </w:trPr>
        <w:tc>
          <w:tcPr>
            <w:tcW w:w="3000" w:type="dxa"/>
            <w:tcBorders>
              <w:top w:val="single" w:sz="4" w:space="0" w:color="auto"/>
              <w:left w:val="nil"/>
              <w:bottom w:val="nil"/>
              <w:right w:val="nil"/>
            </w:tcBorders>
            <w:shd w:val="clear" w:color="auto" w:fill="auto"/>
            <w:hideMark/>
          </w:tcPr>
          <w:p w14:paraId="182474C4" w14:textId="77777777" w:rsidR="00440C2B" w:rsidRPr="00440C2B" w:rsidRDefault="00440C2B" w:rsidP="00440C2B">
            <w:pPr>
              <w:spacing w:before="24" w:after="0" w:line="240" w:lineRule="auto"/>
              <w:jc w:val="right"/>
              <w:rPr>
                <w:rFonts w:ascii="Arial" w:hAnsi="Arial" w:cs="Arial"/>
                <w:color w:val="FF0000"/>
                <w:sz w:val="16"/>
                <w:szCs w:val="16"/>
              </w:rPr>
            </w:pPr>
            <w:r w:rsidRPr="00440C2B">
              <w:rPr>
                <w:rFonts w:ascii="Arial" w:hAnsi="Arial" w:cs="Arial"/>
                <w:color w:val="FF0000"/>
                <w:sz w:val="16"/>
                <w:szCs w:val="16"/>
              </w:rPr>
              <w:t> </w:t>
            </w:r>
          </w:p>
        </w:tc>
        <w:tc>
          <w:tcPr>
            <w:tcW w:w="920" w:type="dxa"/>
            <w:tcBorders>
              <w:top w:val="single" w:sz="4" w:space="0" w:color="auto"/>
              <w:left w:val="nil"/>
              <w:bottom w:val="single" w:sz="4" w:space="0" w:color="auto"/>
              <w:right w:val="nil"/>
            </w:tcBorders>
            <w:shd w:val="clear" w:color="auto" w:fill="auto"/>
            <w:hideMark/>
          </w:tcPr>
          <w:p w14:paraId="49A046CA" w14:textId="1CE2AE9F" w:rsidR="00440C2B" w:rsidRPr="00440C2B" w:rsidRDefault="00440C2B" w:rsidP="00440C2B">
            <w:pPr>
              <w:spacing w:before="24" w:after="0" w:line="240" w:lineRule="auto"/>
              <w:jc w:val="right"/>
              <w:rPr>
                <w:rFonts w:ascii="Arial" w:hAnsi="Arial" w:cs="Arial"/>
                <w:b/>
                <w:bCs/>
                <w:sz w:val="16"/>
                <w:szCs w:val="16"/>
              </w:rPr>
            </w:pPr>
            <w:r>
              <w:rPr>
                <w:rFonts w:ascii="Arial" w:hAnsi="Arial" w:cs="Arial"/>
                <w:b/>
                <w:bCs/>
                <w:sz w:val="16"/>
                <w:szCs w:val="16"/>
              </w:rPr>
              <w:t>2022–</w:t>
            </w:r>
            <w:r w:rsidRPr="00440C2B">
              <w:rPr>
                <w:rFonts w:ascii="Arial" w:hAnsi="Arial" w:cs="Arial"/>
                <w:b/>
                <w:bCs/>
                <w:sz w:val="16"/>
                <w:szCs w:val="16"/>
              </w:rPr>
              <w:t>23</w:t>
            </w:r>
            <w:r w:rsidRPr="00440C2B">
              <w:rPr>
                <w:rFonts w:ascii="Arial" w:hAnsi="Arial" w:cs="Arial"/>
                <w:b/>
                <w:bCs/>
                <w:sz w:val="16"/>
                <w:szCs w:val="16"/>
              </w:rPr>
              <w:br/>
              <w:t>Actual</w:t>
            </w:r>
            <w:r w:rsidRPr="00440C2B">
              <w:rPr>
                <w:rFonts w:ascii="Arial" w:hAnsi="Arial" w:cs="Arial"/>
                <w:b/>
                <w:bCs/>
                <w:sz w:val="16"/>
                <w:szCs w:val="16"/>
              </w:rPr>
              <w:br/>
            </w:r>
            <w:r w:rsidRPr="00440C2B">
              <w:rPr>
                <w:rFonts w:ascii="Arial" w:hAnsi="Arial" w:cs="Arial"/>
                <w:b/>
                <w:bCs/>
                <w:sz w:val="16"/>
                <w:szCs w:val="16"/>
              </w:rPr>
              <w:br/>
            </w:r>
            <w:r w:rsidRPr="00440C2B">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24C88714" w14:textId="0AE448AD" w:rsidR="00440C2B" w:rsidRPr="00440C2B" w:rsidRDefault="00440C2B" w:rsidP="00440C2B">
            <w:pPr>
              <w:spacing w:before="24" w:after="0" w:line="240" w:lineRule="auto"/>
              <w:jc w:val="right"/>
              <w:rPr>
                <w:rFonts w:ascii="Arial" w:hAnsi="Arial" w:cs="Arial"/>
                <w:b/>
                <w:bCs/>
                <w:sz w:val="16"/>
                <w:szCs w:val="16"/>
              </w:rPr>
            </w:pPr>
            <w:r>
              <w:rPr>
                <w:rFonts w:ascii="Arial" w:hAnsi="Arial" w:cs="Arial"/>
                <w:b/>
                <w:bCs/>
                <w:sz w:val="16"/>
                <w:szCs w:val="16"/>
              </w:rPr>
              <w:t>2023–</w:t>
            </w:r>
            <w:r w:rsidRPr="00440C2B">
              <w:rPr>
                <w:rFonts w:ascii="Arial" w:hAnsi="Arial" w:cs="Arial"/>
                <w:b/>
                <w:bCs/>
                <w:sz w:val="16"/>
                <w:szCs w:val="16"/>
              </w:rPr>
              <w:t>24</w:t>
            </w:r>
            <w:r w:rsidRPr="00440C2B">
              <w:rPr>
                <w:rFonts w:ascii="Arial" w:hAnsi="Arial" w:cs="Arial"/>
                <w:b/>
                <w:bCs/>
                <w:sz w:val="16"/>
                <w:szCs w:val="16"/>
              </w:rPr>
              <w:br/>
              <w:t xml:space="preserve">Revised Budget </w:t>
            </w:r>
            <w:r w:rsidRPr="00440C2B">
              <w:rPr>
                <w:rFonts w:ascii="Arial" w:hAnsi="Arial" w:cs="Arial"/>
                <w:sz w:val="16"/>
                <w:szCs w:val="16"/>
              </w:rPr>
              <w:t xml:space="preserve"> </w:t>
            </w:r>
            <w:r w:rsidRPr="00440C2B">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3BF2DFFC" w14:textId="74B60010" w:rsidR="00440C2B" w:rsidRPr="00440C2B" w:rsidRDefault="00440C2B" w:rsidP="00440C2B">
            <w:pPr>
              <w:spacing w:before="24" w:after="0" w:line="240" w:lineRule="auto"/>
              <w:jc w:val="right"/>
              <w:rPr>
                <w:rFonts w:ascii="Arial" w:hAnsi="Arial" w:cs="Arial"/>
                <w:b/>
                <w:bCs/>
                <w:sz w:val="16"/>
                <w:szCs w:val="16"/>
              </w:rPr>
            </w:pPr>
            <w:r>
              <w:rPr>
                <w:rFonts w:ascii="Arial" w:hAnsi="Arial" w:cs="Arial"/>
                <w:b/>
                <w:bCs/>
                <w:sz w:val="16"/>
                <w:szCs w:val="16"/>
              </w:rPr>
              <w:t>2024–</w:t>
            </w:r>
            <w:r w:rsidRPr="00440C2B">
              <w:rPr>
                <w:rFonts w:ascii="Arial" w:hAnsi="Arial" w:cs="Arial"/>
                <w:b/>
                <w:bCs/>
                <w:sz w:val="16"/>
                <w:szCs w:val="16"/>
              </w:rPr>
              <w:t>25</w:t>
            </w:r>
            <w:r w:rsidRPr="00440C2B">
              <w:rPr>
                <w:rFonts w:ascii="Arial" w:hAnsi="Arial" w:cs="Arial"/>
                <w:b/>
                <w:bCs/>
                <w:sz w:val="16"/>
                <w:szCs w:val="16"/>
              </w:rPr>
              <w:br/>
              <w:t xml:space="preserve">Forward estimate </w:t>
            </w:r>
            <w:r w:rsidRPr="00440C2B">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6F879897" w14:textId="6ADC6635" w:rsidR="00440C2B" w:rsidRPr="00440C2B" w:rsidRDefault="00440C2B" w:rsidP="00440C2B">
            <w:pPr>
              <w:spacing w:before="24" w:after="0" w:line="240" w:lineRule="auto"/>
              <w:jc w:val="right"/>
              <w:rPr>
                <w:rFonts w:ascii="Arial" w:hAnsi="Arial" w:cs="Arial"/>
                <w:b/>
                <w:bCs/>
                <w:sz w:val="16"/>
                <w:szCs w:val="16"/>
              </w:rPr>
            </w:pPr>
            <w:r>
              <w:rPr>
                <w:rFonts w:ascii="Arial" w:hAnsi="Arial" w:cs="Arial"/>
                <w:b/>
                <w:bCs/>
                <w:sz w:val="16"/>
                <w:szCs w:val="16"/>
              </w:rPr>
              <w:t>2025–</w:t>
            </w:r>
            <w:r w:rsidRPr="00440C2B">
              <w:rPr>
                <w:rFonts w:ascii="Arial" w:hAnsi="Arial" w:cs="Arial"/>
                <w:b/>
                <w:bCs/>
                <w:sz w:val="16"/>
                <w:szCs w:val="16"/>
              </w:rPr>
              <w:t>26</w:t>
            </w:r>
            <w:r w:rsidRPr="00440C2B">
              <w:rPr>
                <w:rFonts w:ascii="Arial" w:hAnsi="Arial" w:cs="Arial"/>
                <w:b/>
                <w:bCs/>
                <w:sz w:val="16"/>
                <w:szCs w:val="16"/>
              </w:rPr>
              <w:br/>
              <w:t xml:space="preserve">Forward estimate </w:t>
            </w:r>
            <w:r w:rsidRPr="00440C2B">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3FF5D516" w14:textId="687F656A" w:rsidR="00440C2B" w:rsidRPr="00440C2B" w:rsidRDefault="00440C2B" w:rsidP="00440C2B">
            <w:pPr>
              <w:spacing w:before="24" w:after="0" w:line="240" w:lineRule="auto"/>
              <w:jc w:val="right"/>
              <w:rPr>
                <w:rFonts w:ascii="Arial" w:hAnsi="Arial" w:cs="Arial"/>
                <w:b/>
                <w:bCs/>
                <w:sz w:val="16"/>
                <w:szCs w:val="16"/>
              </w:rPr>
            </w:pPr>
            <w:r>
              <w:rPr>
                <w:rFonts w:ascii="Arial" w:hAnsi="Arial" w:cs="Arial"/>
                <w:b/>
                <w:bCs/>
                <w:sz w:val="16"/>
                <w:szCs w:val="16"/>
              </w:rPr>
              <w:t>2026–</w:t>
            </w:r>
            <w:r w:rsidRPr="00440C2B">
              <w:rPr>
                <w:rFonts w:ascii="Arial" w:hAnsi="Arial" w:cs="Arial"/>
                <w:b/>
                <w:bCs/>
                <w:sz w:val="16"/>
                <w:szCs w:val="16"/>
              </w:rPr>
              <w:t>27</w:t>
            </w:r>
            <w:r w:rsidRPr="00440C2B">
              <w:rPr>
                <w:rFonts w:ascii="Arial" w:hAnsi="Arial" w:cs="Arial"/>
                <w:b/>
                <w:bCs/>
                <w:sz w:val="16"/>
                <w:szCs w:val="16"/>
              </w:rPr>
              <w:br/>
              <w:t xml:space="preserve">Forward estimate </w:t>
            </w:r>
            <w:r w:rsidRPr="00440C2B">
              <w:rPr>
                <w:rFonts w:ascii="Arial" w:hAnsi="Arial" w:cs="Arial"/>
                <w:sz w:val="16"/>
                <w:szCs w:val="16"/>
              </w:rPr>
              <w:t>$'000</w:t>
            </w:r>
          </w:p>
        </w:tc>
      </w:tr>
      <w:tr w:rsidR="00440C2B" w:rsidRPr="00440C2B" w14:paraId="611B46E1"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77BEE02F" w14:textId="77777777" w:rsidR="00440C2B" w:rsidRPr="00440C2B" w:rsidRDefault="00440C2B" w:rsidP="00440C2B">
            <w:pPr>
              <w:spacing w:before="0" w:after="0" w:line="240" w:lineRule="auto"/>
              <w:rPr>
                <w:rFonts w:ascii="Arial" w:hAnsi="Arial" w:cs="Arial"/>
                <w:b/>
                <w:bCs/>
                <w:color w:val="000000"/>
                <w:sz w:val="16"/>
                <w:szCs w:val="16"/>
              </w:rPr>
            </w:pPr>
            <w:r w:rsidRPr="00440C2B">
              <w:rPr>
                <w:rFonts w:ascii="Arial" w:hAnsi="Arial" w:cs="Arial"/>
                <w:b/>
                <w:bCs/>
                <w:color w:val="000000"/>
                <w:sz w:val="16"/>
                <w:szCs w:val="16"/>
              </w:rPr>
              <w:t>ASSETS</w:t>
            </w:r>
          </w:p>
        </w:tc>
        <w:tc>
          <w:tcPr>
            <w:tcW w:w="920" w:type="dxa"/>
            <w:tcBorders>
              <w:top w:val="single" w:sz="4" w:space="0" w:color="auto"/>
              <w:left w:val="nil"/>
              <w:bottom w:val="nil"/>
              <w:right w:val="nil"/>
            </w:tcBorders>
            <w:shd w:val="clear" w:color="auto" w:fill="auto"/>
            <w:noWrap/>
            <w:vAlign w:val="bottom"/>
            <w:hideMark/>
          </w:tcPr>
          <w:p w14:paraId="70AB69ED" w14:textId="4516C132" w:rsidR="00440C2B" w:rsidRPr="00440C2B" w:rsidRDefault="00440C2B" w:rsidP="00440C2B">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r w:rsidRPr="00440C2B">
              <w:rPr>
                <w:rFonts w:ascii="Arial" w:hAnsi="Arial" w:cs="Arial"/>
                <w:color w:val="000000"/>
                <w:sz w:val="16"/>
                <w:szCs w:val="16"/>
              </w:rPr>
              <w:t> </w:t>
            </w:r>
          </w:p>
        </w:tc>
        <w:tc>
          <w:tcPr>
            <w:tcW w:w="920" w:type="dxa"/>
            <w:tcBorders>
              <w:top w:val="single" w:sz="4" w:space="0" w:color="auto"/>
              <w:left w:val="nil"/>
              <w:bottom w:val="nil"/>
              <w:right w:val="nil"/>
            </w:tcBorders>
            <w:shd w:val="clear" w:color="000000" w:fill="D9D9D9"/>
            <w:noWrap/>
            <w:vAlign w:val="bottom"/>
            <w:hideMark/>
          </w:tcPr>
          <w:p w14:paraId="7B0B96DD"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single" w:sz="4" w:space="0" w:color="auto"/>
              <w:left w:val="nil"/>
              <w:bottom w:val="nil"/>
              <w:right w:val="nil"/>
            </w:tcBorders>
            <w:shd w:val="clear" w:color="auto" w:fill="auto"/>
            <w:noWrap/>
            <w:vAlign w:val="bottom"/>
            <w:hideMark/>
          </w:tcPr>
          <w:p w14:paraId="06A7A08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single" w:sz="4" w:space="0" w:color="auto"/>
              <w:left w:val="nil"/>
              <w:bottom w:val="nil"/>
              <w:right w:val="nil"/>
            </w:tcBorders>
            <w:shd w:val="clear" w:color="auto" w:fill="auto"/>
            <w:noWrap/>
            <w:vAlign w:val="bottom"/>
            <w:hideMark/>
          </w:tcPr>
          <w:p w14:paraId="67C6722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single" w:sz="4" w:space="0" w:color="auto"/>
              <w:left w:val="nil"/>
              <w:bottom w:val="nil"/>
              <w:right w:val="nil"/>
            </w:tcBorders>
            <w:shd w:val="clear" w:color="auto" w:fill="auto"/>
            <w:noWrap/>
            <w:vAlign w:val="bottom"/>
            <w:hideMark/>
          </w:tcPr>
          <w:p w14:paraId="4316E9F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r>
      <w:tr w:rsidR="00440C2B" w:rsidRPr="00440C2B" w14:paraId="65768B6E"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6E7B19E0"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Financial assets</w:t>
            </w:r>
          </w:p>
        </w:tc>
        <w:tc>
          <w:tcPr>
            <w:tcW w:w="920" w:type="dxa"/>
            <w:tcBorders>
              <w:top w:val="nil"/>
              <w:left w:val="nil"/>
              <w:bottom w:val="nil"/>
              <w:right w:val="nil"/>
            </w:tcBorders>
            <w:shd w:val="clear" w:color="auto" w:fill="auto"/>
            <w:noWrap/>
            <w:vAlign w:val="bottom"/>
            <w:hideMark/>
          </w:tcPr>
          <w:p w14:paraId="039C950C" w14:textId="77777777" w:rsidR="00440C2B" w:rsidRPr="00440C2B" w:rsidRDefault="00440C2B" w:rsidP="00440C2B">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290EABC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32E0B089"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0E136EE"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B054D63"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3FC2CE73"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0FCFEB35"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Cash and cash equivalents</w:t>
            </w:r>
          </w:p>
        </w:tc>
        <w:tc>
          <w:tcPr>
            <w:tcW w:w="920" w:type="dxa"/>
            <w:tcBorders>
              <w:top w:val="nil"/>
              <w:left w:val="nil"/>
              <w:bottom w:val="nil"/>
              <w:right w:val="nil"/>
            </w:tcBorders>
            <w:shd w:val="clear" w:color="auto" w:fill="auto"/>
            <w:noWrap/>
            <w:vAlign w:val="bottom"/>
            <w:hideMark/>
          </w:tcPr>
          <w:p w14:paraId="367F077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118,485</w:t>
            </w:r>
          </w:p>
        </w:tc>
        <w:tc>
          <w:tcPr>
            <w:tcW w:w="920" w:type="dxa"/>
            <w:tcBorders>
              <w:top w:val="nil"/>
              <w:left w:val="nil"/>
              <w:bottom w:val="nil"/>
              <w:right w:val="nil"/>
            </w:tcBorders>
            <w:shd w:val="clear" w:color="000000" w:fill="D9D9D9"/>
            <w:noWrap/>
            <w:vAlign w:val="bottom"/>
            <w:hideMark/>
          </w:tcPr>
          <w:p w14:paraId="424EA824"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107,891</w:t>
            </w:r>
          </w:p>
        </w:tc>
        <w:tc>
          <w:tcPr>
            <w:tcW w:w="920" w:type="dxa"/>
            <w:tcBorders>
              <w:top w:val="nil"/>
              <w:left w:val="nil"/>
              <w:bottom w:val="nil"/>
              <w:right w:val="nil"/>
            </w:tcBorders>
            <w:shd w:val="clear" w:color="auto" w:fill="auto"/>
            <w:noWrap/>
            <w:vAlign w:val="bottom"/>
            <w:hideMark/>
          </w:tcPr>
          <w:p w14:paraId="5E95383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102,523</w:t>
            </w:r>
          </w:p>
        </w:tc>
        <w:tc>
          <w:tcPr>
            <w:tcW w:w="920" w:type="dxa"/>
            <w:tcBorders>
              <w:top w:val="nil"/>
              <w:left w:val="nil"/>
              <w:bottom w:val="nil"/>
              <w:right w:val="nil"/>
            </w:tcBorders>
            <w:shd w:val="clear" w:color="auto" w:fill="auto"/>
            <w:noWrap/>
            <w:vAlign w:val="bottom"/>
            <w:hideMark/>
          </w:tcPr>
          <w:p w14:paraId="1D9B1065"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99,122</w:t>
            </w:r>
          </w:p>
        </w:tc>
        <w:tc>
          <w:tcPr>
            <w:tcW w:w="920" w:type="dxa"/>
            <w:tcBorders>
              <w:top w:val="nil"/>
              <w:left w:val="nil"/>
              <w:bottom w:val="nil"/>
              <w:right w:val="nil"/>
            </w:tcBorders>
            <w:shd w:val="clear" w:color="auto" w:fill="auto"/>
            <w:noWrap/>
            <w:vAlign w:val="bottom"/>
            <w:hideMark/>
          </w:tcPr>
          <w:p w14:paraId="60D0A7D0"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95,370</w:t>
            </w:r>
          </w:p>
        </w:tc>
      </w:tr>
      <w:tr w:rsidR="00440C2B" w:rsidRPr="00440C2B" w14:paraId="72B29D38"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2F76DD3B"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Receivables</w:t>
            </w:r>
          </w:p>
        </w:tc>
        <w:tc>
          <w:tcPr>
            <w:tcW w:w="920" w:type="dxa"/>
            <w:tcBorders>
              <w:top w:val="nil"/>
              <w:left w:val="nil"/>
              <w:bottom w:val="nil"/>
              <w:right w:val="nil"/>
            </w:tcBorders>
            <w:shd w:val="clear" w:color="auto" w:fill="auto"/>
            <w:noWrap/>
            <w:vAlign w:val="bottom"/>
            <w:hideMark/>
          </w:tcPr>
          <w:p w14:paraId="7E11F6E6"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187,353</w:t>
            </w:r>
          </w:p>
        </w:tc>
        <w:tc>
          <w:tcPr>
            <w:tcW w:w="920" w:type="dxa"/>
            <w:tcBorders>
              <w:top w:val="nil"/>
              <w:left w:val="nil"/>
              <w:bottom w:val="nil"/>
              <w:right w:val="nil"/>
            </w:tcBorders>
            <w:shd w:val="clear" w:color="000000" w:fill="D9D9D9"/>
            <w:noWrap/>
            <w:vAlign w:val="bottom"/>
            <w:hideMark/>
          </w:tcPr>
          <w:p w14:paraId="1239C6ED"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171,968</w:t>
            </w:r>
          </w:p>
        </w:tc>
        <w:tc>
          <w:tcPr>
            <w:tcW w:w="920" w:type="dxa"/>
            <w:tcBorders>
              <w:top w:val="nil"/>
              <w:left w:val="nil"/>
              <w:bottom w:val="nil"/>
              <w:right w:val="nil"/>
            </w:tcBorders>
            <w:shd w:val="clear" w:color="auto" w:fill="auto"/>
            <w:noWrap/>
            <w:vAlign w:val="bottom"/>
            <w:hideMark/>
          </w:tcPr>
          <w:p w14:paraId="4D911ED4"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192,755</w:t>
            </w:r>
          </w:p>
        </w:tc>
        <w:tc>
          <w:tcPr>
            <w:tcW w:w="920" w:type="dxa"/>
            <w:tcBorders>
              <w:top w:val="nil"/>
              <w:left w:val="nil"/>
              <w:bottom w:val="nil"/>
              <w:right w:val="nil"/>
            </w:tcBorders>
            <w:shd w:val="clear" w:color="auto" w:fill="auto"/>
            <w:noWrap/>
            <w:vAlign w:val="bottom"/>
            <w:hideMark/>
          </w:tcPr>
          <w:p w14:paraId="535895B6"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206,578</w:t>
            </w:r>
          </w:p>
        </w:tc>
        <w:tc>
          <w:tcPr>
            <w:tcW w:w="920" w:type="dxa"/>
            <w:tcBorders>
              <w:top w:val="nil"/>
              <w:left w:val="nil"/>
              <w:bottom w:val="nil"/>
              <w:right w:val="nil"/>
            </w:tcBorders>
            <w:shd w:val="clear" w:color="auto" w:fill="auto"/>
            <w:noWrap/>
            <w:vAlign w:val="bottom"/>
            <w:hideMark/>
          </w:tcPr>
          <w:p w14:paraId="08745A23"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220,401</w:t>
            </w:r>
          </w:p>
        </w:tc>
      </w:tr>
      <w:tr w:rsidR="00440C2B" w:rsidRPr="00440C2B" w14:paraId="5877358F"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49466980"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Other</w:t>
            </w:r>
          </w:p>
        </w:tc>
        <w:tc>
          <w:tcPr>
            <w:tcW w:w="920" w:type="dxa"/>
            <w:tcBorders>
              <w:top w:val="nil"/>
              <w:left w:val="nil"/>
              <w:bottom w:val="nil"/>
              <w:right w:val="nil"/>
            </w:tcBorders>
            <w:shd w:val="clear" w:color="auto" w:fill="auto"/>
            <w:noWrap/>
            <w:vAlign w:val="bottom"/>
            <w:hideMark/>
          </w:tcPr>
          <w:p w14:paraId="2D4A2C97"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6,892</w:t>
            </w:r>
          </w:p>
        </w:tc>
        <w:tc>
          <w:tcPr>
            <w:tcW w:w="920" w:type="dxa"/>
            <w:tcBorders>
              <w:top w:val="nil"/>
              <w:left w:val="nil"/>
              <w:bottom w:val="nil"/>
              <w:right w:val="nil"/>
            </w:tcBorders>
            <w:shd w:val="clear" w:color="000000" w:fill="D9D9D9"/>
            <w:noWrap/>
            <w:vAlign w:val="bottom"/>
            <w:hideMark/>
          </w:tcPr>
          <w:p w14:paraId="119D7593"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6,892</w:t>
            </w:r>
          </w:p>
        </w:tc>
        <w:tc>
          <w:tcPr>
            <w:tcW w:w="920" w:type="dxa"/>
            <w:tcBorders>
              <w:top w:val="nil"/>
              <w:left w:val="nil"/>
              <w:bottom w:val="nil"/>
              <w:right w:val="nil"/>
            </w:tcBorders>
            <w:shd w:val="clear" w:color="auto" w:fill="auto"/>
            <w:noWrap/>
            <w:vAlign w:val="bottom"/>
            <w:hideMark/>
          </w:tcPr>
          <w:p w14:paraId="60B43E46"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6,892</w:t>
            </w:r>
          </w:p>
        </w:tc>
        <w:tc>
          <w:tcPr>
            <w:tcW w:w="920" w:type="dxa"/>
            <w:tcBorders>
              <w:top w:val="nil"/>
              <w:left w:val="nil"/>
              <w:bottom w:val="nil"/>
              <w:right w:val="nil"/>
            </w:tcBorders>
            <w:shd w:val="clear" w:color="auto" w:fill="auto"/>
            <w:noWrap/>
            <w:vAlign w:val="bottom"/>
            <w:hideMark/>
          </w:tcPr>
          <w:p w14:paraId="7DC5F445"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6,892</w:t>
            </w:r>
          </w:p>
        </w:tc>
        <w:tc>
          <w:tcPr>
            <w:tcW w:w="920" w:type="dxa"/>
            <w:tcBorders>
              <w:top w:val="nil"/>
              <w:left w:val="nil"/>
              <w:bottom w:val="nil"/>
              <w:right w:val="nil"/>
            </w:tcBorders>
            <w:shd w:val="clear" w:color="auto" w:fill="auto"/>
            <w:noWrap/>
            <w:vAlign w:val="bottom"/>
            <w:hideMark/>
          </w:tcPr>
          <w:p w14:paraId="2E38EA09" w14:textId="77777777" w:rsidR="00440C2B" w:rsidRPr="00440C2B" w:rsidRDefault="00440C2B" w:rsidP="00440C2B">
            <w:pPr>
              <w:spacing w:before="0" w:after="0" w:line="240" w:lineRule="auto"/>
              <w:jc w:val="right"/>
              <w:rPr>
                <w:rFonts w:ascii="Arial" w:hAnsi="Arial" w:cs="Arial"/>
                <w:sz w:val="16"/>
                <w:szCs w:val="16"/>
              </w:rPr>
            </w:pPr>
            <w:r w:rsidRPr="00440C2B">
              <w:rPr>
                <w:rFonts w:ascii="Arial" w:hAnsi="Arial" w:cs="Arial"/>
                <w:sz w:val="16"/>
                <w:szCs w:val="16"/>
              </w:rPr>
              <w:t>6,892</w:t>
            </w:r>
          </w:p>
        </w:tc>
      </w:tr>
      <w:tr w:rsidR="00440C2B" w:rsidRPr="00440C2B" w14:paraId="381A119C"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704E8411" w14:textId="77777777" w:rsidR="00440C2B" w:rsidRPr="00440C2B" w:rsidRDefault="00440C2B" w:rsidP="009D17A5">
            <w:pPr>
              <w:spacing w:before="0" w:after="0" w:line="240" w:lineRule="auto"/>
              <w:ind w:leftChars="150" w:left="285"/>
              <w:rPr>
                <w:rFonts w:ascii="Arial" w:hAnsi="Arial" w:cs="Arial"/>
                <w:b/>
                <w:bCs/>
                <w:color w:val="000000"/>
                <w:sz w:val="16"/>
                <w:szCs w:val="16"/>
              </w:rPr>
            </w:pPr>
            <w:r w:rsidRPr="00440C2B">
              <w:rPr>
                <w:rFonts w:ascii="Arial" w:hAnsi="Arial" w:cs="Arial"/>
                <w:b/>
                <w:bCs/>
                <w:color w:val="000000"/>
                <w:sz w:val="16"/>
                <w:szCs w:val="16"/>
              </w:rPr>
              <w:t>Total financial assets</w:t>
            </w:r>
          </w:p>
        </w:tc>
        <w:tc>
          <w:tcPr>
            <w:tcW w:w="920" w:type="dxa"/>
            <w:tcBorders>
              <w:top w:val="nil"/>
              <w:left w:val="nil"/>
              <w:bottom w:val="single" w:sz="4" w:space="0" w:color="auto"/>
              <w:right w:val="nil"/>
            </w:tcBorders>
            <w:shd w:val="clear" w:color="auto" w:fill="auto"/>
            <w:noWrap/>
            <w:vAlign w:val="bottom"/>
            <w:hideMark/>
          </w:tcPr>
          <w:p w14:paraId="0F2D6735"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312,731</w:t>
            </w:r>
          </w:p>
        </w:tc>
        <w:tc>
          <w:tcPr>
            <w:tcW w:w="920" w:type="dxa"/>
            <w:tcBorders>
              <w:top w:val="nil"/>
              <w:left w:val="nil"/>
              <w:bottom w:val="single" w:sz="4" w:space="0" w:color="auto"/>
              <w:right w:val="nil"/>
            </w:tcBorders>
            <w:shd w:val="clear" w:color="000000" w:fill="D9D9D9"/>
            <w:noWrap/>
            <w:vAlign w:val="bottom"/>
            <w:hideMark/>
          </w:tcPr>
          <w:p w14:paraId="5BDD0670"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286,751</w:t>
            </w:r>
          </w:p>
        </w:tc>
        <w:tc>
          <w:tcPr>
            <w:tcW w:w="920" w:type="dxa"/>
            <w:tcBorders>
              <w:top w:val="nil"/>
              <w:left w:val="nil"/>
              <w:bottom w:val="single" w:sz="4" w:space="0" w:color="auto"/>
              <w:right w:val="nil"/>
            </w:tcBorders>
            <w:shd w:val="clear" w:color="auto" w:fill="auto"/>
            <w:noWrap/>
            <w:vAlign w:val="bottom"/>
            <w:hideMark/>
          </w:tcPr>
          <w:p w14:paraId="494CDAA4"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302,170</w:t>
            </w:r>
          </w:p>
        </w:tc>
        <w:tc>
          <w:tcPr>
            <w:tcW w:w="920" w:type="dxa"/>
            <w:tcBorders>
              <w:top w:val="nil"/>
              <w:left w:val="nil"/>
              <w:bottom w:val="single" w:sz="4" w:space="0" w:color="auto"/>
              <w:right w:val="nil"/>
            </w:tcBorders>
            <w:shd w:val="clear" w:color="auto" w:fill="auto"/>
            <w:noWrap/>
            <w:vAlign w:val="bottom"/>
            <w:hideMark/>
          </w:tcPr>
          <w:p w14:paraId="246CAB42"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312,592</w:t>
            </w:r>
          </w:p>
        </w:tc>
        <w:tc>
          <w:tcPr>
            <w:tcW w:w="920" w:type="dxa"/>
            <w:tcBorders>
              <w:top w:val="nil"/>
              <w:left w:val="nil"/>
              <w:bottom w:val="single" w:sz="4" w:space="0" w:color="auto"/>
              <w:right w:val="nil"/>
            </w:tcBorders>
            <w:shd w:val="clear" w:color="auto" w:fill="auto"/>
            <w:noWrap/>
            <w:vAlign w:val="bottom"/>
            <w:hideMark/>
          </w:tcPr>
          <w:p w14:paraId="77F2C91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322,663</w:t>
            </w:r>
          </w:p>
        </w:tc>
      </w:tr>
      <w:tr w:rsidR="00440C2B" w:rsidRPr="00440C2B" w14:paraId="4F65A731"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5B2270CD"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Non-financial assets</w:t>
            </w:r>
          </w:p>
        </w:tc>
        <w:tc>
          <w:tcPr>
            <w:tcW w:w="920" w:type="dxa"/>
            <w:tcBorders>
              <w:top w:val="nil"/>
              <w:left w:val="nil"/>
              <w:bottom w:val="nil"/>
              <w:right w:val="nil"/>
            </w:tcBorders>
            <w:shd w:val="clear" w:color="auto" w:fill="auto"/>
            <w:noWrap/>
            <w:vAlign w:val="bottom"/>
            <w:hideMark/>
          </w:tcPr>
          <w:p w14:paraId="534E4E39" w14:textId="77777777" w:rsidR="00440C2B" w:rsidRPr="00440C2B" w:rsidRDefault="00440C2B" w:rsidP="00440C2B">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7E1BD42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0CA7724E"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ED8D768"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FCC65AF"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20A2F03D"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09CBDA9F"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Land and buildings</w:t>
            </w:r>
          </w:p>
        </w:tc>
        <w:tc>
          <w:tcPr>
            <w:tcW w:w="920" w:type="dxa"/>
            <w:tcBorders>
              <w:top w:val="nil"/>
              <w:left w:val="nil"/>
              <w:bottom w:val="nil"/>
              <w:right w:val="nil"/>
            </w:tcBorders>
            <w:shd w:val="clear" w:color="auto" w:fill="auto"/>
            <w:noWrap/>
            <w:vAlign w:val="bottom"/>
            <w:hideMark/>
          </w:tcPr>
          <w:p w14:paraId="6C8EB4BD"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601,009</w:t>
            </w:r>
          </w:p>
        </w:tc>
        <w:tc>
          <w:tcPr>
            <w:tcW w:w="920" w:type="dxa"/>
            <w:tcBorders>
              <w:top w:val="nil"/>
              <w:left w:val="nil"/>
              <w:bottom w:val="nil"/>
              <w:right w:val="nil"/>
            </w:tcBorders>
            <w:shd w:val="clear" w:color="000000" w:fill="D9D9D9"/>
            <w:noWrap/>
            <w:vAlign w:val="bottom"/>
            <w:hideMark/>
          </w:tcPr>
          <w:p w14:paraId="39B8B298"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541,734</w:t>
            </w:r>
          </w:p>
        </w:tc>
        <w:tc>
          <w:tcPr>
            <w:tcW w:w="920" w:type="dxa"/>
            <w:tcBorders>
              <w:top w:val="nil"/>
              <w:left w:val="nil"/>
              <w:bottom w:val="nil"/>
              <w:right w:val="nil"/>
            </w:tcBorders>
            <w:shd w:val="clear" w:color="auto" w:fill="auto"/>
            <w:noWrap/>
            <w:vAlign w:val="bottom"/>
            <w:hideMark/>
          </w:tcPr>
          <w:p w14:paraId="7DA8357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513,164</w:t>
            </w:r>
          </w:p>
        </w:tc>
        <w:tc>
          <w:tcPr>
            <w:tcW w:w="920" w:type="dxa"/>
            <w:tcBorders>
              <w:top w:val="nil"/>
              <w:left w:val="nil"/>
              <w:bottom w:val="nil"/>
              <w:right w:val="nil"/>
            </w:tcBorders>
            <w:shd w:val="clear" w:color="auto" w:fill="auto"/>
            <w:noWrap/>
            <w:vAlign w:val="bottom"/>
            <w:hideMark/>
          </w:tcPr>
          <w:p w14:paraId="3918755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477,512</w:t>
            </w:r>
          </w:p>
        </w:tc>
        <w:tc>
          <w:tcPr>
            <w:tcW w:w="920" w:type="dxa"/>
            <w:tcBorders>
              <w:top w:val="nil"/>
              <w:left w:val="nil"/>
              <w:bottom w:val="nil"/>
              <w:right w:val="nil"/>
            </w:tcBorders>
            <w:shd w:val="clear" w:color="auto" w:fill="auto"/>
            <w:noWrap/>
            <w:vAlign w:val="bottom"/>
            <w:hideMark/>
          </w:tcPr>
          <w:p w14:paraId="7A5B6E49"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442,080</w:t>
            </w:r>
          </w:p>
        </w:tc>
      </w:tr>
      <w:tr w:rsidR="00440C2B" w:rsidRPr="00440C2B" w14:paraId="7CF07B45"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25E7289B"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 xml:space="preserve">Property, </w:t>
            </w:r>
            <w:proofErr w:type="gramStart"/>
            <w:r w:rsidRPr="00440C2B">
              <w:rPr>
                <w:rFonts w:ascii="Arial" w:hAnsi="Arial" w:cs="Arial"/>
                <w:color w:val="000000"/>
                <w:sz w:val="16"/>
                <w:szCs w:val="16"/>
              </w:rPr>
              <w:t>plant</w:t>
            </w:r>
            <w:proofErr w:type="gramEnd"/>
            <w:r w:rsidRPr="00440C2B">
              <w:rPr>
                <w:rFonts w:ascii="Arial" w:hAnsi="Arial" w:cs="Arial"/>
                <w:color w:val="000000"/>
                <w:sz w:val="16"/>
                <w:szCs w:val="16"/>
              </w:rPr>
              <w:t xml:space="preserve"> and equipment</w:t>
            </w:r>
          </w:p>
        </w:tc>
        <w:tc>
          <w:tcPr>
            <w:tcW w:w="920" w:type="dxa"/>
            <w:tcBorders>
              <w:top w:val="nil"/>
              <w:left w:val="nil"/>
              <w:bottom w:val="nil"/>
              <w:right w:val="nil"/>
            </w:tcBorders>
            <w:shd w:val="clear" w:color="auto" w:fill="auto"/>
            <w:noWrap/>
            <w:vAlign w:val="bottom"/>
            <w:hideMark/>
          </w:tcPr>
          <w:p w14:paraId="300D90F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4,967</w:t>
            </w:r>
          </w:p>
        </w:tc>
        <w:tc>
          <w:tcPr>
            <w:tcW w:w="920" w:type="dxa"/>
            <w:tcBorders>
              <w:top w:val="nil"/>
              <w:left w:val="nil"/>
              <w:bottom w:val="nil"/>
              <w:right w:val="nil"/>
            </w:tcBorders>
            <w:shd w:val="clear" w:color="000000" w:fill="D9D9D9"/>
            <w:noWrap/>
            <w:vAlign w:val="bottom"/>
            <w:hideMark/>
          </w:tcPr>
          <w:p w14:paraId="137FE2C0"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6,077</w:t>
            </w:r>
          </w:p>
        </w:tc>
        <w:tc>
          <w:tcPr>
            <w:tcW w:w="920" w:type="dxa"/>
            <w:tcBorders>
              <w:top w:val="nil"/>
              <w:left w:val="nil"/>
              <w:bottom w:val="nil"/>
              <w:right w:val="nil"/>
            </w:tcBorders>
            <w:shd w:val="clear" w:color="auto" w:fill="auto"/>
            <w:noWrap/>
            <w:vAlign w:val="bottom"/>
            <w:hideMark/>
          </w:tcPr>
          <w:p w14:paraId="2C2A9301"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7,032</w:t>
            </w:r>
          </w:p>
        </w:tc>
        <w:tc>
          <w:tcPr>
            <w:tcW w:w="920" w:type="dxa"/>
            <w:tcBorders>
              <w:top w:val="nil"/>
              <w:left w:val="nil"/>
              <w:bottom w:val="nil"/>
              <w:right w:val="nil"/>
            </w:tcBorders>
            <w:shd w:val="clear" w:color="auto" w:fill="auto"/>
            <w:noWrap/>
            <w:vAlign w:val="bottom"/>
            <w:hideMark/>
          </w:tcPr>
          <w:p w14:paraId="78564A21"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7,484</w:t>
            </w:r>
          </w:p>
        </w:tc>
        <w:tc>
          <w:tcPr>
            <w:tcW w:w="920" w:type="dxa"/>
            <w:tcBorders>
              <w:top w:val="nil"/>
              <w:left w:val="nil"/>
              <w:bottom w:val="nil"/>
              <w:right w:val="nil"/>
            </w:tcBorders>
            <w:shd w:val="clear" w:color="auto" w:fill="auto"/>
            <w:noWrap/>
            <w:vAlign w:val="bottom"/>
            <w:hideMark/>
          </w:tcPr>
          <w:p w14:paraId="2166B9B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7,944</w:t>
            </w:r>
          </w:p>
        </w:tc>
      </w:tr>
      <w:tr w:rsidR="00440C2B" w:rsidRPr="00440C2B" w14:paraId="759B9043"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30B610AF"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Intangibles</w:t>
            </w:r>
          </w:p>
        </w:tc>
        <w:tc>
          <w:tcPr>
            <w:tcW w:w="920" w:type="dxa"/>
            <w:tcBorders>
              <w:top w:val="nil"/>
              <w:left w:val="nil"/>
              <w:bottom w:val="nil"/>
              <w:right w:val="nil"/>
            </w:tcBorders>
            <w:shd w:val="clear" w:color="auto" w:fill="auto"/>
            <w:noWrap/>
            <w:vAlign w:val="bottom"/>
            <w:hideMark/>
          </w:tcPr>
          <w:p w14:paraId="53AAE4E9"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397,960</w:t>
            </w:r>
          </w:p>
        </w:tc>
        <w:tc>
          <w:tcPr>
            <w:tcW w:w="920" w:type="dxa"/>
            <w:tcBorders>
              <w:top w:val="nil"/>
              <w:left w:val="nil"/>
              <w:bottom w:val="nil"/>
              <w:right w:val="nil"/>
            </w:tcBorders>
            <w:shd w:val="clear" w:color="000000" w:fill="D9D9D9"/>
            <w:noWrap/>
            <w:vAlign w:val="bottom"/>
            <w:hideMark/>
          </w:tcPr>
          <w:p w14:paraId="5E1CA89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622,910</w:t>
            </w:r>
          </w:p>
        </w:tc>
        <w:tc>
          <w:tcPr>
            <w:tcW w:w="920" w:type="dxa"/>
            <w:tcBorders>
              <w:top w:val="nil"/>
              <w:left w:val="nil"/>
              <w:bottom w:val="nil"/>
              <w:right w:val="nil"/>
            </w:tcBorders>
            <w:shd w:val="clear" w:color="auto" w:fill="auto"/>
            <w:noWrap/>
            <w:vAlign w:val="bottom"/>
            <w:hideMark/>
          </w:tcPr>
          <w:p w14:paraId="0C7CA2E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601,351</w:t>
            </w:r>
          </w:p>
        </w:tc>
        <w:tc>
          <w:tcPr>
            <w:tcW w:w="920" w:type="dxa"/>
            <w:tcBorders>
              <w:top w:val="nil"/>
              <w:left w:val="nil"/>
              <w:bottom w:val="nil"/>
              <w:right w:val="nil"/>
            </w:tcBorders>
            <w:shd w:val="clear" w:color="auto" w:fill="auto"/>
            <w:noWrap/>
            <w:vAlign w:val="bottom"/>
            <w:hideMark/>
          </w:tcPr>
          <w:p w14:paraId="2482C0B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566,766</w:t>
            </w:r>
          </w:p>
        </w:tc>
        <w:tc>
          <w:tcPr>
            <w:tcW w:w="920" w:type="dxa"/>
            <w:tcBorders>
              <w:top w:val="nil"/>
              <w:left w:val="nil"/>
              <w:bottom w:val="nil"/>
              <w:right w:val="nil"/>
            </w:tcBorders>
            <w:shd w:val="clear" w:color="auto" w:fill="auto"/>
            <w:noWrap/>
            <w:vAlign w:val="bottom"/>
            <w:hideMark/>
          </w:tcPr>
          <w:p w14:paraId="4728719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528,287</w:t>
            </w:r>
          </w:p>
        </w:tc>
      </w:tr>
      <w:tr w:rsidR="00440C2B" w:rsidRPr="00440C2B" w14:paraId="2E06C6F7"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6BFA60AF"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Other</w:t>
            </w:r>
          </w:p>
        </w:tc>
        <w:tc>
          <w:tcPr>
            <w:tcW w:w="920" w:type="dxa"/>
            <w:tcBorders>
              <w:top w:val="nil"/>
              <w:left w:val="nil"/>
              <w:bottom w:val="nil"/>
              <w:right w:val="nil"/>
            </w:tcBorders>
            <w:shd w:val="clear" w:color="auto" w:fill="auto"/>
            <w:noWrap/>
            <w:vAlign w:val="bottom"/>
            <w:hideMark/>
          </w:tcPr>
          <w:p w14:paraId="7F5C0DA2"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27,145</w:t>
            </w:r>
          </w:p>
        </w:tc>
        <w:tc>
          <w:tcPr>
            <w:tcW w:w="920" w:type="dxa"/>
            <w:tcBorders>
              <w:top w:val="nil"/>
              <w:left w:val="nil"/>
              <w:bottom w:val="nil"/>
              <w:right w:val="nil"/>
            </w:tcBorders>
            <w:shd w:val="clear" w:color="000000" w:fill="D9D9D9"/>
            <w:noWrap/>
            <w:vAlign w:val="bottom"/>
            <w:hideMark/>
          </w:tcPr>
          <w:p w14:paraId="09840DFF"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26,940</w:t>
            </w:r>
          </w:p>
        </w:tc>
        <w:tc>
          <w:tcPr>
            <w:tcW w:w="920" w:type="dxa"/>
            <w:tcBorders>
              <w:top w:val="nil"/>
              <w:left w:val="nil"/>
              <w:bottom w:val="nil"/>
              <w:right w:val="nil"/>
            </w:tcBorders>
            <w:shd w:val="clear" w:color="auto" w:fill="auto"/>
            <w:noWrap/>
            <w:vAlign w:val="bottom"/>
            <w:hideMark/>
          </w:tcPr>
          <w:p w14:paraId="2A1992C8"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27,654</w:t>
            </w:r>
          </w:p>
        </w:tc>
        <w:tc>
          <w:tcPr>
            <w:tcW w:w="920" w:type="dxa"/>
            <w:tcBorders>
              <w:top w:val="nil"/>
              <w:left w:val="nil"/>
              <w:bottom w:val="nil"/>
              <w:right w:val="nil"/>
            </w:tcBorders>
            <w:shd w:val="clear" w:color="auto" w:fill="auto"/>
            <w:noWrap/>
            <w:vAlign w:val="bottom"/>
            <w:hideMark/>
          </w:tcPr>
          <w:p w14:paraId="3220BD6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28,368</w:t>
            </w:r>
          </w:p>
        </w:tc>
        <w:tc>
          <w:tcPr>
            <w:tcW w:w="920" w:type="dxa"/>
            <w:tcBorders>
              <w:top w:val="nil"/>
              <w:left w:val="nil"/>
              <w:bottom w:val="nil"/>
              <w:right w:val="nil"/>
            </w:tcBorders>
            <w:shd w:val="clear" w:color="auto" w:fill="auto"/>
            <w:noWrap/>
            <w:vAlign w:val="bottom"/>
            <w:hideMark/>
          </w:tcPr>
          <w:p w14:paraId="2D0EDB7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29,082</w:t>
            </w:r>
          </w:p>
        </w:tc>
      </w:tr>
      <w:tr w:rsidR="00440C2B" w:rsidRPr="00440C2B" w14:paraId="297CCD44"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550BBDEE" w14:textId="77777777" w:rsidR="00440C2B" w:rsidRPr="00440C2B" w:rsidRDefault="00440C2B" w:rsidP="009D17A5">
            <w:pPr>
              <w:spacing w:before="0" w:after="0" w:line="240" w:lineRule="auto"/>
              <w:ind w:leftChars="150" w:left="285"/>
              <w:rPr>
                <w:rFonts w:ascii="Arial" w:hAnsi="Arial" w:cs="Arial"/>
                <w:b/>
                <w:bCs/>
                <w:color w:val="000000"/>
                <w:sz w:val="16"/>
                <w:szCs w:val="16"/>
              </w:rPr>
            </w:pPr>
            <w:r w:rsidRPr="00440C2B">
              <w:rPr>
                <w:rFonts w:ascii="Arial" w:hAnsi="Arial" w:cs="Arial"/>
                <w:b/>
                <w:bCs/>
                <w:color w:val="000000"/>
                <w:sz w:val="16"/>
                <w:szCs w:val="16"/>
              </w:rPr>
              <w:t>Total non-financial assets</w:t>
            </w:r>
          </w:p>
        </w:tc>
        <w:tc>
          <w:tcPr>
            <w:tcW w:w="920" w:type="dxa"/>
            <w:tcBorders>
              <w:top w:val="nil"/>
              <w:left w:val="nil"/>
              <w:bottom w:val="single" w:sz="4" w:space="0" w:color="auto"/>
              <w:right w:val="nil"/>
            </w:tcBorders>
            <w:shd w:val="clear" w:color="auto" w:fill="auto"/>
            <w:noWrap/>
            <w:tcMar>
              <w:left w:w="0" w:type="dxa"/>
            </w:tcMar>
            <w:vAlign w:val="bottom"/>
            <w:hideMark/>
          </w:tcPr>
          <w:p w14:paraId="3E824940"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1,031,081</w:t>
            </w:r>
          </w:p>
        </w:tc>
        <w:tc>
          <w:tcPr>
            <w:tcW w:w="920" w:type="dxa"/>
            <w:tcBorders>
              <w:top w:val="nil"/>
              <w:left w:val="nil"/>
              <w:bottom w:val="single" w:sz="4" w:space="0" w:color="auto"/>
              <w:right w:val="nil"/>
            </w:tcBorders>
            <w:shd w:val="clear" w:color="000000" w:fill="D9D9D9"/>
            <w:noWrap/>
            <w:tcMar>
              <w:left w:w="0" w:type="dxa"/>
            </w:tcMar>
            <w:vAlign w:val="bottom"/>
            <w:hideMark/>
          </w:tcPr>
          <w:p w14:paraId="2740E468"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1,197,661</w:t>
            </w:r>
          </w:p>
        </w:tc>
        <w:tc>
          <w:tcPr>
            <w:tcW w:w="920" w:type="dxa"/>
            <w:tcBorders>
              <w:top w:val="nil"/>
              <w:left w:val="nil"/>
              <w:bottom w:val="single" w:sz="4" w:space="0" w:color="auto"/>
              <w:right w:val="nil"/>
            </w:tcBorders>
            <w:shd w:val="clear" w:color="auto" w:fill="auto"/>
            <w:noWrap/>
            <w:tcMar>
              <w:left w:w="0" w:type="dxa"/>
            </w:tcMar>
            <w:vAlign w:val="bottom"/>
            <w:hideMark/>
          </w:tcPr>
          <w:p w14:paraId="7F87408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1,149,201</w:t>
            </w:r>
          </w:p>
        </w:tc>
        <w:tc>
          <w:tcPr>
            <w:tcW w:w="920" w:type="dxa"/>
            <w:tcBorders>
              <w:top w:val="nil"/>
              <w:left w:val="nil"/>
              <w:bottom w:val="single" w:sz="4" w:space="0" w:color="auto"/>
              <w:right w:val="nil"/>
            </w:tcBorders>
            <w:shd w:val="clear" w:color="auto" w:fill="auto"/>
            <w:noWrap/>
            <w:tcMar>
              <w:left w:w="0" w:type="dxa"/>
            </w:tcMar>
            <w:vAlign w:val="bottom"/>
            <w:hideMark/>
          </w:tcPr>
          <w:p w14:paraId="02C421BD"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1,080,130</w:t>
            </w:r>
          </w:p>
        </w:tc>
        <w:tc>
          <w:tcPr>
            <w:tcW w:w="920" w:type="dxa"/>
            <w:tcBorders>
              <w:top w:val="nil"/>
              <w:left w:val="nil"/>
              <w:bottom w:val="single" w:sz="4" w:space="0" w:color="auto"/>
              <w:right w:val="nil"/>
            </w:tcBorders>
            <w:shd w:val="clear" w:color="auto" w:fill="auto"/>
            <w:noWrap/>
            <w:tcMar>
              <w:left w:w="0" w:type="dxa"/>
            </w:tcMar>
            <w:vAlign w:val="bottom"/>
            <w:hideMark/>
          </w:tcPr>
          <w:p w14:paraId="394F1246"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1,007,393</w:t>
            </w:r>
          </w:p>
        </w:tc>
      </w:tr>
      <w:tr w:rsidR="00440C2B" w:rsidRPr="00440C2B" w14:paraId="390271E8"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33DB7F46"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Total assets</w:t>
            </w:r>
          </w:p>
        </w:tc>
        <w:tc>
          <w:tcPr>
            <w:tcW w:w="920" w:type="dxa"/>
            <w:tcBorders>
              <w:top w:val="nil"/>
              <w:left w:val="nil"/>
              <w:bottom w:val="single" w:sz="4" w:space="0" w:color="auto"/>
              <w:right w:val="nil"/>
            </w:tcBorders>
            <w:shd w:val="clear" w:color="auto" w:fill="auto"/>
            <w:noWrap/>
            <w:tcMar>
              <w:left w:w="0" w:type="dxa"/>
            </w:tcMar>
            <w:vAlign w:val="bottom"/>
            <w:hideMark/>
          </w:tcPr>
          <w:p w14:paraId="06AE648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1,343,811</w:t>
            </w:r>
          </w:p>
        </w:tc>
        <w:tc>
          <w:tcPr>
            <w:tcW w:w="920" w:type="dxa"/>
            <w:tcBorders>
              <w:top w:val="nil"/>
              <w:left w:val="nil"/>
              <w:bottom w:val="single" w:sz="4" w:space="0" w:color="auto"/>
              <w:right w:val="nil"/>
            </w:tcBorders>
            <w:shd w:val="clear" w:color="000000" w:fill="D9D9D9"/>
            <w:noWrap/>
            <w:tcMar>
              <w:left w:w="0" w:type="dxa"/>
            </w:tcMar>
            <w:vAlign w:val="bottom"/>
            <w:hideMark/>
          </w:tcPr>
          <w:p w14:paraId="6B53E03E"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1,484,412</w:t>
            </w:r>
          </w:p>
        </w:tc>
        <w:tc>
          <w:tcPr>
            <w:tcW w:w="920" w:type="dxa"/>
            <w:tcBorders>
              <w:top w:val="nil"/>
              <w:left w:val="nil"/>
              <w:bottom w:val="single" w:sz="4" w:space="0" w:color="auto"/>
              <w:right w:val="nil"/>
            </w:tcBorders>
            <w:shd w:val="clear" w:color="auto" w:fill="auto"/>
            <w:noWrap/>
            <w:tcMar>
              <w:left w:w="0" w:type="dxa"/>
            </w:tcMar>
            <w:vAlign w:val="bottom"/>
            <w:hideMark/>
          </w:tcPr>
          <w:p w14:paraId="0BCE89C3"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1,451,371</w:t>
            </w:r>
          </w:p>
        </w:tc>
        <w:tc>
          <w:tcPr>
            <w:tcW w:w="920" w:type="dxa"/>
            <w:tcBorders>
              <w:top w:val="nil"/>
              <w:left w:val="nil"/>
              <w:bottom w:val="single" w:sz="4" w:space="0" w:color="auto"/>
              <w:right w:val="nil"/>
            </w:tcBorders>
            <w:shd w:val="clear" w:color="auto" w:fill="auto"/>
            <w:noWrap/>
            <w:tcMar>
              <w:left w:w="0" w:type="dxa"/>
            </w:tcMar>
            <w:vAlign w:val="bottom"/>
            <w:hideMark/>
          </w:tcPr>
          <w:p w14:paraId="0D87AC39"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1,392,722</w:t>
            </w:r>
          </w:p>
        </w:tc>
        <w:tc>
          <w:tcPr>
            <w:tcW w:w="920" w:type="dxa"/>
            <w:tcBorders>
              <w:top w:val="nil"/>
              <w:left w:val="nil"/>
              <w:bottom w:val="single" w:sz="4" w:space="0" w:color="auto"/>
              <w:right w:val="nil"/>
            </w:tcBorders>
            <w:shd w:val="clear" w:color="auto" w:fill="auto"/>
            <w:noWrap/>
            <w:tcMar>
              <w:left w:w="0" w:type="dxa"/>
            </w:tcMar>
            <w:vAlign w:val="bottom"/>
            <w:hideMark/>
          </w:tcPr>
          <w:p w14:paraId="28E6CAE5"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1,330,056</w:t>
            </w:r>
          </w:p>
        </w:tc>
      </w:tr>
      <w:tr w:rsidR="00440C2B" w:rsidRPr="00440C2B" w14:paraId="7F19514D"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2DD8AC65" w14:textId="77777777" w:rsidR="00440C2B" w:rsidRPr="00440C2B" w:rsidRDefault="00440C2B" w:rsidP="00440C2B">
            <w:pPr>
              <w:spacing w:before="0" w:after="0" w:line="240" w:lineRule="auto"/>
              <w:rPr>
                <w:rFonts w:ascii="Arial" w:hAnsi="Arial" w:cs="Arial"/>
                <w:b/>
                <w:bCs/>
                <w:color w:val="000000"/>
                <w:sz w:val="16"/>
                <w:szCs w:val="16"/>
              </w:rPr>
            </w:pPr>
            <w:r w:rsidRPr="00440C2B">
              <w:rPr>
                <w:rFonts w:ascii="Arial" w:hAnsi="Arial" w:cs="Arial"/>
                <w:b/>
                <w:bCs/>
                <w:color w:val="000000"/>
                <w:sz w:val="16"/>
                <w:szCs w:val="16"/>
              </w:rPr>
              <w:t>LIABILITIES</w:t>
            </w:r>
          </w:p>
        </w:tc>
        <w:tc>
          <w:tcPr>
            <w:tcW w:w="920" w:type="dxa"/>
            <w:tcBorders>
              <w:top w:val="nil"/>
              <w:left w:val="nil"/>
              <w:bottom w:val="nil"/>
              <w:right w:val="nil"/>
            </w:tcBorders>
            <w:shd w:val="clear" w:color="auto" w:fill="auto"/>
            <w:noWrap/>
            <w:vAlign w:val="bottom"/>
            <w:hideMark/>
          </w:tcPr>
          <w:p w14:paraId="6C5A73BC" w14:textId="77777777" w:rsidR="00440C2B" w:rsidRPr="00440C2B" w:rsidRDefault="00440C2B" w:rsidP="00440C2B">
            <w:pPr>
              <w:spacing w:before="0" w:after="0" w:line="240" w:lineRule="auto"/>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6516D35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37B71ECE"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7258906"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460669E5"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465E02F1"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0950F262"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Payables</w:t>
            </w:r>
          </w:p>
        </w:tc>
        <w:tc>
          <w:tcPr>
            <w:tcW w:w="920" w:type="dxa"/>
            <w:tcBorders>
              <w:top w:val="nil"/>
              <w:left w:val="nil"/>
              <w:bottom w:val="nil"/>
              <w:right w:val="nil"/>
            </w:tcBorders>
            <w:shd w:val="clear" w:color="auto" w:fill="auto"/>
            <w:noWrap/>
            <w:vAlign w:val="bottom"/>
            <w:hideMark/>
          </w:tcPr>
          <w:p w14:paraId="016F5360" w14:textId="77777777" w:rsidR="00440C2B" w:rsidRPr="00440C2B" w:rsidRDefault="00440C2B" w:rsidP="00440C2B">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26DE3F13"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37269465"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E17B986"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4F352F22"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48EA75BB"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1FA3BE5B"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Employees</w:t>
            </w:r>
          </w:p>
        </w:tc>
        <w:tc>
          <w:tcPr>
            <w:tcW w:w="920" w:type="dxa"/>
            <w:tcBorders>
              <w:top w:val="nil"/>
              <w:left w:val="nil"/>
              <w:bottom w:val="nil"/>
              <w:right w:val="nil"/>
            </w:tcBorders>
            <w:shd w:val="clear" w:color="auto" w:fill="auto"/>
            <w:noWrap/>
            <w:vAlign w:val="bottom"/>
            <w:hideMark/>
          </w:tcPr>
          <w:p w14:paraId="67CA64A0"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23,779</w:t>
            </w:r>
          </w:p>
        </w:tc>
        <w:tc>
          <w:tcPr>
            <w:tcW w:w="920" w:type="dxa"/>
            <w:tcBorders>
              <w:top w:val="nil"/>
              <w:left w:val="nil"/>
              <w:bottom w:val="nil"/>
              <w:right w:val="nil"/>
            </w:tcBorders>
            <w:shd w:val="clear" w:color="000000" w:fill="D9D9D9"/>
            <w:noWrap/>
            <w:vAlign w:val="bottom"/>
            <w:hideMark/>
          </w:tcPr>
          <w:p w14:paraId="5A833779"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24,067</w:t>
            </w:r>
          </w:p>
        </w:tc>
        <w:tc>
          <w:tcPr>
            <w:tcW w:w="920" w:type="dxa"/>
            <w:tcBorders>
              <w:top w:val="nil"/>
              <w:left w:val="nil"/>
              <w:bottom w:val="nil"/>
              <w:right w:val="nil"/>
            </w:tcBorders>
            <w:shd w:val="clear" w:color="auto" w:fill="auto"/>
            <w:noWrap/>
            <w:vAlign w:val="bottom"/>
            <w:hideMark/>
          </w:tcPr>
          <w:p w14:paraId="76F405A1"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26,412</w:t>
            </w:r>
          </w:p>
        </w:tc>
        <w:tc>
          <w:tcPr>
            <w:tcW w:w="920" w:type="dxa"/>
            <w:tcBorders>
              <w:top w:val="nil"/>
              <w:left w:val="nil"/>
              <w:bottom w:val="nil"/>
              <w:right w:val="nil"/>
            </w:tcBorders>
            <w:shd w:val="clear" w:color="auto" w:fill="auto"/>
            <w:noWrap/>
            <w:vAlign w:val="bottom"/>
            <w:hideMark/>
          </w:tcPr>
          <w:p w14:paraId="0A88E82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28,840</w:t>
            </w:r>
          </w:p>
        </w:tc>
        <w:tc>
          <w:tcPr>
            <w:tcW w:w="920" w:type="dxa"/>
            <w:tcBorders>
              <w:top w:val="nil"/>
              <w:left w:val="nil"/>
              <w:bottom w:val="nil"/>
              <w:right w:val="nil"/>
            </w:tcBorders>
            <w:shd w:val="clear" w:color="auto" w:fill="auto"/>
            <w:noWrap/>
            <w:vAlign w:val="bottom"/>
            <w:hideMark/>
          </w:tcPr>
          <w:p w14:paraId="413FD566"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31,268</w:t>
            </w:r>
          </w:p>
        </w:tc>
      </w:tr>
      <w:tr w:rsidR="00440C2B" w:rsidRPr="00440C2B" w14:paraId="455AD3A8"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65B3724E"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Suppliers</w:t>
            </w:r>
          </w:p>
        </w:tc>
        <w:tc>
          <w:tcPr>
            <w:tcW w:w="920" w:type="dxa"/>
            <w:tcBorders>
              <w:top w:val="nil"/>
              <w:left w:val="nil"/>
              <w:bottom w:val="nil"/>
              <w:right w:val="nil"/>
            </w:tcBorders>
            <w:shd w:val="clear" w:color="auto" w:fill="auto"/>
            <w:noWrap/>
            <w:vAlign w:val="bottom"/>
            <w:hideMark/>
          </w:tcPr>
          <w:p w14:paraId="3034FF5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113,919</w:t>
            </w:r>
          </w:p>
        </w:tc>
        <w:tc>
          <w:tcPr>
            <w:tcW w:w="920" w:type="dxa"/>
            <w:tcBorders>
              <w:top w:val="nil"/>
              <w:left w:val="nil"/>
              <w:bottom w:val="nil"/>
              <w:right w:val="nil"/>
            </w:tcBorders>
            <w:shd w:val="clear" w:color="000000" w:fill="D9D9D9"/>
            <w:noWrap/>
            <w:vAlign w:val="bottom"/>
            <w:hideMark/>
          </w:tcPr>
          <w:p w14:paraId="7C3480BF"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83,251</w:t>
            </w:r>
          </w:p>
        </w:tc>
        <w:tc>
          <w:tcPr>
            <w:tcW w:w="920" w:type="dxa"/>
            <w:tcBorders>
              <w:top w:val="nil"/>
              <w:left w:val="nil"/>
              <w:bottom w:val="nil"/>
              <w:right w:val="nil"/>
            </w:tcBorders>
            <w:shd w:val="clear" w:color="auto" w:fill="auto"/>
            <w:noWrap/>
            <w:vAlign w:val="bottom"/>
            <w:hideMark/>
          </w:tcPr>
          <w:p w14:paraId="053C1EE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83,251</w:t>
            </w:r>
          </w:p>
        </w:tc>
        <w:tc>
          <w:tcPr>
            <w:tcW w:w="920" w:type="dxa"/>
            <w:tcBorders>
              <w:top w:val="nil"/>
              <w:left w:val="nil"/>
              <w:bottom w:val="nil"/>
              <w:right w:val="nil"/>
            </w:tcBorders>
            <w:shd w:val="clear" w:color="auto" w:fill="auto"/>
            <w:noWrap/>
            <w:vAlign w:val="bottom"/>
            <w:hideMark/>
          </w:tcPr>
          <w:p w14:paraId="6E7AD6D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83,251</w:t>
            </w:r>
          </w:p>
        </w:tc>
        <w:tc>
          <w:tcPr>
            <w:tcW w:w="920" w:type="dxa"/>
            <w:tcBorders>
              <w:top w:val="nil"/>
              <w:left w:val="nil"/>
              <w:bottom w:val="nil"/>
              <w:right w:val="nil"/>
            </w:tcBorders>
            <w:shd w:val="clear" w:color="auto" w:fill="auto"/>
            <w:noWrap/>
            <w:vAlign w:val="bottom"/>
            <w:hideMark/>
          </w:tcPr>
          <w:p w14:paraId="7990DC28"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83,251</w:t>
            </w:r>
          </w:p>
        </w:tc>
      </w:tr>
      <w:tr w:rsidR="00440C2B" w:rsidRPr="00440C2B" w14:paraId="3F0E26AB"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4876A7E0"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Other payables</w:t>
            </w:r>
          </w:p>
        </w:tc>
        <w:tc>
          <w:tcPr>
            <w:tcW w:w="920" w:type="dxa"/>
            <w:tcBorders>
              <w:top w:val="nil"/>
              <w:left w:val="nil"/>
              <w:bottom w:val="nil"/>
              <w:right w:val="nil"/>
            </w:tcBorders>
            <w:shd w:val="clear" w:color="auto" w:fill="auto"/>
            <w:noWrap/>
            <w:vAlign w:val="bottom"/>
            <w:hideMark/>
          </w:tcPr>
          <w:p w14:paraId="0B132008"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218</w:t>
            </w:r>
          </w:p>
        </w:tc>
        <w:tc>
          <w:tcPr>
            <w:tcW w:w="920" w:type="dxa"/>
            <w:tcBorders>
              <w:top w:val="nil"/>
              <w:left w:val="nil"/>
              <w:bottom w:val="nil"/>
              <w:right w:val="nil"/>
            </w:tcBorders>
            <w:shd w:val="clear" w:color="000000" w:fill="D9D9D9"/>
            <w:noWrap/>
            <w:vAlign w:val="bottom"/>
            <w:hideMark/>
          </w:tcPr>
          <w:p w14:paraId="77C09CB5"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34,021</w:t>
            </w:r>
          </w:p>
        </w:tc>
        <w:tc>
          <w:tcPr>
            <w:tcW w:w="920" w:type="dxa"/>
            <w:tcBorders>
              <w:top w:val="nil"/>
              <w:left w:val="nil"/>
              <w:bottom w:val="nil"/>
              <w:right w:val="nil"/>
            </w:tcBorders>
            <w:shd w:val="clear" w:color="auto" w:fill="auto"/>
            <w:noWrap/>
            <w:vAlign w:val="bottom"/>
            <w:hideMark/>
          </w:tcPr>
          <w:p w14:paraId="3348C8B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48,387</w:t>
            </w:r>
          </w:p>
        </w:tc>
        <w:tc>
          <w:tcPr>
            <w:tcW w:w="920" w:type="dxa"/>
            <w:tcBorders>
              <w:top w:val="nil"/>
              <w:left w:val="nil"/>
              <w:bottom w:val="nil"/>
              <w:right w:val="nil"/>
            </w:tcBorders>
            <w:shd w:val="clear" w:color="auto" w:fill="auto"/>
            <w:noWrap/>
            <w:vAlign w:val="bottom"/>
            <w:hideMark/>
          </w:tcPr>
          <w:p w14:paraId="0A49AD3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56,940</w:t>
            </w:r>
          </w:p>
        </w:tc>
        <w:tc>
          <w:tcPr>
            <w:tcW w:w="920" w:type="dxa"/>
            <w:tcBorders>
              <w:top w:val="nil"/>
              <w:left w:val="nil"/>
              <w:bottom w:val="nil"/>
              <w:right w:val="nil"/>
            </w:tcBorders>
            <w:shd w:val="clear" w:color="auto" w:fill="auto"/>
            <w:noWrap/>
            <w:vAlign w:val="bottom"/>
            <w:hideMark/>
          </w:tcPr>
          <w:p w14:paraId="4787C7F0"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65,493</w:t>
            </w:r>
          </w:p>
        </w:tc>
      </w:tr>
      <w:tr w:rsidR="00440C2B" w:rsidRPr="00440C2B" w14:paraId="2C892E78"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1CEE37DA" w14:textId="77777777" w:rsidR="00440C2B" w:rsidRPr="00440C2B" w:rsidRDefault="00440C2B" w:rsidP="009D17A5">
            <w:pPr>
              <w:spacing w:before="0" w:after="0" w:line="240" w:lineRule="auto"/>
              <w:ind w:leftChars="150" w:left="285"/>
              <w:rPr>
                <w:rFonts w:ascii="Arial" w:hAnsi="Arial" w:cs="Arial"/>
                <w:b/>
                <w:bCs/>
                <w:color w:val="000000"/>
                <w:sz w:val="16"/>
                <w:szCs w:val="16"/>
              </w:rPr>
            </w:pPr>
            <w:r w:rsidRPr="00440C2B">
              <w:rPr>
                <w:rFonts w:ascii="Arial" w:hAnsi="Arial" w:cs="Arial"/>
                <w:b/>
                <w:bCs/>
                <w:color w:val="000000"/>
                <w:sz w:val="16"/>
                <w:szCs w:val="16"/>
              </w:rPr>
              <w:t>Total payables</w:t>
            </w:r>
          </w:p>
        </w:tc>
        <w:tc>
          <w:tcPr>
            <w:tcW w:w="920" w:type="dxa"/>
            <w:tcBorders>
              <w:top w:val="nil"/>
              <w:left w:val="nil"/>
              <w:bottom w:val="single" w:sz="4" w:space="0" w:color="auto"/>
              <w:right w:val="nil"/>
            </w:tcBorders>
            <w:shd w:val="clear" w:color="auto" w:fill="auto"/>
            <w:noWrap/>
            <w:vAlign w:val="bottom"/>
            <w:hideMark/>
          </w:tcPr>
          <w:p w14:paraId="79E175D7"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137,917</w:t>
            </w:r>
          </w:p>
        </w:tc>
        <w:tc>
          <w:tcPr>
            <w:tcW w:w="920" w:type="dxa"/>
            <w:tcBorders>
              <w:top w:val="nil"/>
              <w:left w:val="nil"/>
              <w:bottom w:val="single" w:sz="4" w:space="0" w:color="auto"/>
              <w:right w:val="nil"/>
            </w:tcBorders>
            <w:shd w:val="clear" w:color="000000" w:fill="D9D9D9"/>
            <w:noWrap/>
            <w:vAlign w:val="bottom"/>
            <w:hideMark/>
          </w:tcPr>
          <w:p w14:paraId="5972BC87"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141,339</w:t>
            </w:r>
          </w:p>
        </w:tc>
        <w:tc>
          <w:tcPr>
            <w:tcW w:w="920" w:type="dxa"/>
            <w:tcBorders>
              <w:top w:val="nil"/>
              <w:left w:val="nil"/>
              <w:bottom w:val="single" w:sz="4" w:space="0" w:color="auto"/>
              <w:right w:val="nil"/>
            </w:tcBorders>
            <w:shd w:val="clear" w:color="auto" w:fill="auto"/>
            <w:noWrap/>
            <w:vAlign w:val="bottom"/>
            <w:hideMark/>
          </w:tcPr>
          <w:p w14:paraId="21B777F6"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158,050</w:t>
            </w:r>
          </w:p>
        </w:tc>
        <w:tc>
          <w:tcPr>
            <w:tcW w:w="920" w:type="dxa"/>
            <w:tcBorders>
              <w:top w:val="nil"/>
              <w:left w:val="nil"/>
              <w:bottom w:val="single" w:sz="4" w:space="0" w:color="auto"/>
              <w:right w:val="nil"/>
            </w:tcBorders>
            <w:shd w:val="clear" w:color="auto" w:fill="auto"/>
            <w:noWrap/>
            <w:vAlign w:val="bottom"/>
            <w:hideMark/>
          </w:tcPr>
          <w:p w14:paraId="1681E7F2"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169,031</w:t>
            </w:r>
          </w:p>
        </w:tc>
        <w:tc>
          <w:tcPr>
            <w:tcW w:w="920" w:type="dxa"/>
            <w:tcBorders>
              <w:top w:val="nil"/>
              <w:left w:val="nil"/>
              <w:bottom w:val="single" w:sz="4" w:space="0" w:color="auto"/>
              <w:right w:val="nil"/>
            </w:tcBorders>
            <w:shd w:val="clear" w:color="auto" w:fill="auto"/>
            <w:noWrap/>
            <w:vAlign w:val="bottom"/>
            <w:hideMark/>
          </w:tcPr>
          <w:p w14:paraId="10ABDEA6"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180,012</w:t>
            </w:r>
          </w:p>
        </w:tc>
      </w:tr>
      <w:tr w:rsidR="00440C2B" w:rsidRPr="00440C2B" w14:paraId="7FC7A36B"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25C872DC"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Interest bearing liabilities</w:t>
            </w:r>
          </w:p>
        </w:tc>
        <w:tc>
          <w:tcPr>
            <w:tcW w:w="920" w:type="dxa"/>
            <w:tcBorders>
              <w:top w:val="nil"/>
              <w:left w:val="nil"/>
              <w:bottom w:val="nil"/>
              <w:right w:val="nil"/>
            </w:tcBorders>
            <w:shd w:val="clear" w:color="auto" w:fill="auto"/>
            <w:noWrap/>
            <w:vAlign w:val="bottom"/>
            <w:hideMark/>
          </w:tcPr>
          <w:p w14:paraId="15EB1D6B" w14:textId="77777777" w:rsidR="00440C2B" w:rsidRPr="00440C2B" w:rsidRDefault="00440C2B" w:rsidP="00440C2B">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77D44DE3"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26BCEA43"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873DC4A"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4FD6D574"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56859A62"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28D54FBC"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Leases</w:t>
            </w:r>
          </w:p>
        </w:tc>
        <w:tc>
          <w:tcPr>
            <w:tcW w:w="920" w:type="dxa"/>
            <w:tcBorders>
              <w:top w:val="nil"/>
              <w:left w:val="nil"/>
              <w:bottom w:val="nil"/>
              <w:right w:val="nil"/>
            </w:tcBorders>
            <w:shd w:val="clear" w:color="auto" w:fill="auto"/>
            <w:noWrap/>
            <w:vAlign w:val="bottom"/>
            <w:hideMark/>
          </w:tcPr>
          <w:p w14:paraId="1A60AF8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598,888</w:t>
            </w:r>
          </w:p>
        </w:tc>
        <w:tc>
          <w:tcPr>
            <w:tcW w:w="920" w:type="dxa"/>
            <w:tcBorders>
              <w:top w:val="nil"/>
              <w:left w:val="nil"/>
              <w:bottom w:val="nil"/>
              <w:right w:val="nil"/>
            </w:tcBorders>
            <w:shd w:val="clear" w:color="000000" w:fill="D9D9D9"/>
            <w:noWrap/>
            <w:vAlign w:val="bottom"/>
            <w:hideMark/>
          </w:tcPr>
          <w:p w14:paraId="0A3B55F2"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540,945</w:t>
            </w:r>
          </w:p>
        </w:tc>
        <w:tc>
          <w:tcPr>
            <w:tcW w:w="920" w:type="dxa"/>
            <w:tcBorders>
              <w:top w:val="nil"/>
              <w:left w:val="nil"/>
              <w:bottom w:val="nil"/>
              <w:right w:val="nil"/>
            </w:tcBorders>
            <w:shd w:val="clear" w:color="auto" w:fill="auto"/>
            <w:noWrap/>
            <w:vAlign w:val="bottom"/>
            <w:hideMark/>
          </w:tcPr>
          <w:p w14:paraId="215CCE5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510,668</w:t>
            </w:r>
          </w:p>
        </w:tc>
        <w:tc>
          <w:tcPr>
            <w:tcW w:w="920" w:type="dxa"/>
            <w:tcBorders>
              <w:top w:val="nil"/>
              <w:left w:val="nil"/>
              <w:bottom w:val="nil"/>
              <w:right w:val="nil"/>
            </w:tcBorders>
            <w:shd w:val="clear" w:color="auto" w:fill="auto"/>
            <w:noWrap/>
            <w:vAlign w:val="bottom"/>
            <w:hideMark/>
          </w:tcPr>
          <w:p w14:paraId="00651755"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470,156</w:t>
            </w:r>
          </w:p>
        </w:tc>
        <w:tc>
          <w:tcPr>
            <w:tcW w:w="920" w:type="dxa"/>
            <w:tcBorders>
              <w:top w:val="nil"/>
              <w:left w:val="nil"/>
              <w:bottom w:val="nil"/>
              <w:right w:val="nil"/>
            </w:tcBorders>
            <w:shd w:val="clear" w:color="auto" w:fill="auto"/>
            <w:noWrap/>
            <w:vAlign w:val="bottom"/>
            <w:hideMark/>
          </w:tcPr>
          <w:p w14:paraId="413CDA0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429,644</w:t>
            </w:r>
          </w:p>
        </w:tc>
      </w:tr>
      <w:tr w:rsidR="00440C2B" w:rsidRPr="00440C2B" w14:paraId="6F2E7EAF"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5E808747" w14:textId="77777777" w:rsidR="00440C2B" w:rsidRPr="00440C2B" w:rsidRDefault="00440C2B" w:rsidP="009D17A5">
            <w:pPr>
              <w:spacing w:before="0" w:after="0" w:line="240" w:lineRule="auto"/>
              <w:ind w:leftChars="150" w:left="285"/>
              <w:rPr>
                <w:rFonts w:ascii="Arial" w:hAnsi="Arial" w:cs="Arial"/>
                <w:b/>
                <w:bCs/>
                <w:color w:val="000000"/>
                <w:sz w:val="16"/>
                <w:szCs w:val="16"/>
              </w:rPr>
            </w:pPr>
            <w:r w:rsidRPr="00440C2B">
              <w:rPr>
                <w:rFonts w:ascii="Arial" w:hAnsi="Arial" w:cs="Arial"/>
                <w:b/>
                <w:bCs/>
                <w:color w:val="000000"/>
                <w:sz w:val="16"/>
                <w:szCs w:val="16"/>
              </w:rPr>
              <w:t xml:space="preserve">Total </w:t>
            </w:r>
            <w:proofErr w:type="gramStart"/>
            <w:r w:rsidRPr="00440C2B">
              <w:rPr>
                <w:rFonts w:ascii="Arial" w:hAnsi="Arial" w:cs="Arial"/>
                <w:b/>
                <w:bCs/>
                <w:color w:val="000000"/>
                <w:sz w:val="16"/>
                <w:szCs w:val="16"/>
              </w:rPr>
              <w:t>Interest bearing</w:t>
            </w:r>
            <w:proofErr w:type="gramEnd"/>
            <w:r w:rsidRPr="00440C2B">
              <w:rPr>
                <w:rFonts w:ascii="Arial" w:hAnsi="Arial" w:cs="Arial"/>
                <w:b/>
                <w:bCs/>
                <w:color w:val="000000"/>
                <w:sz w:val="16"/>
                <w:szCs w:val="16"/>
              </w:rPr>
              <w:t xml:space="preserve"> liabilities</w:t>
            </w:r>
          </w:p>
        </w:tc>
        <w:tc>
          <w:tcPr>
            <w:tcW w:w="920" w:type="dxa"/>
            <w:tcBorders>
              <w:top w:val="nil"/>
              <w:left w:val="nil"/>
              <w:bottom w:val="single" w:sz="4" w:space="0" w:color="auto"/>
              <w:right w:val="nil"/>
            </w:tcBorders>
            <w:shd w:val="clear" w:color="auto" w:fill="auto"/>
            <w:noWrap/>
            <w:vAlign w:val="bottom"/>
            <w:hideMark/>
          </w:tcPr>
          <w:p w14:paraId="03D29B4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598,888</w:t>
            </w:r>
          </w:p>
        </w:tc>
        <w:tc>
          <w:tcPr>
            <w:tcW w:w="920" w:type="dxa"/>
            <w:tcBorders>
              <w:top w:val="nil"/>
              <w:left w:val="nil"/>
              <w:bottom w:val="single" w:sz="4" w:space="0" w:color="auto"/>
              <w:right w:val="nil"/>
            </w:tcBorders>
            <w:shd w:val="clear" w:color="000000" w:fill="D9D9D9"/>
            <w:noWrap/>
            <w:vAlign w:val="bottom"/>
            <w:hideMark/>
          </w:tcPr>
          <w:p w14:paraId="419C4052"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540,945</w:t>
            </w:r>
          </w:p>
        </w:tc>
        <w:tc>
          <w:tcPr>
            <w:tcW w:w="920" w:type="dxa"/>
            <w:tcBorders>
              <w:top w:val="nil"/>
              <w:left w:val="nil"/>
              <w:bottom w:val="single" w:sz="4" w:space="0" w:color="auto"/>
              <w:right w:val="nil"/>
            </w:tcBorders>
            <w:shd w:val="clear" w:color="auto" w:fill="auto"/>
            <w:noWrap/>
            <w:vAlign w:val="bottom"/>
            <w:hideMark/>
          </w:tcPr>
          <w:p w14:paraId="225C6CD9"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510,668</w:t>
            </w:r>
          </w:p>
        </w:tc>
        <w:tc>
          <w:tcPr>
            <w:tcW w:w="920" w:type="dxa"/>
            <w:tcBorders>
              <w:top w:val="nil"/>
              <w:left w:val="nil"/>
              <w:bottom w:val="single" w:sz="4" w:space="0" w:color="auto"/>
              <w:right w:val="nil"/>
            </w:tcBorders>
            <w:shd w:val="clear" w:color="auto" w:fill="auto"/>
            <w:noWrap/>
            <w:vAlign w:val="bottom"/>
            <w:hideMark/>
          </w:tcPr>
          <w:p w14:paraId="4EC87941"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470,156</w:t>
            </w:r>
          </w:p>
        </w:tc>
        <w:tc>
          <w:tcPr>
            <w:tcW w:w="920" w:type="dxa"/>
            <w:tcBorders>
              <w:top w:val="nil"/>
              <w:left w:val="nil"/>
              <w:bottom w:val="single" w:sz="4" w:space="0" w:color="auto"/>
              <w:right w:val="nil"/>
            </w:tcBorders>
            <w:shd w:val="clear" w:color="auto" w:fill="auto"/>
            <w:noWrap/>
            <w:vAlign w:val="bottom"/>
            <w:hideMark/>
          </w:tcPr>
          <w:p w14:paraId="7BE083D5"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429,644</w:t>
            </w:r>
          </w:p>
        </w:tc>
      </w:tr>
      <w:tr w:rsidR="00440C2B" w:rsidRPr="00440C2B" w14:paraId="7ED8C1AF"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65BEE699"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Provisions</w:t>
            </w:r>
          </w:p>
        </w:tc>
        <w:tc>
          <w:tcPr>
            <w:tcW w:w="920" w:type="dxa"/>
            <w:tcBorders>
              <w:top w:val="nil"/>
              <w:left w:val="nil"/>
              <w:bottom w:val="nil"/>
              <w:right w:val="nil"/>
            </w:tcBorders>
            <w:shd w:val="clear" w:color="auto" w:fill="auto"/>
            <w:noWrap/>
            <w:vAlign w:val="bottom"/>
            <w:hideMark/>
          </w:tcPr>
          <w:p w14:paraId="67A1727E" w14:textId="77777777" w:rsidR="00440C2B" w:rsidRPr="00440C2B" w:rsidRDefault="00440C2B" w:rsidP="00440C2B">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37B22FB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49DDD83F"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EBDD562"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33AFEB0B"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075968AD"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5C8B5BB8"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Employees</w:t>
            </w:r>
          </w:p>
        </w:tc>
        <w:tc>
          <w:tcPr>
            <w:tcW w:w="920" w:type="dxa"/>
            <w:tcBorders>
              <w:top w:val="nil"/>
              <w:left w:val="nil"/>
              <w:bottom w:val="nil"/>
              <w:right w:val="nil"/>
            </w:tcBorders>
            <w:shd w:val="clear" w:color="auto" w:fill="auto"/>
            <w:noWrap/>
            <w:vAlign w:val="bottom"/>
            <w:hideMark/>
          </w:tcPr>
          <w:p w14:paraId="694A9981"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207,142</w:t>
            </w:r>
          </w:p>
        </w:tc>
        <w:tc>
          <w:tcPr>
            <w:tcW w:w="920" w:type="dxa"/>
            <w:tcBorders>
              <w:top w:val="nil"/>
              <w:left w:val="nil"/>
              <w:bottom w:val="nil"/>
              <w:right w:val="nil"/>
            </w:tcBorders>
            <w:shd w:val="clear" w:color="000000" w:fill="D9D9D9"/>
            <w:noWrap/>
            <w:vAlign w:val="bottom"/>
            <w:hideMark/>
          </w:tcPr>
          <w:p w14:paraId="6DEFC6C6"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209,855</w:t>
            </w:r>
          </w:p>
        </w:tc>
        <w:tc>
          <w:tcPr>
            <w:tcW w:w="920" w:type="dxa"/>
            <w:tcBorders>
              <w:top w:val="nil"/>
              <w:left w:val="nil"/>
              <w:bottom w:val="nil"/>
              <w:right w:val="nil"/>
            </w:tcBorders>
            <w:shd w:val="clear" w:color="auto" w:fill="auto"/>
            <w:noWrap/>
            <w:vAlign w:val="bottom"/>
            <w:hideMark/>
          </w:tcPr>
          <w:p w14:paraId="22A97CC3"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213,173</w:t>
            </w:r>
          </w:p>
        </w:tc>
        <w:tc>
          <w:tcPr>
            <w:tcW w:w="920" w:type="dxa"/>
            <w:tcBorders>
              <w:top w:val="nil"/>
              <w:left w:val="nil"/>
              <w:bottom w:val="nil"/>
              <w:right w:val="nil"/>
            </w:tcBorders>
            <w:shd w:val="clear" w:color="auto" w:fill="auto"/>
            <w:noWrap/>
            <w:vAlign w:val="bottom"/>
            <w:hideMark/>
          </w:tcPr>
          <w:p w14:paraId="5B240EC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216,558</w:t>
            </w:r>
          </w:p>
        </w:tc>
        <w:tc>
          <w:tcPr>
            <w:tcW w:w="920" w:type="dxa"/>
            <w:tcBorders>
              <w:top w:val="nil"/>
              <w:left w:val="nil"/>
              <w:bottom w:val="nil"/>
              <w:right w:val="nil"/>
            </w:tcBorders>
            <w:shd w:val="clear" w:color="auto" w:fill="auto"/>
            <w:noWrap/>
            <w:vAlign w:val="bottom"/>
            <w:hideMark/>
          </w:tcPr>
          <w:p w14:paraId="1158664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219,943</w:t>
            </w:r>
          </w:p>
        </w:tc>
      </w:tr>
      <w:tr w:rsidR="00440C2B" w:rsidRPr="00440C2B" w14:paraId="00ED4ADB"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0C115A04" w14:textId="77777777" w:rsidR="00440C2B" w:rsidRPr="00440C2B" w:rsidRDefault="00440C2B" w:rsidP="009D17A5">
            <w:pPr>
              <w:spacing w:before="0" w:after="0" w:line="240" w:lineRule="auto"/>
              <w:ind w:leftChars="150" w:left="285"/>
              <w:rPr>
                <w:rFonts w:ascii="Arial" w:hAnsi="Arial" w:cs="Arial"/>
                <w:color w:val="000000"/>
                <w:sz w:val="16"/>
                <w:szCs w:val="16"/>
              </w:rPr>
            </w:pPr>
            <w:r w:rsidRPr="00440C2B">
              <w:rPr>
                <w:rFonts w:ascii="Arial" w:hAnsi="Arial" w:cs="Arial"/>
                <w:color w:val="000000"/>
                <w:sz w:val="16"/>
                <w:szCs w:val="16"/>
              </w:rPr>
              <w:t>Other provisions</w:t>
            </w:r>
          </w:p>
        </w:tc>
        <w:tc>
          <w:tcPr>
            <w:tcW w:w="920" w:type="dxa"/>
            <w:tcBorders>
              <w:top w:val="nil"/>
              <w:left w:val="nil"/>
              <w:bottom w:val="nil"/>
              <w:right w:val="nil"/>
            </w:tcBorders>
            <w:shd w:val="clear" w:color="auto" w:fill="auto"/>
            <w:noWrap/>
            <w:vAlign w:val="bottom"/>
            <w:hideMark/>
          </w:tcPr>
          <w:p w14:paraId="10B7028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14,330</w:t>
            </w:r>
          </w:p>
        </w:tc>
        <w:tc>
          <w:tcPr>
            <w:tcW w:w="920" w:type="dxa"/>
            <w:tcBorders>
              <w:top w:val="nil"/>
              <w:left w:val="nil"/>
              <w:bottom w:val="nil"/>
              <w:right w:val="nil"/>
            </w:tcBorders>
            <w:shd w:val="clear" w:color="000000" w:fill="D9D9D9"/>
            <w:noWrap/>
            <w:vAlign w:val="bottom"/>
            <w:hideMark/>
          </w:tcPr>
          <w:p w14:paraId="57E8BBED"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14,330</w:t>
            </w:r>
          </w:p>
        </w:tc>
        <w:tc>
          <w:tcPr>
            <w:tcW w:w="920" w:type="dxa"/>
            <w:tcBorders>
              <w:top w:val="nil"/>
              <w:left w:val="nil"/>
              <w:bottom w:val="nil"/>
              <w:right w:val="nil"/>
            </w:tcBorders>
            <w:shd w:val="clear" w:color="auto" w:fill="auto"/>
            <w:noWrap/>
            <w:vAlign w:val="bottom"/>
            <w:hideMark/>
          </w:tcPr>
          <w:p w14:paraId="167E467F"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14,330</w:t>
            </w:r>
          </w:p>
        </w:tc>
        <w:tc>
          <w:tcPr>
            <w:tcW w:w="920" w:type="dxa"/>
            <w:tcBorders>
              <w:top w:val="nil"/>
              <w:left w:val="nil"/>
              <w:bottom w:val="nil"/>
              <w:right w:val="nil"/>
            </w:tcBorders>
            <w:shd w:val="clear" w:color="auto" w:fill="auto"/>
            <w:noWrap/>
            <w:vAlign w:val="bottom"/>
            <w:hideMark/>
          </w:tcPr>
          <w:p w14:paraId="05632FFC"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14,330</w:t>
            </w:r>
          </w:p>
        </w:tc>
        <w:tc>
          <w:tcPr>
            <w:tcW w:w="920" w:type="dxa"/>
            <w:tcBorders>
              <w:top w:val="nil"/>
              <w:left w:val="nil"/>
              <w:bottom w:val="nil"/>
              <w:right w:val="nil"/>
            </w:tcBorders>
            <w:shd w:val="clear" w:color="auto" w:fill="auto"/>
            <w:noWrap/>
            <w:vAlign w:val="bottom"/>
            <w:hideMark/>
          </w:tcPr>
          <w:p w14:paraId="493492B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14,330</w:t>
            </w:r>
          </w:p>
        </w:tc>
      </w:tr>
      <w:tr w:rsidR="00440C2B" w:rsidRPr="00440C2B" w14:paraId="47D00DFD"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2A5D54E7" w14:textId="77777777" w:rsidR="00440C2B" w:rsidRPr="00440C2B" w:rsidRDefault="00440C2B" w:rsidP="009D17A5">
            <w:pPr>
              <w:spacing w:before="0" w:after="0" w:line="240" w:lineRule="auto"/>
              <w:ind w:leftChars="150" w:left="285"/>
              <w:rPr>
                <w:rFonts w:ascii="Arial" w:hAnsi="Arial" w:cs="Arial"/>
                <w:b/>
                <w:bCs/>
                <w:color w:val="000000"/>
                <w:sz w:val="16"/>
                <w:szCs w:val="16"/>
              </w:rPr>
            </w:pPr>
            <w:r w:rsidRPr="00440C2B">
              <w:rPr>
                <w:rFonts w:ascii="Arial" w:hAnsi="Arial" w:cs="Arial"/>
                <w:b/>
                <w:bCs/>
                <w:color w:val="000000"/>
                <w:sz w:val="16"/>
                <w:szCs w:val="16"/>
              </w:rPr>
              <w:t>Total provisions</w:t>
            </w:r>
          </w:p>
        </w:tc>
        <w:tc>
          <w:tcPr>
            <w:tcW w:w="920" w:type="dxa"/>
            <w:tcBorders>
              <w:top w:val="nil"/>
              <w:left w:val="nil"/>
              <w:bottom w:val="single" w:sz="4" w:space="0" w:color="auto"/>
              <w:right w:val="nil"/>
            </w:tcBorders>
            <w:shd w:val="clear" w:color="auto" w:fill="auto"/>
            <w:noWrap/>
            <w:vAlign w:val="bottom"/>
            <w:hideMark/>
          </w:tcPr>
          <w:p w14:paraId="598EF53D"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221,472</w:t>
            </w:r>
          </w:p>
        </w:tc>
        <w:tc>
          <w:tcPr>
            <w:tcW w:w="920" w:type="dxa"/>
            <w:tcBorders>
              <w:top w:val="nil"/>
              <w:left w:val="nil"/>
              <w:bottom w:val="single" w:sz="4" w:space="0" w:color="auto"/>
              <w:right w:val="nil"/>
            </w:tcBorders>
            <w:shd w:val="clear" w:color="000000" w:fill="D9D9D9"/>
            <w:noWrap/>
            <w:vAlign w:val="bottom"/>
            <w:hideMark/>
          </w:tcPr>
          <w:p w14:paraId="5C6309E6"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224,185</w:t>
            </w:r>
          </w:p>
        </w:tc>
        <w:tc>
          <w:tcPr>
            <w:tcW w:w="920" w:type="dxa"/>
            <w:tcBorders>
              <w:top w:val="nil"/>
              <w:left w:val="nil"/>
              <w:bottom w:val="single" w:sz="4" w:space="0" w:color="auto"/>
              <w:right w:val="nil"/>
            </w:tcBorders>
            <w:shd w:val="clear" w:color="auto" w:fill="auto"/>
            <w:noWrap/>
            <w:vAlign w:val="bottom"/>
            <w:hideMark/>
          </w:tcPr>
          <w:p w14:paraId="5E7FB1E4"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227,503</w:t>
            </w:r>
          </w:p>
        </w:tc>
        <w:tc>
          <w:tcPr>
            <w:tcW w:w="920" w:type="dxa"/>
            <w:tcBorders>
              <w:top w:val="nil"/>
              <w:left w:val="nil"/>
              <w:bottom w:val="single" w:sz="4" w:space="0" w:color="auto"/>
              <w:right w:val="nil"/>
            </w:tcBorders>
            <w:shd w:val="clear" w:color="auto" w:fill="auto"/>
            <w:noWrap/>
            <w:vAlign w:val="bottom"/>
            <w:hideMark/>
          </w:tcPr>
          <w:p w14:paraId="63D862E6"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230,888</w:t>
            </w:r>
          </w:p>
        </w:tc>
        <w:tc>
          <w:tcPr>
            <w:tcW w:w="920" w:type="dxa"/>
            <w:tcBorders>
              <w:top w:val="nil"/>
              <w:left w:val="nil"/>
              <w:bottom w:val="single" w:sz="4" w:space="0" w:color="auto"/>
              <w:right w:val="nil"/>
            </w:tcBorders>
            <w:shd w:val="clear" w:color="auto" w:fill="auto"/>
            <w:noWrap/>
            <w:vAlign w:val="bottom"/>
            <w:hideMark/>
          </w:tcPr>
          <w:p w14:paraId="7F57010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234,273</w:t>
            </w:r>
          </w:p>
        </w:tc>
      </w:tr>
      <w:tr w:rsidR="00440C2B" w:rsidRPr="00440C2B" w14:paraId="6766129D"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13B57AA7"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Total liabilities</w:t>
            </w:r>
          </w:p>
        </w:tc>
        <w:tc>
          <w:tcPr>
            <w:tcW w:w="920" w:type="dxa"/>
            <w:tcBorders>
              <w:top w:val="nil"/>
              <w:left w:val="nil"/>
              <w:bottom w:val="single" w:sz="4" w:space="0" w:color="auto"/>
              <w:right w:val="nil"/>
            </w:tcBorders>
            <w:shd w:val="clear" w:color="auto" w:fill="auto"/>
            <w:noWrap/>
            <w:vAlign w:val="bottom"/>
            <w:hideMark/>
          </w:tcPr>
          <w:p w14:paraId="342F270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958,277</w:t>
            </w:r>
          </w:p>
        </w:tc>
        <w:tc>
          <w:tcPr>
            <w:tcW w:w="920" w:type="dxa"/>
            <w:tcBorders>
              <w:top w:val="nil"/>
              <w:left w:val="nil"/>
              <w:bottom w:val="single" w:sz="4" w:space="0" w:color="auto"/>
              <w:right w:val="nil"/>
            </w:tcBorders>
            <w:shd w:val="clear" w:color="000000" w:fill="D9D9D9"/>
            <w:noWrap/>
            <w:vAlign w:val="bottom"/>
            <w:hideMark/>
          </w:tcPr>
          <w:p w14:paraId="0FF9AAB0"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906,469</w:t>
            </w:r>
          </w:p>
        </w:tc>
        <w:tc>
          <w:tcPr>
            <w:tcW w:w="920" w:type="dxa"/>
            <w:tcBorders>
              <w:top w:val="nil"/>
              <w:left w:val="nil"/>
              <w:bottom w:val="single" w:sz="4" w:space="0" w:color="auto"/>
              <w:right w:val="nil"/>
            </w:tcBorders>
            <w:shd w:val="clear" w:color="auto" w:fill="auto"/>
            <w:noWrap/>
            <w:vAlign w:val="bottom"/>
            <w:hideMark/>
          </w:tcPr>
          <w:p w14:paraId="7815E5A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896,221</w:t>
            </w:r>
          </w:p>
        </w:tc>
        <w:tc>
          <w:tcPr>
            <w:tcW w:w="920" w:type="dxa"/>
            <w:tcBorders>
              <w:top w:val="nil"/>
              <w:left w:val="nil"/>
              <w:bottom w:val="single" w:sz="4" w:space="0" w:color="auto"/>
              <w:right w:val="nil"/>
            </w:tcBorders>
            <w:shd w:val="clear" w:color="auto" w:fill="auto"/>
            <w:noWrap/>
            <w:vAlign w:val="bottom"/>
            <w:hideMark/>
          </w:tcPr>
          <w:p w14:paraId="7B18D91D"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870,075</w:t>
            </w:r>
          </w:p>
        </w:tc>
        <w:tc>
          <w:tcPr>
            <w:tcW w:w="920" w:type="dxa"/>
            <w:tcBorders>
              <w:top w:val="nil"/>
              <w:left w:val="nil"/>
              <w:bottom w:val="single" w:sz="4" w:space="0" w:color="auto"/>
              <w:right w:val="nil"/>
            </w:tcBorders>
            <w:shd w:val="clear" w:color="auto" w:fill="auto"/>
            <w:noWrap/>
            <w:vAlign w:val="bottom"/>
            <w:hideMark/>
          </w:tcPr>
          <w:p w14:paraId="034E2174"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843,929</w:t>
            </w:r>
          </w:p>
        </w:tc>
      </w:tr>
      <w:tr w:rsidR="00440C2B" w:rsidRPr="00440C2B" w14:paraId="44B0B2A5"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51E50912" w14:textId="77777777" w:rsidR="00440C2B" w:rsidRPr="00440C2B" w:rsidRDefault="00440C2B" w:rsidP="00440C2B">
            <w:pPr>
              <w:spacing w:before="0" w:after="0" w:line="240" w:lineRule="auto"/>
              <w:rPr>
                <w:rFonts w:ascii="Arial" w:hAnsi="Arial" w:cs="Arial"/>
                <w:b/>
                <w:bCs/>
                <w:color w:val="000000"/>
                <w:sz w:val="16"/>
                <w:szCs w:val="16"/>
              </w:rPr>
            </w:pPr>
            <w:r w:rsidRPr="00440C2B">
              <w:rPr>
                <w:rFonts w:ascii="Arial" w:hAnsi="Arial" w:cs="Arial"/>
                <w:b/>
                <w:bCs/>
                <w:color w:val="000000"/>
                <w:sz w:val="16"/>
                <w:szCs w:val="16"/>
              </w:rPr>
              <w:t>Net Assets</w:t>
            </w:r>
          </w:p>
        </w:tc>
        <w:tc>
          <w:tcPr>
            <w:tcW w:w="920" w:type="dxa"/>
            <w:tcBorders>
              <w:top w:val="nil"/>
              <w:left w:val="nil"/>
              <w:bottom w:val="single" w:sz="4" w:space="0" w:color="auto"/>
              <w:right w:val="nil"/>
            </w:tcBorders>
            <w:shd w:val="clear" w:color="auto" w:fill="auto"/>
            <w:noWrap/>
            <w:vAlign w:val="bottom"/>
            <w:hideMark/>
          </w:tcPr>
          <w:p w14:paraId="5A99E7EE"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385,534</w:t>
            </w:r>
          </w:p>
        </w:tc>
        <w:tc>
          <w:tcPr>
            <w:tcW w:w="920" w:type="dxa"/>
            <w:tcBorders>
              <w:top w:val="nil"/>
              <w:left w:val="nil"/>
              <w:bottom w:val="single" w:sz="4" w:space="0" w:color="auto"/>
              <w:right w:val="nil"/>
            </w:tcBorders>
            <w:shd w:val="clear" w:color="000000" w:fill="D9D9D9"/>
            <w:noWrap/>
            <w:vAlign w:val="bottom"/>
            <w:hideMark/>
          </w:tcPr>
          <w:p w14:paraId="5D6380F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577,943</w:t>
            </w:r>
          </w:p>
        </w:tc>
        <w:tc>
          <w:tcPr>
            <w:tcW w:w="920" w:type="dxa"/>
            <w:tcBorders>
              <w:top w:val="nil"/>
              <w:left w:val="nil"/>
              <w:bottom w:val="single" w:sz="4" w:space="0" w:color="auto"/>
              <w:right w:val="nil"/>
            </w:tcBorders>
            <w:shd w:val="clear" w:color="auto" w:fill="auto"/>
            <w:noWrap/>
            <w:vAlign w:val="bottom"/>
            <w:hideMark/>
          </w:tcPr>
          <w:p w14:paraId="4D581020"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555,150</w:t>
            </w:r>
          </w:p>
        </w:tc>
        <w:tc>
          <w:tcPr>
            <w:tcW w:w="920" w:type="dxa"/>
            <w:tcBorders>
              <w:top w:val="nil"/>
              <w:left w:val="nil"/>
              <w:bottom w:val="single" w:sz="4" w:space="0" w:color="auto"/>
              <w:right w:val="nil"/>
            </w:tcBorders>
            <w:shd w:val="clear" w:color="auto" w:fill="auto"/>
            <w:noWrap/>
            <w:vAlign w:val="bottom"/>
            <w:hideMark/>
          </w:tcPr>
          <w:p w14:paraId="466F6787"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522,647</w:t>
            </w:r>
          </w:p>
        </w:tc>
        <w:tc>
          <w:tcPr>
            <w:tcW w:w="920" w:type="dxa"/>
            <w:tcBorders>
              <w:top w:val="nil"/>
              <w:left w:val="nil"/>
              <w:bottom w:val="single" w:sz="4" w:space="0" w:color="auto"/>
              <w:right w:val="nil"/>
            </w:tcBorders>
            <w:shd w:val="clear" w:color="auto" w:fill="auto"/>
            <w:noWrap/>
            <w:vAlign w:val="bottom"/>
            <w:hideMark/>
          </w:tcPr>
          <w:p w14:paraId="3AE37FF5"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486,127</w:t>
            </w:r>
          </w:p>
        </w:tc>
      </w:tr>
      <w:tr w:rsidR="00440C2B" w:rsidRPr="00440C2B" w14:paraId="56F3C75B" w14:textId="77777777" w:rsidTr="00440C2B">
        <w:trPr>
          <w:trHeight w:val="283"/>
          <w:jc w:val="center"/>
        </w:trPr>
        <w:tc>
          <w:tcPr>
            <w:tcW w:w="3000" w:type="dxa"/>
            <w:tcBorders>
              <w:top w:val="nil"/>
              <w:left w:val="nil"/>
              <w:bottom w:val="nil"/>
              <w:right w:val="nil"/>
            </w:tcBorders>
            <w:shd w:val="clear" w:color="auto" w:fill="auto"/>
            <w:noWrap/>
            <w:vAlign w:val="bottom"/>
            <w:hideMark/>
          </w:tcPr>
          <w:p w14:paraId="49C23936" w14:textId="77777777" w:rsidR="00440C2B" w:rsidRPr="00440C2B" w:rsidRDefault="00440C2B" w:rsidP="00440C2B">
            <w:pPr>
              <w:spacing w:before="0" w:after="0" w:line="240" w:lineRule="auto"/>
              <w:rPr>
                <w:rFonts w:ascii="Arial" w:hAnsi="Arial" w:cs="Arial"/>
                <w:b/>
                <w:bCs/>
                <w:color w:val="000000"/>
                <w:sz w:val="16"/>
                <w:szCs w:val="16"/>
              </w:rPr>
            </w:pPr>
            <w:r w:rsidRPr="00440C2B">
              <w:rPr>
                <w:rFonts w:ascii="Arial" w:hAnsi="Arial" w:cs="Arial"/>
                <w:b/>
                <w:bCs/>
                <w:color w:val="000000"/>
                <w:sz w:val="16"/>
                <w:szCs w:val="16"/>
              </w:rPr>
              <w:t>EQUITY</w:t>
            </w:r>
          </w:p>
        </w:tc>
        <w:tc>
          <w:tcPr>
            <w:tcW w:w="920" w:type="dxa"/>
            <w:tcBorders>
              <w:top w:val="nil"/>
              <w:left w:val="nil"/>
              <w:bottom w:val="nil"/>
              <w:right w:val="nil"/>
            </w:tcBorders>
            <w:shd w:val="clear" w:color="auto" w:fill="auto"/>
            <w:noWrap/>
            <w:vAlign w:val="bottom"/>
            <w:hideMark/>
          </w:tcPr>
          <w:p w14:paraId="3B199B38" w14:textId="77777777" w:rsidR="00440C2B" w:rsidRPr="00440C2B" w:rsidRDefault="00440C2B" w:rsidP="00440C2B">
            <w:pPr>
              <w:spacing w:before="0" w:after="0" w:line="240" w:lineRule="auto"/>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60647B93"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09E59424" w14:textId="77777777" w:rsidR="00440C2B" w:rsidRPr="00440C2B" w:rsidRDefault="00440C2B" w:rsidP="00440C2B">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770E578" w14:textId="77777777" w:rsidR="00440C2B" w:rsidRPr="00440C2B" w:rsidRDefault="00440C2B" w:rsidP="00440C2B">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512015DE" w14:textId="77777777" w:rsidR="00440C2B" w:rsidRPr="00440C2B" w:rsidRDefault="00440C2B" w:rsidP="00440C2B">
            <w:pPr>
              <w:spacing w:before="0" w:after="0" w:line="240" w:lineRule="auto"/>
              <w:jc w:val="right"/>
              <w:rPr>
                <w:rFonts w:ascii="Times New Roman" w:hAnsi="Times New Roman"/>
                <w:sz w:val="20"/>
              </w:rPr>
            </w:pPr>
          </w:p>
        </w:tc>
      </w:tr>
      <w:tr w:rsidR="00440C2B" w:rsidRPr="00440C2B" w14:paraId="42AC2EE0"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6133C280" w14:textId="77777777" w:rsidR="00440C2B" w:rsidRPr="00440C2B" w:rsidRDefault="00440C2B" w:rsidP="009D17A5">
            <w:pPr>
              <w:spacing w:before="0" w:after="0" w:line="240" w:lineRule="auto"/>
              <w:ind w:leftChars="75" w:left="143"/>
              <w:rPr>
                <w:rFonts w:ascii="Arial" w:hAnsi="Arial" w:cs="Arial"/>
                <w:color w:val="000000"/>
                <w:sz w:val="16"/>
                <w:szCs w:val="16"/>
              </w:rPr>
            </w:pPr>
            <w:r w:rsidRPr="00440C2B">
              <w:rPr>
                <w:rFonts w:ascii="Arial" w:hAnsi="Arial" w:cs="Arial"/>
                <w:color w:val="000000"/>
                <w:sz w:val="16"/>
                <w:szCs w:val="16"/>
              </w:rPr>
              <w:t>Contributed equity</w:t>
            </w:r>
          </w:p>
        </w:tc>
        <w:tc>
          <w:tcPr>
            <w:tcW w:w="920" w:type="dxa"/>
            <w:tcBorders>
              <w:top w:val="nil"/>
              <w:left w:val="nil"/>
              <w:bottom w:val="nil"/>
              <w:right w:val="nil"/>
            </w:tcBorders>
            <w:shd w:val="clear" w:color="auto" w:fill="auto"/>
            <w:noWrap/>
            <w:vAlign w:val="bottom"/>
            <w:hideMark/>
          </w:tcPr>
          <w:p w14:paraId="19B99D8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734,925</w:t>
            </w:r>
          </w:p>
        </w:tc>
        <w:tc>
          <w:tcPr>
            <w:tcW w:w="920" w:type="dxa"/>
            <w:tcBorders>
              <w:top w:val="nil"/>
              <w:left w:val="nil"/>
              <w:bottom w:val="nil"/>
              <w:right w:val="nil"/>
            </w:tcBorders>
            <w:shd w:val="clear" w:color="000000" w:fill="D9D9D9"/>
            <w:noWrap/>
            <w:vAlign w:val="bottom"/>
            <w:hideMark/>
          </w:tcPr>
          <w:p w14:paraId="00DD8656"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969,582</w:t>
            </w:r>
          </w:p>
        </w:tc>
        <w:tc>
          <w:tcPr>
            <w:tcW w:w="920" w:type="dxa"/>
            <w:tcBorders>
              <w:top w:val="nil"/>
              <w:left w:val="nil"/>
              <w:bottom w:val="nil"/>
              <w:right w:val="nil"/>
            </w:tcBorders>
            <w:shd w:val="clear" w:color="auto" w:fill="auto"/>
            <w:noWrap/>
            <w:tcMar>
              <w:left w:w="0" w:type="dxa"/>
            </w:tcMar>
            <w:vAlign w:val="bottom"/>
            <w:hideMark/>
          </w:tcPr>
          <w:p w14:paraId="4D77447E"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1,015,152</w:t>
            </w:r>
          </w:p>
        </w:tc>
        <w:tc>
          <w:tcPr>
            <w:tcW w:w="920" w:type="dxa"/>
            <w:tcBorders>
              <w:top w:val="nil"/>
              <w:left w:val="nil"/>
              <w:bottom w:val="nil"/>
              <w:right w:val="nil"/>
            </w:tcBorders>
            <w:shd w:val="clear" w:color="auto" w:fill="auto"/>
            <w:noWrap/>
            <w:tcMar>
              <w:left w:w="0" w:type="dxa"/>
            </w:tcMar>
            <w:vAlign w:val="bottom"/>
            <w:hideMark/>
          </w:tcPr>
          <w:p w14:paraId="738B78E7"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1,040,207</w:t>
            </w:r>
          </w:p>
        </w:tc>
        <w:tc>
          <w:tcPr>
            <w:tcW w:w="920" w:type="dxa"/>
            <w:tcBorders>
              <w:top w:val="nil"/>
              <w:left w:val="nil"/>
              <w:bottom w:val="nil"/>
              <w:right w:val="nil"/>
            </w:tcBorders>
            <w:shd w:val="clear" w:color="auto" w:fill="auto"/>
            <w:noWrap/>
            <w:tcMar>
              <w:left w:w="0" w:type="dxa"/>
            </w:tcMar>
            <w:vAlign w:val="bottom"/>
            <w:hideMark/>
          </w:tcPr>
          <w:p w14:paraId="48AA2722"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1,060,490</w:t>
            </w:r>
          </w:p>
        </w:tc>
      </w:tr>
      <w:tr w:rsidR="00440C2B" w:rsidRPr="00440C2B" w14:paraId="150F43BF"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628F13F3" w14:textId="77777777" w:rsidR="00440C2B" w:rsidRPr="00440C2B" w:rsidRDefault="00440C2B" w:rsidP="009D17A5">
            <w:pPr>
              <w:spacing w:before="0" w:after="0" w:line="240" w:lineRule="auto"/>
              <w:ind w:leftChars="75" w:left="143"/>
              <w:rPr>
                <w:rFonts w:ascii="Arial" w:hAnsi="Arial" w:cs="Arial"/>
                <w:color w:val="000000"/>
                <w:sz w:val="16"/>
                <w:szCs w:val="16"/>
              </w:rPr>
            </w:pPr>
            <w:r w:rsidRPr="00440C2B">
              <w:rPr>
                <w:rFonts w:ascii="Arial" w:hAnsi="Arial" w:cs="Arial"/>
                <w:color w:val="000000"/>
                <w:sz w:val="16"/>
                <w:szCs w:val="16"/>
              </w:rPr>
              <w:t>Reserves</w:t>
            </w:r>
          </w:p>
        </w:tc>
        <w:tc>
          <w:tcPr>
            <w:tcW w:w="920" w:type="dxa"/>
            <w:tcBorders>
              <w:top w:val="nil"/>
              <w:left w:val="nil"/>
              <w:bottom w:val="nil"/>
              <w:right w:val="nil"/>
            </w:tcBorders>
            <w:shd w:val="clear" w:color="auto" w:fill="auto"/>
            <w:noWrap/>
            <w:vAlign w:val="bottom"/>
            <w:hideMark/>
          </w:tcPr>
          <w:p w14:paraId="25FD438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32,042</w:t>
            </w:r>
          </w:p>
        </w:tc>
        <w:tc>
          <w:tcPr>
            <w:tcW w:w="920" w:type="dxa"/>
            <w:tcBorders>
              <w:top w:val="nil"/>
              <w:left w:val="nil"/>
              <w:bottom w:val="nil"/>
              <w:right w:val="nil"/>
            </w:tcBorders>
            <w:shd w:val="clear" w:color="000000" w:fill="D9D9D9"/>
            <w:noWrap/>
            <w:vAlign w:val="bottom"/>
            <w:hideMark/>
          </w:tcPr>
          <w:p w14:paraId="0015056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32,042</w:t>
            </w:r>
          </w:p>
        </w:tc>
        <w:tc>
          <w:tcPr>
            <w:tcW w:w="920" w:type="dxa"/>
            <w:tcBorders>
              <w:top w:val="nil"/>
              <w:left w:val="nil"/>
              <w:bottom w:val="nil"/>
              <w:right w:val="nil"/>
            </w:tcBorders>
            <w:shd w:val="clear" w:color="auto" w:fill="auto"/>
            <w:noWrap/>
            <w:vAlign w:val="bottom"/>
            <w:hideMark/>
          </w:tcPr>
          <w:p w14:paraId="417D65C9"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32,042</w:t>
            </w:r>
          </w:p>
        </w:tc>
        <w:tc>
          <w:tcPr>
            <w:tcW w:w="920" w:type="dxa"/>
            <w:tcBorders>
              <w:top w:val="nil"/>
              <w:left w:val="nil"/>
              <w:bottom w:val="nil"/>
              <w:right w:val="nil"/>
            </w:tcBorders>
            <w:shd w:val="clear" w:color="auto" w:fill="auto"/>
            <w:noWrap/>
            <w:vAlign w:val="bottom"/>
            <w:hideMark/>
          </w:tcPr>
          <w:p w14:paraId="02B6A54B"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32,042</w:t>
            </w:r>
          </w:p>
        </w:tc>
        <w:tc>
          <w:tcPr>
            <w:tcW w:w="920" w:type="dxa"/>
            <w:tcBorders>
              <w:top w:val="nil"/>
              <w:left w:val="nil"/>
              <w:bottom w:val="nil"/>
              <w:right w:val="nil"/>
            </w:tcBorders>
            <w:shd w:val="clear" w:color="auto" w:fill="auto"/>
            <w:noWrap/>
            <w:vAlign w:val="bottom"/>
            <w:hideMark/>
          </w:tcPr>
          <w:p w14:paraId="33EFE41F"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32,042</w:t>
            </w:r>
          </w:p>
        </w:tc>
      </w:tr>
      <w:tr w:rsidR="00440C2B" w:rsidRPr="00440C2B" w14:paraId="042C11BA" w14:textId="77777777" w:rsidTr="00440C2B">
        <w:trPr>
          <w:trHeight w:val="225"/>
          <w:jc w:val="center"/>
        </w:trPr>
        <w:tc>
          <w:tcPr>
            <w:tcW w:w="3000" w:type="dxa"/>
            <w:tcBorders>
              <w:top w:val="nil"/>
              <w:left w:val="nil"/>
              <w:bottom w:val="nil"/>
              <w:right w:val="nil"/>
            </w:tcBorders>
            <w:shd w:val="clear" w:color="auto" w:fill="auto"/>
            <w:noWrap/>
            <w:vAlign w:val="bottom"/>
            <w:hideMark/>
          </w:tcPr>
          <w:p w14:paraId="05A6AFA3" w14:textId="77777777" w:rsidR="00440C2B" w:rsidRPr="00440C2B" w:rsidRDefault="00440C2B" w:rsidP="009D17A5">
            <w:pPr>
              <w:spacing w:before="0" w:after="0" w:line="240" w:lineRule="auto"/>
              <w:ind w:leftChars="75" w:left="143"/>
              <w:rPr>
                <w:rFonts w:ascii="Arial" w:hAnsi="Arial" w:cs="Arial"/>
                <w:color w:val="000000"/>
                <w:sz w:val="16"/>
                <w:szCs w:val="16"/>
              </w:rPr>
            </w:pPr>
            <w:r w:rsidRPr="00440C2B">
              <w:rPr>
                <w:rFonts w:ascii="Arial" w:hAnsi="Arial" w:cs="Arial"/>
                <w:color w:val="000000"/>
                <w:sz w:val="16"/>
                <w:szCs w:val="16"/>
              </w:rPr>
              <w:t>Accumulated deficits</w:t>
            </w:r>
          </w:p>
        </w:tc>
        <w:tc>
          <w:tcPr>
            <w:tcW w:w="920" w:type="dxa"/>
            <w:tcBorders>
              <w:top w:val="nil"/>
              <w:left w:val="nil"/>
              <w:bottom w:val="nil"/>
              <w:right w:val="nil"/>
            </w:tcBorders>
            <w:shd w:val="clear" w:color="auto" w:fill="auto"/>
            <w:noWrap/>
            <w:vAlign w:val="bottom"/>
            <w:hideMark/>
          </w:tcPr>
          <w:p w14:paraId="66ACAAFF"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(381,434)</w:t>
            </w:r>
          </w:p>
        </w:tc>
        <w:tc>
          <w:tcPr>
            <w:tcW w:w="920" w:type="dxa"/>
            <w:tcBorders>
              <w:top w:val="nil"/>
              <w:left w:val="nil"/>
              <w:bottom w:val="nil"/>
              <w:right w:val="nil"/>
            </w:tcBorders>
            <w:shd w:val="clear" w:color="000000" w:fill="D9D9D9"/>
            <w:noWrap/>
            <w:vAlign w:val="bottom"/>
            <w:hideMark/>
          </w:tcPr>
          <w:p w14:paraId="0928EDF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(423,681)</w:t>
            </w:r>
          </w:p>
        </w:tc>
        <w:tc>
          <w:tcPr>
            <w:tcW w:w="920" w:type="dxa"/>
            <w:tcBorders>
              <w:top w:val="nil"/>
              <w:left w:val="nil"/>
              <w:bottom w:val="nil"/>
              <w:right w:val="nil"/>
            </w:tcBorders>
            <w:shd w:val="clear" w:color="auto" w:fill="auto"/>
            <w:noWrap/>
            <w:vAlign w:val="bottom"/>
            <w:hideMark/>
          </w:tcPr>
          <w:p w14:paraId="023E5489"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(492,044)</w:t>
            </w:r>
          </w:p>
        </w:tc>
        <w:tc>
          <w:tcPr>
            <w:tcW w:w="920" w:type="dxa"/>
            <w:tcBorders>
              <w:top w:val="nil"/>
              <w:left w:val="nil"/>
              <w:bottom w:val="nil"/>
              <w:right w:val="nil"/>
            </w:tcBorders>
            <w:shd w:val="clear" w:color="auto" w:fill="auto"/>
            <w:noWrap/>
            <w:vAlign w:val="bottom"/>
            <w:hideMark/>
          </w:tcPr>
          <w:p w14:paraId="2C3DAE8A"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(549,602)</w:t>
            </w:r>
          </w:p>
        </w:tc>
        <w:tc>
          <w:tcPr>
            <w:tcW w:w="920" w:type="dxa"/>
            <w:tcBorders>
              <w:top w:val="nil"/>
              <w:left w:val="nil"/>
              <w:bottom w:val="nil"/>
              <w:right w:val="nil"/>
            </w:tcBorders>
            <w:shd w:val="clear" w:color="auto" w:fill="auto"/>
            <w:noWrap/>
            <w:vAlign w:val="bottom"/>
            <w:hideMark/>
          </w:tcPr>
          <w:p w14:paraId="555DA266" w14:textId="77777777" w:rsidR="00440C2B" w:rsidRPr="00440C2B" w:rsidRDefault="00440C2B" w:rsidP="00440C2B">
            <w:pPr>
              <w:spacing w:before="0" w:after="0" w:line="240" w:lineRule="auto"/>
              <w:jc w:val="right"/>
              <w:rPr>
                <w:rFonts w:ascii="Arial" w:hAnsi="Arial" w:cs="Arial"/>
                <w:color w:val="000000"/>
                <w:sz w:val="16"/>
                <w:szCs w:val="16"/>
              </w:rPr>
            </w:pPr>
            <w:r w:rsidRPr="00440C2B">
              <w:rPr>
                <w:rFonts w:ascii="Arial" w:hAnsi="Arial" w:cs="Arial"/>
                <w:color w:val="000000"/>
                <w:sz w:val="16"/>
                <w:szCs w:val="16"/>
              </w:rPr>
              <w:t>(606,405)</w:t>
            </w:r>
          </w:p>
        </w:tc>
      </w:tr>
      <w:tr w:rsidR="00440C2B" w:rsidRPr="00440C2B" w14:paraId="6DBABFF5" w14:textId="77777777" w:rsidTr="00440C2B">
        <w:trPr>
          <w:trHeight w:val="225"/>
          <w:jc w:val="center"/>
        </w:trPr>
        <w:tc>
          <w:tcPr>
            <w:tcW w:w="3000" w:type="dxa"/>
            <w:tcBorders>
              <w:top w:val="nil"/>
              <w:left w:val="nil"/>
              <w:bottom w:val="single" w:sz="4" w:space="0" w:color="auto"/>
              <w:right w:val="nil"/>
            </w:tcBorders>
            <w:shd w:val="clear" w:color="auto" w:fill="auto"/>
            <w:noWrap/>
            <w:vAlign w:val="bottom"/>
            <w:hideMark/>
          </w:tcPr>
          <w:p w14:paraId="29B0CAEA" w14:textId="77777777" w:rsidR="00440C2B" w:rsidRPr="00440C2B" w:rsidRDefault="00440C2B" w:rsidP="009D17A5">
            <w:pPr>
              <w:spacing w:before="0" w:after="0" w:line="240" w:lineRule="auto"/>
              <w:ind w:leftChars="75" w:left="143"/>
              <w:rPr>
                <w:rFonts w:ascii="Arial" w:hAnsi="Arial" w:cs="Arial"/>
                <w:b/>
                <w:bCs/>
                <w:color w:val="000000"/>
                <w:sz w:val="16"/>
                <w:szCs w:val="16"/>
              </w:rPr>
            </w:pPr>
            <w:r w:rsidRPr="00440C2B">
              <w:rPr>
                <w:rFonts w:ascii="Arial" w:hAnsi="Arial" w:cs="Arial"/>
                <w:b/>
                <w:bCs/>
                <w:color w:val="000000"/>
                <w:sz w:val="16"/>
                <w:szCs w:val="16"/>
              </w:rPr>
              <w:t>Total equity</w:t>
            </w:r>
          </w:p>
        </w:tc>
        <w:tc>
          <w:tcPr>
            <w:tcW w:w="920" w:type="dxa"/>
            <w:tcBorders>
              <w:top w:val="nil"/>
              <w:left w:val="nil"/>
              <w:bottom w:val="single" w:sz="4" w:space="0" w:color="auto"/>
              <w:right w:val="nil"/>
            </w:tcBorders>
            <w:shd w:val="clear" w:color="auto" w:fill="auto"/>
            <w:noWrap/>
            <w:vAlign w:val="bottom"/>
            <w:hideMark/>
          </w:tcPr>
          <w:p w14:paraId="7E652B47"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385,534</w:t>
            </w:r>
          </w:p>
        </w:tc>
        <w:tc>
          <w:tcPr>
            <w:tcW w:w="920" w:type="dxa"/>
            <w:tcBorders>
              <w:top w:val="nil"/>
              <w:left w:val="nil"/>
              <w:bottom w:val="single" w:sz="4" w:space="0" w:color="auto"/>
              <w:right w:val="nil"/>
            </w:tcBorders>
            <w:shd w:val="clear" w:color="000000" w:fill="D9D9D9"/>
            <w:noWrap/>
            <w:vAlign w:val="bottom"/>
            <w:hideMark/>
          </w:tcPr>
          <w:p w14:paraId="0A3A2C72"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577,943</w:t>
            </w:r>
          </w:p>
        </w:tc>
        <w:tc>
          <w:tcPr>
            <w:tcW w:w="920" w:type="dxa"/>
            <w:tcBorders>
              <w:top w:val="nil"/>
              <w:left w:val="nil"/>
              <w:bottom w:val="single" w:sz="4" w:space="0" w:color="auto"/>
              <w:right w:val="nil"/>
            </w:tcBorders>
            <w:shd w:val="clear" w:color="auto" w:fill="auto"/>
            <w:noWrap/>
            <w:vAlign w:val="bottom"/>
            <w:hideMark/>
          </w:tcPr>
          <w:p w14:paraId="74C7C962"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555,150</w:t>
            </w:r>
          </w:p>
        </w:tc>
        <w:tc>
          <w:tcPr>
            <w:tcW w:w="920" w:type="dxa"/>
            <w:tcBorders>
              <w:top w:val="nil"/>
              <w:left w:val="nil"/>
              <w:bottom w:val="single" w:sz="4" w:space="0" w:color="auto"/>
              <w:right w:val="nil"/>
            </w:tcBorders>
            <w:shd w:val="clear" w:color="auto" w:fill="auto"/>
            <w:noWrap/>
            <w:vAlign w:val="bottom"/>
            <w:hideMark/>
          </w:tcPr>
          <w:p w14:paraId="2F85A8BE"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522,647</w:t>
            </w:r>
          </w:p>
        </w:tc>
        <w:tc>
          <w:tcPr>
            <w:tcW w:w="920" w:type="dxa"/>
            <w:tcBorders>
              <w:top w:val="nil"/>
              <w:left w:val="nil"/>
              <w:bottom w:val="single" w:sz="4" w:space="0" w:color="auto"/>
              <w:right w:val="nil"/>
            </w:tcBorders>
            <w:shd w:val="clear" w:color="auto" w:fill="auto"/>
            <w:noWrap/>
            <w:vAlign w:val="bottom"/>
            <w:hideMark/>
          </w:tcPr>
          <w:p w14:paraId="35A7497B" w14:textId="77777777" w:rsidR="00440C2B" w:rsidRPr="00440C2B" w:rsidRDefault="00440C2B" w:rsidP="00440C2B">
            <w:pPr>
              <w:spacing w:before="0" w:after="0" w:line="240" w:lineRule="auto"/>
              <w:jc w:val="right"/>
              <w:rPr>
                <w:rFonts w:ascii="Arial" w:hAnsi="Arial" w:cs="Arial"/>
                <w:b/>
                <w:bCs/>
                <w:color w:val="000000"/>
                <w:sz w:val="16"/>
                <w:szCs w:val="16"/>
              </w:rPr>
            </w:pPr>
            <w:r w:rsidRPr="00440C2B">
              <w:rPr>
                <w:rFonts w:ascii="Arial" w:hAnsi="Arial" w:cs="Arial"/>
                <w:b/>
                <w:bCs/>
                <w:color w:val="000000"/>
                <w:sz w:val="16"/>
                <w:szCs w:val="16"/>
              </w:rPr>
              <w:t>486,127</w:t>
            </w:r>
          </w:p>
        </w:tc>
      </w:tr>
    </w:tbl>
    <w:p w14:paraId="007D4C4D" w14:textId="77777777" w:rsidR="00736DD8" w:rsidRDefault="00736DD8" w:rsidP="00736DD8">
      <w:pPr>
        <w:pStyle w:val="SingleParagraph"/>
        <w:rPr>
          <w:snapToGrid w:val="0"/>
        </w:rPr>
      </w:pPr>
    </w:p>
    <w:p w14:paraId="2F109AE4" w14:textId="40F8F4F3" w:rsidR="00736DD8" w:rsidRPr="00014438" w:rsidRDefault="003439B6" w:rsidP="003439B6">
      <w:pPr>
        <w:spacing w:before="0" w:after="0" w:line="240" w:lineRule="auto"/>
        <w:rPr>
          <w:snapToGrid w:val="0"/>
        </w:rPr>
      </w:pPr>
      <w:r>
        <w:rPr>
          <w:snapToGrid w:val="0"/>
        </w:rPr>
        <w:br w:type="page"/>
      </w:r>
    </w:p>
    <w:p w14:paraId="03C3C210" w14:textId="5FE866ED" w:rsidR="00736DD8" w:rsidRDefault="00736DD8" w:rsidP="00736DD8">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004F0C05">
        <w:rPr>
          <w:snapToGrid w:val="0"/>
        </w:rPr>
        <w:t>ovement (Budget 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640" w:type="dxa"/>
        <w:jc w:val="center"/>
        <w:tblLayout w:type="fixed"/>
        <w:tblLook w:val="04A0" w:firstRow="1" w:lastRow="0" w:firstColumn="1" w:lastColumn="0" w:noHBand="0" w:noVBand="1"/>
      </w:tblPr>
      <w:tblGrid>
        <w:gridCol w:w="3000"/>
        <w:gridCol w:w="1120"/>
        <w:gridCol w:w="1200"/>
        <w:gridCol w:w="1200"/>
        <w:gridCol w:w="1120"/>
      </w:tblGrid>
      <w:tr w:rsidR="003439B6" w:rsidRPr="003439B6" w14:paraId="689C7862" w14:textId="77777777" w:rsidTr="007B4A1F">
        <w:trPr>
          <w:trHeight w:val="765"/>
          <w:jc w:val="center"/>
        </w:trPr>
        <w:tc>
          <w:tcPr>
            <w:tcW w:w="3000" w:type="dxa"/>
            <w:tcBorders>
              <w:top w:val="single" w:sz="4" w:space="0" w:color="auto"/>
              <w:left w:val="nil"/>
              <w:bottom w:val="nil"/>
              <w:right w:val="nil"/>
            </w:tcBorders>
            <w:shd w:val="clear" w:color="auto" w:fill="auto"/>
            <w:hideMark/>
          </w:tcPr>
          <w:p w14:paraId="198129D7" w14:textId="77777777" w:rsidR="003439B6" w:rsidRPr="003439B6" w:rsidRDefault="003439B6" w:rsidP="003439B6">
            <w:pPr>
              <w:spacing w:before="24" w:after="0" w:line="240" w:lineRule="auto"/>
              <w:jc w:val="right"/>
              <w:rPr>
                <w:rFonts w:ascii="Arial" w:hAnsi="Arial" w:cs="Arial"/>
                <w:color w:val="000000"/>
                <w:sz w:val="16"/>
                <w:szCs w:val="16"/>
              </w:rPr>
            </w:pPr>
            <w:r w:rsidRPr="003439B6">
              <w:rPr>
                <w:rFonts w:ascii="Arial" w:hAnsi="Arial" w:cs="Arial"/>
                <w:color w:val="000000"/>
                <w:sz w:val="16"/>
                <w:szCs w:val="16"/>
              </w:rPr>
              <w:t> </w:t>
            </w:r>
          </w:p>
        </w:tc>
        <w:tc>
          <w:tcPr>
            <w:tcW w:w="1120" w:type="dxa"/>
            <w:tcBorders>
              <w:top w:val="single" w:sz="4" w:space="0" w:color="auto"/>
              <w:left w:val="nil"/>
              <w:bottom w:val="nil"/>
              <w:right w:val="nil"/>
            </w:tcBorders>
            <w:shd w:val="clear" w:color="auto" w:fill="auto"/>
            <w:hideMark/>
          </w:tcPr>
          <w:p w14:paraId="0B2EEA96" w14:textId="77777777" w:rsidR="003439B6" w:rsidRPr="003439B6" w:rsidRDefault="003439B6" w:rsidP="003439B6">
            <w:pPr>
              <w:spacing w:before="24" w:after="0" w:line="240" w:lineRule="auto"/>
              <w:jc w:val="right"/>
              <w:rPr>
                <w:rFonts w:ascii="Arial" w:hAnsi="Arial" w:cs="Arial"/>
                <w:b/>
                <w:bCs/>
                <w:color w:val="000000"/>
                <w:sz w:val="16"/>
                <w:szCs w:val="16"/>
              </w:rPr>
            </w:pPr>
            <w:r w:rsidRPr="003439B6">
              <w:rPr>
                <w:rFonts w:ascii="Arial" w:hAnsi="Arial" w:cs="Arial"/>
                <w:b/>
                <w:bCs/>
                <w:color w:val="000000"/>
                <w:sz w:val="16"/>
                <w:szCs w:val="16"/>
              </w:rPr>
              <w:t xml:space="preserve">Retained earnings </w:t>
            </w:r>
            <w:r w:rsidRPr="003439B6">
              <w:rPr>
                <w:rFonts w:ascii="Arial" w:hAnsi="Arial" w:cs="Arial"/>
                <w:b/>
                <w:bCs/>
                <w:color w:val="000000"/>
                <w:sz w:val="16"/>
                <w:szCs w:val="16"/>
              </w:rPr>
              <w:br/>
            </w:r>
            <w:r w:rsidRPr="003439B6">
              <w:rPr>
                <w:rFonts w:ascii="Arial" w:hAnsi="Arial" w:cs="Arial"/>
                <w:b/>
                <w:bCs/>
                <w:color w:val="000000"/>
                <w:sz w:val="16"/>
                <w:szCs w:val="16"/>
              </w:rPr>
              <w:br/>
            </w:r>
            <w:r w:rsidRPr="003439B6">
              <w:rPr>
                <w:rFonts w:ascii="Arial" w:hAnsi="Arial" w:cs="Arial"/>
                <w:color w:val="000000"/>
                <w:sz w:val="16"/>
                <w:szCs w:val="16"/>
              </w:rPr>
              <w:t>$'000</w:t>
            </w:r>
          </w:p>
        </w:tc>
        <w:tc>
          <w:tcPr>
            <w:tcW w:w="1200" w:type="dxa"/>
            <w:tcBorders>
              <w:top w:val="single" w:sz="4" w:space="0" w:color="auto"/>
              <w:left w:val="nil"/>
              <w:bottom w:val="nil"/>
              <w:right w:val="nil"/>
            </w:tcBorders>
            <w:shd w:val="clear" w:color="auto" w:fill="auto"/>
            <w:hideMark/>
          </w:tcPr>
          <w:p w14:paraId="21EA28ED" w14:textId="77777777" w:rsidR="003439B6" w:rsidRPr="003439B6" w:rsidRDefault="003439B6" w:rsidP="003439B6">
            <w:pPr>
              <w:spacing w:before="24" w:after="0" w:line="240" w:lineRule="auto"/>
              <w:jc w:val="right"/>
              <w:rPr>
                <w:rFonts w:ascii="Arial" w:hAnsi="Arial" w:cs="Arial"/>
                <w:b/>
                <w:bCs/>
                <w:color w:val="000000"/>
                <w:sz w:val="16"/>
                <w:szCs w:val="16"/>
              </w:rPr>
            </w:pPr>
            <w:r w:rsidRPr="003439B6">
              <w:rPr>
                <w:rFonts w:ascii="Arial" w:hAnsi="Arial" w:cs="Arial"/>
                <w:b/>
                <w:bCs/>
                <w:color w:val="000000"/>
                <w:sz w:val="16"/>
                <w:szCs w:val="16"/>
              </w:rPr>
              <w:t>Asset revaluation reserve</w:t>
            </w:r>
            <w:r w:rsidRPr="003439B6">
              <w:rPr>
                <w:rFonts w:ascii="Arial" w:hAnsi="Arial" w:cs="Arial"/>
                <w:b/>
                <w:bCs/>
                <w:color w:val="000000"/>
                <w:sz w:val="16"/>
                <w:szCs w:val="16"/>
              </w:rPr>
              <w:br/>
            </w:r>
            <w:r w:rsidRPr="003439B6">
              <w:rPr>
                <w:rFonts w:ascii="Arial" w:hAnsi="Arial" w:cs="Arial"/>
                <w:color w:val="000000"/>
                <w:sz w:val="16"/>
                <w:szCs w:val="16"/>
              </w:rPr>
              <w:t>$'000</w:t>
            </w:r>
          </w:p>
        </w:tc>
        <w:tc>
          <w:tcPr>
            <w:tcW w:w="1200" w:type="dxa"/>
            <w:tcBorders>
              <w:top w:val="single" w:sz="4" w:space="0" w:color="auto"/>
              <w:left w:val="nil"/>
              <w:bottom w:val="nil"/>
              <w:right w:val="nil"/>
            </w:tcBorders>
            <w:shd w:val="clear" w:color="auto" w:fill="auto"/>
            <w:hideMark/>
          </w:tcPr>
          <w:p w14:paraId="2F30DAEC" w14:textId="77777777" w:rsidR="003439B6" w:rsidRPr="003439B6" w:rsidRDefault="003439B6" w:rsidP="003439B6">
            <w:pPr>
              <w:spacing w:before="24" w:after="0" w:line="240" w:lineRule="auto"/>
              <w:jc w:val="right"/>
              <w:rPr>
                <w:rFonts w:ascii="Arial" w:hAnsi="Arial" w:cs="Arial"/>
                <w:b/>
                <w:bCs/>
                <w:color w:val="000000"/>
                <w:sz w:val="16"/>
                <w:szCs w:val="16"/>
              </w:rPr>
            </w:pPr>
            <w:r w:rsidRPr="003439B6">
              <w:rPr>
                <w:rFonts w:ascii="Arial" w:hAnsi="Arial" w:cs="Arial"/>
                <w:b/>
                <w:bCs/>
                <w:color w:val="000000"/>
                <w:sz w:val="16"/>
                <w:szCs w:val="16"/>
              </w:rPr>
              <w:t>Contributed equity/</w:t>
            </w:r>
            <w:r w:rsidRPr="003439B6">
              <w:rPr>
                <w:rFonts w:ascii="Arial" w:hAnsi="Arial" w:cs="Arial"/>
                <w:b/>
                <w:bCs/>
                <w:color w:val="000000"/>
                <w:sz w:val="16"/>
                <w:szCs w:val="16"/>
              </w:rPr>
              <w:br/>
              <w:t>capital</w:t>
            </w:r>
            <w:r w:rsidRPr="003439B6">
              <w:rPr>
                <w:rFonts w:ascii="Arial" w:hAnsi="Arial" w:cs="Arial"/>
                <w:b/>
                <w:bCs/>
                <w:color w:val="000000"/>
                <w:sz w:val="16"/>
                <w:szCs w:val="16"/>
              </w:rPr>
              <w:br/>
            </w:r>
            <w:r w:rsidRPr="003439B6">
              <w:rPr>
                <w:rFonts w:ascii="Arial" w:hAnsi="Arial" w:cs="Arial"/>
                <w:color w:val="000000"/>
                <w:sz w:val="16"/>
                <w:szCs w:val="16"/>
              </w:rPr>
              <w:t>$'000</w:t>
            </w:r>
          </w:p>
        </w:tc>
        <w:tc>
          <w:tcPr>
            <w:tcW w:w="1120" w:type="dxa"/>
            <w:tcBorders>
              <w:top w:val="single" w:sz="4" w:space="0" w:color="auto"/>
              <w:left w:val="nil"/>
              <w:bottom w:val="nil"/>
              <w:right w:val="nil"/>
            </w:tcBorders>
            <w:shd w:val="clear" w:color="auto" w:fill="auto"/>
            <w:hideMark/>
          </w:tcPr>
          <w:p w14:paraId="004B6CE0" w14:textId="77777777" w:rsidR="003439B6" w:rsidRPr="003439B6" w:rsidRDefault="003439B6" w:rsidP="003439B6">
            <w:pPr>
              <w:spacing w:before="24" w:after="0" w:line="240" w:lineRule="auto"/>
              <w:jc w:val="right"/>
              <w:rPr>
                <w:rFonts w:ascii="Arial" w:hAnsi="Arial" w:cs="Arial"/>
                <w:b/>
                <w:bCs/>
                <w:color w:val="000000"/>
                <w:sz w:val="16"/>
                <w:szCs w:val="16"/>
              </w:rPr>
            </w:pPr>
            <w:r w:rsidRPr="003439B6">
              <w:rPr>
                <w:rFonts w:ascii="Arial" w:hAnsi="Arial" w:cs="Arial"/>
                <w:b/>
                <w:bCs/>
                <w:color w:val="000000"/>
                <w:sz w:val="16"/>
                <w:szCs w:val="16"/>
              </w:rPr>
              <w:t xml:space="preserve">Total </w:t>
            </w:r>
            <w:r w:rsidRPr="003439B6">
              <w:rPr>
                <w:rFonts w:ascii="Arial" w:hAnsi="Arial" w:cs="Arial"/>
                <w:b/>
                <w:bCs/>
                <w:color w:val="000000"/>
                <w:sz w:val="16"/>
                <w:szCs w:val="16"/>
              </w:rPr>
              <w:br/>
              <w:t xml:space="preserve">equity </w:t>
            </w:r>
            <w:r w:rsidRPr="003439B6">
              <w:rPr>
                <w:rFonts w:ascii="Arial" w:hAnsi="Arial" w:cs="Arial"/>
                <w:b/>
                <w:bCs/>
                <w:color w:val="000000"/>
                <w:sz w:val="16"/>
                <w:szCs w:val="16"/>
              </w:rPr>
              <w:br/>
            </w:r>
            <w:r w:rsidRPr="003439B6">
              <w:rPr>
                <w:rFonts w:ascii="Arial" w:hAnsi="Arial" w:cs="Arial"/>
                <w:b/>
                <w:bCs/>
                <w:color w:val="000000"/>
                <w:sz w:val="16"/>
                <w:szCs w:val="16"/>
              </w:rPr>
              <w:br/>
            </w:r>
            <w:r w:rsidRPr="003439B6">
              <w:rPr>
                <w:rFonts w:ascii="Arial" w:hAnsi="Arial" w:cs="Arial"/>
                <w:color w:val="000000"/>
                <w:sz w:val="16"/>
                <w:szCs w:val="16"/>
              </w:rPr>
              <w:t>$'000</w:t>
            </w:r>
          </w:p>
        </w:tc>
      </w:tr>
      <w:tr w:rsidR="003439B6" w:rsidRPr="003439B6" w14:paraId="598772ED" w14:textId="77777777" w:rsidTr="007B4A1F">
        <w:trPr>
          <w:trHeight w:val="283"/>
          <w:jc w:val="center"/>
        </w:trPr>
        <w:tc>
          <w:tcPr>
            <w:tcW w:w="3000" w:type="dxa"/>
            <w:tcBorders>
              <w:top w:val="nil"/>
              <w:left w:val="nil"/>
              <w:bottom w:val="nil"/>
              <w:right w:val="nil"/>
            </w:tcBorders>
            <w:shd w:val="clear" w:color="auto" w:fill="auto"/>
            <w:noWrap/>
            <w:vAlign w:val="bottom"/>
            <w:hideMark/>
          </w:tcPr>
          <w:p w14:paraId="55C32B7B" w14:textId="77777777" w:rsidR="003439B6" w:rsidRPr="003439B6" w:rsidRDefault="003439B6" w:rsidP="003439B6">
            <w:pPr>
              <w:spacing w:before="0" w:after="0" w:line="240" w:lineRule="auto"/>
              <w:rPr>
                <w:rFonts w:ascii="Arial" w:hAnsi="Arial" w:cs="Arial"/>
                <w:b/>
                <w:bCs/>
                <w:color w:val="000000"/>
                <w:sz w:val="16"/>
                <w:szCs w:val="16"/>
              </w:rPr>
            </w:pPr>
            <w:r w:rsidRPr="003439B6">
              <w:rPr>
                <w:rFonts w:ascii="Arial" w:hAnsi="Arial" w:cs="Arial"/>
                <w:b/>
                <w:bCs/>
                <w:color w:val="000000"/>
                <w:sz w:val="16"/>
                <w:szCs w:val="16"/>
              </w:rPr>
              <w:t xml:space="preserve">Opening balance as </w:t>
            </w:r>
            <w:proofErr w:type="gramStart"/>
            <w:r w:rsidRPr="003439B6">
              <w:rPr>
                <w:rFonts w:ascii="Arial" w:hAnsi="Arial" w:cs="Arial"/>
                <w:b/>
                <w:bCs/>
                <w:color w:val="000000"/>
                <w:sz w:val="16"/>
                <w:szCs w:val="16"/>
              </w:rPr>
              <w:t>at</w:t>
            </w:r>
            <w:proofErr w:type="gramEnd"/>
            <w:r w:rsidRPr="003439B6">
              <w:rPr>
                <w:rFonts w:ascii="Arial" w:hAnsi="Arial" w:cs="Arial"/>
                <w:b/>
                <w:bCs/>
                <w:color w:val="000000"/>
                <w:sz w:val="16"/>
                <w:szCs w:val="16"/>
              </w:rPr>
              <w:t xml:space="preserve"> 1 July 2023</w:t>
            </w:r>
          </w:p>
        </w:tc>
        <w:tc>
          <w:tcPr>
            <w:tcW w:w="1120" w:type="dxa"/>
            <w:tcBorders>
              <w:top w:val="single" w:sz="4" w:space="0" w:color="auto"/>
              <w:left w:val="nil"/>
              <w:bottom w:val="nil"/>
              <w:right w:val="nil"/>
            </w:tcBorders>
            <w:shd w:val="clear" w:color="auto" w:fill="auto"/>
            <w:noWrap/>
            <w:vAlign w:val="bottom"/>
            <w:hideMark/>
          </w:tcPr>
          <w:p w14:paraId="3B67FAC8" w14:textId="77777777" w:rsidR="003439B6" w:rsidRPr="003439B6" w:rsidRDefault="003439B6" w:rsidP="003439B6">
            <w:pPr>
              <w:spacing w:before="0" w:after="0" w:line="240" w:lineRule="auto"/>
              <w:jc w:val="right"/>
              <w:rPr>
                <w:rFonts w:ascii="Arial" w:hAnsi="Arial" w:cs="Arial"/>
                <w:color w:val="000000"/>
                <w:sz w:val="16"/>
                <w:szCs w:val="16"/>
              </w:rPr>
            </w:pPr>
            <w:r w:rsidRPr="003439B6">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1F0C901E" w14:textId="77777777" w:rsidR="003439B6" w:rsidRPr="003439B6" w:rsidRDefault="003439B6" w:rsidP="003439B6">
            <w:pPr>
              <w:spacing w:before="0" w:after="0" w:line="240" w:lineRule="auto"/>
              <w:jc w:val="right"/>
              <w:rPr>
                <w:rFonts w:ascii="Arial" w:hAnsi="Arial" w:cs="Arial"/>
                <w:color w:val="000000"/>
                <w:sz w:val="16"/>
                <w:szCs w:val="16"/>
              </w:rPr>
            </w:pPr>
            <w:r w:rsidRPr="003439B6">
              <w:rPr>
                <w:rFonts w:ascii="Arial" w:hAnsi="Arial"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14:paraId="400190FC" w14:textId="77777777" w:rsidR="003439B6" w:rsidRPr="003439B6" w:rsidRDefault="003439B6" w:rsidP="003439B6">
            <w:pPr>
              <w:spacing w:before="0" w:after="0" w:line="240" w:lineRule="auto"/>
              <w:jc w:val="right"/>
              <w:rPr>
                <w:rFonts w:ascii="Arial" w:hAnsi="Arial" w:cs="Arial"/>
                <w:color w:val="000000"/>
                <w:sz w:val="16"/>
                <w:szCs w:val="16"/>
              </w:rPr>
            </w:pPr>
            <w:r w:rsidRPr="003439B6">
              <w:rPr>
                <w:rFonts w:ascii="Arial" w:hAnsi="Arial" w:cs="Arial"/>
                <w:color w:val="000000"/>
                <w:sz w:val="16"/>
                <w:szCs w:val="16"/>
              </w:rPr>
              <w:t> </w:t>
            </w:r>
          </w:p>
        </w:tc>
        <w:tc>
          <w:tcPr>
            <w:tcW w:w="1120" w:type="dxa"/>
            <w:tcBorders>
              <w:top w:val="single" w:sz="4" w:space="0" w:color="auto"/>
              <w:left w:val="nil"/>
              <w:bottom w:val="nil"/>
              <w:right w:val="nil"/>
            </w:tcBorders>
            <w:shd w:val="clear" w:color="auto" w:fill="auto"/>
            <w:noWrap/>
            <w:vAlign w:val="bottom"/>
            <w:hideMark/>
          </w:tcPr>
          <w:p w14:paraId="1723F555" w14:textId="77777777" w:rsidR="003439B6" w:rsidRPr="003439B6" w:rsidRDefault="003439B6" w:rsidP="003439B6">
            <w:pPr>
              <w:spacing w:before="0" w:after="0" w:line="240" w:lineRule="auto"/>
              <w:jc w:val="right"/>
              <w:rPr>
                <w:rFonts w:ascii="Arial" w:hAnsi="Arial" w:cs="Arial"/>
                <w:color w:val="000000"/>
                <w:sz w:val="16"/>
                <w:szCs w:val="16"/>
              </w:rPr>
            </w:pPr>
            <w:r w:rsidRPr="003439B6">
              <w:rPr>
                <w:rFonts w:ascii="Arial" w:hAnsi="Arial" w:cs="Arial"/>
                <w:color w:val="000000"/>
                <w:sz w:val="16"/>
                <w:szCs w:val="16"/>
              </w:rPr>
              <w:t> </w:t>
            </w:r>
          </w:p>
        </w:tc>
      </w:tr>
      <w:tr w:rsidR="003439B6" w:rsidRPr="003439B6" w14:paraId="7721CD5F" w14:textId="77777777" w:rsidTr="007B4A1F">
        <w:trPr>
          <w:trHeight w:val="454"/>
          <w:jc w:val="center"/>
        </w:trPr>
        <w:tc>
          <w:tcPr>
            <w:tcW w:w="3000" w:type="dxa"/>
            <w:tcBorders>
              <w:top w:val="nil"/>
              <w:left w:val="nil"/>
              <w:bottom w:val="nil"/>
              <w:right w:val="nil"/>
            </w:tcBorders>
            <w:shd w:val="clear" w:color="auto" w:fill="auto"/>
            <w:vAlign w:val="bottom"/>
            <w:hideMark/>
          </w:tcPr>
          <w:p w14:paraId="3C50DF04" w14:textId="77777777" w:rsidR="003439B6" w:rsidRPr="003439B6" w:rsidRDefault="003439B6" w:rsidP="007B4A1F">
            <w:pPr>
              <w:spacing w:before="0" w:after="0" w:line="240" w:lineRule="auto"/>
              <w:ind w:leftChars="75" w:left="143"/>
              <w:rPr>
                <w:rFonts w:ascii="Arial" w:hAnsi="Arial" w:cs="Arial"/>
                <w:color w:val="000000"/>
                <w:sz w:val="16"/>
                <w:szCs w:val="16"/>
              </w:rPr>
            </w:pPr>
            <w:r w:rsidRPr="003439B6">
              <w:rPr>
                <w:rFonts w:ascii="Arial" w:hAnsi="Arial"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14:paraId="05886C08"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(381,433)</w:t>
            </w:r>
          </w:p>
        </w:tc>
        <w:tc>
          <w:tcPr>
            <w:tcW w:w="1200" w:type="dxa"/>
            <w:tcBorders>
              <w:top w:val="nil"/>
              <w:left w:val="nil"/>
              <w:bottom w:val="nil"/>
              <w:right w:val="nil"/>
            </w:tcBorders>
            <w:shd w:val="clear" w:color="auto" w:fill="auto"/>
            <w:noWrap/>
            <w:vAlign w:val="bottom"/>
            <w:hideMark/>
          </w:tcPr>
          <w:p w14:paraId="5DA51EA2"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32,042</w:t>
            </w:r>
          </w:p>
        </w:tc>
        <w:tc>
          <w:tcPr>
            <w:tcW w:w="1200" w:type="dxa"/>
            <w:tcBorders>
              <w:top w:val="nil"/>
              <w:left w:val="nil"/>
              <w:bottom w:val="nil"/>
              <w:right w:val="nil"/>
            </w:tcBorders>
            <w:shd w:val="clear" w:color="auto" w:fill="auto"/>
            <w:noWrap/>
            <w:vAlign w:val="bottom"/>
            <w:hideMark/>
          </w:tcPr>
          <w:p w14:paraId="229521BE"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734,925</w:t>
            </w:r>
          </w:p>
        </w:tc>
        <w:tc>
          <w:tcPr>
            <w:tcW w:w="1120" w:type="dxa"/>
            <w:tcBorders>
              <w:top w:val="nil"/>
              <w:left w:val="nil"/>
              <w:bottom w:val="nil"/>
              <w:right w:val="nil"/>
            </w:tcBorders>
            <w:shd w:val="clear" w:color="auto" w:fill="auto"/>
            <w:noWrap/>
            <w:vAlign w:val="bottom"/>
            <w:hideMark/>
          </w:tcPr>
          <w:p w14:paraId="4E3C3749" w14:textId="77777777" w:rsidR="003439B6" w:rsidRPr="003439B6" w:rsidRDefault="003439B6" w:rsidP="003439B6">
            <w:pPr>
              <w:spacing w:before="0" w:after="0" w:line="240" w:lineRule="auto"/>
              <w:jc w:val="right"/>
              <w:rPr>
                <w:rFonts w:ascii="Arial" w:hAnsi="Arial" w:cs="Arial"/>
                <w:b/>
                <w:bCs/>
                <w:sz w:val="16"/>
                <w:szCs w:val="16"/>
              </w:rPr>
            </w:pPr>
            <w:r w:rsidRPr="003439B6">
              <w:rPr>
                <w:rFonts w:ascii="Arial" w:hAnsi="Arial" w:cs="Arial"/>
                <w:b/>
                <w:bCs/>
                <w:sz w:val="16"/>
                <w:szCs w:val="16"/>
              </w:rPr>
              <w:t>385,534</w:t>
            </w:r>
          </w:p>
        </w:tc>
      </w:tr>
      <w:tr w:rsidR="003439B6" w:rsidRPr="003439B6" w14:paraId="0F933621" w14:textId="77777777" w:rsidTr="007B4A1F">
        <w:trPr>
          <w:trHeight w:val="283"/>
          <w:jc w:val="center"/>
        </w:trPr>
        <w:tc>
          <w:tcPr>
            <w:tcW w:w="3000" w:type="dxa"/>
            <w:tcBorders>
              <w:top w:val="nil"/>
              <w:left w:val="nil"/>
              <w:bottom w:val="nil"/>
              <w:right w:val="nil"/>
            </w:tcBorders>
            <w:shd w:val="clear" w:color="auto" w:fill="auto"/>
            <w:noWrap/>
            <w:vAlign w:val="bottom"/>
            <w:hideMark/>
          </w:tcPr>
          <w:p w14:paraId="66D0BE41" w14:textId="77777777" w:rsidR="003439B6" w:rsidRPr="003439B6" w:rsidRDefault="003439B6" w:rsidP="007B4A1F">
            <w:pPr>
              <w:spacing w:before="0" w:after="0" w:line="240" w:lineRule="auto"/>
              <w:ind w:leftChars="75" w:left="143"/>
              <w:rPr>
                <w:rFonts w:ascii="Arial" w:hAnsi="Arial" w:cs="Arial"/>
                <w:sz w:val="16"/>
                <w:szCs w:val="16"/>
              </w:rPr>
            </w:pPr>
            <w:r w:rsidRPr="003439B6">
              <w:rPr>
                <w:rFonts w:ascii="Arial" w:hAnsi="Arial" w:cs="Arial"/>
                <w:sz w:val="16"/>
                <w:szCs w:val="16"/>
              </w:rPr>
              <w:t>Surplus (deficit) for the period</w:t>
            </w:r>
          </w:p>
        </w:tc>
        <w:tc>
          <w:tcPr>
            <w:tcW w:w="1120" w:type="dxa"/>
            <w:tcBorders>
              <w:top w:val="nil"/>
              <w:left w:val="nil"/>
              <w:bottom w:val="nil"/>
              <w:right w:val="nil"/>
            </w:tcBorders>
            <w:shd w:val="clear" w:color="auto" w:fill="auto"/>
            <w:noWrap/>
            <w:vAlign w:val="bottom"/>
            <w:hideMark/>
          </w:tcPr>
          <w:p w14:paraId="711FB07B"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(42,248)</w:t>
            </w:r>
          </w:p>
        </w:tc>
        <w:tc>
          <w:tcPr>
            <w:tcW w:w="1200" w:type="dxa"/>
            <w:tcBorders>
              <w:top w:val="nil"/>
              <w:left w:val="nil"/>
              <w:bottom w:val="nil"/>
              <w:right w:val="nil"/>
            </w:tcBorders>
            <w:shd w:val="clear" w:color="auto" w:fill="auto"/>
            <w:noWrap/>
            <w:vAlign w:val="bottom"/>
            <w:hideMark/>
          </w:tcPr>
          <w:p w14:paraId="67C25BF6"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64EE12F"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120" w:type="dxa"/>
            <w:tcBorders>
              <w:top w:val="nil"/>
              <w:left w:val="nil"/>
              <w:bottom w:val="nil"/>
              <w:right w:val="nil"/>
            </w:tcBorders>
            <w:shd w:val="clear" w:color="auto" w:fill="auto"/>
            <w:noWrap/>
            <w:vAlign w:val="bottom"/>
            <w:hideMark/>
          </w:tcPr>
          <w:p w14:paraId="3B21825E" w14:textId="77777777" w:rsidR="003439B6" w:rsidRPr="003439B6" w:rsidRDefault="003439B6" w:rsidP="003439B6">
            <w:pPr>
              <w:spacing w:before="0" w:after="0" w:line="240" w:lineRule="auto"/>
              <w:jc w:val="right"/>
              <w:rPr>
                <w:rFonts w:ascii="Arial" w:hAnsi="Arial" w:cs="Arial"/>
                <w:b/>
                <w:bCs/>
                <w:sz w:val="16"/>
                <w:szCs w:val="16"/>
              </w:rPr>
            </w:pPr>
            <w:r w:rsidRPr="003439B6">
              <w:rPr>
                <w:rFonts w:ascii="Arial" w:hAnsi="Arial" w:cs="Arial"/>
                <w:b/>
                <w:bCs/>
                <w:sz w:val="16"/>
                <w:szCs w:val="16"/>
              </w:rPr>
              <w:t>(42,248)</w:t>
            </w:r>
          </w:p>
        </w:tc>
      </w:tr>
      <w:tr w:rsidR="003439B6" w:rsidRPr="003439B6" w14:paraId="12E24AFA" w14:textId="77777777" w:rsidTr="007B4A1F">
        <w:trPr>
          <w:trHeight w:val="283"/>
          <w:jc w:val="center"/>
        </w:trPr>
        <w:tc>
          <w:tcPr>
            <w:tcW w:w="3000" w:type="dxa"/>
            <w:tcBorders>
              <w:top w:val="nil"/>
              <w:left w:val="nil"/>
              <w:bottom w:val="nil"/>
              <w:right w:val="nil"/>
            </w:tcBorders>
            <w:shd w:val="clear" w:color="auto" w:fill="auto"/>
            <w:noWrap/>
            <w:vAlign w:val="bottom"/>
            <w:hideMark/>
          </w:tcPr>
          <w:p w14:paraId="1D904BA2" w14:textId="77777777" w:rsidR="003439B6" w:rsidRPr="003439B6" w:rsidRDefault="003439B6" w:rsidP="007B4A1F">
            <w:pPr>
              <w:spacing w:before="0" w:after="0" w:line="240" w:lineRule="auto"/>
              <w:ind w:leftChars="75" w:left="143"/>
              <w:rPr>
                <w:rFonts w:ascii="Arial" w:hAnsi="Arial" w:cs="Arial"/>
                <w:sz w:val="16"/>
                <w:szCs w:val="16"/>
              </w:rPr>
            </w:pPr>
            <w:r w:rsidRPr="003439B6">
              <w:rPr>
                <w:rFonts w:ascii="Arial" w:hAnsi="Arial" w:cs="Arial"/>
                <w:sz w:val="16"/>
                <w:szCs w:val="16"/>
              </w:rPr>
              <w:t>Acquisition of asset</w:t>
            </w:r>
          </w:p>
        </w:tc>
        <w:tc>
          <w:tcPr>
            <w:tcW w:w="1120" w:type="dxa"/>
            <w:tcBorders>
              <w:top w:val="nil"/>
              <w:left w:val="nil"/>
              <w:bottom w:val="nil"/>
              <w:right w:val="nil"/>
            </w:tcBorders>
            <w:shd w:val="clear" w:color="auto" w:fill="auto"/>
            <w:noWrap/>
            <w:vAlign w:val="bottom"/>
            <w:hideMark/>
          </w:tcPr>
          <w:p w14:paraId="43B24FCE"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AAC7664"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546AB07"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120" w:type="dxa"/>
            <w:tcBorders>
              <w:top w:val="nil"/>
              <w:left w:val="nil"/>
              <w:bottom w:val="nil"/>
              <w:right w:val="nil"/>
            </w:tcBorders>
            <w:shd w:val="clear" w:color="auto" w:fill="auto"/>
            <w:noWrap/>
            <w:vAlign w:val="bottom"/>
            <w:hideMark/>
          </w:tcPr>
          <w:p w14:paraId="731BF711" w14:textId="77777777" w:rsidR="003439B6" w:rsidRPr="003439B6" w:rsidRDefault="003439B6" w:rsidP="003439B6">
            <w:pPr>
              <w:spacing w:before="0" w:after="0" w:line="240" w:lineRule="auto"/>
              <w:jc w:val="right"/>
              <w:rPr>
                <w:rFonts w:ascii="Arial" w:hAnsi="Arial" w:cs="Arial"/>
                <w:b/>
                <w:bCs/>
                <w:sz w:val="16"/>
                <w:szCs w:val="16"/>
              </w:rPr>
            </w:pPr>
            <w:r w:rsidRPr="003439B6">
              <w:rPr>
                <w:rFonts w:ascii="Arial" w:hAnsi="Arial" w:cs="Arial"/>
                <w:b/>
                <w:bCs/>
                <w:sz w:val="16"/>
                <w:szCs w:val="16"/>
              </w:rPr>
              <w:t>-</w:t>
            </w:r>
          </w:p>
        </w:tc>
      </w:tr>
      <w:tr w:rsidR="003439B6" w:rsidRPr="003439B6" w14:paraId="1B9A1B0B" w14:textId="77777777" w:rsidTr="007B4A1F">
        <w:trPr>
          <w:trHeight w:val="283"/>
          <w:jc w:val="center"/>
        </w:trPr>
        <w:tc>
          <w:tcPr>
            <w:tcW w:w="3000" w:type="dxa"/>
            <w:tcBorders>
              <w:top w:val="nil"/>
              <w:left w:val="nil"/>
              <w:bottom w:val="nil"/>
              <w:right w:val="nil"/>
            </w:tcBorders>
            <w:shd w:val="clear" w:color="auto" w:fill="auto"/>
            <w:noWrap/>
            <w:vAlign w:val="bottom"/>
            <w:hideMark/>
          </w:tcPr>
          <w:p w14:paraId="0E631FC8" w14:textId="77777777" w:rsidR="003439B6" w:rsidRPr="003439B6" w:rsidRDefault="003439B6" w:rsidP="007B4A1F">
            <w:pPr>
              <w:spacing w:before="0" w:after="0" w:line="240" w:lineRule="auto"/>
              <w:ind w:leftChars="75" w:left="143"/>
              <w:rPr>
                <w:rFonts w:ascii="Arial" w:hAnsi="Arial" w:cs="Arial"/>
                <w:sz w:val="16"/>
                <w:szCs w:val="16"/>
              </w:rPr>
            </w:pPr>
            <w:r w:rsidRPr="003439B6">
              <w:rPr>
                <w:rFonts w:ascii="Arial" w:hAnsi="Arial" w:cs="Arial"/>
                <w:sz w:val="16"/>
                <w:szCs w:val="16"/>
              </w:rPr>
              <w:t>Equity injection - appropriations</w:t>
            </w:r>
          </w:p>
        </w:tc>
        <w:tc>
          <w:tcPr>
            <w:tcW w:w="1120" w:type="dxa"/>
            <w:tcBorders>
              <w:top w:val="nil"/>
              <w:left w:val="nil"/>
              <w:bottom w:val="nil"/>
              <w:right w:val="nil"/>
            </w:tcBorders>
            <w:shd w:val="clear" w:color="auto" w:fill="auto"/>
            <w:noWrap/>
            <w:vAlign w:val="bottom"/>
            <w:hideMark/>
          </w:tcPr>
          <w:p w14:paraId="0BC6EFA9"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9E4DC1E"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BDD4DCF"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221,949</w:t>
            </w:r>
          </w:p>
        </w:tc>
        <w:tc>
          <w:tcPr>
            <w:tcW w:w="1120" w:type="dxa"/>
            <w:tcBorders>
              <w:top w:val="nil"/>
              <w:left w:val="nil"/>
              <w:bottom w:val="nil"/>
              <w:right w:val="nil"/>
            </w:tcBorders>
            <w:shd w:val="clear" w:color="auto" w:fill="auto"/>
            <w:noWrap/>
            <w:vAlign w:val="bottom"/>
            <w:hideMark/>
          </w:tcPr>
          <w:p w14:paraId="43FEA8AF" w14:textId="77777777" w:rsidR="003439B6" w:rsidRPr="003439B6" w:rsidRDefault="003439B6" w:rsidP="003439B6">
            <w:pPr>
              <w:spacing w:before="0" w:after="0" w:line="240" w:lineRule="auto"/>
              <w:jc w:val="right"/>
              <w:rPr>
                <w:rFonts w:ascii="Arial" w:hAnsi="Arial" w:cs="Arial"/>
                <w:b/>
                <w:bCs/>
                <w:sz w:val="16"/>
                <w:szCs w:val="16"/>
              </w:rPr>
            </w:pPr>
            <w:r w:rsidRPr="003439B6">
              <w:rPr>
                <w:rFonts w:ascii="Arial" w:hAnsi="Arial" w:cs="Arial"/>
                <w:b/>
                <w:bCs/>
                <w:sz w:val="16"/>
                <w:szCs w:val="16"/>
              </w:rPr>
              <w:t>221,949</w:t>
            </w:r>
          </w:p>
        </w:tc>
      </w:tr>
      <w:tr w:rsidR="003439B6" w:rsidRPr="003439B6" w14:paraId="21411143" w14:textId="77777777" w:rsidTr="007B4A1F">
        <w:trPr>
          <w:trHeight w:val="283"/>
          <w:jc w:val="center"/>
        </w:trPr>
        <w:tc>
          <w:tcPr>
            <w:tcW w:w="3000" w:type="dxa"/>
            <w:tcBorders>
              <w:top w:val="nil"/>
              <w:left w:val="nil"/>
              <w:bottom w:val="nil"/>
              <w:right w:val="nil"/>
            </w:tcBorders>
            <w:shd w:val="clear" w:color="000000" w:fill="FFFFFF"/>
            <w:noWrap/>
            <w:vAlign w:val="bottom"/>
            <w:hideMark/>
          </w:tcPr>
          <w:p w14:paraId="020C23D5" w14:textId="77777777" w:rsidR="003439B6" w:rsidRPr="003439B6" w:rsidRDefault="003439B6" w:rsidP="007B4A1F">
            <w:pPr>
              <w:spacing w:before="0" w:after="0" w:line="240" w:lineRule="auto"/>
              <w:ind w:leftChars="75" w:left="143"/>
              <w:rPr>
                <w:rFonts w:ascii="Arial" w:hAnsi="Arial" w:cs="Arial"/>
                <w:sz w:val="16"/>
                <w:szCs w:val="16"/>
              </w:rPr>
            </w:pPr>
            <w:r w:rsidRPr="003439B6">
              <w:rPr>
                <w:rFonts w:ascii="Arial" w:hAnsi="Arial" w:cs="Arial"/>
                <w:sz w:val="16"/>
                <w:szCs w:val="16"/>
              </w:rPr>
              <w:t>Departmental Capital Budget</w:t>
            </w:r>
          </w:p>
        </w:tc>
        <w:tc>
          <w:tcPr>
            <w:tcW w:w="1120" w:type="dxa"/>
            <w:tcBorders>
              <w:top w:val="nil"/>
              <w:left w:val="nil"/>
              <w:bottom w:val="nil"/>
              <w:right w:val="nil"/>
            </w:tcBorders>
            <w:shd w:val="clear" w:color="auto" w:fill="auto"/>
            <w:noWrap/>
            <w:vAlign w:val="bottom"/>
            <w:hideMark/>
          </w:tcPr>
          <w:p w14:paraId="26C743A6"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57B03A9"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B483866" w14:textId="77777777" w:rsidR="003439B6" w:rsidRPr="003439B6" w:rsidRDefault="003439B6" w:rsidP="003439B6">
            <w:pPr>
              <w:spacing w:before="0" w:after="0" w:line="240" w:lineRule="auto"/>
              <w:jc w:val="right"/>
              <w:rPr>
                <w:rFonts w:ascii="Arial" w:hAnsi="Arial" w:cs="Arial"/>
                <w:sz w:val="16"/>
                <w:szCs w:val="16"/>
              </w:rPr>
            </w:pPr>
            <w:r w:rsidRPr="003439B6">
              <w:rPr>
                <w:rFonts w:ascii="Arial" w:hAnsi="Arial" w:cs="Arial"/>
                <w:sz w:val="16"/>
                <w:szCs w:val="16"/>
              </w:rPr>
              <w:t>12,708</w:t>
            </w:r>
          </w:p>
        </w:tc>
        <w:tc>
          <w:tcPr>
            <w:tcW w:w="1120" w:type="dxa"/>
            <w:tcBorders>
              <w:top w:val="nil"/>
              <w:left w:val="nil"/>
              <w:bottom w:val="nil"/>
              <w:right w:val="nil"/>
            </w:tcBorders>
            <w:shd w:val="clear" w:color="auto" w:fill="auto"/>
            <w:noWrap/>
            <w:vAlign w:val="bottom"/>
            <w:hideMark/>
          </w:tcPr>
          <w:p w14:paraId="3CA857E7" w14:textId="77777777" w:rsidR="003439B6" w:rsidRPr="003439B6" w:rsidRDefault="003439B6" w:rsidP="003439B6">
            <w:pPr>
              <w:spacing w:before="0" w:after="0" w:line="240" w:lineRule="auto"/>
              <w:jc w:val="right"/>
              <w:rPr>
                <w:rFonts w:ascii="Arial" w:hAnsi="Arial" w:cs="Arial"/>
                <w:b/>
                <w:bCs/>
                <w:sz w:val="16"/>
                <w:szCs w:val="16"/>
              </w:rPr>
            </w:pPr>
            <w:r w:rsidRPr="003439B6">
              <w:rPr>
                <w:rFonts w:ascii="Arial" w:hAnsi="Arial" w:cs="Arial"/>
                <w:b/>
                <w:bCs/>
                <w:sz w:val="16"/>
                <w:szCs w:val="16"/>
              </w:rPr>
              <w:t>12,708</w:t>
            </w:r>
          </w:p>
        </w:tc>
      </w:tr>
      <w:tr w:rsidR="003439B6" w:rsidRPr="003439B6" w14:paraId="03967A1B" w14:textId="77777777" w:rsidTr="007B4A1F">
        <w:trPr>
          <w:trHeight w:val="454"/>
          <w:jc w:val="center"/>
        </w:trPr>
        <w:tc>
          <w:tcPr>
            <w:tcW w:w="3000" w:type="dxa"/>
            <w:tcBorders>
              <w:top w:val="nil"/>
              <w:left w:val="nil"/>
              <w:bottom w:val="single" w:sz="4" w:space="0" w:color="auto"/>
              <w:right w:val="nil"/>
            </w:tcBorders>
            <w:shd w:val="clear" w:color="auto" w:fill="auto"/>
            <w:vAlign w:val="bottom"/>
            <w:hideMark/>
          </w:tcPr>
          <w:p w14:paraId="583FF0BC" w14:textId="77777777" w:rsidR="003439B6" w:rsidRPr="003439B6" w:rsidRDefault="003439B6" w:rsidP="003439B6">
            <w:pPr>
              <w:spacing w:before="0" w:after="0" w:line="240" w:lineRule="auto"/>
              <w:rPr>
                <w:rFonts w:ascii="Arial" w:hAnsi="Arial" w:cs="Arial"/>
                <w:b/>
                <w:bCs/>
                <w:color w:val="000000"/>
                <w:sz w:val="16"/>
                <w:szCs w:val="16"/>
              </w:rPr>
            </w:pPr>
            <w:r w:rsidRPr="003439B6">
              <w:rPr>
                <w:rFonts w:ascii="Arial" w:hAnsi="Arial" w:cs="Arial"/>
                <w:b/>
                <w:bCs/>
                <w:color w:val="000000"/>
                <w:sz w:val="16"/>
                <w:szCs w:val="16"/>
              </w:rPr>
              <w:t xml:space="preserve">Estimated closing balance as </w:t>
            </w:r>
            <w:proofErr w:type="gramStart"/>
            <w:r w:rsidRPr="003439B6">
              <w:rPr>
                <w:rFonts w:ascii="Arial" w:hAnsi="Arial" w:cs="Arial"/>
                <w:b/>
                <w:bCs/>
                <w:color w:val="000000"/>
                <w:sz w:val="16"/>
                <w:szCs w:val="16"/>
              </w:rPr>
              <w:t>at</w:t>
            </w:r>
            <w:proofErr w:type="gramEnd"/>
            <w:r w:rsidRPr="003439B6">
              <w:rPr>
                <w:rFonts w:ascii="Arial" w:hAnsi="Arial" w:cs="Arial"/>
                <w:b/>
                <w:bCs/>
                <w:color w:val="000000"/>
                <w:sz w:val="16"/>
                <w:szCs w:val="16"/>
              </w:rPr>
              <w:t xml:space="preserve"> 30 June 2024</w:t>
            </w:r>
          </w:p>
        </w:tc>
        <w:tc>
          <w:tcPr>
            <w:tcW w:w="1120" w:type="dxa"/>
            <w:tcBorders>
              <w:top w:val="single" w:sz="4" w:space="0" w:color="auto"/>
              <w:left w:val="nil"/>
              <w:bottom w:val="single" w:sz="4" w:space="0" w:color="auto"/>
              <w:right w:val="nil"/>
            </w:tcBorders>
            <w:shd w:val="clear" w:color="auto" w:fill="auto"/>
            <w:noWrap/>
            <w:vAlign w:val="bottom"/>
            <w:hideMark/>
          </w:tcPr>
          <w:p w14:paraId="28033B62" w14:textId="77777777" w:rsidR="003439B6" w:rsidRPr="003439B6" w:rsidRDefault="003439B6" w:rsidP="003439B6">
            <w:pPr>
              <w:spacing w:before="0" w:after="0" w:line="240" w:lineRule="auto"/>
              <w:jc w:val="right"/>
              <w:rPr>
                <w:rFonts w:ascii="Arial" w:hAnsi="Arial" w:cs="Arial"/>
                <w:b/>
                <w:bCs/>
                <w:color w:val="000000"/>
                <w:sz w:val="16"/>
                <w:szCs w:val="16"/>
              </w:rPr>
            </w:pPr>
            <w:r w:rsidRPr="003439B6">
              <w:rPr>
                <w:rFonts w:ascii="Arial" w:hAnsi="Arial" w:cs="Arial"/>
                <w:b/>
                <w:bCs/>
                <w:color w:val="000000"/>
                <w:sz w:val="16"/>
                <w:szCs w:val="16"/>
              </w:rPr>
              <w:t>(423,681)</w:t>
            </w:r>
          </w:p>
        </w:tc>
        <w:tc>
          <w:tcPr>
            <w:tcW w:w="1200" w:type="dxa"/>
            <w:tcBorders>
              <w:top w:val="single" w:sz="4" w:space="0" w:color="auto"/>
              <w:left w:val="nil"/>
              <w:bottom w:val="single" w:sz="4" w:space="0" w:color="auto"/>
              <w:right w:val="nil"/>
            </w:tcBorders>
            <w:shd w:val="clear" w:color="auto" w:fill="auto"/>
            <w:noWrap/>
            <w:vAlign w:val="bottom"/>
            <w:hideMark/>
          </w:tcPr>
          <w:p w14:paraId="1F09E556" w14:textId="77777777" w:rsidR="003439B6" w:rsidRPr="003439B6" w:rsidRDefault="003439B6" w:rsidP="003439B6">
            <w:pPr>
              <w:spacing w:before="0" w:after="0" w:line="240" w:lineRule="auto"/>
              <w:jc w:val="right"/>
              <w:rPr>
                <w:rFonts w:ascii="Arial" w:hAnsi="Arial" w:cs="Arial"/>
                <w:b/>
                <w:bCs/>
                <w:color w:val="000000"/>
                <w:sz w:val="16"/>
                <w:szCs w:val="16"/>
              </w:rPr>
            </w:pPr>
            <w:r w:rsidRPr="003439B6">
              <w:rPr>
                <w:rFonts w:ascii="Arial" w:hAnsi="Arial" w:cs="Arial"/>
                <w:b/>
                <w:bCs/>
                <w:color w:val="000000"/>
                <w:sz w:val="16"/>
                <w:szCs w:val="16"/>
              </w:rPr>
              <w:t>32,042</w:t>
            </w:r>
          </w:p>
        </w:tc>
        <w:tc>
          <w:tcPr>
            <w:tcW w:w="1200" w:type="dxa"/>
            <w:tcBorders>
              <w:top w:val="single" w:sz="4" w:space="0" w:color="auto"/>
              <w:left w:val="nil"/>
              <w:bottom w:val="single" w:sz="4" w:space="0" w:color="auto"/>
              <w:right w:val="nil"/>
            </w:tcBorders>
            <w:shd w:val="clear" w:color="auto" w:fill="auto"/>
            <w:noWrap/>
            <w:vAlign w:val="bottom"/>
            <w:hideMark/>
          </w:tcPr>
          <w:p w14:paraId="59AFD9B3" w14:textId="77777777" w:rsidR="003439B6" w:rsidRPr="003439B6" w:rsidRDefault="003439B6" w:rsidP="003439B6">
            <w:pPr>
              <w:spacing w:before="0" w:after="0" w:line="240" w:lineRule="auto"/>
              <w:jc w:val="right"/>
              <w:rPr>
                <w:rFonts w:ascii="Arial" w:hAnsi="Arial" w:cs="Arial"/>
                <w:b/>
                <w:bCs/>
                <w:color w:val="000000"/>
                <w:sz w:val="16"/>
                <w:szCs w:val="16"/>
              </w:rPr>
            </w:pPr>
            <w:r w:rsidRPr="003439B6">
              <w:rPr>
                <w:rFonts w:ascii="Arial" w:hAnsi="Arial" w:cs="Arial"/>
                <w:b/>
                <w:bCs/>
                <w:color w:val="000000"/>
                <w:sz w:val="16"/>
                <w:szCs w:val="16"/>
              </w:rPr>
              <w:t>969,582</w:t>
            </w:r>
          </w:p>
        </w:tc>
        <w:tc>
          <w:tcPr>
            <w:tcW w:w="1120" w:type="dxa"/>
            <w:tcBorders>
              <w:top w:val="single" w:sz="4" w:space="0" w:color="auto"/>
              <w:left w:val="nil"/>
              <w:bottom w:val="single" w:sz="4" w:space="0" w:color="auto"/>
              <w:right w:val="nil"/>
            </w:tcBorders>
            <w:shd w:val="clear" w:color="auto" w:fill="auto"/>
            <w:noWrap/>
            <w:vAlign w:val="bottom"/>
            <w:hideMark/>
          </w:tcPr>
          <w:p w14:paraId="4A3F907A" w14:textId="77777777" w:rsidR="003439B6" w:rsidRPr="003439B6" w:rsidRDefault="003439B6" w:rsidP="003439B6">
            <w:pPr>
              <w:spacing w:before="0" w:after="0" w:line="240" w:lineRule="auto"/>
              <w:jc w:val="right"/>
              <w:rPr>
                <w:rFonts w:ascii="Arial" w:hAnsi="Arial" w:cs="Arial"/>
                <w:b/>
                <w:bCs/>
                <w:color w:val="000000"/>
                <w:sz w:val="16"/>
                <w:szCs w:val="16"/>
              </w:rPr>
            </w:pPr>
            <w:r w:rsidRPr="003439B6">
              <w:rPr>
                <w:rFonts w:ascii="Arial" w:hAnsi="Arial" w:cs="Arial"/>
                <w:b/>
                <w:bCs/>
                <w:color w:val="000000"/>
                <w:sz w:val="16"/>
                <w:szCs w:val="16"/>
              </w:rPr>
              <w:t>577,943</w:t>
            </w:r>
          </w:p>
        </w:tc>
      </w:tr>
    </w:tbl>
    <w:p w14:paraId="66934B6A" w14:textId="7E1699A6" w:rsidR="005608F7" w:rsidRDefault="005608F7" w:rsidP="00736DD8">
      <w:pPr>
        <w:pStyle w:val="TableGraphic"/>
      </w:pPr>
    </w:p>
    <w:p w14:paraId="3BC1107A" w14:textId="0FB9F106" w:rsidR="00736DD8" w:rsidRPr="00BD7F62" w:rsidRDefault="005608F7" w:rsidP="00DA5DF5">
      <w:pPr>
        <w:pStyle w:val="TableGraphic"/>
        <w:spacing w:after="20"/>
        <w:rPr>
          <w:rFonts w:ascii="Arial" w:hAnsi="Arial"/>
          <w:b/>
          <w:snapToGrid w:val="0"/>
          <w:sz w:val="20"/>
        </w:rPr>
      </w:pPr>
      <w:r>
        <w:br w:type="column"/>
      </w:r>
      <w:r w:rsidR="00736DD8" w:rsidRPr="00393CA8">
        <w:rPr>
          <w:rFonts w:ascii="Arial" w:hAnsi="Arial"/>
          <w:b/>
          <w:snapToGrid w:val="0"/>
          <w:sz w:val="20"/>
        </w:rPr>
        <w:t>Table 3.5: Budgeted</w:t>
      </w:r>
      <w:r w:rsidR="00BD7F62">
        <w:rPr>
          <w:rFonts w:ascii="Arial" w:hAnsi="Arial"/>
          <w:b/>
          <w:snapToGrid w:val="0"/>
          <w:sz w:val="20"/>
        </w:rPr>
        <w:t xml:space="preserve"> </w:t>
      </w:r>
      <w:r w:rsidR="00736DD8" w:rsidRPr="00393CA8">
        <w:rPr>
          <w:rFonts w:ascii="Arial" w:hAnsi="Arial"/>
          <w:b/>
          <w:snapToGrid w:val="0"/>
          <w:sz w:val="20"/>
        </w:rPr>
        <w:t>departmental statement of cash flows (for the period ended 30 June)</w:t>
      </w:r>
    </w:p>
    <w:tbl>
      <w:tblPr>
        <w:tblW w:w="7682" w:type="dxa"/>
        <w:jc w:val="center"/>
        <w:tblLayout w:type="fixed"/>
        <w:tblLook w:val="04A0" w:firstRow="1" w:lastRow="0" w:firstColumn="1" w:lastColumn="0" w:noHBand="0" w:noVBand="1"/>
      </w:tblPr>
      <w:tblGrid>
        <w:gridCol w:w="3042"/>
        <w:gridCol w:w="928"/>
        <w:gridCol w:w="928"/>
        <w:gridCol w:w="928"/>
        <w:gridCol w:w="928"/>
        <w:gridCol w:w="928"/>
      </w:tblGrid>
      <w:tr w:rsidR="00393CA8" w:rsidRPr="00393CA8" w14:paraId="5CDB47D0" w14:textId="77777777" w:rsidTr="003F4C37">
        <w:trPr>
          <w:trHeight w:val="737"/>
          <w:jc w:val="center"/>
        </w:trPr>
        <w:tc>
          <w:tcPr>
            <w:tcW w:w="3042" w:type="dxa"/>
            <w:tcBorders>
              <w:top w:val="single" w:sz="4" w:space="0" w:color="auto"/>
              <w:left w:val="nil"/>
              <w:bottom w:val="nil"/>
              <w:right w:val="nil"/>
            </w:tcBorders>
            <w:shd w:val="clear" w:color="auto" w:fill="auto"/>
            <w:hideMark/>
          </w:tcPr>
          <w:p w14:paraId="128627D7" w14:textId="77777777" w:rsidR="00393CA8" w:rsidRPr="00393CA8" w:rsidRDefault="00393CA8" w:rsidP="003F4C37">
            <w:pPr>
              <w:spacing w:before="24" w:after="0" w:line="240" w:lineRule="auto"/>
              <w:jc w:val="right"/>
              <w:rPr>
                <w:rFonts w:ascii="Arial" w:hAnsi="Arial" w:cs="Arial"/>
                <w:color w:val="FF0000"/>
                <w:sz w:val="16"/>
                <w:szCs w:val="16"/>
              </w:rPr>
            </w:pPr>
            <w:r w:rsidRPr="00393CA8">
              <w:rPr>
                <w:rFonts w:ascii="Arial" w:hAnsi="Arial" w:cs="Arial"/>
                <w:color w:val="FF0000"/>
                <w:sz w:val="16"/>
                <w:szCs w:val="16"/>
              </w:rPr>
              <w:t> </w:t>
            </w:r>
          </w:p>
        </w:tc>
        <w:tc>
          <w:tcPr>
            <w:tcW w:w="928" w:type="dxa"/>
            <w:tcBorders>
              <w:top w:val="single" w:sz="4" w:space="0" w:color="auto"/>
              <w:left w:val="nil"/>
              <w:bottom w:val="single" w:sz="4" w:space="0" w:color="auto"/>
              <w:right w:val="nil"/>
            </w:tcBorders>
            <w:shd w:val="clear" w:color="auto" w:fill="auto"/>
            <w:hideMark/>
          </w:tcPr>
          <w:p w14:paraId="3FB32F4F" w14:textId="1C70112E" w:rsidR="00393CA8" w:rsidRPr="00393CA8" w:rsidRDefault="00393CA8" w:rsidP="003F4C37">
            <w:pPr>
              <w:spacing w:before="24" w:after="0" w:line="240" w:lineRule="auto"/>
              <w:jc w:val="right"/>
              <w:rPr>
                <w:rFonts w:ascii="Arial" w:hAnsi="Arial" w:cs="Arial"/>
                <w:b/>
                <w:bCs/>
                <w:sz w:val="16"/>
                <w:szCs w:val="16"/>
              </w:rPr>
            </w:pPr>
            <w:r w:rsidRPr="00393CA8">
              <w:rPr>
                <w:rFonts w:ascii="Arial" w:hAnsi="Arial" w:cs="Arial"/>
                <w:b/>
                <w:bCs/>
                <w:sz w:val="16"/>
                <w:szCs w:val="16"/>
              </w:rPr>
              <w:t>2022</w:t>
            </w:r>
            <w:r>
              <w:rPr>
                <w:rFonts w:ascii="Arial" w:hAnsi="Arial" w:cs="Arial"/>
                <w:b/>
                <w:bCs/>
                <w:sz w:val="16"/>
                <w:szCs w:val="16"/>
              </w:rPr>
              <w:t>–</w:t>
            </w:r>
            <w:r w:rsidRPr="00393CA8">
              <w:rPr>
                <w:rFonts w:ascii="Arial" w:hAnsi="Arial" w:cs="Arial"/>
                <w:b/>
                <w:bCs/>
                <w:sz w:val="16"/>
                <w:szCs w:val="16"/>
              </w:rPr>
              <w:t>23</w:t>
            </w:r>
            <w:r w:rsidRPr="00393CA8">
              <w:rPr>
                <w:rFonts w:ascii="Arial" w:hAnsi="Arial" w:cs="Arial"/>
                <w:b/>
                <w:bCs/>
                <w:sz w:val="16"/>
                <w:szCs w:val="16"/>
              </w:rPr>
              <w:br/>
              <w:t>Actual</w:t>
            </w:r>
            <w:r w:rsidRPr="00393CA8">
              <w:rPr>
                <w:rFonts w:ascii="Arial" w:hAnsi="Arial" w:cs="Arial"/>
                <w:b/>
                <w:bCs/>
                <w:sz w:val="16"/>
                <w:szCs w:val="16"/>
              </w:rPr>
              <w:br/>
            </w:r>
            <w:r w:rsidRPr="00393CA8">
              <w:rPr>
                <w:rFonts w:ascii="Arial" w:hAnsi="Arial" w:cs="Arial"/>
                <w:b/>
                <w:bCs/>
                <w:sz w:val="16"/>
                <w:szCs w:val="16"/>
              </w:rPr>
              <w:br/>
            </w:r>
            <w:r w:rsidRPr="00393CA8">
              <w:rPr>
                <w:rFonts w:ascii="Arial" w:hAnsi="Arial" w:cs="Arial"/>
                <w:sz w:val="16"/>
                <w:szCs w:val="16"/>
              </w:rPr>
              <w:t>$'000</w:t>
            </w:r>
          </w:p>
        </w:tc>
        <w:tc>
          <w:tcPr>
            <w:tcW w:w="928" w:type="dxa"/>
            <w:tcBorders>
              <w:top w:val="single" w:sz="4" w:space="0" w:color="auto"/>
              <w:left w:val="nil"/>
              <w:bottom w:val="single" w:sz="4" w:space="0" w:color="auto"/>
              <w:right w:val="nil"/>
            </w:tcBorders>
            <w:shd w:val="clear" w:color="000000" w:fill="D9D9D9"/>
            <w:hideMark/>
          </w:tcPr>
          <w:p w14:paraId="582AB91F" w14:textId="2CAAAB51" w:rsidR="00393CA8" w:rsidRPr="00393CA8" w:rsidRDefault="00393CA8" w:rsidP="003F4C37">
            <w:pPr>
              <w:spacing w:before="24" w:after="0" w:line="240" w:lineRule="auto"/>
              <w:jc w:val="right"/>
              <w:rPr>
                <w:rFonts w:ascii="Arial" w:hAnsi="Arial" w:cs="Arial"/>
                <w:b/>
                <w:bCs/>
                <w:sz w:val="16"/>
                <w:szCs w:val="16"/>
              </w:rPr>
            </w:pPr>
            <w:r>
              <w:rPr>
                <w:rFonts w:ascii="Arial" w:hAnsi="Arial" w:cs="Arial"/>
                <w:b/>
                <w:bCs/>
                <w:sz w:val="16"/>
                <w:szCs w:val="16"/>
              </w:rPr>
              <w:t>2023–</w:t>
            </w:r>
            <w:r w:rsidRPr="00393CA8">
              <w:rPr>
                <w:rFonts w:ascii="Arial" w:hAnsi="Arial" w:cs="Arial"/>
                <w:b/>
                <w:bCs/>
                <w:sz w:val="16"/>
                <w:szCs w:val="16"/>
              </w:rPr>
              <w:t>24</w:t>
            </w:r>
            <w:r w:rsidRPr="00393CA8">
              <w:rPr>
                <w:rFonts w:ascii="Arial" w:hAnsi="Arial" w:cs="Arial"/>
                <w:b/>
                <w:bCs/>
                <w:sz w:val="16"/>
                <w:szCs w:val="16"/>
              </w:rPr>
              <w:br/>
              <w:t xml:space="preserve">Revised Budget </w:t>
            </w:r>
            <w:r w:rsidRPr="00393CA8">
              <w:rPr>
                <w:rFonts w:ascii="Arial" w:hAnsi="Arial" w:cs="Arial"/>
                <w:sz w:val="16"/>
                <w:szCs w:val="16"/>
              </w:rPr>
              <w:t xml:space="preserve"> </w:t>
            </w:r>
            <w:r w:rsidRPr="00393C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7A0CC8C7" w14:textId="4EE05EEB" w:rsidR="00393CA8" w:rsidRPr="00393CA8" w:rsidRDefault="00393CA8" w:rsidP="003F4C37">
            <w:pPr>
              <w:spacing w:before="24" w:after="0" w:line="240" w:lineRule="auto"/>
              <w:jc w:val="right"/>
              <w:rPr>
                <w:rFonts w:ascii="Arial" w:hAnsi="Arial" w:cs="Arial"/>
                <w:b/>
                <w:bCs/>
                <w:sz w:val="16"/>
                <w:szCs w:val="16"/>
              </w:rPr>
            </w:pPr>
            <w:r>
              <w:rPr>
                <w:rFonts w:ascii="Arial" w:hAnsi="Arial" w:cs="Arial"/>
                <w:b/>
                <w:bCs/>
                <w:sz w:val="16"/>
                <w:szCs w:val="16"/>
              </w:rPr>
              <w:t>2024–</w:t>
            </w:r>
            <w:r w:rsidRPr="00393CA8">
              <w:rPr>
                <w:rFonts w:ascii="Arial" w:hAnsi="Arial" w:cs="Arial"/>
                <w:b/>
                <w:bCs/>
                <w:sz w:val="16"/>
                <w:szCs w:val="16"/>
              </w:rPr>
              <w:t>25</w:t>
            </w:r>
            <w:r w:rsidRPr="00393CA8">
              <w:rPr>
                <w:rFonts w:ascii="Arial" w:hAnsi="Arial" w:cs="Arial"/>
                <w:b/>
                <w:bCs/>
                <w:sz w:val="16"/>
                <w:szCs w:val="16"/>
              </w:rPr>
              <w:br/>
              <w:t xml:space="preserve">Forward estimate </w:t>
            </w:r>
            <w:r w:rsidRPr="00393CA8">
              <w:rPr>
                <w:rFonts w:ascii="Arial" w:hAnsi="Arial" w:cs="Arial"/>
                <w:sz w:val="16"/>
                <w:szCs w:val="16"/>
              </w:rPr>
              <w:t>$'000</w:t>
            </w:r>
          </w:p>
        </w:tc>
        <w:tc>
          <w:tcPr>
            <w:tcW w:w="928" w:type="dxa"/>
            <w:tcBorders>
              <w:top w:val="single" w:sz="4" w:space="0" w:color="auto"/>
              <w:left w:val="nil"/>
              <w:bottom w:val="single" w:sz="4" w:space="0" w:color="auto"/>
              <w:right w:val="nil"/>
            </w:tcBorders>
            <w:shd w:val="clear" w:color="auto" w:fill="auto"/>
            <w:hideMark/>
          </w:tcPr>
          <w:p w14:paraId="577F776C" w14:textId="02428DAC" w:rsidR="00393CA8" w:rsidRPr="00393CA8" w:rsidRDefault="00393CA8" w:rsidP="003F4C37">
            <w:pPr>
              <w:spacing w:before="24" w:after="0" w:line="240" w:lineRule="auto"/>
              <w:jc w:val="right"/>
              <w:rPr>
                <w:rFonts w:ascii="Arial" w:hAnsi="Arial" w:cs="Arial"/>
                <w:b/>
                <w:bCs/>
                <w:sz w:val="16"/>
                <w:szCs w:val="16"/>
              </w:rPr>
            </w:pPr>
            <w:r>
              <w:rPr>
                <w:rFonts w:ascii="Arial" w:hAnsi="Arial" w:cs="Arial"/>
                <w:b/>
                <w:bCs/>
                <w:sz w:val="16"/>
                <w:szCs w:val="16"/>
              </w:rPr>
              <w:t>2025–</w:t>
            </w:r>
            <w:r w:rsidRPr="00393CA8">
              <w:rPr>
                <w:rFonts w:ascii="Arial" w:hAnsi="Arial" w:cs="Arial"/>
                <w:b/>
                <w:bCs/>
                <w:sz w:val="16"/>
                <w:szCs w:val="16"/>
              </w:rPr>
              <w:t>26</w:t>
            </w:r>
            <w:r w:rsidRPr="00393CA8">
              <w:rPr>
                <w:rFonts w:ascii="Arial" w:hAnsi="Arial" w:cs="Arial"/>
                <w:b/>
                <w:bCs/>
                <w:sz w:val="16"/>
                <w:szCs w:val="16"/>
              </w:rPr>
              <w:br/>
              <w:t xml:space="preserve">Forward estimate </w:t>
            </w:r>
            <w:r w:rsidRPr="00393CA8">
              <w:rPr>
                <w:rFonts w:ascii="Arial" w:hAnsi="Arial" w:cs="Arial"/>
                <w:sz w:val="16"/>
                <w:szCs w:val="16"/>
              </w:rPr>
              <w:t>$'000</w:t>
            </w:r>
          </w:p>
        </w:tc>
        <w:tc>
          <w:tcPr>
            <w:tcW w:w="928" w:type="dxa"/>
            <w:tcBorders>
              <w:top w:val="single" w:sz="4" w:space="0" w:color="auto"/>
              <w:left w:val="nil"/>
              <w:bottom w:val="single" w:sz="4" w:space="0" w:color="auto"/>
              <w:right w:val="nil"/>
            </w:tcBorders>
            <w:shd w:val="clear" w:color="auto" w:fill="auto"/>
            <w:hideMark/>
          </w:tcPr>
          <w:p w14:paraId="50155143" w14:textId="2F408865" w:rsidR="00393CA8" w:rsidRPr="00393CA8" w:rsidRDefault="00393CA8" w:rsidP="003F4C37">
            <w:pPr>
              <w:spacing w:before="24" w:after="0" w:line="240" w:lineRule="auto"/>
              <w:jc w:val="right"/>
              <w:rPr>
                <w:rFonts w:ascii="Arial" w:hAnsi="Arial" w:cs="Arial"/>
                <w:b/>
                <w:bCs/>
                <w:sz w:val="16"/>
                <w:szCs w:val="16"/>
              </w:rPr>
            </w:pPr>
            <w:r>
              <w:rPr>
                <w:rFonts w:ascii="Arial" w:hAnsi="Arial" w:cs="Arial"/>
                <w:b/>
                <w:bCs/>
                <w:sz w:val="16"/>
                <w:szCs w:val="16"/>
              </w:rPr>
              <w:t>2026–</w:t>
            </w:r>
            <w:r w:rsidRPr="00393CA8">
              <w:rPr>
                <w:rFonts w:ascii="Arial" w:hAnsi="Arial" w:cs="Arial"/>
                <w:b/>
                <w:bCs/>
                <w:sz w:val="16"/>
                <w:szCs w:val="16"/>
              </w:rPr>
              <w:t>27</w:t>
            </w:r>
            <w:r w:rsidRPr="00393CA8">
              <w:rPr>
                <w:rFonts w:ascii="Arial" w:hAnsi="Arial" w:cs="Arial"/>
                <w:b/>
                <w:bCs/>
                <w:sz w:val="16"/>
                <w:szCs w:val="16"/>
              </w:rPr>
              <w:br/>
              <w:t xml:space="preserve">Forward estimate </w:t>
            </w:r>
            <w:r w:rsidRPr="00393CA8">
              <w:rPr>
                <w:rFonts w:ascii="Arial" w:hAnsi="Arial" w:cs="Arial"/>
                <w:sz w:val="16"/>
                <w:szCs w:val="16"/>
              </w:rPr>
              <w:t>$'000</w:t>
            </w:r>
          </w:p>
        </w:tc>
      </w:tr>
      <w:tr w:rsidR="00393CA8" w:rsidRPr="00393CA8" w14:paraId="50E34C71" w14:textId="77777777" w:rsidTr="003F4C37">
        <w:trPr>
          <w:trHeight w:val="283"/>
          <w:jc w:val="center"/>
        </w:trPr>
        <w:tc>
          <w:tcPr>
            <w:tcW w:w="3042" w:type="dxa"/>
            <w:tcBorders>
              <w:top w:val="nil"/>
              <w:left w:val="nil"/>
              <w:bottom w:val="nil"/>
              <w:right w:val="nil"/>
            </w:tcBorders>
            <w:shd w:val="clear" w:color="auto" w:fill="auto"/>
            <w:noWrap/>
            <w:vAlign w:val="bottom"/>
            <w:hideMark/>
          </w:tcPr>
          <w:p w14:paraId="635ED38C" w14:textId="77777777" w:rsidR="00393CA8" w:rsidRPr="00393CA8" w:rsidRDefault="00393CA8" w:rsidP="00393CA8">
            <w:pPr>
              <w:spacing w:before="0" w:after="0" w:line="240" w:lineRule="auto"/>
              <w:rPr>
                <w:rFonts w:ascii="Arial" w:hAnsi="Arial" w:cs="Arial"/>
                <w:b/>
                <w:bCs/>
                <w:color w:val="000000"/>
                <w:sz w:val="16"/>
                <w:szCs w:val="16"/>
              </w:rPr>
            </w:pPr>
            <w:r w:rsidRPr="00393CA8">
              <w:rPr>
                <w:rFonts w:ascii="Arial" w:hAnsi="Arial" w:cs="Arial"/>
                <w:b/>
                <w:bCs/>
                <w:color w:val="000000"/>
                <w:sz w:val="16"/>
                <w:szCs w:val="16"/>
              </w:rPr>
              <w:t>OPERATING ACTIVITIES</w:t>
            </w:r>
          </w:p>
        </w:tc>
        <w:tc>
          <w:tcPr>
            <w:tcW w:w="928" w:type="dxa"/>
            <w:tcBorders>
              <w:top w:val="single" w:sz="4" w:space="0" w:color="auto"/>
              <w:left w:val="nil"/>
              <w:bottom w:val="nil"/>
              <w:right w:val="nil"/>
            </w:tcBorders>
            <w:shd w:val="clear" w:color="auto" w:fill="auto"/>
            <w:noWrap/>
            <w:vAlign w:val="bottom"/>
            <w:hideMark/>
          </w:tcPr>
          <w:p w14:paraId="47E68BA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single" w:sz="4" w:space="0" w:color="auto"/>
              <w:left w:val="nil"/>
              <w:bottom w:val="nil"/>
              <w:right w:val="nil"/>
            </w:tcBorders>
            <w:shd w:val="clear" w:color="000000" w:fill="D9D9D9"/>
            <w:noWrap/>
            <w:vAlign w:val="bottom"/>
            <w:hideMark/>
          </w:tcPr>
          <w:p w14:paraId="72889826"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single" w:sz="4" w:space="0" w:color="auto"/>
              <w:left w:val="nil"/>
              <w:bottom w:val="nil"/>
              <w:right w:val="nil"/>
            </w:tcBorders>
            <w:shd w:val="clear" w:color="auto" w:fill="auto"/>
            <w:noWrap/>
            <w:vAlign w:val="bottom"/>
            <w:hideMark/>
          </w:tcPr>
          <w:p w14:paraId="7D41EE2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single" w:sz="4" w:space="0" w:color="auto"/>
              <w:left w:val="nil"/>
              <w:bottom w:val="nil"/>
              <w:right w:val="nil"/>
            </w:tcBorders>
            <w:shd w:val="clear" w:color="auto" w:fill="auto"/>
            <w:noWrap/>
            <w:vAlign w:val="bottom"/>
            <w:hideMark/>
          </w:tcPr>
          <w:p w14:paraId="6559396F"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single" w:sz="4" w:space="0" w:color="auto"/>
              <w:left w:val="nil"/>
              <w:bottom w:val="nil"/>
              <w:right w:val="nil"/>
            </w:tcBorders>
            <w:shd w:val="clear" w:color="auto" w:fill="auto"/>
            <w:noWrap/>
            <w:vAlign w:val="bottom"/>
            <w:hideMark/>
          </w:tcPr>
          <w:p w14:paraId="2AFD424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r>
      <w:tr w:rsidR="00393CA8" w:rsidRPr="00393CA8" w14:paraId="7918C9BD"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3AF877EC"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691D6FA6"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8" w:type="dxa"/>
            <w:tcBorders>
              <w:top w:val="nil"/>
              <w:left w:val="nil"/>
              <w:bottom w:val="nil"/>
              <w:right w:val="nil"/>
            </w:tcBorders>
            <w:shd w:val="clear" w:color="000000" w:fill="D9D9D9"/>
            <w:noWrap/>
            <w:vAlign w:val="bottom"/>
            <w:hideMark/>
          </w:tcPr>
          <w:p w14:paraId="2951281F"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297CE78F"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7CC1890" w14:textId="77777777" w:rsidR="00393CA8" w:rsidRPr="00393CA8" w:rsidRDefault="00393CA8" w:rsidP="00393CA8">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2BD72E52"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7C1268DF"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47006294"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Goods and services</w:t>
            </w:r>
          </w:p>
        </w:tc>
        <w:tc>
          <w:tcPr>
            <w:tcW w:w="928" w:type="dxa"/>
            <w:tcBorders>
              <w:top w:val="nil"/>
              <w:left w:val="nil"/>
              <w:bottom w:val="nil"/>
              <w:right w:val="nil"/>
            </w:tcBorders>
            <w:shd w:val="clear" w:color="auto" w:fill="auto"/>
            <w:noWrap/>
            <w:vAlign w:val="bottom"/>
            <w:hideMark/>
          </w:tcPr>
          <w:p w14:paraId="74D2989C"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217,439</w:t>
            </w:r>
          </w:p>
        </w:tc>
        <w:tc>
          <w:tcPr>
            <w:tcW w:w="928" w:type="dxa"/>
            <w:tcBorders>
              <w:top w:val="nil"/>
              <w:left w:val="nil"/>
              <w:bottom w:val="nil"/>
              <w:right w:val="nil"/>
            </w:tcBorders>
            <w:shd w:val="clear" w:color="000000" w:fill="D9D9D9"/>
            <w:noWrap/>
            <w:vAlign w:val="bottom"/>
            <w:hideMark/>
          </w:tcPr>
          <w:p w14:paraId="4E35988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252,726</w:t>
            </w:r>
          </w:p>
        </w:tc>
        <w:tc>
          <w:tcPr>
            <w:tcW w:w="928" w:type="dxa"/>
            <w:tcBorders>
              <w:top w:val="nil"/>
              <w:left w:val="nil"/>
              <w:bottom w:val="nil"/>
              <w:right w:val="nil"/>
            </w:tcBorders>
            <w:shd w:val="clear" w:color="auto" w:fill="auto"/>
            <w:noWrap/>
            <w:vAlign w:val="bottom"/>
            <w:hideMark/>
          </w:tcPr>
          <w:p w14:paraId="79283BD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260,769</w:t>
            </w:r>
          </w:p>
        </w:tc>
        <w:tc>
          <w:tcPr>
            <w:tcW w:w="928" w:type="dxa"/>
            <w:tcBorders>
              <w:top w:val="nil"/>
              <w:left w:val="nil"/>
              <w:bottom w:val="nil"/>
              <w:right w:val="nil"/>
            </w:tcBorders>
            <w:shd w:val="clear" w:color="auto" w:fill="auto"/>
            <w:noWrap/>
            <w:vAlign w:val="bottom"/>
            <w:hideMark/>
          </w:tcPr>
          <w:p w14:paraId="178CA30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259,528</w:t>
            </w:r>
          </w:p>
        </w:tc>
        <w:tc>
          <w:tcPr>
            <w:tcW w:w="928" w:type="dxa"/>
            <w:tcBorders>
              <w:top w:val="nil"/>
              <w:left w:val="nil"/>
              <w:bottom w:val="nil"/>
              <w:right w:val="nil"/>
            </w:tcBorders>
            <w:shd w:val="clear" w:color="auto" w:fill="auto"/>
            <w:noWrap/>
            <w:vAlign w:val="bottom"/>
            <w:hideMark/>
          </w:tcPr>
          <w:p w14:paraId="09577AE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263,961</w:t>
            </w:r>
          </w:p>
        </w:tc>
      </w:tr>
      <w:tr w:rsidR="00393CA8" w:rsidRPr="00393CA8" w14:paraId="70F775A7"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694E305D"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77A25BA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1,266,345</w:t>
            </w:r>
          </w:p>
        </w:tc>
        <w:tc>
          <w:tcPr>
            <w:tcW w:w="928" w:type="dxa"/>
            <w:tcBorders>
              <w:top w:val="nil"/>
              <w:left w:val="nil"/>
              <w:bottom w:val="nil"/>
              <w:right w:val="nil"/>
            </w:tcBorders>
            <w:shd w:val="clear" w:color="000000" w:fill="D9D9D9"/>
            <w:noWrap/>
            <w:vAlign w:val="bottom"/>
            <w:hideMark/>
          </w:tcPr>
          <w:p w14:paraId="2AA28616"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1,459,308</w:t>
            </w:r>
          </w:p>
        </w:tc>
        <w:tc>
          <w:tcPr>
            <w:tcW w:w="928" w:type="dxa"/>
            <w:tcBorders>
              <w:top w:val="nil"/>
              <w:left w:val="nil"/>
              <w:bottom w:val="nil"/>
              <w:right w:val="nil"/>
            </w:tcBorders>
            <w:shd w:val="clear" w:color="auto" w:fill="auto"/>
            <w:noWrap/>
            <w:vAlign w:val="bottom"/>
            <w:hideMark/>
          </w:tcPr>
          <w:p w14:paraId="37FEB5DC"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1,159,794</w:t>
            </w:r>
          </w:p>
        </w:tc>
        <w:tc>
          <w:tcPr>
            <w:tcW w:w="928" w:type="dxa"/>
            <w:tcBorders>
              <w:top w:val="nil"/>
              <w:left w:val="nil"/>
              <w:bottom w:val="nil"/>
              <w:right w:val="nil"/>
            </w:tcBorders>
            <w:shd w:val="clear" w:color="auto" w:fill="auto"/>
            <w:noWrap/>
            <w:vAlign w:val="bottom"/>
            <w:hideMark/>
          </w:tcPr>
          <w:p w14:paraId="419397C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822,304</w:t>
            </w:r>
          </w:p>
        </w:tc>
        <w:tc>
          <w:tcPr>
            <w:tcW w:w="928" w:type="dxa"/>
            <w:tcBorders>
              <w:top w:val="nil"/>
              <w:left w:val="nil"/>
              <w:bottom w:val="nil"/>
              <w:right w:val="nil"/>
            </w:tcBorders>
            <w:shd w:val="clear" w:color="auto" w:fill="auto"/>
            <w:noWrap/>
            <w:vAlign w:val="bottom"/>
            <w:hideMark/>
          </w:tcPr>
          <w:p w14:paraId="5632ABD9"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806,555</w:t>
            </w:r>
          </w:p>
        </w:tc>
      </w:tr>
      <w:tr w:rsidR="00393CA8" w:rsidRPr="00393CA8" w14:paraId="48DE8CA6"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60696EFE"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47D3F2B2"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8" w:type="dxa"/>
            <w:tcBorders>
              <w:top w:val="nil"/>
              <w:left w:val="nil"/>
              <w:bottom w:val="nil"/>
              <w:right w:val="nil"/>
            </w:tcBorders>
            <w:shd w:val="clear" w:color="000000" w:fill="D9D9D9"/>
            <w:noWrap/>
            <w:vAlign w:val="bottom"/>
            <w:hideMark/>
          </w:tcPr>
          <w:p w14:paraId="29126A2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427E818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885</w:t>
            </w:r>
          </w:p>
        </w:tc>
        <w:tc>
          <w:tcPr>
            <w:tcW w:w="928" w:type="dxa"/>
            <w:tcBorders>
              <w:top w:val="nil"/>
              <w:left w:val="nil"/>
              <w:bottom w:val="nil"/>
              <w:right w:val="nil"/>
            </w:tcBorders>
            <w:shd w:val="clear" w:color="auto" w:fill="auto"/>
            <w:noWrap/>
            <w:vAlign w:val="bottom"/>
            <w:hideMark/>
          </w:tcPr>
          <w:p w14:paraId="0A3BF67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885</w:t>
            </w:r>
          </w:p>
        </w:tc>
        <w:tc>
          <w:tcPr>
            <w:tcW w:w="928" w:type="dxa"/>
            <w:tcBorders>
              <w:top w:val="nil"/>
              <w:left w:val="nil"/>
              <w:bottom w:val="nil"/>
              <w:right w:val="nil"/>
            </w:tcBorders>
            <w:shd w:val="clear" w:color="auto" w:fill="auto"/>
            <w:noWrap/>
            <w:vAlign w:val="bottom"/>
            <w:hideMark/>
          </w:tcPr>
          <w:p w14:paraId="396A94E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885</w:t>
            </w:r>
          </w:p>
        </w:tc>
      </w:tr>
      <w:tr w:rsidR="00393CA8" w:rsidRPr="00393CA8" w14:paraId="709A38E5"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1CC6A163"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0B2A07B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66,822</w:t>
            </w:r>
          </w:p>
        </w:tc>
        <w:tc>
          <w:tcPr>
            <w:tcW w:w="928" w:type="dxa"/>
            <w:tcBorders>
              <w:top w:val="nil"/>
              <w:left w:val="nil"/>
              <w:bottom w:val="nil"/>
              <w:right w:val="nil"/>
            </w:tcBorders>
            <w:shd w:val="clear" w:color="000000" w:fill="D9D9D9"/>
            <w:noWrap/>
            <w:vAlign w:val="bottom"/>
            <w:hideMark/>
          </w:tcPr>
          <w:p w14:paraId="6676CC86"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47,008</w:t>
            </w:r>
          </w:p>
        </w:tc>
        <w:tc>
          <w:tcPr>
            <w:tcW w:w="928" w:type="dxa"/>
            <w:tcBorders>
              <w:top w:val="nil"/>
              <w:left w:val="nil"/>
              <w:bottom w:val="nil"/>
              <w:right w:val="nil"/>
            </w:tcBorders>
            <w:shd w:val="clear" w:color="auto" w:fill="auto"/>
            <w:noWrap/>
            <w:vAlign w:val="bottom"/>
            <w:hideMark/>
          </w:tcPr>
          <w:p w14:paraId="769110BC"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35,769</w:t>
            </w:r>
          </w:p>
        </w:tc>
        <w:tc>
          <w:tcPr>
            <w:tcW w:w="928" w:type="dxa"/>
            <w:tcBorders>
              <w:top w:val="nil"/>
              <w:left w:val="nil"/>
              <w:bottom w:val="nil"/>
              <w:right w:val="nil"/>
            </w:tcBorders>
            <w:shd w:val="clear" w:color="auto" w:fill="auto"/>
            <w:noWrap/>
            <w:vAlign w:val="bottom"/>
            <w:hideMark/>
          </w:tcPr>
          <w:p w14:paraId="363BF741"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28,267</w:t>
            </w:r>
          </w:p>
        </w:tc>
        <w:tc>
          <w:tcPr>
            <w:tcW w:w="928" w:type="dxa"/>
            <w:tcBorders>
              <w:top w:val="nil"/>
              <w:left w:val="nil"/>
              <w:bottom w:val="nil"/>
              <w:right w:val="nil"/>
            </w:tcBorders>
            <w:shd w:val="clear" w:color="auto" w:fill="auto"/>
            <w:noWrap/>
            <w:vAlign w:val="bottom"/>
            <w:hideMark/>
          </w:tcPr>
          <w:p w14:paraId="3589554D"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30,861</w:t>
            </w:r>
          </w:p>
        </w:tc>
      </w:tr>
      <w:tr w:rsidR="00393CA8" w:rsidRPr="00393CA8" w14:paraId="01C7285E"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6785A5CC"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Other cash received</w:t>
            </w:r>
          </w:p>
        </w:tc>
        <w:tc>
          <w:tcPr>
            <w:tcW w:w="928" w:type="dxa"/>
            <w:tcBorders>
              <w:top w:val="nil"/>
              <w:left w:val="nil"/>
              <w:bottom w:val="nil"/>
              <w:right w:val="nil"/>
            </w:tcBorders>
            <w:shd w:val="clear" w:color="auto" w:fill="auto"/>
            <w:noWrap/>
            <w:vAlign w:val="bottom"/>
            <w:hideMark/>
          </w:tcPr>
          <w:p w14:paraId="0D365FA6"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5,282</w:t>
            </w:r>
          </w:p>
        </w:tc>
        <w:tc>
          <w:tcPr>
            <w:tcW w:w="928" w:type="dxa"/>
            <w:tcBorders>
              <w:top w:val="nil"/>
              <w:left w:val="nil"/>
              <w:bottom w:val="nil"/>
              <w:right w:val="nil"/>
            </w:tcBorders>
            <w:shd w:val="clear" w:color="000000" w:fill="D9D9D9"/>
            <w:noWrap/>
            <w:vAlign w:val="bottom"/>
            <w:hideMark/>
          </w:tcPr>
          <w:p w14:paraId="7A00234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(8,153)</w:t>
            </w:r>
          </w:p>
        </w:tc>
        <w:tc>
          <w:tcPr>
            <w:tcW w:w="928" w:type="dxa"/>
            <w:tcBorders>
              <w:top w:val="nil"/>
              <w:left w:val="nil"/>
              <w:bottom w:val="nil"/>
              <w:right w:val="nil"/>
            </w:tcBorders>
            <w:shd w:val="clear" w:color="auto" w:fill="auto"/>
            <w:noWrap/>
            <w:vAlign w:val="bottom"/>
            <w:hideMark/>
          </w:tcPr>
          <w:p w14:paraId="7256D2B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2,847</w:t>
            </w:r>
          </w:p>
        </w:tc>
        <w:tc>
          <w:tcPr>
            <w:tcW w:w="928" w:type="dxa"/>
            <w:tcBorders>
              <w:top w:val="nil"/>
              <w:left w:val="nil"/>
              <w:bottom w:val="nil"/>
              <w:right w:val="nil"/>
            </w:tcBorders>
            <w:shd w:val="clear" w:color="auto" w:fill="auto"/>
            <w:noWrap/>
            <w:vAlign w:val="bottom"/>
            <w:hideMark/>
          </w:tcPr>
          <w:p w14:paraId="07DF2BB9"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2,847</w:t>
            </w:r>
          </w:p>
        </w:tc>
        <w:tc>
          <w:tcPr>
            <w:tcW w:w="928" w:type="dxa"/>
            <w:tcBorders>
              <w:top w:val="nil"/>
              <w:left w:val="nil"/>
              <w:bottom w:val="nil"/>
              <w:right w:val="nil"/>
            </w:tcBorders>
            <w:shd w:val="clear" w:color="auto" w:fill="auto"/>
            <w:noWrap/>
            <w:vAlign w:val="bottom"/>
            <w:hideMark/>
          </w:tcPr>
          <w:p w14:paraId="179D1F51"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2,847</w:t>
            </w:r>
          </w:p>
        </w:tc>
      </w:tr>
      <w:tr w:rsidR="00393CA8" w:rsidRPr="00393CA8" w14:paraId="6C773ACB"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50644BA1" w14:textId="77777777" w:rsidR="00393CA8" w:rsidRPr="00393CA8" w:rsidRDefault="00393CA8" w:rsidP="00393CA8">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received</w:t>
            </w:r>
          </w:p>
        </w:tc>
        <w:tc>
          <w:tcPr>
            <w:tcW w:w="928" w:type="dxa"/>
            <w:tcBorders>
              <w:top w:val="nil"/>
              <w:left w:val="nil"/>
              <w:bottom w:val="single" w:sz="4" w:space="0" w:color="auto"/>
              <w:right w:val="nil"/>
            </w:tcBorders>
            <w:shd w:val="clear" w:color="auto" w:fill="auto"/>
            <w:noWrap/>
            <w:vAlign w:val="bottom"/>
            <w:hideMark/>
          </w:tcPr>
          <w:p w14:paraId="32B64325"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1,555,888</w:t>
            </w:r>
          </w:p>
        </w:tc>
        <w:tc>
          <w:tcPr>
            <w:tcW w:w="928" w:type="dxa"/>
            <w:tcBorders>
              <w:top w:val="nil"/>
              <w:left w:val="nil"/>
              <w:bottom w:val="single" w:sz="4" w:space="0" w:color="auto"/>
              <w:right w:val="nil"/>
            </w:tcBorders>
            <w:shd w:val="clear" w:color="000000" w:fill="D9D9D9"/>
            <w:noWrap/>
            <w:vAlign w:val="bottom"/>
            <w:hideMark/>
          </w:tcPr>
          <w:p w14:paraId="153AC340"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1,750,889</w:t>
            </w:r>
          </w:p>
        </w:tc>
        <w:tc>
          <w:tcPr>
            <w:tcW w:w="928" w:type="dxa"/>
            <w:tcBorders>
              <w:top w:val="nil"/>
              <w:left w:val="nil"/>
              <w:bottom w:val="single" w:sz="4" w:space="0" w:color="auto"/>
              <w:right w:val="nil"/>
            </w:tcBorders>
            <w:shd w:val="clear" w:color="auto" w:fill="auto"/>
            <w:noWrap/>
            <w:vAlign w:val="bottom"/>
            <w:hideMark/>
          </w:tcPr>
          <w:p w14:paraId="0A613BCE"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1,460,064</w:t>
            </w:r>
          </w:p>
        </w:tc>
        <w:tc>
          <w:tcPr>
            <w:tcW w:w="928" w:type="dxa"/>
            <w:tcBorders>
              <w:top w:val="nil"/>
              <w:left w:val="nil"/>
              <w:bottom w:val="single" w:sz="4" w:space="0" w:color="auto"/>
              <w:right w:val="nil"/>
            </w:tcBorders>
            <w:shd w:val="clear" w:color="auto" w:fill="auto"/>
            <w:noWrap/>
            <w:vAlign w:val="bottom"/>
            <w:hideMark/>
          </w:tcPr>
          <w:p w14:paraId="4F40013C"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1,113,831</w:t>
            </w:r>
          </w:p>
        </w:tc>
        <w:tc>
          <w:tcPr>
            <w:tcW w:w="928" w:type="dxa"/>
            <w:tcBorders>
              <w:top w:val="nil"/>
              <w:left w:val="nil"/>
              <w:bottom w:val="single" w:sz="4" w:space="0" w:color="auto"/>
              <w:right w:val="nil"/>
            </w:tcBorders>
            <w:shd w:val="clear" w:color="auto" w:fill="auto"/>
            <w:noWrap/>
            <w:vAlign w:val="bottom"/>
            <w:hideMark/>
          </w:tcPr>
          <w:p w14:paraId="657C4BDD"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1,105,109</w:t>
            </w:r>
          </w:p>
        </w:tc>
      </w:tr>
      <w:tr w:rsidR="00393CA8" w:rsidRPr="00393CA8" w14:paraId="6020EF2B" w14:textId="77777777" w:rsidTr="003F4C37">
        <w:trPr>
          <w:trHeight w:val="283"/>
          <w:jc w:val="center"/>
        </w:trPr>
        <w:tc>
          <w:tcPr>
            <w:tcW w:w="3042" w:type="dxa"/>
            <w:tcBorders>
              <w:top w:val="nil"/>
              <w:left w:val="nil"/>
              <w:bottom w:val="nil"/>
              <w:right w:val="nil"/>
            </w:tcBorders>
            <w:shd w:val="clear" w:color="auto" w:fill="auto"/>
            <w:noWrap/>
            <w:vAlign w:val="bottom"/>
            <w:hideMark/>
          </w:tcPr>
          <w:p w14:paraId="351771F6"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F7BB9B7"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8" w:type="dxa"/>
            <w:tcBorders>
              <w:top w:val="nil"/>
              <w:left w:val="nil"/>
              <w:bottom w:val="nil"/>
              <w:right w:val="nil"/>
            </w:tcBorders>
            <w:shd w:val="clear" w:color="000000" w:fill="D9D9D9"/>
            <w:noWrap/>
            <w:vAlign w:val="bottom"/>
            <w:hideMark/>
          </w:tcPr>
          <w:p w14:paraId="2890890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8" w:type="dxa"/>
            <w:tcBorders>
              <w:top w:val="nil"/>
              <w:left w:val="nil"/>
              <w:bottom w:val="nil"/>
              <w:right w:val="nil"/>
            </w:tcBorders>
            <w:shd w:val="clear" w:color="auto" w:fill="auto"/>
            <w:noWrap/>
            <w:vAlign w:val="bottom"/>
            <w:hideMark/>
          </w:tcPr>
          <w:p w14:paraId="4BE5D2CB"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AD49C3F" w14:textId="77777777" w:rsidR="00393CA8" w:rsidRPr="00393CA8" w:rsidRDefault="00393CA8" w:rsidP="00393CA8">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597B094F"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5E81CD8A"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6A842BCC"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6B910F84"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722,366</w:t>
            </w:r>
          </w:p>
        </w:tc>
        <w:tc>
          <w:tcPr>
            <w:tcW w:w="928" w:type="dxa"/>
            <w:tcBorders>
              <w:top w:val="nil"/>
              <w:left w:val="nil"/>
              <w:bottom w:val="nil"/>
              <w:right w:val="nil"/>
            </w:tcBorders>
            <w:shd w:val="clear" w:color="000000" w:fill="D9D9D9"/>
            <w:noWrap/>
            <w:vAlign w:val="bottom"/>
            <w:hideMark/>
          </w:tcPr>
          <w:p w14:paraId="370D361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827,857</w:t>
            </w:r>
          </w:p>
        </w:tc>
        <w:tc>
          <w:tcPr>
            <w:tcW w:w="928" w:type="dxa"/>
            <w:tcBorders>
              <w:top w:val="nil"/>
              <w:left w:val="nil"/>
              <w:bottom w:val="nil"/>
              <w:right w:val="nil"/>
            </w:tcBorders>
            <w:shd w:val="clear" w:color="auto" w:fill="auto"/>
            <w:noWrap/>
            <w:vAlign w:val="bottom"/>
            <w:hideMark/>
          </w:tcPr>
          <w:p w14:paraId="10DFC81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761,696</w:t>
            </w:r>
          </w:p>
        </w:tc>
        <w:tc>
          <w:tcPr>
            <w:tcW w:w="928" w:type="dxa"/>
            <w:tcBorders>
              <w:top w:val="nil"/>
              <w:left w:val="nil"/>
              <w:bottom w:val="nil"/>
              <w:right w:val="nil"/>
            </w:tcBorders>
            <w:shd w:val="clear" w:color="auto" w:fill="auto"/>
            <w:noWrap/>
            <w:vAlign w:val="bottom"/>
            <w:hideMark/>
          </w:tcPr>
          <w:p w14:paraId="740B469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721,531</w:t>
            </w:r>
          </w:p>
        </w:tc>
        <w:tc>
          <w:tcPr>
            <w:tcW w:w="928" w:type="dxa"/>
            <w:tcBorders>
              <w:top w:val="nil"/>
              <w:left w:val="nil"/>
              <w:bottom w:val="nil"/>
              <w:right w:val="nil"/>
            </w:tcBorders>
            <w:shd w:val="clear" w:color="auto" w:fill="auto"/>
            <w:noWrap/>
            <w:vAlign w:val="bottom"/>
            <w:hideMark/>
          </w:tcPr>
          <w:p w14:paraId="6F9FBF7B"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740,566</w:t>
            </w:r>
          </w:p>
        </w:tc>
      </w:tr>
      <w:tr w:rsidR="00393CA8" w:rsidRPr="00393CA8" w14:paraId="61F89E9B"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34B70AB7"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6D22D15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476,267</w:t>
            </w:r>
          </w:p>
        </w:tc>
        <w:tc>
          <w:tcPr>
            <w:tcW w:w="928" w:type="dxa"/>
            <w:tcBorders>
              <w:top w:val="nil"/>
              <w:left w:val="nil"/>
              <w:bottom w:val="nil"/>
              <w:right w:val="nil"/>
            </w:tcBorders>
            <w:shd w:val="clear" w:color="000000" w:fill="D9D9D9"/>
            <w:noWrap/>
            <w:vAlign w:val="bottom"/>
            <w:hideMark/>
          </w:tcPr>
          <w:p w14:paraId="6BC4EB29"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683,120</w:t>
            </w:r>
          </w:p>
        </w:tc>
        <w:tc>
          <w:tcPr>
            <w:tcW w:w="928" w:type="dxa"/>
            <w:tcBorders>
              <w:top w:val="nil"/>
              <w:left w:val="nil"/>
              <w:bottom w:val="nil"/>
              <w:right w:val="nil"/>
            </w:tcBorders>
            <w:shd w:val="clear" w:color="auto" w:fill="auto"/>
            <w:noWrap/>
            <w:vAlign w:val="bottom"/>
            <w:hideMark/>
          </w:tcPr>
          <w:p w14:paraId="7C7E82E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481,533</w:t>
            </w:r>
          </w:p>
        </w:tc>
        <w:tc>
          <w:tcPr>
            <w:tcW w:w="928" w:type="dxa"/>
            <w:tcBorders>
              <w:top w:val="nil"/>
              <w:left w:val="nil"/>
              <w:bottom w:val="nil"/>
              <w:right w:val="nil"/>
            </w:tcBorders>
            <w:shd w:val="clear" w:color="auto" w:fill="auto"/>
            <w:noWrap/>
            <w:vAlign w:val="bottom"/>
            <w:hideMark/>
          </w:tcPr>
          <w:p w14:paraId="1C7086E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216,183</w:t>
            </w:r>
          </w:p>
        </w:tc>
        <w:tc>
          <w:tcPr>
            <w:tcW w:w="928" w:type="dxa"/>
            <w:tcBorders>
              <w:top w:val="nil"/>
              <w:left w:val="nil"/>
              <w:bottom w:val="nil"/>
              <w:right w:val="nil"/>
            </w:tcBorders>
            <w:shd w:val="clear" w:color="auto" w:fill="auto"/>
            <w:noWrap/>
            <w:vAlign w:val="bottom"/>
            <w:hideMark/>
          </w:tcPr>
          <w:p w14:paraId="23F3FB3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189,665</w:t>
            </w:r>
          </w:p>
        </w:tc>
      </w:tr>
      <w:tr w:rsidR="00393CA8" w:rsidRPr="00393CA8" w14:paraId="1AC65645"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19E97A4D"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Cash to the OPA</w:t>
            </w:r>
          </w:p>
        </w:tc>
        <w:tc>
          <w:tcPr>
            <w:tcW w:w="928" w:type="dxa"/>
            <w:tcBorders>
              <w:top w:val="nil"/>
              <w:left w:val="nil"/>
              <w:bottom w:val="nil"/>
              <w:right w:val="nil"/>
            </w:tcBorders>
            <w:shd w:val="clear" w:color="auto" w:fill="auto"/>
            <w:noWrap/>
            <w:vAlign w:val="bottom"/>
            <w:hideMark/>
          </w:tcPr>
          <w:p w14:paraId="2D05953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212,963</w:t>
            </w:r>
          </w:p>
        </w:tc>
        <w:tc>
          <w:tcPr>
            <w:tcW w:w="928" w:type="dxa"/>
            <w:tcBorders>
              <w:top w:val="nil"/>
              <w:left w:val="nil"/>
              <w:bottom w:val="nil"/>
              <w:right w:val="nil"/>
            </w:tcBorders>
            <w:shd w:val="clear" w:color="000000" w:fill="D9D9D9"/>
            <w:noWrap/>
            <w:vAlign w:val="bottom"/>
            <w:hideMark/>
          </w:tcPr>
          <w:p w14:paraId="4A3A567E"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137,599</w:t>
            </w:r>
          </w:p>
        </w:tc>
        <w:tc>
          <w:tcPr>
            <w:tcW w:w="928" w:type="dxa"/>
            <w:tcBorders>
              <w:top w:val="nil"/>
              <w:left w:val="nil"/>
              <w:bottom w:val="nil"/>
              <w:right w:val="nil"/>
            </w:tcBorders>
            <w:shd w:val="clear" w:color="auto" w:fill="auto"/>
            <w:noWrap/>
            <w:vAlign w:val="bottom"/>
            <w:hideMark/>
          </w:tcPr>
          <w:p w14:paraId="3B14EEC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138,719</w:t>
            </w:r>
          </w:p>
        </w:tc>
        <w:tc>
          <w:tcPr>
            <w:tcW w:w="928" w:type="dxa"/>
            <w:tcBorders>
              <w:top w:val="nil"/>
              <w:left w:val="nil"/>
              <w:bottom w:val="nil"/>
              <w:right w:val="nil"/>
            </w:tcBorders>
            <w:shd w:val="clear" w:color="auto" w:fill="auto"/>
            <w:noWrap/>
            <w:vAlign w:val="bottom"/>
            <w:hideMark/>
          </w:tcPr>
          <w:p w14:paraId="2D180076"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105,824</w:t>
            </w:r>
          </w:p>
        </w:tc>
        <w:tc>
          <w:tcPr>
            <w:tcW w:w="928" w:type="dxa"/>
            <w:tcBorders>
              <w:top w:val="nil"/>
              <w:left w:val="nil"/>
              <w:bottom w:val="nil"/>
              <w:right w:val="nil"/>
            </w:tcBorders>
            <w:shd w:val="clear" w:color="auto" w:fill="auto"/>
            <w:noWrap/>
            <w:vAlign w:val="bottom"/>
            <w:hideMark/>
          </w:tcPr>
          <w:p w14:paraId="0CD6780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104,995</w:t>
            </w:r>
          </w:p>
        </w:tc>
      </w:tr>
      <w:tr w:rsidR="00393CA8" w:rsidRPr="00393CA8" w14:paraId="3D504957"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45E8465F"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Lease interest</w:t>
            </w:r>
          </w:p>
        </w:tc>
        <w:tc>
          <w:tcPr>
            <w:tcW w:w="928" w:type="dxa"/>
            <w:tcBorders>
              <w:top w:val="nil"/>
              <w:left w:val="nil"/>
              <w:bottom w:val="nil"/>
              <w:right w:val="nil"/>
            </w:tcBorders>
            <w:shd w:val="clear" w:color="auto" w:fill="auto"/>
            <w:noWrap/>
            <w:vAlign w:val="bottom"/>
            <w:hideMark/>
          </w:tcPr>
          <w:p w14:paraId="7AE071E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11,054</w:t>
            </w:r>
          </w:p>
        </w:tc>
        <w:tc>
          <w:tcPr>
            <w:tcW w:w="928" w:type="dxa"/>
            <w:tcBorders>
              <w:top w:val="nil"/>
              <w:left w:val="nil"/>
              <w:bottom w:val="nil"/>
              <w:right w:val="nil"/>
            </w:tcBorders>
            <w:shd w:val="clear" w:color="000000" w:fill="D9D9D9"/>
            <w:noWrap/>
            <w:vAlign w:val="bottom"/>
            <w:hideMark/>
          </w:tcPr>
          <w:p w14:paraId="0F7F222F"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10,417</w:t>
            </w:r>
          </w:p>
        </w:tc>
        <w:tc>
          <w:tcPr>
            <w:tcW w:w="928" w:type="dxa"/>
            <w:tcBorders>
              <w:top w:val="nil"/>
              <w:left w:val="nil"/>
              <w:bottom w:val="nil"/>
              <w:right w:val="nil"/>
            </w:tcBorders>
            <w:shd w:val="clear" w:color="auto" w:fill="auto"/>
            <w:noWrap/>
            <w:vAlign w:val="bottom"/>
            <w:hideMark/>
          </w:tcPr>
          <w:p w14:paraId="1B4F287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10,308</w:t>
            </w:r>
          </w:p>
        </w:tc>
        <w:tc>
          <w:tcPr>
            <w:tcW w:w="928" w:type="dxa"/>
            <w:tcBorders>
              <w:top w:val="nil"/>
              <w:left w:val="nil"/>
              <w:bottom w:val="nil"/>
              <w:right w:val="nil"/>
            </w:tcBorders>
            <w:shd w:val="clear" w:color="auto" w:fill="auto"/>
            <w:noWrap/>
            <w:vAlign w:val="bottom"/>
            <w:hideMark/>
          </w:tcPr>
          <w:p w14:paraId="46CF0F7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11,084</w:t>
            </w:r>
          </w:p>
        </w:tc>
        <w:tc>
          <w:tcPr>
            <w:tcW w:w="928" w:type="dxa"/>
            <w:tcBorders>
              <w:top w:val="nil"/>
              <w:left w:val="nil"/>
              <w:bottom w:val="nil"/>
              <w:right w:val="nil"/>
            </w:tcBorders>
            <w:shd w:val="clear" w:color="auto" w:fill="auto"/>
            <w:noWrap/>
            <w:vAlign w:val="bottom"/>
            <w:hideMark/>
          </w:tcPr>
          <w:p w14:paraId="10919D6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11,025</w:t>
            </w:r>
          </w:p>
        </w:tc>
      </w:tr>
      <w:tr w:rsidR="00393CA8" w:rsidRPr="00393CA8" w14:paraId="799FE8F8"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4C1A6F0A" w14:textId="77777777" w:rsidR="00393CA8" w:rsidRPr="00393CA8" w:rsidRDefault="00393CA8" w:rsidP="00393CA8">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2D22A3B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86,485</w:t>
            </w:r>
          </w:p>
        </w:tc>
        <w:tc>
          <w:tcPr>
            <w:tcW w:w="928" w:type="dxa"/>
            <w:tcBorders>
              <w:top w:val="nil"/>
              <w:left w:val="nil"/>
              <w:bottom w:val="nil"/>
              <w:right w:val="nil"/>
            </w:tcBorders>
            <w:shd w:val="clear" w:color="000000" w:fill="D9D9D9"/>
            <w:noWrap/>
            <w:vAlign w:val="bottom"/>
            <w:hideMark/>
          </w:tcPr>
          <w:p w14:paraId="24EF1EC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2,500</w:t>
            </w:r>
          </w:p>
        </w:tc>
        <w:tc>
          <w:tcPr>
            <w:tcW w:w="928" w:type="dxa"/>
            <w:tcBorders>
              <w:top w:val="nil"/>
              <w:left w:val="nil"/>
              <w:bottom w:val="nil"/>
              <w:right w:val="nil"/>
            </w:tcBorders>
            <w:shd w:val="clear" w:color="auto" w:fill="auto"/>
            <w:noWrap/>
            <w:vAlign w:val="bottom"/>
            <w:hideMark/>
          </w:tcPr>
          <w:p w14:paraId="047BE7AD"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2,500</w:t>
            </w:r>
          </w:p>
        </w:tc>
        <w:tc>
          <w:tcPr>
            <w:tcW w:w="928" w:type="dxa"/>
            <w:tcBorders>
              <w:top w:val="nil"/>
              <w:left w:val="nil"/>
              <w:bottom w:val="nil"/>
              <w:right w:val="nil"/>
            </w:tcBorders>
            <w:shd w:val="clear" w:color="auto" w:fill="auto"/>
            <w:noWrap/>
            <w:vAlign w:val="bottom"/>
            <w:hideMark/>
          </w:tcPr>
          <w:p w14:paraId="20737A3E"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2,500</w:t>
            </w:r>
          </w:p>
        </w:tc>
        <w:tc>
          <w:tcPr>
            <w:tcW w:w="928" w:type="dxa"/>
            <w:tcBorders>
              <w:top w:val="nil"/>
              <w:left w:val="nil"/>
              <w:bottom w:val="nil"/>
              <w:right w:val="nil"/>
            </w:tcBorders>
            <w:shd w:val="clear" w:color="auto" w:fill="auto"/>
            <w:noWrap/>
            <w:vAlign w:val="bottom"/>
            <w:hideMark/>
          </w:tcPr>
          <w:p w14:paraId="09255E5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2,500</w:t>
            </w:r>
          </w:p>
        </w:tc>
      </w:tr>
      <w:tr w:rsidR="00393CA8" w:rsidRPr="00393CA8" w14:paraId="275187D0"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06B95DFF" w14:textId="77777777" w:rsidR="00393CA8" w:rsidRPr="00393CA8" w:rsidRDefault="00393CA8" w:rsidP="00393CA8">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used</w:t>
            </w:r>
          </w:p>
        </w:tc>
        <w:tc>
          <w:tcPr>
            <w:tcW w:w="928" w:type="dxa"/>
            <w:tcBorders>
              <w:top w:val="nil"/>
              <w:left w:val="nil"/>
              <w:bottom w:val="single" w:sz="4" w:space="0" w:color="auto"/>
              <w:right w:val="nil"/>
            </w:tcBorders>
            <w:shd w:val="clear" w:color="auto" w:fill="auto"/>
            <w:noWrap/>
            <w:vAlign w:val="bottom"/>
            <w:hideMark/>
          </w:tcPr>
          <w:p w14:paraId="1057A255"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1,509,135</w:t>
            </w:r>
          </w:p>
        </w:tc>
        <w:tc>
          <w:tcPr>
            <w:tcW w:w="928" w:type="dxa"/>
            <w:tcBorders>
              <w:top w:val="nil"/>
              <w:left w:val="nil"/>
              <w:bottom w:val="single" w:sz="4" w:space="0" w:color="auto"/>
              <w:right w:val="nil"/>
            </w:tcBorders>
            <w:shd w:val="clear" w:color="000000" w:fill="D9D9D9"/>
            <w:noWrap/>
            <w:vAlign w:val="bottom"/>
            <w:hideMark/>
          </w:tcPr>
          <w:p w14:paraId="0CFB4E2E"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1,661,493</w:t>
            </w:r>
          </w:p>
        </w:tc>
        <w:tc>
          <w:tcPr>
            <w:tcW w:w="928" w:type="dxa"/>
            <w:tcBorders>
              <w:top w:val="nil"/>
              <w:left w:val="nil"/>
              <w:bottom w:val="single" w:sz="4" w:space="0" w:color="auto"/>
              <w:right w:val="nil"/>
            </w:tcBorders>
            <w:shd w:val="clear" w:color="auto" w:fill="auto"/>
            <w:noWrap/>
            <w:vAlign w:val="bottom"/>
            <w:hideMark/>
          </w:tcPr>
          <w:p w14:paraId="1FF2F023"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1,394,756</w:t>
            </w:r>
          </w:p>
        </w:tc>
        <w:tc>
          <w:tcPr>
            <w:tcW w:w="928" w:type="dxa"/>
            <w:tcBorders>
              <w:top w:val="nil"/>
              <w:left w:val="nil"/>
              <w:bottom w:val="single" w:sz="4" w:space="0" w:color="auto"/>
              <w:right w:val="nil"/>
            </w:tcBorders>
            <w:shd w:val="clear" w:color="auto" w:fill="auto"/>
            <w:noWrap/>
            <w:vAlign w:val="bottom"/>
            <w:hideMark/>
          </w:tcPr>
          <w:p w14:paraId="45F335B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1,057,122</w:t>
            </w:r>
          </w:p>
        </w:tc>
        <w:tc>
          <w:tcPr>
            <w:tcW w:w="928" w:type="dxa"/>
            <w:tcBorders>
              <w:top w:val="nil"/>
              <w:left w:val="nil"/>
              <w:bottom w:val="single" w:sz="4" w:space="0" w:color="auto"/>
              <w:right w:val="nil"/>
            </w:tcBorders>
            <w:shd w:val="clear" w:color="auto" w:fill="auto"/>
            <w:noWrap/>
            <w:vAlign w:val="bottom"/>
            <w:hideMark/>
          </w:tcPr>
          <w:p w14:paraId="1E61C1B9"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1,048,751</w:t>
            </w:r>
          </w:p>
        </w:tc>
      </w:tr>
      <w:tr w:rsidR="00393CA8" w:rsidRPr="00393CA8" w14:paraId="471596AF" w14:textId="77777777" w:rsidTr="003F4C37">
        <w:trPr>
          <w:trHeight w:val="454"/>
          <w:jc w:val="center"/>
        </w:trPr>
        <w:tc>
          <w:tcPr>
            <w:tcW w:w="3042" w:type="dxa"/>
            <w:tcBorders>
              <w:top w:val="nil"/>
              <w:left w:val="nil"/>
              <w:bottom w:val="nil"/>
              <w:right w:val="nil"/>
            </w:tcBorders>
            <w:shd w:val="clear" w:color="auto" w:fill="auto"/>
            <w:vAlign w:val="bottom"/>
            <w:hideMark/>
          </w:tcPr>
          <w:p w14:paraId="7DD3F37A"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Net cash from (or used by) operating activities</w:t>
            </w:r>
          </w:p>
        </w:tc>
        <w:tc>
          <w:tcPr>
            <w:tcW w:w="928" w:type="dxa"/>
            <w:tcBorders>
              <w:top w:val="nil"/>
              <w:left w:val="nil"/>
              <w:bottom w:val="single" w:sz="4" w:space="0" w:color="auto"/>
              <w:right w:val="nil"/>
            </w:tcBorders>
            <w:shd w:val="clear" w:color="auto" w:fill="auto"/>
            <w:noWrap/>
            <w:vAlign w:val="bottom"/>
            <w:hideMark/>
          </w:tcPr>
          <w:p w14:paraId="47308302"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46,753</w:t>
            </w:r>
          </w:p>
        </w:tc>
        <w:tc>
          <w:tcPr>
            <w:tcW w:w="928" w:type="dxa"/>
            <w:tcBorders>
              <w:top w:val="nil"/>
              <w:left w:val="nil"/>
              <w:bottom w:val="single" w:sz="4" w:space="0" w:color="auto"/>
              <w:right w:val="nil"/>
            </w:tcBorders>
            <w:shd w:val="clear" w:color="000000" w:fill="D9D9D9"/>
            <w:noWrap/>
            <w:vAlign w:val="bottom"/>
            <w:hideMark/>
          </w:tcPr>
          <w:p w14:paraId="2B1ECEF3"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89,396</w:t>
            </w:r>
          </w:p>
        </w:tc>
        <w:tc>
          <w:tcPr>
            <w:tcW w:w="928" w:type="dxa"/>
            <w:tcBorders>
              <w:top w:val="nil"/>
              <w:left w:val="nil"/>
              <w:bottom w:val="single" w:sz="4" w:space="0" w:color="auto"/>
              <w:right w:val="nil"/>
            </w:tcBorders>
            <w:shd w:val="clear" w:color="auto" w:fill="auto"/>
            <w:noWrap/>
            <w:vAlign w:val="bottom"/>
            <w:hideMark/>
          </w:tcPr>
          <w:p w14:paraId="57F61758"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65,308</w:t>
            </w:r>
          </w:p>
        </w:tc>
        <w:tc>
          <w:tcPr>
            <w:tcW w:w="928" w:type="dxa"/>
            <w:tcBorders>
              <w:top w:val="nil"/>
              <w:left w:val="nil"/>
              <w:bottom w:val="single" w:sz="4" w:space="0" w:color="auto"/>
              <w:right w:val="nil"/>
            </w:tcBorders>
            <w:shd w:val="clear" w:color="auto" w:fill="auto"/>
            <w:noWrap/>
            <w:vAlign w:val="bottom"/>
            <w:hideMark/>
          </w:tcPr>
          <w:p w14:paraId="16EA675C"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56,709</w:t>
            </w:r>
          </w:p>
        </w:tc>
        <w:tc>
          <w:tcPr>
            <w:tcW w:w="928" w:type="dxa"/>
            <w:tcBorders>
              <w:top w:val="nil"/>
              <w:left w:val="nil"/>
              <w:bottom w:val="single" w:sz="4" w:space="0" w:color="auto"/>
              <w:right w:val="nil"/>
            </w:tcBorders>
            <w:shd w:val="clear" w:color="auto" w:fill="auto"/>
            <w:noWrap/>
            <w:vAlign w:val="bottom"/>
            <w:hideMark/>
          </w:tcPr>
          <w:p w14:paraId="398BE67A"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56,358</w:t>
            </w:r>
          </w:p>
        </w:tc>
      </w:tr>
    </w:tbl>
    <w:p w14:paraId="335200C1" w14:textId="3095F30D" w:rsidR="00736DD8" w:rsidRPr="00782B4F" w:rsidRDefault="00736DD8" w:rsidP="00782B4F">
      <w:pPr>
        <w:spacing w:before="0" w:after="0" w:line="240" w:lineRule="auto"/>
        <w:rPr>
          <w:rFonts w:ascii="Arial" w:hAnsi="Arial"/>
          <w:snapToGrid w:val="0"/>
          <w:sz w:val="16"/>
        </w:rPr>
      </w:pPr>
    </w:p>
    <w:p w14:paraId="2605582A" w14:textId="77777777" w:rsidR="009D17A5" w:rsidRDefault="009D17A5">
      <w:pPr>
        <w:spacing w:before="0" w:after="0" w:line="240" w:lineRule="auto"/>
        <w:rPr>
          <w:rFonts w:ascii="Arial" w:hAnsi="Arial"/>
          <w:b/>
          <w:snapToGrid w:val="0"/>
          <w:sz w:val="20"/>
        </w:rPr>
      </w:pPr>
      <w:r>
        <w:rPr>
          <w:snapToGrid w:val="0"/>
        </w:rPr>
        <w:br w:type="page"/>
      </w:r>
    </w:p>
    <w:p w14:paraId="3DBB0598" w14:textId="7C3C07D4" w:rsidR="00736DD8" w:rsidRDefault="00736DD8" w:rsidP="00736DD8">
      <w:pPr>
        <w:pStyle w:val="TableHeading"/>
        <w:spacing w:before="0"/>
        <w:rPr>
          <w:b w:val="0"/>
          <w:snapToGrid w:val="0"/>
        </w:rPr>
      </w:pPr>
      <w:r>
        <w:rPr>
          <w:snapToGrid w:val="0"/>
        </w:rPr>
        <w:t>Table 3.5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Pr>
          <w:snapToGrid w:val="0"/>
        </w:rPr>
        <w:t xml:space="preserve"> (continued)</w:t>
      </w:r>
      <w:r w:rsidRPr="008D4221">
        <w:rPr>
          <w:b w:val="0"/>
          <w:snapToGrid w:val="0"/>
        </w:rPr>
        <w:t xml:space="preserve"> </w:t>
      </w:r>
    </w:p>
    <w:tbl>
      <w:tblPr>
        <w:tblW w:w="7642" w:type="dxa"/>
        <w:jc w:val="center"/>
        <w:tblLayout w:type="fixed"/>
        <w:tblLook w:val="04A0" w:firstRow="1" w:lastRow="0" w:firstColumn="1" w:lastColumn="0" w:noHBand="0" w:noVBand="1"/>
      </w:tblPr>
      <w:tblGrid>
        <w:gridCol w:w="3042"/>
        <w:gridCol w:w="920"/>
        <w:gridCol w:w="920"/>
        <w:gridCol w:w="920"/>
        <w:gridCol w:w="920"/>
        <w:gridCol w:w="920"/>
      </w:tblGrid>
      <w:tr w:rsidR="00393CA8" w:rsidRPr="00393CA8" w14:paraId="2D387018" w14:textId="77777777" w:rsidTr="003F4C37">
        <w:trPr>
          <w:trHeight w:val="737"/>
          <w:jc w:val="center"/>
        </w:trPr>
        <w:tc>
          <w:tcPr>
            <w:tcW w:w="3042" w:type="dxa"/>
            <w:tcBorders>
              <w:top w:val="single" w:sz="4" w:space="0" w:color="auto"/>
              <w:left w:val="nil"/>
              <w:bottom w:val="nil"/>
              <w:right w:val="nil"/>
            </w:tcBorders>
            <w:shd w:val="clear" w:color="auto" w:fill="auto"/>
            <w:noWrap/>
            <w:hideMark/>
          </w:tcPr>
          <w:p w14:paraId="0634B69A" w14:textId="77777777" w:rsidR="00393CA8" w:rsidRPr="00393CA8" w:rsidRDefault="00393CA8" w:rsidP="00393CA8">
            <w:pPr>
              <w:spacing w:before="24" w:after="0" w:line="240" w:lineRule="auto"/>
              <w:jc w:val="right"/>
              <w:rPr>
                <w:rFonts w:ascii="Arial" w:hAnsi="Arial" w:cs="Arial"/>
                <w:b/>
                <w:bCs/>
                <w:color w:val="000000"/>
                <w:sz w:val="16"/>
                <w:szCs w:val="16"/>
              </w:rPr>
            </w:pPr>
            <w:r w:rsidRPr="00393CA8">
              <w:rPr>
                <w:rFonts w:ascii="Arial" w:hAnsi="Arial" w:cs="Arial"/>
                <w:b/>
                <w:bCs/>
                <w:color w:val="000000"/>
                <w:sz w:val="16"/>
                <w:szCs w:val="16"/>
              </w:rPr>
              <w:t> </w:t>
            </w:r>
          </w:p>
        </w:tc>
        <w:tc>
          <w:tcPr>
            <w:tcW w:w="920" w:type="dxa"/>
            <w:tcBorders>
              <w:top w:val="single" w:sz="4" w:space="0" w:color="auto"/>
              <w:left w:val="nil"/>
              <w:bottom w:val="single" w:sz="4" w:space="0" w:color="auto"/>
              <w:right w:val="nil"/>
            </w:tcBorders>
            <w:shd w:val="clear" w:color="auto" w:fill="auto"/>
            <w:noWrap/>
            <w:hideMark/>
          </w:tcPr>
          <w:p w14:paraId="2F4DDD55" w14:textId="59001A86" w:rsidR="00393CA8" w:rsidRPr="00393CA8" w:rsidRDefault="00393CA8" w:rsidP="00393CA8">
            <w:pPr>
              <w:spacing w:before="24" w:after="0" w:line="240" w:lineRule="auto"/>
              <w:jc w:val="right"/>
              <w:rPr>
                <w:rFonts w:ascii="Arial" w:hAnsi="Arial" w:cs="Arial"/>
                <w:b/>
                <w:bCs/>
                <w:color w:val="000000"/>
                <w:sz w:val="16"/>
                <w:szCs w:val="16"/>
              </w:rPr>
            </w:pPr>
            <w:r>
              <w:rPr>
                <w:rFonts w:ascii="Arial" w:hAnsi="Arial" w:cs="Arial"/>
                <w:b/>
                <w:bCs/>
                <w:color w:val="000000"/>
                <w:sz w:val="16"/>
                <w:szCs w:val="16"/>
              </w:rPr>
              <w:t>2022–</w:t>
            </w:r>
            <w:r w:rsidRPr="00393CA8">
              <w:rPr>
                <w:rFonts w:ascii="Arial" w:hAnsi="Arial" w:cs="Arial"/>
                <w:b/>
                <w:bCs/>
                <w:color w:val="000000"/>
                <w:sz w:val="16"/>
                <w:szCs w:val="16"/>
              </w:rPr>
              <w:t>23</w:t>
            </w:r>
            <w:r w:rsidRPr="00393CA8">
              <w:rPr>
                <w:rFonts w:ascii="Arial" w:hAnsi="Arial" w:cs="Arial"/>
                <w:b/>
                <w:bCs/>
                <w:color w:val="000000"/>
                <w:sz w:val="16"/>
                <w:szCs w:val="16"/>
              </w:rPr>
              <w:br/>
              <w:t>Actual</w:t>
            </w:r>
            <w:r w:rsidRPr="00393CA8">
              <w:rPr>
                <w:rFonts w:ascii="Arial" w:hAnsi="Arial" w:cs="Arial"/>
                <w:b/>
                <w:bCs/>
                <w:color w:val="000000"/>
                <w:sz w:val="16"/>
                <w:szCs w:val="16"/>
              </w:rPr>
              <w:br/>
            </w:r>
            <w:r w:rsidRPr="00393CA8">
              <w:rPr>
                <w:rFonts w:ascii="Arial" w:hAnsi="Arial" w:cs="Arial"/>
                <w:b/>
                <w:bCs/>
                <w:color w:val="000000"/>
                <w:sz w:val="16"/>
                <w:szCs w:val="16"/>
              </w:rPr>
              <w:br/>
            </w:r>
            <w:r w:rsidRPr="003F4C37">
              <w:rPr>
                <w:rFonts w:ascii="Arial" w:hAnsi="Arial" w:cs="Arial"/>
                <w:bCs/>
                <w:color w:val="000000"/>
                <w:sz w:val="16"/>
                <w:szCs w:val="16"/>
              </w:rPr>
              <w:t>$'000</w:t>
            </w:r>
          </w:p>
        </w:tc>
        <w:tc>
          <w:tcPr>
            <w:tcW w:w="920" w:type="dxa"/>
            <w:tcBorders>
              <w:top w:val="single" w:sz="4" w:space="0" w:color="auto"/>
              <w:left w:val="nil"/>
              <w:bottom w:val="single" w:sz="4" w:space="0" w:color="auto"/>
              <w:right w:val="nil"/>
            </w:tcBorders>
            <w:shd w:val="clear" w:color="000000" w:fill="D9D9D9"/>
            <w:noWrap/>
            <w:hideMark/>
          </w:tcPr>
          <w:p w14:paraId="5930BFDF" w14:textId="7D929299" w:rsidR="00393CA8" w:rsidRPr="00393CA8" w:rsidRDefault="00393CA8" w:rsidP="00393CA8">
            <w:pPr>
              <w:spacing w:before="24" w:after="0" w:line="240" w:lineRule="auto"/>
              <w:jc w:val="right"/>
              <w:rPr>
                <w:rFonts w:ascii="Arial" w:hAnsi="Arial" w:cs="Arial"/>
                <w:b/>
                <w:bCs/>
                <w:color w:val="000000"/>
                <w:sz w:val="16"/>
                <w:szCs w:val="16"/>
              </w:rPr>
            </w:pPr>
            <w:r>
              <w:rPr>
                <w:rFonts w:ascii="Arial" w:hAnsi="Arial" w:cs="Arial"/>
                <w:b/>
                <w:bCs/>
                <w:color w:val="000000"/>
                <w:sz w:val="16"/>
                <w:szCs w:val="16"/>
              </w:rPr>
              <w:t>2023–</w:t>
            </w:r>
            <w:r w:rsidRPr="00393CA8">
              <w:rPr>
                <w:rFonts w:ascii="Arial" w:hAnsi="Arial" w:cs="Arial"/>
                <w:b/>
                <w:bCs/>
                <w:color w:val="000000"/>
                <w:sz w:val="16"/>
                <w:szCs w:val="16"/>
              </w:rPr>
              <w:t>24</w:t>
            </w:r>
            <w:r w:rsidRPr="00393CA8">
              <w:rPr>
                <w:rFonts w:ascii="Arial" w:hAnsi="Arial" w:cs="Arial"/>
                <w:b/>
                <w:bCs/>
                <w:color w:val="000000"/>
                <w:sz w:val="16"/>
                <w:szCs w:val="16"/>
              </w:rPr>
              <w:br/>
              <w:t xml:space="preserve">Revised Budget  </w:t>
            </w:r>
            <w:r w:rsidRPr="00393CA8">
              <w:rPr>
                <w:rFonts w:ascii="Arial" w:hAnsi="Arial" w:cs="Arial"/>
                <w:b/>
                <w:bCs/>
                <w:color w:val="000000"/>
                <w:sz w:val="16"/>
                <w:szCs w:val="16"/>
              </w:rPr>
              <w:br/>
            </w:r>
            <w:r w:rsidRPr="003F4C37">
              <w:rPr>
                <w:rFonts w:ascii="Arial" w:hAnsi="Arial" w:cs="Arial"/>
                <w:bCs/>
                <w:color w:val="000000"/>
                <w:sz w:val="16"/>
                <w:szCs w:val="16"/>
              </w:rPr>
              <w:t>$'000</w:t>
            </w:r>
          </w:p>
        </w:tc>
        <w:tc>
          <w:tcPr>
            <w:tcW w:w="920" w:type="dxa"/>
            <w:tcBorders>
              <w:top w:val="single" w:sz="4" w:space="0" w:color="auto"/>
              <w:left w:val="nil"/>
              <w:bottom w:val="single" w:sz="4" w:space="0" w:color="auto"/>
              <w:right w:val="nil"/>
            </w:tcBorders>
            <w:shd w:val="clear" w:color="auto" w:fill="auto"/>
            <w:noWrap/>
            <w:hideMark/>
          </w:tcPr>
          <w:p w14:paraId="3E3DBE7B" w14:textId="362CF25C" w:rsidR="00393CA8" w:rsidRPr="00393CA8" w:rsidRDefault="00393CA8" w:rsidP="00393CA8">
            <w:pPr>
              <w:spacing w:before="24" w:after="0" w:line="240" w:lineRule="auto"/>
              <w:jc w:val="right"/>
              <w:rPr>
                <w:rFonts w:ascii="Arial" w:hAnsi="Arial" w:cs="Arial"/>
                <w:b/>
                <w:bCs/>
                <w:color w:val="000000"/>
                <w:sz w:val="16"/>
                <w:szCs w:val="16"/>
              </w:rPr>
            </w:pPr>
            <w:r>
              <w:rPr>
                <w:rFonts w:ascii="Arial" w:hAnsi="Arial" w:cs="Arial"/>
                <w:b/>
                <w:bCs/>
                <w:color w:val="000000"/>
                <w:sz w:val="16"/>
                <w:szCs w:val="16"/>
              </w:rPr>
              <w:t>2024–</w:t>
            </w:r>
            <w:r w:rsidRPr="00393CA8">
              <w:rPr>
                <w:rFonts w:ascii="Arial" w:hAnsi="Arial" w:cs="Arial"/>
                <w:b/>
                <w:bCs/>
                <w:color w:val="000000"/>
                <w:sz w:val="16"/>
                <w:szCs w:val="16"/>
              </w:rPr>
              <w:t>25</w:t>
            </w:r>
            <w:r w:rsidRPr="00393CA8">
              <w:rPr>
                <w:rFonts w:ascii="Arial" w:hAnsi="Arial" w:cs="Arial"/>
                <w:b/>
                <w:bCs/>
                <w:color w:val="000000"/>
                <w:sz w:val="16"/>
                <w:szCs w:val="16"/>
              </w:rPr>
              <w:br/>
              <w:t xml:space="preserve">Forward estimate </w:t>
            </w:r>
            <w:r w:rsidRPr="003F4C37">
              <w:rPr>
                <w:rFonts w:ascii="Arial" w:hAnsi="Arial" w:cs="Arial"/>
                <w:bCs/>
                <w:color w:val="000000"/>
                <w:sz w:val="16"/>
                <w:szCs w:val="16"/>
              </w:rPr>
              <w:t>$'000</w:t>
            </w:r>
          </w:p>
        </w:tc>
        <w:tc>
          <w:tcPr>
            <w:tcW w:w="920" w:type="dxa"/>
            <w:tcBorders>
              <w:top w:val="single" w:sz="4" w:space="0" w:color="auto"/>
              <w:left w:val="nil"/>
              <w:bottom w:val="single" w:sz="4" w:space="0" w:color="auto"/>
              <w:right w:val="nil"/>
            </w:tcBorders>
            <w:shd w:val="clear" w:color="auto" w:fill="auto"/>
            <w:noWrap/>
            <w:hideMark/>
          </w:tcPr>
          <w:p w14:paraId="61C140CF" w14:textId="6D11C297" w:rsidR="00393CA8" w:rsidRPr="00393CA8" w:rsidRDefault="00393CA8" w:rsidP="00393CA8">
            <w:pPr>
              <w:spacing w:before="24" w:after="0" w:line="240" w:lineRule="auto"/>
              <w:jc w:val="right"/>
              <w:rPr>
                <w:rFonts w:ascii="Arial" w:hAnsi="Arial" w:cs="Arial"/>
                <w:b/>
                <w:bCs/>
                <w:color w:val="000000"/>
                <w:sz w:val="16"/>
                <w:szCs w:val="16"/>
              </w:rPr>
            </w:pPr>
            <w:r w:rsidRPr="00393CA8">
              <w:rPr>
                <w:rFonts w:ascii="Arial" w:hAnsi="Arial" w:cs="Arial"/>
                <w:b/>
                <w:bCs/>
                <w:color w:val="000000"/>
                <w:sz w:val="16"/>
                <w:szCs w:val="16"/>
              </w:rPr>
              <w:t>2025</w:t>
            </w:r>
            <w:r>
              <w:rPr>
                <w:rFonts w:ascii="Arial" w:hAnsi="Arial" w:cs="Arial"/>
                <w:b/>
                <w:bCs/>
                <w:color w:val="000000"/>
                <w:sz w:val="16"/>
                <w:szCs w:val="16"/>
              </w:rPr>
              <w:t>–</w:t>
            </w:r>
            <w:r w:rsidRPr="00393CA8">
              <w:rPr>
                <w:rFonts w:ascii="Arial" w:hAnsi="Arial" w:cs="Arial"/>
                <w:b/>
                <w:bCs/>
                <w:color w:val="000000"/>
                <w:sz w:val="16"/>
                <w:szCs w:val="16"/>
              </w:rPr>
              <w:t>26</w:t>
            </w:r>
            <w:r w:rsidRPr="00393CA8">
              <w:rPr>
                <w:rFonts w:ascii="Arial" w:hAnsi="Arial" w:cs="Arial"/>
                <w:b/>
                <w:bCs/>
                <w:color w:val="000000"/>
                <w:sz w:val="16"/>
                <w:szCs w:val="16"/>
              </w:rPr>
              <w:br/>
              <w:t xml:space="preserve">Forward estimate </w:t>
            </w:r>
            <w:r w:rsidRPr="003F4C37">
              <w:rPr>
                <w:rFonts w:ascii="Arial" w:hAnsi="Arial" w:cs="Arial"/>
                <w:bCs/>
                <w:color w:val="000000"/>
                <w:sz w:val="16"/>
                <w:szCs w:val="16"/>
              </w:rPr>
              <w:t>$'000</w:t>
            </w:r>
          </w:p>
        </w:tc>
        <w:tc>
          <w:tcPr>
            <w:tcW w:w="920" w:type="dxa"/>
            <w:tcBorders>
              <w:top w:val="single" w:sz="4" w:space="0" w:color="auto"/>
              <w:left w:val="nil"/>
              <w:bottom w:val="single" w:sz="4" w:space="0" w:color="auto"/>
              <w:right w:val="nil"/>
            </w:tcBorders>
            <w:shd w:val="clear" w:color="auto" w:fill="auto"/>
            <w:noWrap/>
            <w:hideMark/>
          </w:tcPr>
          <w:p w14:paraId="4DE03405" w14:textId="7256167F" w:rsidR="00393CA8" w:rsidRPr="00393CA8" w:rsidRDefault="00393CA8" w:rsidP="00393CA8">
            <w:pPr>
              <w:spacing w:before="24" w:after="0" w:line="240" w:lineRule="auto"/>
              <w:jc w:val="right"/>
              <w:rPr>
                <w:rFonts w:ascii="Arial" w:hAnsi="Arial" w:cs="Arial"/>
                <w:b/>
                <w:bCs/>
                <w:color w:val="000000"/>
                <w:sz w:val="16"/>
                <w:szCs w:val="16"/>
              </w:rPr>
            </w:pPr>
            <w:r w:rsidRPr="00393CA8">
              <w:rPr>
                <w:rFonts w:ascii="Arial" w:hAnsi="Arial" w:cs="Arial"/>
                <w:b/>
                <w:bCs/>
                <w:color w:val="000000"/>
                <w:sz w:val="16"/>
                <w:szCs w:val="16"/>
              </w:rPr>
              <w:t>2026</w:t>
            </w:r>
            <w:r>
              <w:rPr>
                <w:rFonts w:ascii="Arial" w:hAnsi="Arial" w:cs="Arial"/>
                <w:b/>
                <w:bCs/>
                <w:color w:val="000000"/>
                <w:sz w:val="16"/>
                <w:szCs w:val="16"/>
              </w:rPr>
              <w:t>–</w:t>
            </w:r>
            <w:r w:rsidRPr="00393CA8">
              <w:rPr>
                <w:rFonts w:ascii="Arial" w:hAnsi="Arial" w:cs="Arial"/>
                <w:b/>
                <w:bCs/>
                <w:color w:val="000000"/>
                <w:sz w:val="16"/>
                <w:szCs w:val="16"/>
              </w:rPr>
              <w:t>27</w:t>
            </w:r>
            <w:r w:rsidRPr="00393CA8">
              <w:rPr>
                <w:rFonts w:ascii="Arial" w:hAnsi="Arial" w:cs="Arial"/>
                <w:b/>
                <w:bCs/>
                <w:color w:val="000000"/>
                <w:sz w:val="16"/>
                <w:szCs w:val="16"/>
              </w:rPr>
              <w:br/>
              <w:t xml:space="preserve">Forward estimate </w:t>
            </w:r>
            <w:r w:rsidRPr="003F4C37">
              <w:rPr>
                <w:rFonts w:ascii="Arial" w:hAnsi="Arial" w:cs="Arial"/>
                <w:bCs/>
                <w:color w:val="000000"/>
                <w:sz w:val="16"/>
                <w:szCs w:val="16"/>
              </w:rPr>
              <w:t>$'000</w:t>
            </w:r>
          </w:p>
        </w:tc>
      </w:tr>
      <w:tr w:rsidR="00393CA8" w:rsidRPr="00393CA8" w14:paraId="6A035D45" w14:textId="77777777" w:rsidTr="00622C82">
        <w:trPr>
          <w:trHeight w:val="283"/>
          <w:jc w:val="center"/>
        </w:trPr>
        <w:tc>
          <w:tcPr>
            <w:tcW w:w="3042" w:type="dxa"/>
            <w:tcBorders>
              <w:top w:val="nil"/>
              <w:left w:val="nil"/>
              <w:bottom w:val="nil"/>
              <w:right w:val="nil"/>
            </w:tcBorders>
            <w:shd w:val="clear" w:color="auto" w:fill="auto"/>
            <w:noWrap/>
            <w:vAlign w:val="bottom"/>
            <w:hideMark/>
          </w:tcPr>
          <w:p w14:paraId="1E05A22F" w14:textId="77777777" w:rsidR="00393CA8" w:rsidRPr="00393CA8" w:rsidRDefault="00393CA8" w:rsidP="00393CA8">
            <w:pPr>
              <w:spacing w:before="0" w:after="0" w:line="240" w:lineRule="auto"/>
              <w:rPr>
                <w:rFonts w:ascii="Arial" w:hAnsi="Arial" w:cs="Arial"/>
                <w:b/>
                <w:bCs/>
                <w:color w:val="000000"/>
                <w:sz w:val="16"/>
                <w:szCs w:val="16"/>
              </w:rPr>
            </w:pPr>
            <w:r w:rsidRPr="00393CA8">
              <w:rPr>
                <w:rFonts w:ascii="Arial" w:hAnsi="Arial" w:cs="Arial"/>
                <w:b/>
                <w:bCs/>
                <w:color w:val="000000"/>
                <w:sz w:val="16"/>
                <w:szCs w:val="16"/>
              </w:rPr>
              <w:t>INVESTING ACTIVITIES</w:t>
            </w:r>
          </w:p>
        </w:tc>
        <w:tc>
          <w:tcPr>
            <w:tcW w:w="920" w:type="dxa"/>
            <w:tcBorders>
              <w:top w:val="single" w:sz="4" w:space="0" w:color="auto"/>
              <w:left w:val="nil"/>
              <w:bottom w:val="nil"/>
              <w:right w:val="nil"/>
            </w:tcBorders>
            <w:shd w:val="clear" w:color="auto" w:fill="auto"/>
            <w:noWrap/>
            <w:vAlign w:val="bottom"/>
            <w:hideMark/>
          </w:tcPr>
          <w:p w14:paraId="592BA968" w14:textId="77777777" w:rsidR="00393CA8" w:rsidRPr="00393CA8" w:rsidRDefault="00393CA8" w:rsidP="00393CA8">
            <w:pPr>
              <w:spacing w:before="0" w:after="0" w:line="240" w:lineRule="auto"/>
              <w:rPr>
                <w:rFonts w:ascii="Arial" w:hAnsi="Arial" w:cs="Arial"/>
                <w:b/>
                <w:bCs/>
                <w:color w:val="000000"/>
                <w:sz w:val="16"/>
                <w:szCs w:val="16"/>
              </w:rPr>
            </w:pPr>
          </w:p>
        </w:tc>
        <w:tc>
          <w:tcPr>
            <w:tcW w:w="920" w:type="dxa"/>
            <w:tcBorders>
              <w:top w:val="single" w:sz="4" w:space="0" w:color="auto"/>
              <w:left w:val="nil"/>
              <w:bottom w:val="nil"/>
              <w:right w:val="nil"/>
            </w:tcBorders>
            <w:shd w:val="clear" w:color="000000" w:fill="D9D9D9"/>
            <w:noWrap/>
            <w:vAlign w:val="bottom"/>
            <w:hideMark/>
          </w:tcPr>
          <w:p w14:paraId="7B0EEDCB"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single" w:sz="4" w:space="0" w:color="auto"/>
              <w:left w:val="nil"/>
              <w:bottom w:val="nil"/>
              <w:right w:val="nil"/>
            </w:tcBorders>
            <w:shd w:val="clear" w:color="auto" w:fill="auto"/>
            <w:noWrap/>
            <w:vAlign w:val="bottom"/>
            <w:hideMark/>
          </w:tcPr>
          <w:p w14:paraId="06C57DFC"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single" w:sz="4" w:space="0" w:color="auto"/>
              <w:left w:val="nil"/>
              <w:bottom w:val="nil"/>
              <w:right w:val="nil"/>
            </w:tcBorders>
            <w:shd w:val="clear" w:color="auto" w:fill="auto"/>
            <w:noWrap/>
            <w:vAlign w:val="bottom"/>
            <w:hideMark/>
          </w:tcPr>
          <w:p w14:paraId="617EDC20"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single" w:sz="4" w:space="0" w:color="auto"/>
              <w:left w:val="nil"/>
              <w:bottom w:val="nil"/>
              <w:right w:val="nil"/>
            </w:tcBorders>
            <w:shd w:val="clear" w:color="auto" w:fill="auto"/>
            <w:noWrap/>
            <w:vAlign w:val="bottom"/>
            <w:hideMark/>
          </w:tcPr>
          <w:p w14:paraId="5ACF9E93"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050129E5"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1E1E012D"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received</w:t>
            </w:r>
          </w:p>
        </w:tc>
        <w:tc>
          <w:tcPr>
            <w:tcW w:w="920" w:type="dxa"/>
            <w:tcBorders>
              <w:top w:val="nil"/>
              <w:left w:val="nil"/>
              <w:bottom w:val="nil"/>
              <w:right w:val="nil"/>
            </w:tcBorders>
            <w:shd w:val="clear" w:color="auto" w:fill="auto"/>
            <w:noWrap/>
            <w:vAlign w:val="bottom"/>
            <w:hideMark/>
          </w:tcPr>
          <w:p w14:paraId="001FDE6A"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61A42B6C"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7222C0CC"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A4B5649"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7739F1E1"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55DFDB65" w14:textId="77777777" w:rsidTr="00622C82">
        <w:trPr>
          <w:trHeight w:val="425"/>
          <w:jc w:val="center"/>
        </w:trPr>
        <w:tc>
          <w:tcPr>
            <w:tcW w:w="3042" w:type="dxa"/>
            <w:tcBorders>
              <w:top w:val="nil"/>
              <w:left w:val="nil"/>
              <w:bottom w:val="nil"/>
              <w:right w:val="nil"/>
            </w:tcBorders>
            <w:shd w:val="clear" w:color="auto" w:fill="auto"/>
            <w:vAlign w:val="bottom"/>
            <w:hideMark/>
          </w:tcPr>
          <w:p w14:paraId="18B0F210" w14:textId="77777777" w:rsidR="00393CA8" w:rsidRPr="00393CA8" w:rsidRDefault="00393CA8" w:rsidP="006B3D0B">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 xml:space="preserve">Proceeds from sales of property, </w:t>
            </w:r>
            <w:proofErr w:type="gramStart"/>
            <w:r w:rsidRPr="00393CA8">
              <w:rPr>
                <w:rFonts w:ascii="Arial" w:hAnsi="Arial" w:cs="Arial"/>
                <w:color w:val="000000"/>
                <w:sz w:val="16"/>
                <w:szCs w:val="16"/>
              </w:rPr>
              <w:t>plant</w:t>
            </w:r>
            <w:proofErr w:type="gramEnd"/>
            <w:r w:rsidRPr="00393CA8">
              <w:rPr>
                <w:rFonts w:ascii="Arial" w:hAnsi="Arial" w:cs="Arial"/>
                <w:color w:val="000000"/>
                <w:sz w:val="16"/>
                <w:szCs w:val="16"/>
              </w:rPr>
              <w:t xml:space="preserve"> and equipment</w:t>
            </w:r>
          </w:p>
        </w:tc>
        <w:tc>
          <w:tcPr>
            <w:tcW w:w="920" w:type="dxa"/>
            <w:tcBorders>
              <w:top w:val="nil"/>
              <w:left w:val="nil"/>
              <w:bottom w:val="nil"/>
              <w:right w:val="nil"/>
            </w:tcBorders>
            <w:shd w:val="clear" w:color="auto" w:fill="auto"/>
            <w:noWrap/>
            <w:vAlign w:val="bottom"/>
            <w:hideMark/>
          </w:tcPr>
          <w:p w14:paraId="5743084F"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0" w:type="dxa"/>
            <w:tcBorders>
              <w:top w:val="nil"/>
              <w:left w:val="nil"/>
              <w:bottom w:val="nil"/>
              <w:right w:val="nil"/>
            </w:tcBorders>
            <w:shd w:val="clear" w:color="000000" w:fill="D9D9D9"/>
            <w:noWrap/>
            <w:vAlign w:val="bottom"/>
            <w:hideMark/>
          </w:tcPr>
          <w:p w14:paraId="41A296E4"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0" w:type="dxa"/>
            <w:tcBorders>
              <w:top w:val="nil"/>
              <w:left w:val="nil"/>
              <w:bottom w:val="nil"/>
              <w:right w:val="nil"/>
            </w:tcBorders>
            <w:shd w:val="clear" w:color="auto" w:fill="auto"/>
            <w:noWrap/>
            <w:vAlign w:val="bottom"/>
            <w:hideMark/>
          </w:tcPr>
          <w:p w14:paraId="15837AA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0" w:type="dxa"/>
            <w:tcBorders>
              <w:top w:val="nil"/>
              <w:left w:val="nil"/>
              <w:bottom w:val="nil"/>
              <w:right w:val="nil"/>
            </w:tcBorders>
            <w:shd w:val="clear" w:color="auto" w:fill="auto"/>
            <w:noWrap/>
            <w:vAlign w:val="bottom"/>
            <w:hideMark/>
          </w:tcPr>
          <w:p w14:paraId="700519A1"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c>
          <w:tcPr>
            <w:tcW w:w="920" w:type="dxa"/>
            <w:tcBorders>
              <w:top w:val="nil"/>
              <w:left w:val="nil"/>
              <w:bottom w:val="nil"/>
              <w:right w:val="nil"/>
            </w:tcBorders>
            <w:shd w:val="clear" w:color="auto" w:fill="auto"/>
            <w:noWrap/>
            <w:vAlign w:val="bottom"/>
            <w:hideMark/>
          </w:tcPr>
          <w:p w14:paraId="0EB521D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w:t>
            </w:r>
          </w:p>
        </w:tc>
      </w:tr>
      <w:tr w:rsidR="00393CA8" w:rsidRPr="00393CA8" w14:paraId="0ACD5A3E"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07F08491" w14:textId="77777777" w:rsidR="00393CA8" w:rsidRPr="00393CA8" w:rsidRDefault="00393CA8" w:rsidP="006B3D0B">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received</w:t>
            </w:r>
          </w:p>
        </w:tc>
        <w:tc>
          <w:tcPr>
            <w:tcW w:w="920" w:type="dxa"/>
            <w:tcBorders>
              <w:top w:val="nil"/>
              <w:left w:val="nil"/>
              <w:bottom w:val="single" w:sz="4" w:space="0" w:color="auto"/>
              <w:right w:val="nil"/>
            </w:tcBorders>
            <w:shd w:val="clear" w:color="auto" w:fill="auto"/>
            <w:noWrap/>
            <w:vAlign w:val="bottom"/>
            <w:hideMark/>
          </w:tcPr>
          <w:p w14:paraId="311A5E1B"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w:t>
            </w:r>
          </w:p>
        </w:tc>
        <w:tc>
          <w:tcPr>
            <w:tcW w:w="920" w:type="dxa"/>
            <w:tcBorders>
              <w:top w:val="nil"/>
              <w:left w:val="nil"/>
              <w:bottom w:val="single" w:sz="4" w:space="0" w:color="auto"/>
              <w:right w:val="nil"/>
            </w:tcBorders>
            <w:shd w:val="clear" w:color="000000" w:fill="D9D9D9"/>
            <w:noWrap/>
            <w:vAlign w:val="bottom"/>
            <w:hideMark/>
          </w:tcPr>
          <w:p w14:paraId="5B990AD2"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w:t>
            </w:r>
          </w:p>
        </w:tc>
        <w:tc>
          <w:tcPr>
            <w:tcW w:w="920" w:type="dxa"/>
            <w:tcBorders>
              <w:top w:val="nil"/>
              <w:left w:val="nil"/>
              <w:bottom w:val="single" w:sz="4" w:space="0" w:color="auto"/>
              <w:right w:val="nil"/>
            </w:tcBorders>
            <w:shd w:val="clear" w:color="auto" w:fill="auto"/>
            <w:noWrap/>
            <w:vAlign w:val="bottom"/>
            <w:hideMark/>
          </w:tcPr>
          <w:p w14:paraId="19411267"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w:t>
            </w:r>
          </w:p>
        </w:tc>
        <w:tc>
          <w:tcPr>
            <w:tcW w:w="920" w:type="dxa"/>
            <w:tcBorders>
              <w:top w:val="nil"/>
              <w:left w:val="nil"/>
              <w:bottom w:val="single" w:sz="4" w:space="0" w:color="auto"/>
              <w:right w:val="nil"/>
            </w:tcBorders>
            <w:shd w:val="clear" w:color="auto" w:fill="auto"/>
            <w:noWrap/>
            <w:vAlign w:val="bottom"/>
            <w:hideMark/>
          </w:tcPr>
          <w:p w14:paraId="706BB369"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w:t>
            </w:r>
          </w:p>
        </w:tc>
        <w:tc>
          <w:tcPr>
            <w:tcW w:w="920" w:type="dxa"/>
            <w:tcBorders>
              <w:top w:val="nil"/>
              <w:left w:val="nil"/>
              <w:bottom w:val="single" w:sz="4" w:space="0" w:color="auto"/>
              <w:right w:val="nil"/>
            </w:tcBorders>
            <w:shd w:val="clear" w:color="auto" w:fill="auto"/>
            <w:noWrap/>
            <w:vAlign w:val="bottom"/>
            <w:hideMark/>
          </w:tcPr>
          <w:p w14:paraId="6ECEB39C"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w:t>
            </w:r>
          </w:p>
        </w:tc>
      </w:tr>
      <w:tr w:rsidR="00393CA8" w:rsidRPr="00393CA8" w14:paraId="024BD12F" w14:textId="77777777" w:rsidTr="00622C82">
        <w:trPr>
          <w:trHeight w:val="283"/>
          <w:jc w:val="center"/>
        </w:trPr>
        <w:tc>
          <w:tcPr>
            <w:tcW w:w="3042" w:type="dxa"/>
            <w:tcBorders>
              <w:top w:val="nil"/>
              <w:left w:val="nil"/>
              <w:bottom w:val="nil"/>
              <w:right w:val="nil"/>
            </w:tcBorders>
            <w:shd w:val="clear" w:color="auto" w:fill="auto"/>
            <w:noWrap/>
            <w:vAlign w:val="bottom"/>
            <w:hideMark/>
          </w:tcPr>
          <w:p w14:paraId="030BA5AA"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used</w:t>
            </w:r>
          </w:p>
        </w:tc>
        <w:tc>
          <w:tcPr>
            <w:tcW w:w="920" w:type="dxa"/>
            <w:tcBorders>
              <w:top w:val="nil"/>
              <w:left w:val="nil"/>
              <w:bottom w:val="nil"/>
              <w:right w:val="nil"/>
            </w:tcBorders>
            <w:shd w:val="clear" w:color="auto" w:fill="auto"/>
            <w:noWrap/>
            <w:vAlign w:val="bottom"/>
            <w:hideMark/>
          </w:tcPr>
          <w:p w14:paraId="70DF1384"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38FCA7F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4FC4869F"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416D5E13"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BBED05A"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7C838ABB" w14:textId="77777777" w:rsidTr="00622C82">
        <w:trPr>
          <w:trHeight w:val="425"/>
          <w:jc w:val="center"/>
        </w:trPr>
        <w:tc>
          <w:tcPr>
            <w:tcW w:w="3042" w:type="dxa"/>
            <w:tcBorders>
              <w:top w:val="nil"/>
              <w:left w:val="nil"/>
              <w:bottom w:val="nil"/>
              <w:right w:val="nil"/>
            </w:tcBorders>
            <w:shd w:val="clear" w:color="auto" w:fill="auto"/>
            <w:vAlign w:val="bottom"/>
            <w:hideMark/>
          </w:tcPr>
          <w:p w14:paraId="31A4AC4D" w14:textId="77777777" w:rsidR="00393CA8" w:rsidRPr="00393CA8" w:rsidRDefault="00393CA8" w:rsidP="006B3D0B">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 xml:space="preserve">Purchase of property, </w:t>
            </w:r>
            <w:proofErr w:type="gramStart"/>
            <w:r w:rsidRPr="00393CA8">
              <w:rPr>
                <w:rFonts w:ascii="Arial" w:hAnsi="Arial" w:cs="Arial"/>
                <w:color w:val="000000"/>
                <w:sz w:val="16"/>
                <w:szCs w:val="16"/>
              </w:rPr>
              <w:t>plant</w:t>
            </w:r>
            <w:proofErr w:type="gramEnd"/>
            <w:r w:rsidRPr="00393CA8">
              <w:rPr>
                <w:rFonts w:ascii="Arial" w:hAnsi="Arial" w:cs="Arial"/>
                <w:color w:val="000000"/>
                <w:sz w:val="16"/>
                <w:szCs w:val="16"/>
              </w:rPr>
              <w:t xml:space="preserve"> and equipment</w:t>
            </w:r>
          </w:p>
        </w:tc>
        <w:tc>
          <w:tcPr>
            <w:tcW w:w="920" w:type="dxa"/>
            <w:tcBorders>
              <w:top w:val="nil"/>
              <w:left w:val="nil"/>
              <w:bottom w:val="nil"/>
              <w:right w:val="nil"/>
            </w:tcBorders>
            <w:shd w:val="clear" w:color="auto" w:fill="auto"/>
            <w:noWrap/>
            <w:vAlign w:val="bottom"/>
            <w:hideMark/>
          </w:tcPr>
          <w:p w14:paraId="1572D09B"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191,315</w:t>
            </w:r>
          </w:p>
        </w:tc>
        <w:tc>
          <w:tcPr>
            <w:tcW w:w="920" w:type="dxa"/>
            <w:tcBorders>
              <w:top w:val="nil"/>
              <w:left w:val="nil"/>
              <w:bottom w:val="nil"/>
              <w:right w:val="nil"/>
            </w:tcBorders>
            <w:shd w:val="clear" w:color="000000" w:fill="D9D9D9"/>
            <w:noWrap/>
            <w:vAlign w:val="bottom"/>
            <w:hideMark/>
          </w:tcPr>
          <w:p w14:paraId="70B9917D"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277,181</w:t>
            </w:r>
          </w:p>
        </w:tc>
        <w:tc>
          <w:tcPr>
            <w:tcW w:w="920" w:type="dxa"/>
            <w:tcBorders>
              <w:top w:val="nil"/>
              <w:left w:val="nil"/>
              <w:bottom w:val="nil"/>
              <w:right w:val="nil"/>
            </w:tcBorders>
            <w:shd w:val="clear" w:color="auto" w:fill="auto"/>
            <w:noWrap/>
            <w:vAlign w:val="bottom"/>
            <w:hideMark/>
          </w:tcPr>
          <w:p w14:paraId="1A0F57AE"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56,870</w:t>
            </w:r>
          </w:p>
        </w:tc>
        <w:tc>
          <w:tcPr>
            <w:tcW w:w="920" w:type="dxa"/>
            <w:tcBorders>
              <w:top w:val="nil"/>
              <w:left w:val="nil"/>
              <w:bottom w:val="nil"/>
              <w:right w:val="nil"/>
            </w:tcBorders>
            <w:shd w:val="clear" w:color="auto" w:fill="auto"/>
            <w:noWrap/>
            <w:vAlign w:val="bottom"/>
            <w:hideMark/>
          </w:tcPr>
          <w:p w14:paraId="59A37E02"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34,055</w:t>
            </w:r>
          </w:p>
        </w:tc>
        <w:tc>
          <w:tcPr>
            <w:tcW w:w="920" w:type="dxa"/>
            <w:tcBorders>
              <w:top w:val="nil"/>
              <w:left w:val="nil"/>
              <w:bottom w:val="nil"/>
              <w:right w:val="nil"/>
            </w:tcBorders>
            <w:shd w:val="clear" w:color="auto" w:fill="auto"/>
            <w:noWrap/>
            <w:vAlign w:val="bottom"/>
            <w:hideMark/>
          </w:tcPr>
          <w:p w14:paraId="7025FDB9"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29,283</w:t>
            </w:r>
          </w:p>
        </w:tc>
      </w:tr>
      <w:tr w:rsidR="00393CA8" w:rsidRPr="00393CA8" w14:paraId="517C7661"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5D6E10C2" w14:textId="77777777" w:rsidR="00393CA8" w:rsidRPr="00393CA8" w:rsidRDefault="00393CA8" w:rsidP="006B3D0B">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used</w:t>
            </w:r>
          </w:p>
        </w:tc>
        <w:tc>
          <w:tcPr>
            <w:tcW w:w="920" w:type="dxa"/>
            <w:tcBorders>
              <w:top w:val="nil"/>
              <w:left w:val="nil"/>
              <w:bottom w:val="single" w:sz="4" w:space="0" w:color="auto"/>
              <w:right w:val="nil"/>
            </w:tcBorders>
            <w:shd w:val="clear" w:color="auto" w:fill="auto"/>
            <w:noWrap/>
            <w:vAlign w:val="bottom"/>
            <w:hideMark/>
          </w:tcPr>
          <w:p w14:paraId="6285C0C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191,315</w:t>
            </w:r>
          </w:p>
        </w:tc>
        <w:tc>
          <w:tcPr>
            <w:tcW w:w="920" w:type="dxa"/>
            <w:tcBorders>
              <w:top w:val="nil"/>
              <w:left w:val="nil"/>
              <w:bottom w:val="single" w:sz="4" w:space="0" w:color="auto"/>
              <w:right w:val="nil"/>
            </w:tcBorders>
            <w:shd w:val="clear" w:color="000000" w:fill="D9D9D9"/>
            <w:noWrap/>
            <w:vAlign w:val="bottom"/>
            <w:hideMark/>
          </w:tcPr>
          <w:p w14:paraId="4042B957"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277,181</w:t>
            </w:r>
          </w:p>
        </w:tc>
        <w:tc>
          <w:tcPr>
            <w:tcW w:w="920" w:type="dxa"/>
            <w:tcBorders>
              <w:top w:val="nil"/>
              <w:left w:val="nil"/>
              <w:bottom w:val="single" w:sz="4" w:space="0" w:color="auto"/>
              <w:right w:val="nil"/>
            </w:tcBorders>
            <w:shd w:val="clear" w:color="auto" w:fill="auto"/>
            <w:noWrap/>
            <w:vAlign w:val="bottom"/>
            <w:hideMark/>
          </w:tcPr>
          <w:p w14:paraId="5ACD06E9"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56,870</w:t>
            </w:r>
          </w:p>
        </w:tc>
        <w:tc>
          <w:tcPr>
            <w:tcW w:w="920" w:type="dxa"/>
            <w:tcBorders>
              <w:top w:val="nil"/>
              <w:left w:val="nil"/>
              <w:bottom w:val="single" w:sz="4" w:space="0" w:color="auto"/>
              <w:right w:val="nil"/>
            </w:tcBorders>
            <w:shd w:val="clear" w:color="auto" w:fill="auto"/>
            <w:noWrap/>
            <w:vAlign w:val="bottom"/>
            <w:hideMark/>
          </w:tcPr>
          <w:p w14:paraId="068EFD5A"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34,055</w:t>
            </w:r>
          </w:p>
        </w:tc>
        <w:tc>
          <w:tcPr>
            <w:tcW w:w="920" w:type="dxa"/>
            <w:tcBorders>
              <w:top w:val="nil"/>
              <w:left w:val="nil"/>
              <w:bottom w:val="single" w:sz="4" w:space="0" w:color="auto"/>
              <w:right w:val="nil"/>
            </w:tcBorders>
            <w:shd w:val="clear" w:color="auto" w:fill="auto"/>
            <w:noWrap/>
            <w:vAlign w:val="bottom"/>
            <w:hideMark/>
          </w:tcPr>
          <w:p w14:paraId="369A1DF8"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29,283</w:t>
            </w:r>
          </w:p>
        </w:tc>
      </w:tr>
      <w:tr w:rsidR="00393CA8" w:rsidRPr="00393CA8" w14:paraId="79093C19" w14:textId="77777777" w:rsidTr="00622C82">
        <w:trPr>
          <w:trHeight w:val="454"/>
          <w:jc w:val="center"/>
        </w:trPr>
        <w:tc>
          <w:tcPr>
            <w:tcW w:w="3042" w:type="dxa"/>
            <w:tcBorders>
              <w:top w:val="nil"/>
              <w:left w:val="nil"/>
              <w:bottom w:val="nil"/>
              <w:right w:val="nil"/>
            </w:tcBorders>
            <w:shd w:val="clear" w:color="auto" w:fill="auto"/>
            <w:vAlign w:val="bottom"/>
            <w:hideMark/>
          </w:tcPr>
          <w:p w14:paraId="2ED6456D"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Net cash from (or used by) investing activities</w:t>
            </w:r>
          </w:p>
        </w:tc>
        <w:tc>
          <w:tcPr>
            <w:tcW w:w="920" w:type="dxa"/>
            <w:tcBorders>
              <w:top w:val="nil"/>
              <w:left w:val="nil"/>
              <w:bottom w:val="single" w:sz="4" w:space="0" w:color="auto"/>
              <w:right w:val="nil"/>
            </w:tcBorders>
            <w:shd w:val="clear" w:color="auto" w:fill="auto"/>
            <w:noWrap/>
            <w:vAlign w:val="bottom"/>
            <w:hideMark/>
          </w:tcPr>
          <w:p w14:paraId="6D32266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(191,315)</w:t>
            </w:r>
          </w:p>
        </w:tc>
        <w:tc>
          <w:tcPr>
            <w:tcW w:w="920" w:type="dxa"/>
            <w:tcBorders>
              <w:top w:val="nil"/>
              <w:left w:val="nil"/>
              <w:bottom w:val="single" w:sz="4" w:space="0" w:color="auto"/>
              <w:right w:val="nil"/>
            </w:tcBorders>
            <w:shd w:val="clear" w:color="000000" w:fill="D9D9D9"/>
            <w:noWrap/>
            <w:vAlign w:val="bottom"/>
            <w:hideMark/>
          </w:tcPr>
          <w:p w14:paraId="37F9673C"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(277,181)</w:t>
            </w:r>
          </w:p>
        </w:tc>
        <w:tc>
          <w:tcPr>
            <w:tcW w:w="920" w:type="dxa"/>
            <w:tcBorders>
              <w:top w:val="nil"/>
              <w:left w:val="nil"/>
              <w:bottom w:val="single" w:sz="4" w:space="0" w:color="auto"/>
              <w:right w:val="nil"/>
            </w:tcBorders>
            <w:shd w:val="clear" w:color="auto" w:fill="auto"/>
            <w:noWrap/>
            <w:vAlign w:val="bottom"/>
            <w:hideMark/>
          </w:tcPr>
          <w:p w14:paraId="75FA4CD3"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(56,870)</w:t>
            </w:r>
          </w:p>
        </w:tc>
        <w:tc>
          <w:tcPr>
            <w:tcW w:w="920" w:type="dxa"/>
            <w:tcBorders>
              <w:top w:val="nil"/>
              <w:left w:val="nil"/>
              <w:bottom w:val="single" w:sz="4" w:space="0" w:color="auto"/>
              <w:right w:val="nil"/>
            </w:tcBorders>
            <w:shd w:val="clear" w:color="auto" w:fill="auto"/>
            <w:noWrap/>
            <w:vAlign w:val="bottom"/>
            <w:hideMark/>
          </w:tcPr>
          <w:p w14:paraId="1E62274D"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(34,055)</w:t>
            </w:r>
          </w:p>
        </w:tc>
        <w:tc>
          <w:tcPr>
            <w:tcW w:w="920" w:type="dxa"/>
            <w:tcBorders>
              <w:top w:val="nil"/>
              <w:left w:val="nil"/>
              <w:bottom w:val="single" w:sz="4" w:space="0" w:color="auto"/>
              <w:right w:val="nil"/>
            </w:tcBorders>
            <w:shd w:val="clear" w:color="auto" w:fill="auto"/>
            <w:noWrap/>
            <w:vAlign w:val="bottom"/>
            <w:hideMark/>
          </w:tcPr>
          <w:p w14:paraId="368A7723"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(29,283)</w:t>
            </w:r>
          </w:p>
        </w:tc>
      </w:tr>
      <w:tr w:rsidR="00393CA8" w:rsidRPr="00393CA8" w14:paraId="36598766" w14:textId="77777777" w:rsidTr="00622C82">
        <w:trPr>
          <w:trHeight w:val="283"/>
          <w:jc w:val="center"/>
        </w:trPr>
        <w:tc>
          <w:tcPr>
            <w:tcW w:w="3042" w:type="dxa"/>
            <w:tcBorders>
              <w:top w:val="nil"/>
              <w:left w:val="nil"/>
              <w:bottom w:val="nil"/>
              <w:right w:val="nil"/>
            </w:tcBorders>
            <w:shd w:val="clear" w:color="auto" w:fill="auto"/>
            <w:noWrap/>
            <w:vAlign w:val="bottom"/>
            <w:hideMark/>
          </w:tcPr>
          <w:p w14:paraId="725388BC" w14:textId="77777777" w:rsidR="00393CA8" w:rsidRPr="00393CA8" w:rsidRDefault="00393CA8" w:rsidP="00393CA8">
            <w:pPr>
              <w:spacing w:before="0" w:after="0" w:line="240" w:lineRule="auto"/>
              <w:rPr>
                <w:rFonts w:ascii="Arial" w:hAnsi="Arial" w:cs="Arial"/>
                <w:b/>
                <w:bCs/>
                <w:color w:val="000000"/>
                <w:sz w:val="16"/>
                <w:szCs w:val="16"/>
              </w:rPr>
            </w:pPr>
            <w:r w:rsidRPr="00393CA8">
              <w:rPr>
                <w:rFonts w:ascii="Arial" w:hAnsi="Arial" w:cs="Arial"/>
                <w:b/>
                <w:bCs/>
                <w:color w:val="000000"/>
                <w:sz w:val="16"/>
                <w:szCs w:val="16"/>
              </w:rPr>
              <w:t>FINANCING ACTIVITIES</w:t>
            </w:r>
          </w:p>
        </w:tc>
        <w:tc>
          <w:tcPr>
            <w:tcW w:w="920" w:type="dxa"/>
            <w:tcBorders>
              <w:top w:val="nil"/>
              <w:left w:val="nil"/>
              <w:bottom w:val="nil"/>
              <w:right w:val="nil"/>
            </w:tcBorders>
            <w:shd w:val="clear" w:color="auto" w:fill="auto"/>
            <w:noWrap/>
            <w:vAlign w:val="bottom"/>
            <w:hideMark/>
          </w:tcPr>
          <w:p w14:paraId="09B185AB" w14:textId="77777777" w:rsidR="00393CA8" w:rsidRPr="00393CA8" w:rsidRDefault="00393CA8" w:rsidP="00393CA8">
            <w:pPr>
              <w:spacing w:before="0" w:after="0" w:line="240" w:lineRule="auto"/>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7A619DD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0DF19EE6"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96983D9"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FF3C857"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054B9BAD"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23AC2D12"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received</w:t>
            </w:r>
          </w:p>
        </w:tc>
        <w:tc>
          <w:tcPr>
            <w:tcW w:w="920" w:type="dxa"/>
            <w:tcBorders>
              <w:top w:val="nil"/>
              <w:left w:val="nil"/>
              <w:bottom w:val="nil"/>
              <w:right w:val="nil"/>
            </w:tcBorders>
            <w:shd w:val="clear" w:color="auto" w:fill="auto"/>
            <w:noWrap/>
            <w:vAlign w:val="bottom"/>
            <w:hideMark/>
          </w:tcPr>
          <w:p w14:paraId="1F49DD4A"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6FBB19E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77DC96D7"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6493A8AB"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FBA9DFD"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403EA865"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409FE821" w14:textId="77777777" w:rsidR="00393CA8" w:rsidRPr="00393CA8" w:rsidRDefault="00393CA8" w:rsidP="006B3D0B">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Appropriations - contributed equity</w:t>
            </w:r>
          </w:p>
        </w:tc>
        <w:tc>
          <w:tcPr>
            <w:tcW w:w="920" w:type="dxa"/>
            <w:tcBorders>
              <w:top w:val="nil"/>
              <w:left w:val="nil"/>
              <w:bottom w:val="nil"/>
              <w:right w:val="nil"/>
            </w:tcBorders>
            <w:shd w:val="clear" w:color="auto" w:fill="auto"/>
            <w:noWrap/>
            <w:vAlign w:val="bottom"/>
            <w:hideMark/>
          </w:tcPr>
          <w:p w14:paraId="5199213D"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149,160</w:t>
            </w:r>
          </w:p>
        </w:tc>
        <w:tc>
          <w:tcPr>
            <w:tcW w:w="920" w:type="dxa"/>
            <w:tcBorders>
              <w:top w:val="nil"/>
              <w:left w:val="nil"/>
              <w:bottom w:val="nil"/>
              <w:right w:val="nil"/>
            </w:tcBorders>
            <w:shd w:val="clear" w:color="000000" w:fill="D9D9D9"/>
            <w:noWrap/>
            <w:vAlign w:val="bottom"/>
            <w:hideMark/>
          </w:tcPr>
          <w:p w14:paraId="7A9D0689"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222,426</w:t>
            </w:r>
          </w:p>
        </w:tc>
        <w:tc>
          <w:tcPr>
            <w:tcW w:w="920" w:type="dxa"/>
            <w:tcBorders>
              <w:top w:val="nil"/>
              <w:left w:val="nil"/>
              <w:bottom w:val="nil"/>
              <w:right w:val="nil"/>
            </w:tcBorders>
            <w:shd w:val="clear" w:color="auto" w:fill="auto"/>
            <w:noWrap/>
            <w:vAlign w:val="bottom"/>
            <w:hideMark/>
          </w:tcPr>
          <w:p w14:paraId="7510ACC1"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33,528</w:t>
            </w:r>
          </w:p>
        </w:tc>
        <w:tc>
          <w:tcPr>
            <w:tcW w:w="920" w:type="dxa"/>
            <w:tcBorders>
              <w:top w:val="nil"/>
              <w:left w:val="nil"/>
              <w:bottom w:val="nil"/>
              <w:right w:val="nil"/>
            </w:tcBorders>
            <w:shd w:val="clear" w:color="auto" w:fill="auto"/>
            <w:noWrap/>
            <w:vAlign w:val="bottom"/>
            <w:hideMark/>
          </w:tcPr>
          <w:p w14:paraId="1BC0530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12,844</w:t>
            </w:r>
          </w:p>
        </w:tc>
        <w:tc>
          <w:tcPr>
            <w:tcW w:w="920" w:type="dxa"/>
            <w:tcBorders>
              <w:top w:val="nil"/>
              <w:left w:val="nil"/>
              <w:bottom w:val="nil"/>
              <w:right w:val="nil"/>
            </w:tcBorders>
            <w:shd w:val="clear" w:color="auto" w:fill="auto"/>
            <w:noWrap/>
            <w:vAlign w:val="bottom"/>
            <w:hideMark/>
          </w:tcPr>
          <w:p w14:paraId="3C3E61E7"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7,937</w:t>
            </w:r>
          </w:p>
        </w:tc>
      </w:tr>
      <w:tr w:rsidR="00393CA8" w:rsidRPr="00393CA8" w14:paraId="0AC26B03" w14:textId="77777777" w:rsidTr="00393CA8">
        <w:trPr>
          <w:trHeight w:val="225"/>
          <w:jc w:val="center"/>
        </w:trPr>
        <w:tc>
          <w:tcPr>
            <w:tcW w:w="3042" w:type="dxa"/>
            <w:tcBorders>
              <w:top w:val="nil"/>
              <w:left w:val="nil"/>
              <w:bottom w:val="nil"/>
              <w:right w:val="nil"/>
            </w:tcBorders>
            <w:shd w:val="clear" w:color="auto" w:fill="auto"/>
            <w:vAlign w:val="bottom"/>
            <w:hideMark/>
          </w:tcPr>
          <w:p w14:paraId="3ECEFD7D" w14:textId="77777777" w:rsidR="00393CA8" w:rsidRPr="00393CA8" w:rsidRDefault="00393CA8" w:rsidP="006B3D0B">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Appropriations - DCB</w:t>
            </w:r>
          </w:p>
        </w:tc>
        <w:tc>
          <w:tcPr>
            <w:tcW w:w="920" w:type="dxa"/>
            <w:tcBorders>
              <w:top w:val="nil"/>
              <w:left w:val="nil"/>
              <w:bottom w:val="nil"/>
              <w:right w:val="nil"/>
            </w:tcBorders>
            <w:shd w:val="clear" w:color="auto" w:fill="auto"/>
            <w:noWrap/>
            <w:vAlign w:val="bottom"/>
            <w:hideMark/>
          </w:tcPr>
          <w:p w14:paraId="25DF733D"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19,294</w:t>
            </w:r>
          </w:p>
        </w:tc>
        <w:tc>
          <w:tcPr>
            <w:tcW w:w="920" w:type="dxa"/>
            <w:tcBorders>
              <w:top w:val="nil"/>
              <w:left w:val="nil"/>
              <w:bottom w:val="nil"/>
              <w:right w:val="nil"/>
            </w:tcBorders>
            <w:shd w:val="clear" w:color="000000" w:fill="D9D9D9"/>
            <w:noWrap/>
            <w:vAlign w:val="bottom"/>
            <w:hideMark/>
          </w:tcPr>
          <w:p w14:paraId="0854A1F0"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12,708</w:t>
            </w:r>
          </w:p>
        </w:tc>
        <w:tc>
          <w:tcPr>
            <w:tcW w:w="920" w:type="dxa"/>
            <w:tcBorders>
              <w:top w:val="nil"/>
              <w:left w:val="nil"/>
              <w:bottom w:val="nil"/>
              <w:right w:val="nil"/>
            </w:tcBorders>
            <w:shd w:val="clear" w:color="auto" w:fill="auto"/>
            <w:noWrap/>
            <w:vAlign w:val="bottom"/>
            <w:hideMark/>
          </w:tcPr>
          <w:p w14:paraId="31D51F33"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12,943</w:t>
            </w:r>
          </w:p>
        </w:tc>
        <w:tc>
          <w:tcPr>
            <w:tcW w:w="920" w:type="dxa"/>
            <w:tcBorders>
              <w:top w:val="nil"/>
              <w:left w:val="nil"/>
              <w:bottom w:val="nil"/>
              <w:right w:val="nil"/>
            </w:tcBorders>
            <w:shd w:val="clear" w:color="auto" w:fill="auto"/>
            <w:noWrap/>
            <w:vAlign w:val="bottom"/>
            <w:hideMark/>
          </w:tcPr>
          <w:p w14:paraId="581AA50B"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13,113</w:t>
            </w:r>
          </w:p>
        </w:tc>
        <w:tc>
          <w:tcPr>
            <w:tcW w:w="920" w:type="dxa"/>
            <w:tcBorders>
              <w:top w:val="nil"/>
              <w:left w:val="nil"/>
              <w:bottom w:val="nil"/>
              <w:right w:val="nil"/>
            </w:tcBorders>
            <w:shd w:val="clear" w:color="auto" w:fill="auto"/>
            <w:noWrap/>
            <w:vAlign w:val="bottom"/>
            <w:hideMark/>
          </w:tcPr>
          <w:p w14:paraId="113A75B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13,248</w:t>
            </w:r>
          </w:p>
        </w:tc>
      </w:tr>
      <w:tr w:rsidR="00393CA8" w:rsidRPr="00393CA8" w14:paraId="55430DC2"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5F9005CA" w14:textId="77777777" w:rsidR="00393CA8" w:rsidRPr="00393CA8" w:rsidRDefault="00393CA8" w:rsidP="006B3D0B">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received</w:t>
            </w:r>
          </w:p>
        </w:tc>
        <w:tc>
          <w:tcPr>
            <w:tcW w:w="920" w:type="dxa"/>
            <w:tcBorders>
              <w:top w:val="nil"/>
              <w:left w:val="nil"/>
              <w:bottom w:val="single" w:sz="4" w:space="0" w:color="auto"/>
              <w:right w:val="nil"/>
            </w:tcBorders>
            <w:shd w:val="clear" w:color="auto" w:fill="auto"/>
            <w:noWrap/>
            <w:vAlign w:val="bottom"/>
            <w:hideMark/>
          </w:tcPr>
          <w:p w14:paraId="333AFCF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168,454</w:t>
            </w:r>
          </w:p>
        </w:tc>
        <w:tc>
          <w:tcPr>
            <w:tcW w:w="920" w:type="dxa"/>
            <w:tcBorders>
              <w:top w:val="nil"/>
              <w:left w:val="nil"/>
              <w:bottom w:val="single" w:sz="4" w:space="0" w:color="auto"/>
              <w:right w:val="nil"/>
            </w:tcBorders>
            <w:shd w:val="clear" w:color="000000" w:fill="D9D9D9"/>
            <w:noWrap/>
            <w:vAlign w:val="bottom"/>
            <w:hideMark/>
          </w:tcPr>
          <w:p w14:paraId="79073664"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235,134</w:t>
            </w:r>
          </w:p>
        </w:tc>
        <w:tc>
          <w:tcPr>
            <w:tcW w:w="920" w:type="dxa"/>
            <w:tcBorders>
              <w:top w:val="nil"/>
              <w:left w:val="nil"/>
              <w:bottom w:val="single" w:sz="4" w:space="0" w:color="auto"/>
              <w:right w:val="nil"/>
            </w:tcBorders>
            <w:shd w:val="clear" w:color="auto" w:fill="auto"/>
            <w:noWrap/>
            <w:vAlign w:val="bottom"/>
            <w:hideMark/>
          </w:tcPr>
          <w:p w14:paraId="24BE900B"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46,471</w:t>
            </w:r>
          </w:p>
        </w:tc>
        <w:tc>
          <w:tcPr>
            <w:tcW w:w="920" w:type="dxa"/>
            <w:tcBorders>
              <w:top w:val="nil"/>
              <w:left w:val="nil"/>
              <w:bottom w:val="single" w:sz="4" w:space="0" w:color="auto"/>
              <w:right w:val="nil"/>
            </w:tcBorders>
            <w:shd w:val="clear" w:color="auto" w:fill="auto"/>
            <w:noWrap/>
            <w:vAlign w:val="bottom"/>
            <w:hideMark/>
          </w:tcPr>
          <w:p w14:paraId="3DA8B742"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25,957</w:t>
            </w:r>
          </w:p>
        </w:tc>
        <w:tc>
          <w:tcPr>
            <w:tcW w:w="920" w:type="dxa"/>
            <w:tcBorders>
              <w:top w:val="nil"/>
              <w:left w:val="nil"/>
              <w:bottom w:val="single" w:sz="4" w:space="0" w:color="auto"/>
              <w:right w:val="nil"/>
            </w:tcBorders>
            <w:shd w:val="clear" w:color="auto" w:fill="auto"/>
            <w:noWrap/>
            <w:vAlign w:val="bottom"/>
            <w:hideMark/>
          </w:tcPr>
          <w:p w14:paraId="0C8B40D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21,185</w:t>
            </w:r>
          </w:p>
        </w:tc>
      </w:tr>
      <w:tr w:rsidR="00393CA8" w:rsidRPr="00393CA8" w14:paraId="0806E43D" w14:textId="77777777" w:rsidTr="00622C82">
        <w:trPr>
          <w:trHeight w:val="283"/>
          <w:jc w:val="center"/>
        </w:trPr>
        <w:tc>
          <w:tcPr>
            <w:tcW w:w="3042" w:type="dxa"/>
            <w:tcBorders>
              <w:top w:val="nil"/>
              <w:left w:val="nil"/>
              <w:bottom w:val="nil"/>
              <w:right w:val="nil"/>
            </w:tcBorders>
            <w:shd w:val="clear" w:color="auto" w:fill="auto"/>
            <w:noWrap/>
            <w:vAlign w:val="bottom"/>
            <w:hideMark/>
          </w:tcPr>
          <w:p w14:paraId="0873B847"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Cash used</w:t>
            </w:r>
          </w:p>
        </w:tc>
        <w:tc>
          <w:tcPr>
            <w:tcW w:w="920" w:type="dxa"/>
            <w:tcBorders>
              <w:top w:val="nil"/>
              <w:left w:val="nil"/>
              <w:bottom w:val="nil"/>
              <w:right w:val="nil"/>
            </w:tcBorders>
            <w:shd w:val="clear" w:color="auto" w:fill="auto"/>
            <w:noWrap/>
            <w:vAlign w:val="bottom"/>
            <w:hideMark/>
          </w:tcPr>
          <w:p w14:paraId="5A712560" w14:textId="77777777" w:rsidR="00393CA8" w:rsidRPr="00393CA8" w:rsidRDefault="00393CA8" w:rsidP="00393CA8">
            <w:pPr>
              <w:spacing w:before="0" w:after="0" w:line="240" w:lineRule="auto"/>
              <w:ind w:firstLineChars="100" w:firstLine="161"/>
              <w:rPr>
                <w:rFonts w:ascii="Arial" w:hAnsi="Arial" w:cs="Arial"/>
                <w:b/>
                <w:bCs/>
                <w:color w:val="000000"/>
                <w:sz w:val="16"/>
                <w:szCs w:val="16"/>
              </w:rPr>
            </w:pPr>
          </w:p>
        </w:tc>
        <w:tc>
          <w:tcPr>
            <w:tcW w:w="920" w:type="dxa"/>
            <w:tcBorders>
              <w:top w:val="nil"/>
              <w:left w:val="nil"/>
              <w:bottom w:val="nil"/>
              <w:right w:val="nil"/>
            </w:tcBorders>
            <w:shd w:val="clear" w:color="000000" w:fill="D9D9D9"/>
            <w:noWrap/>
            <w:vAlign w:val="bottom"/>
            <w:hideMark/>
          </w:tcPr>
          <w:p w14:paraId="41B3CCCF"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 </w:t>
            </w:r>
          </w:p>
        </w:tc>
        <w:tc>
          <w:tcPr>
            <w:tcW w:w="920" w:type="dxa"/>
            <w:tcBorders>
              <w:top w:val="nil"/>
              <w:left w:val="nil"/>
              <w:bottom w:val="nil"/>
              <w:right w:val="nil"/>
            </w:tcBorders>
            <w:shd w:val="clear" w:color="auto" w:fill="auto"/>
            <w:noWrap/>
            <w:vAlign w:val="bottom"/>
            <w:hideMark/>
          </w:tcPr>
          <w:p w14:paraId="29C5017C" w14:textId="77777777" w:rsidR="00393CA8" w:rsidRPr="00393CA8" w:rsidRDefault="00393CA8" w:rsidP="00393CA8">
            <w:pPr>
              <w:spacing w:before="0"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5D6B530" w14:textId="77777777" w:rsidR="00393CA8" w:rsidRPr="00393CA8" w:rsidRDefault="00393CA8" w:rsidP="00393CA8">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8F19C53" w14:textId="77777777" w:rsidR="00393CA8" w:rsidRPr="00393CA8" w:rsidRDefault="00393CA8" w:rsidP="00393CA8">
            <w:pPr>
              <w:spacing w:before="0" w:after="0" w:line="240" w:lineRule="auto"/>
              <w:jc w:val="right"/>
              <w:rPr>
                <w:rFonts w:ascii="Times New Roman" w:hAnsi="Times New Roman"/>
                <w:sz w:val="20"/>
              </w:rPr>
            </w:pPr>
          </w:p>
        </w:tc>
      </w:tr>
      <w:tr w:rsidR="00393CA8" w:rsidRPr="00393CA8" w14:paraId="57E8A677" w14:textId="77777777" w:rsidTr="00393CA8">
        <w:trPr>
          <w:trHeight w:val="225"/>
          <w:jc w:val="center"/>
        </w:trPr>
        <w:tc>
          <w:tcPr>
            <w:tcW w:w="3042" w:type="dxa"/>
            <w:tcBorders>
              <w:top w:val="nil"/>
              <w:left w:val="nil"/>
              <w:bottom w:val="nil"/>
              <w:right w:val="nil"/>
            </w:tcBorders>
            <w:shd w:val="clear" w:color="auto" w:fill="auto"/>
            <w:vAlign w:val="bottom"/>
            <w:hideMark/>
          </w:tcPr>
          <w:p w14:paraId="0B6EA199" w14:textId="77777777" w:rsidR="00393CA8" w:rsidRPr="00393CA8" w:rsidRDefault="00393CA8" w:rsidP="006B3D0B">
            <w:pPr>
              <w:spacing w:before="0" w:after="0" w:line="240" w:lineRule="auto"/>
              <w:ind w:leftChars="150" w:left="285"/>
              <w:rPr>
                <w:rFonts w:ascii="Arial" w:hAnsi="Arial" w:cs="Arial"/>
                <w:color w:val="000000"/>
                <w:sz w:val="16"/>
                <w:szCs w:val="16"/>
              </w:rPr>
            </w:pPr>
            <w:r w:rsidRPr="00393CA8">
              <w:rPr>
                <w:rFonts w:ascii="Arial" w:hAnsi="Arial" w:cs="Arial"/>
                <w:color w:val="000000"/>
                <w:sz w:val="16"/>
                <w:szCs w:val="16"/>
              </w:rPr>
              <w:t>Lease principal repayment</w:t>
            </w:r>
          </w:p>
        </w:tc>
        <w:tc>
          <w:tcPr>
            <w:tcW w:w="920" w:type="dxa"/>
            <w:tcBorders>
              <w:top w:val="nil"/>
              <w:left w:val="nil"/>
              <w:bottom w:val="nil"/>
              <w:right w:val="nil"/>
            </w:tcBorders>
            <w:shd w:val="clear" w:color="auto" w:fill="auto"/>
            <w:noWrap/>
            <w:vAlign w:val="bottom"/>
            <w:hideMark/>
          </w:tcPr>
          <w:p w14:paraId="2E3A2F38"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41,825</w:t>
            </w:r>
          </w:p>
        </w:tc>
        <w:tc>
          <w:tcPr>
            <w:tcW w:w="920" w:type="dxa"/>
            <w:tcBorders>
              <w:top w:val="nil"/>
              <w:left w:val="nil"/>
              <w:bottom w:val="nil"/>
              <w:right w:val="nil"/>
            </w:tcBorders>
            <w:shd w:val="clear" w:color="000000" w:fill="D9D9D9"/>
            <w:noWrap/>
            <w:vAlign w:val="bottom"/>
            <w:hideMark/>
          </w:tcPr>
          <w:p w14:paraId="09323982"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57,943</w:t>
            </w:r>
          </w:p>
        </w:tc>
        <w:tc>
          <w:tcPr>
            <w:tcW w:w="920" w:type="dxa"/>
            <w:tcBorders>
              <w:top w:val="nil"/>
              <w:left w:val="nil"/>
              <w:bottom w:val="nil"/>
              <w:right w:val="nil"/>
            </w:tcBorders>
            <w:shd w:val="clear" w:color="auto" w:fill="auto"/>
            <w:noWrap/>
            <w:vAlign w:val="bottom"/>
            <w:hideMark/>
          </w:tcPr>
          <w:p w14:paraId="66D4F29C"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60,277</w:t>
            </w:r>
          </w:p>
        </w:tc>
        <w:tc>
          <w:tcPr>
            <w:tcW w:w="920" w:type="dxa"/>
            <w:tcBorders>
              <w:top w:val="nil"/>
              <w:left w:val="nil"/>
              <w:bottom w:val="nil"/>
              <w:right w:val="nil"/>
            </w:tcBorders>
            <w:shd w:val="clear" w:color="auto" w:fill="auto"/>
            <w:noWrap/>
            <w:vAlign w:val="bottom"/>
            <w:hideMark/>
          </w:tcPr>
          <w:p w14:paraId="126C4854"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52,012</w:t>
            </w:r>
          </w:p>
        </w:tc>
        <w:tc>
          <w:tcPr>
            <w:tcW w:w="920" w:type="dxa"/>
            <w:tcBorders>
              <w:top w:val="nil"/>
              <w:left w:val="nil"/>
              <w:bottom w:val="nil"/>
              <w:right w:val="nil"/>
            </w:tcBorders>
            <w:shd w:val="clear" w:color="auto" w:fill="auto"/>
            <w:noWrap/>
            <w:vAlign w:val="bottom"/>
            <w:hideMark/>
          </w:tcPr>
          <w:p w14:paraId="5F1F8971"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52,012</w:t>
            </w:r>
          </w:p>
        </w:tc>
      </w:tr>
      <w:tr w:rsidR="00393CA8" w:rsidRPr="00393CA8" w14:paraId="75E2D2E3" w14:textId="77777777" w:rsidTr="00393CA8">
        <w:trPr>
          <w:trHeight w:val="225"/>
          <w:jc w:val="center"/>
        </w:trPr>
        <w:tc>
          <w:tcPr>
            <w:tcW w:w="3042" w:type="dxa"/>
            <w:tcBorders>
              <w:top w:val="nil"/>
              <w:left w:val="nil"/>
              <w:bottom w:val="nil"/>
              <w:right w:val="nil"/>
            </w:tcBorders>
            <w:shd w:val="clear" w:color="auto" w:fill="auto"/>
            <w:noWrap/>
            <w:vAlign w:val="bottom"/>
            <w:hideMark/>
          </w:tcPr>
          <w:p w14:paraId="13470B16" w14:textId="77777777" w:rsidR="00393CA8" w:rsidRPr="00393CA8" w:rsidRDefault="00393CA8" w:rsidP="006B3D0B">
            <w:pPr>
              <w:spacing w:before="0" w:after="0" w:line="240" w:lineRule="auto"/>
              <w:ind w:leftChars="150" w:left="285"/>
              <w:rPr>
                <w:rFonts w:ascii="Arial" w:hAnsi="Arial" w:cs="Arial"/>
                <w:b/>
                <w:bCs/>
                <w:color w:val="000000"/>
                <w:sz w:val="16"/>
                <w:szCs w:val="16"/>
              </w:rPr>
            </w:pPr>
            <w:r w:rsidRPr="00393CA8">
              <w:rPr>
                <w:rFonts w:ascii="Arial" w:hAnsi="Arial" w:cs="Arial"/>
                <w:b/>
                <w:bCs/>
                <w:color w:val="000000"/>
                <w:sz w:val="16"/>
                <w:szCs w:val="16"/>
              </w:rPr>
              <w:t>Total cash used</w:t>
            </w:r>
          </w:p>
        </w:tc>
        <w:tc>
          <w:tcPr>
            <w:tcW w:w="920" w:type="dxa"/>
            <w:tcBorders>
              <w:top w:val="nil"/>
              <w:left w:val="nil"/>
              <w:bottom w:val="single" w:sz="4" w:space="0" w:color="auto"/>
              <w:right w:val="nil"/>
            </w:tcBorders>
            <w:shd w:val="clear" w:color="auto" w:fill="auto"/>
            <w:noWrap/>
            <w:vAlign w:val="bottom"/>
            <w:hideMark/>
          </w:tcPr>
          <w:p w14:paraId="2780F507"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41,825</w:t>
            </w:r>
          </w:p>
        </w:tc>
        <w:tc>
          <w:tcPr>
            <w:tcW w:w="920" w:type="dxa"/>
            <w:tcBorders>
              <w:top w:val="nil"/>
              <w:left w:val="nil"/>
              <w:bottom w:val="single" w:sz="4" w:space="0" w:color="auto"/>
              <w:right w:val="nil"/>
            </w:tcBorders>
            <w:shd w:val="clear" w:color="000000" w:fill="D9D9D9"/>
            <w:noWrap/>
            <w:vAlign w:val="bottom"/>
            <w:hideMark/>
          </w:tcPr>
          <w:p w14:paraId="1944E390"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57,943</w:t>
            </w:r>
          </w:p>
        </w:tc>
        <w:tc>
          <w:tcPr>
            <w:tcW w:w="920" w:type="dxa"/>
            <w:tcBorders>
              <w:top w:val="nil"/>
              <w:left w:val="nil"/>
              <w:bottom w:val="single" w:sz="4" w:space="0" w:color="auto"/>
              <w:right w:val="nil"/>
            </w:tcBorders>
            <w:shd w:val="clear" w:color="auto" w:fill="auto"/>
            <w:noWrap/>
            <w:vAlign w:val="bottom"/>
            <w:hideMark/>
          </w:tcPr>
          <w:p w14:paraId="02DAD2E0"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60,277</w:t>
            </w:r>
          </w:p>
        </w:tc>
        <w:tc>
          <w:tcPr>
            <w:tcW w:w="920" w:type="dxa"/>
            <w:tcBorders>
              <w:top w:val="nil"/>
              <w:left w:val="nil"/>
              <w:bottom w:val="single" w:sz="4" w:space="0" w:color="auto"/>
              <w:right w:val="nil"/>
            </w:tcBorders>
            <w:shd w:val="clear" w:color="auto" w:fill="auto"/>
            <w:noWrap/>
            <w:vAlign w:val="bottom"/>
            <w:hideMark/>
          </w:tcPr>
          <w:p w14:paraId="1FD87A6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52,012</w:t>
            </w:r>
          </w:p>
        </w:tc>
        <w:tc>
          <w:tcPr>
            <w:tcW w:w="920" w:type="dxa"/>
            <w:tcBorders>
              <w:top w:val="nil"/>
              <w:left w:val="nil"/>
              <w:bottom w:val="single" w:sz="4" w:space="0" w:color="auto"/>
              <w:right w:val="nil"/>
            </w:tcBorders>
            <w:shd w:val="clear" w:color="auto" w:fill="auto"/>
            <w:noWrap/>
            <w:vAlign w:val="bottom"/>
            <w:hideMark/>
          </w:tcPr>
          <w:p w14:paraId="4EDC562D"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52,012</w:t>
            </w:r>
          </w:p>
        </w:tc>
      </w:tr>
      <w:tr w:rsidR="00393CA8" w:rsidRPr="00393CA8" w14:paraId="77BF5C9D" w14:textId="77777777" w:rsidTr="00622C82">
        <w:trPr>
          <w:trHeight w:val="454"/>
          <w:jc w:val="center"/>
        </w:trPr>
        <w:tc>
          <w:tcPr>
            <w:tcW w:w="3042" w:type="dxa"/>
            <w:tcBorders>
              <w:top w:val="nil"/>
              <w:left w:val="nil"/>
              <w:bottom w:val="nil"/>
              <w:right w:val="nil"/>
            </w:tcBorders>
            <w:shd w:val="clear" w:color="auto" w:fill="auto"/>
            <w:vAlign w:val="bottom"/>
            <w:hideMark/>
          </w:tcPr>
          <w:p w14:paraId="19C146CD"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Net cash from (or used by) financing activities</w:t>
            </w:r>
          </w:p>
        </w:tc>
        <w:tc>
          <w:tcPr>
            <w:tcW w:w="920" w:type="dxa"/>
            <w:tcBorders>
              <w:top w:val="nil"/>
              <w:left w:val="nil"/>
              <w:bottom w:val="single" w:sz="4" w:space="0" w:color="auto"/>
              <w:right w:val="nil"/>
            </w:tcBorders>
            <w:shd w:val="clear" w:color="auto" w:fill="auto"/>
            <w:noWrap/>
            <w:vAlign w:val="bottom"/>
            <w:hideMark/>
          </w:tcPr>
          <w:p w14:paraId="26C5F58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126,629</w:t>
            </w:r>
          </w:p>
        </w:tc>
        <w:tc>
          <w:tcPr>
            <w:tcW w:w="920" w:type="dxa"/>
            <w:tcBorders>
              <w:top w:val="nil"/>
              <w:left w:val="nil"/>
              <w:bottom w:val="single" w:sz="4" w:space="0" w:color="auto"/>
              <w:right w:val="nil"/>
            </w:tcBorders>
            <w:shd w:val="clear" w:color="000000" w:fill="D9D9D9"/>
            <w:noWrap/>
            <w:vAlign w:val="bottom"/>
            <w:hideMark/>
          </w:tcPr>
          <w:p w14:paraId="1368E15C"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177,191</w:t>
            </w:r>
          </w:p>
        </w:tc>
        <w:tc>
          <w:tcPr>
            <w:tcW w:w="920" w:type="dxa"/>
            <w:tcBorders>
              <w:top w:val="nil"/>
              <w:left w:val="nil"/>
              <w:bottom w:val="single" w:sz="4" w:space="0" w:color="auto"/>
              <w:right w:val="nil"/>
            </w:tcBorders>
            <w:shd w:val="clear" w:color="auto" w:fill="auto"/>
            <w:noWrap/>
            <w:vAlign w:val="bottom"/>
            <w:hideMark/>
          </w:tcPr>
          <w:p w14:paraId="399A4B6E"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(13,806)</w:t>
            </w:r>
          </w:p>
        </w:tc>
        <w:tc>
          <w:tcPr>
            <w:tcW w:w="920" w:type="dxa"/>
            <w:tcBorders>
              <w:top w:val="nil"/>
              <w:left w:val="nil"/>
              <w:bottom w:val="single" w:sz="4" w:space="0" w:color="auto"/>
              <w:right w:val="nil"/>
            </w:tcBorders>
            <w:shd w:val="clear" w:color="auto" w:fill="auto"/>
            <w:noWrap/>
            <w:vAlign w:val="bottom"/>
            <w:hideMark/>
          </w:tcPr>
          <w:p w14:paraId="6F4C9FF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(26,055)</w:t>
            </w:r>
          </w:p>
        </w:tc>
        <w:tc>
          <w:tcPr>
            <w:tcW w:w="920" w:type="dxa"/>
            <w:tcBorders>
              <w:top w:val="nil"/>
              <w:left w:val="nil"/>
              <w:bottom w:val="single" w:sz="4" w:space="0" w:color="auto"/>
              <w:right w:val="nil"/>
            </w:tcBorders>
            <w:shd w:val="clear" w:color="auto" w:fill="auto"/>
            <w:noWrap/>
            <w:vAlign w:val="bottom"/>
            <w:hideMark/>
          </w:tcPr>
          <w:p w14:paraId="69A19AD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(30,827)</w:t>
            </w:r>
          </w:p>
        </w:tc>
      </w:tr>
      <w:tr w:rsidR="00393CA8" w:rsidRPr="00393CA8" w14:paraId="51BCF877" w14:textId="77777777" w:rsidTr="00622C82">
        <w:trPr>
          <w:trHeight w:val="454"/>
          <w:jc w:val="center"/>
        </w:trPr>
        <w:tc>
          <w:tcPr>
            <w:tcW w:w="3042" w:type="dxa"/>
            <w:tcBorders>
              <w:top w:val="nil"/>
              <w:left w:val="nil"/>
              <w:bottom w:val="nil"/>
              <w:right w:val="nil"/>
            </w:tcBorders>
            <w:shd w:val="clear" w:color="auto" w:fill="auto"/>
            <w:vAlign w:val="bottom"/>
            <w:hideMark/>
          </w:tcPr>
          <w:p w14:paraId="0350D9B1" w14:textId="77777777" w:rsidR="00393CA8" w:rsidRPr="00393CA8" w:rsidRDefault="00393CA8" w:rsidP="00393CA8">
            <w:pPr>
              <w:spacing w:before="0" w:after="0" w:line="240" w:lineRule="auto"/>
              <w:ind w:leftChars="75" w:left="143"/>
              <w:rPr>
                <w:rFonts w:ascii="Arial" w:hAnsi="Arial" w:cs="Arial"/>
                <w:b/>
                <w:bCs/>
                <w:color w:val="000000"/>
                <w:sz w:val="16"/>
                <w:szCs w:val="16"/>
              </w:rPr>
            </w:pPr>
            <w:r w:rsidRPr="00393CA8">
              <w:rPr>
                <w:rFonts w:ascii="Arial" w:hAnsi="Arial" w:cs="Arial"/>
                <w:b/>
                <w:bCs/>
                <w:color w:val="000000"/>
                <w:sz w:val="16"/>
                <w:szCs w:val="16"/>
              </w:rPr>
              <w:t>Net increase (or decrease) in cash held</w:t>
            </w:r>
          </w:p>
        </w:tc>
        <w:tc>
          <w:tcPr>
            <w:tcW w:w="920" w:type="dxa"/>
            <w:tcBorders>
              <w:top w:val="nil"/>
              <w:left w:val="nil"/>
              <w:bottom w:val="single" w:sz="4" w:space="0" w:color="auto"/>
              <w:right w:val="nil"/>
            </w:tcBorders>
            <w:shd w:val="clear" w:color="auto" w:fill="auto"/>
            <w:noWrap/>
            <w:vAlign w:val="bottom"/>
            <w:hideMark/>
          </w:tcPr>
          <w:p w14:paraId="4FBC0915"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(17,933)</w:t>
            </w:r>
          </w:p>
        </w:tc>
        <w:tc>
          <w:tcPr>
            <w:tcW w:w="920" w:type="dxa"/>
            <w:tcBorders>
              <w:top w:val="nil"/>
              <w:left w:val="nil"/>
              <w:bottom w:val="single" w:sz="4" w:space="0" w:color="auto"/>
              <w:right w:val="nil"/>
            </w:tcBorders>
            <w:shd w:val="clear" w:color="000000" w:fill="D9D9D9"/>
            <w:noWrap/>
            <w:vAlign w:val="bottom"/>
            <w:hideMark/>
          </w:tcPr>
          <w:p w14:paraId="7BB543CB"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(10,594)</w:t>
            </w:r>
          </w:p>
        </w:tc>
        <w:tc>
          <w:tcPr>
            <w:tcW w:w="920" w:type="dxa"/>
            <w:tcBorders>
              <w:top w:val="nil"/>
              <w:left w:val="nil"/>
              <w:bottom w:val="single" w:sz="4" w:space="0" w:color="auto"/>
              <w:right w:val="nil"/>
            </w:tcBorders>
            <w:shd w:val="clear" w:color="auto" w:fill="auto"/>
            <w:noWrap/>
            <w:vAlign w:val="bottom"/>
            <w:hideMark/>
          </w:tcPr>
          <w:p w14:paraId="73F6B96E"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(5,368)</w:t>
            </w:r>
          </w:p>
        </w:tc>
        <w:tc>
          <w:tcPr>
            <w:tcW w:w="920" w:type="dxa"/>
            <w:tcBorders>
              <w:top w:val="nil"/>
              <w:left w:val="nil"/>
              <w:bottom w:val="single" w:sz="4" w:space="0" w:color="auto"/>
              <w:right w:val="nil"/>
            </w:tcBorders>
            <w:shd w:val="clear" w:color="auto" w:fill="auto"/>
            <w:noWrap/>
            <w:vAlign w:val="bottom"/>
            <w:hideMark/>
          </w:tcPr>
          <w:p w14:paraId="5B34A65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(3,401)</w:t>
            </w:r>
          </w:p>
        </w:tc>
        <w:tc>
          <w:tcPr>
            <w:tcW w:w="920" w:type="dxa"/>
            <w:tcBorders>
              <w:top w:val="nil"/>
              <w:left w:val="nil"/>
              <w:bottom w:val="single" w:sz="4" w:space="0" w:color="auto"/>
              <w:right w:val="nil"/>
            </w:tcBorders>
            <w:shd w:val="clear" w:color="auto" w:fill="auto"/>
            <w:noWrap/>
            <w:vAlign w:val="bottom"/>
            <w:hideMark/>
          </w:tcPr>
          <w:p w14:paraId="0DDF7CA2"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(3,752)</w:t>
            </w:r>
          </w:p>
        </w:tc>
      </w:tr>
      <w:tr w:rsidR="00393CA8" w:rsidRPr="00393CA8" w14:paraId="43148765" w14:textId="77777777" w:rsidTr="00622C82">
        <w:trPr>
          <w:trHeight w:val="454"/>
          <w:jc w:val="center"/>
        </w:trPr>
        <w:tc>
          <w:tcPr>
            <w:tcW w:w="3042" w:type="dxa"/>
            <w:tcBorders>
              <w:top w:val="nil"/>
              <w:left w:val="nil"/>
              <w:bottom w:val="nil"/>
              <w:right w:val="nil"/>
            </w:tcBorders>
            <w:shd w:val="clear" w:color="auto" w:fill="auto"/>
            <w:vAlign w:val="bottom"/>
            <w:hideMark/>
          </w:tcPr>
          <w:p w14:paraId="5994CE1D" w14:textId="77777777" w:rsidR="00393CA8" w:rsidRPr="00393CA8" w:rsidRDefault="00393CA8" w:rsidP="00393CA8">
            <w:pPr>
              <w:spacing w:before="0" w:after="0" w:line="240" w:lineRule="auto"/>
              <w:ind w:leftChars="75" w:left="143"/>
              <w:rPr>
                <w:rFonts w:ascii="Arial" w:hAnsi="Arial" w:cs="Arial"/>
                <w:color w:val="000000"/>
                <w:sz w:val="16"/>
                <w:szCs w:val="16"/>
              </w:rPr>
            </w:pPr>
            <w:r w:rsidRPr="00393CA8">
              <w:rPr>
                <w:rFonts w:ascii="Arial" w:hAnsi="Arial" w:cs="Arial"/>
                <w:color w:val="000000"/>
                <w:sz w:val="16"/>
                <w:szCs w:val="16"/>
              </w:rPr>
              <w:t>Cash and cash equivalents at the beginning of the reporting period</w:t>
            </w:r>
          </w:p>
        </w:tc>
        <w:tc>
          <w:tcPr>
            <w:tcW w:w="920" w:type="dxa"/>
            <w:tcBorders>
              <w:top w:val="nil"/>
              <w:left w:val="nil"/>
              <w:bottom w:val="nil"/>
              <w:right w:val="nil"/>
            </w:tcBorders>
            <w:shd w:val="clear" w:color="auto" w:fill="auto"/>
            <w:noWrap/>
            <w:vAlign w:val="bottom"/>
            <w:hideMark/>
          </w:tcPr>
          <w:p w14:paraId="3CB4030E"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136,418</w:t>
            </w:r>
          </w:p>
        </w:tc>
        <w:tc>
          <w:tcPr>
            <w:tcW w:w="920" w:type="dxa"/>
            <w:tcBorders>
              <w:top w:val="nil"/>
              <w:left w:val="nil"/>
              <w:bottom w:val="nil"/>
              <w:right w:val="nil"/>
            </w:tcBorders>
            <w:shd w:val="clear" w:color="000000" w:fill="D9D9D9"/>
            <w:noWrap/>
            <w:vAlign w:val="bottom"/>
            <w:hideMark/>
          </w:tcPr>
          <w:p w14:paraId="60E605BA"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118,485</w:t>
            </w:r>
          </w:p>
        </w:tc>
        <w:tc>
          <w:tcPr>
            <w:tcW w:w="920" w:type="dxa"/>
            <w:tcBorders>
              <w:top w:val="nil"/>
              <w:left w:val="nil"/>
              <w:bottom w:val="nil"/>
              <w:right w:val="nil"/>
            </w:tcBorders>
            <w:shd w:val="clear" w:color="auto" w:fill="auto"/>
            <w:noWrap/>
            <w:vAlign w:val="bottom"/>
            <w:hideMark/>
          </w:tcPr>
          <w:p w14:paraId="7376A202"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107,891</w:t>
            </w:r>
          </w:p>
        </w:tc>
        <w:tc>
          <w:tcPr>
            <w:tcW w:w="920" w:type="dxa"/>
            <w:tcBorders>
              <w:top w:val="nil"/>
              <w:left w:val="nil"/>
              <w:bottom w:val="nil"/>
              <w:right w:val="nil"/>
            </w:tcBorders>
            <w:shd w:val="clear" w:color="auto" w:fill="auto"/>
            <w:noWrap/>
            <w:vAlign w:val="bottom"/>
            <w:hideMark/>
          </w:tcPr>
          <w:p w14:paraId="29322715"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102,523</w:t>
            </w:r>
          </w:p>
        </w:tc>
        <w:tc>
          <w:tcPr>
            <w:tcW w:w="920" w:type="dxa"/>
            <w:tcBorders>
              <w:top w:val="nil"/>
              <w:left w:val="nil"/>
              <w:bottom w:val="nil"/>
              <w:right w:val="nil"/>
            </w:tcBorders>
            <w:shd w:val="clear" w:color="auto" w:fill="auto"/>
            <w:noWrap/>
            <w:vAlign w:val="bottom"/>
            <w:hideMark/>
          </w:tcPr>
          <w:p w14:paraId="041209F4" w14:textId="77777777" w:rsidR="00393CA8" w:rsidRPr="00393CA8" w:rsidRDefault="00393CA8" w:rsidP="00393CA8">
            <w:pPr>
              <w:spacing w:before="0" w:after="0" w:line="240" w:lineRule="auto"/>
              <w:jc w:val="right"/>
              <w:rPr>
                <w:rFonts w:ascii="Arial" w:hAnsi="Arial" w:cs="Arial"/>
                <w:color w:val="000000"/>
                <w:sz w:val="16"/>
                <w:szCs w:val="16"/>
              </w:rPr>
            </w:pPr>
            <w:r w:rsidRPr="00393CA8">
              <w:rPr>
                <w:rFonts w:ascii="Arial" w:hAnsi="Arial" w:cs="Arial"/>
                <w:color w:val="000000"/>
                <w:sz w:val="16"/>
                <w:szCs w:val="16"/>
              </w:rPr>
              <w:t>99,122</w:t>
            </w:r>
          </w:p>
        </w:tc>
      </w:tr>
      <w:tr w:rsidR="00393CA8" w:rsidRPr="00393CA8" w14:paraId="4F8725A3" w14:textId="77777777" w:rsidTr="00622C82">
        <w:trPr>
          <w:trHeight w:val="454"/>
          <w:jc w:val="center"/>
        </w:trPr>
        <w:tc>
          <w:tcPr>
            <w:tcW w:w="3042" w:type="dxa"/>
            <w:tcBorders>
              <w:top w:val="nil"/>
              <w:left w:val="nil"/>
              <w:bottom w:val="single" w:sz="4" w:space="0" w:color="auto"/>
              <w:right w:val="nil"/>
            </w:tcBorders>
            <w:shd w:val="clear" w:color="auto" w:fill="auto"/>
            <w:vAlign w:val="bottom"/>
            <w:hideMark/>
          </w:tcPr>
          <w:p w14:paraId="059AF88C" w14:textId="77777777" w:rsidR="00393CA8" w:rsidRPr="00393CA8" w:rsidRDefault="00393CA8" w:rsidP="00393CA8">
            <w:pPr>
              <w:spacing w:before="0" w:after="0" w:line="240" w:lineRule="auto"/>
              <w:rPr>
                <w:rFonts w:ascii="Arial" w:hAnsi="Arial" w:cs="Arial"/>
                <w:b/>
                <w:bCs/>
                <w:color w:val="000000"/>
                <w:sz w:val="16"/>
                <w:szCs w:val="16"/>
              </w:rPr>
            </w:pPr>
            <w:r w:rsidRPr="00393CA8">
              <w:rPr>
                <w:rFonts w:ascii="Arial" w:hAnsi="Arial" w:cs="Arial"/>
                <w:b/>
                <w:bCs/>
                <w:color w:val="000000"/>
                <w:sz w:val="16"/>
                <w:szCs w:val="16"/>
              </w:rPr>
              <w:t>Cash and cash equivalents at the end of the reporting period</w:t>
            </w:r>
          </w:p>
        </w:tc>
        <w:tc>
          <w:tcPr>
            <w:tcW w:w="920" w:type="dxa"/>
            <w:tcBorders>
              <w:top w:val="nil"/>
              <w:left w:val="nil"/>
              <w:bottom w:val="single" w:sz="4" w:space="0" w:color="auto"/>
              <w:right w:val="nil"/>
            </w:tcBorders>
            <w:shd w:val="clear" w:color="auto" w:fill="auto"/>
            <w:noWrap/>
            <w:vAlign w:val="bottom"/>
            <w:hideMark/>
          </w:tcPr>
          <w:p w14:paraId="253DD7F2"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118,485</w:t>
            </w:r>
          </w:p>
        </w:tc>
        <w:tc>
          <w:tcPr>
            <w:tcW w:w="920" w:type="dxa"/>
            <w:tcBorders>
              <w:top w:val="nil"/>
              <w:left w:val="nil"/>
              <w:bottom w:val="single" w:sz="4" w:space="0" w:color="auto"/>
              <w:right w:val="nil"/>
            </w:tcBorders>
            <w:shd w:val="clear" w:color="000000" w:fill="D9D9D9"/>
            <w:noWrap/>
            <w:vAlign w:val="bottom"/>
            <w:hideMark/>
          </w:tcPr>
          <w:p w14:paraId="50922486"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107,891</w:t>
            </w:r>
          </w:p>
        </w:tc>
        <w:tc>
          <w:tcPr>
            <w:tcW w:w="920" w:type="dxa"/>
            <w:tcBorders>
              <w:top w:val="nil"/>
              <w:left w:val="nil"/>
              <w:bottom w:val="single" w:sz="4" w:space="0" w:color="auto"/>
              <w:right w:val="nil"/>
            </w:tcBorders>
            <w:shd w:val="clear" w:color="auto" w:fill="auto"/>
            <w:noWrap/>
            <w:vAlign w:val="bottom"/>
            <w:hideMark/>
          </w:tcPr>
          <w:p w14:paraId="118FF8B5"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102,523</w:t>
            </w:r>
          </w:p>
        </w:tc>
        <w:tc>
          <w:tcPr>
            <w:tcW w:w="920" w:type="dxa"/>
            <w:tcBorders>
              <w:top w:val="nil"/>
              <w:left w:val="nil"/>
              <w:bottom w:val="single" w:sz="4" w:space="0" w:color="auto"/>
              <w:right w:val="nil"/>
            </w:tcBorders>
            <w:shd w:val="clear" w:color="auto" w:fill="auto"/>
            <w:noWrap/>
            <w:vAlign w:val="bottom"/>
            <w:hideMark/>
          </w:tcPr>
          <w:p w14:paraId="5B44EAEE"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99,122</w:t>
            </w:r>
          </w:p>
        </w:tc>
        <w:tc>
          <w:tcPr>
            <w:tcW w:w="920" w:type="dxa"/>
            <w:tcBorders>
              <w:top w:val="nil"/>
              <w:left w:val="nil"/>
              <w:bottom w:val="single" w:sz="4" w:space="0" w:color="auto"/>
              <w:right w:val="nil"/>
            </w:tcBorders>
            <w:shd w:val="clear" w:color="auto" w:fill="auto"/>
            <w:noWrap/>
            <w:vAlign w:val="bottom"/>
            <w:hideMark/>
          </w:tcPr>
          <w:p w14:paraId="7DF5889F" w14:textId="77777777" w:rsidR="00393CA8" w:rsidRPr="00393CA8" w:rsidRDefault="00393CA8" w:rsidP="00393CA8">
            <w:pPr>
              <w:spacing w:before="0" w:after="0" w:line="240" w:lineRule="auto"/>
              <w:jc w:val="right"/>
              <w:rPr>
                <w:rFonts w:ascii="Arial" w:hAnsi="Arial" w:cs="Arial"/>
                <w:b/>
                <w:bCs/>
                <w:color w:val="000000"/>
                <w:sz w:val="16"/>
                <w:szCs w:val="16"/>
              </w:rPr>
            </w:pPr>
            <w:r w:rsidRPr="00393CA8">
              <w:rPr>
                <w:rFonts w:ascii="Arial" w:hAnsi="Arial" w:cs="Arial"/>
                <w:b/>
                <w:bCs/>
                <w:color w:val="000000"/>
                <w:sz w:val="16"/>
                <w:szCs w:val="16"/>
              </w:rPr>
              <w:t>95,370</w:t>
            </w:r>
          </w:p>
        </w:tc>
      </w:tr>
    </w:tbl>
    <w:p w14:paraId="56EA59B3" w14:textId="77777777" w:rsidR="00393CA8" w:rsidRPr="00393CA8" w:rsidRDefault="00393CA8" w:rsidP="00393CA8">
      <w:pPr>
        <w:pStyle w:val="FootnoteText"/>
        <w:spacing w:before="120"/>
        <w:rPr>
          <w:snapToGrid w:val="0"/>
        </w:rPr>
      </w:pPr>
      <w:r w:rsidRPr="00393CA8">
        <w:rPr>
          <w:snapToGrid w:val="0"/>
        </w:rPr>
        <w:t>OPA = Official Public Account</w:t>
      </w:r>
    </w:p>
    <w:p w14:paraId="17EAF98E" w14:textId="778019D7" w:rsidR="00393CA8" w:rsidRDefault="00393CA8" w:rsidP="00393CA8">
      <w:pPr>
        <w:pStyle w:val="FootnoteText"/>
        <w:rPr>
          <w:snapToGrid w:val="0"/>
        </w:rPr>
      </w:pPr>
      <w:r w:rsidRPr="00393CA8">
        <w:rPr>
          <w:snapToGrid w:val="0"/>
        </w:rPr>
        <w:t>DCB = Departmental Capital Budget</w:t>
      </w:r>
    </w:p>
    <w:p w14:paraId="24A9BF0A" w14:textId="77777777" w:rsidR="009D17A5" w:rsidRDefault="009D17A5">
      <w:pPr>
        <w:spacing w:before="0" w:after="0" w:line="240" w:lineRule="auto"/>
        <w:rPr>
          <w:rFonts w:ascii="Arial" w:hAnsi="Arial"/>
          <w:snapToGrid w:val="0"/>
          <w:sz w:val="16"/>
        </w:rPr>
      </w:pPr>
      <w:r>
        <w:rPr>
          <w:snapToGrid w:val="0"/>
        </w:rPr>
        <w:br w:type="page"/>
      </w:r>
    </w:p>
    <w:p w14:paraId="558F4996" w14:textId="77777777" w:rsidR="00736DD8" w:rsidRDefault="00736DD8" w:rsidP="00736DD8">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600" w:type="dxa"/>
        <w:jc w:val="center"/>
        <w:tblLayout w:type="fixed"/>
        <w:tblLook w:val="04A0" w:firstRow="1" w:lastRow="0" w:firstColumn="1" w:lastColumn="0" w:noHBand="0" w:noVBand="1"/>
      </w:tblPr>
      <w:tblGrid>
        <w:gridCol w:w="3000"/>
        <w:gridCol w:w="920"/>
        <w:gridCol w:w="920"/>
        <w:gridCol w:w="920"/>
        <w:gridCol w:w="920"/>
        <w:gridCol w:w="920"/>
      </w:tblGrid>
      <w:tr w:rsidR="00077096" w:rsidRPr="00077096" w14:paraId="00DC615E" w14:textId="77777777" w:rsidTr="00F37D69">
        <w:trPr>
          <w:trHeight w:val="737"/>
          <w:jc w:val="center"/>
        </w:trPr>
        <w:tc>
          <w:tcPr>
            <w:tcW w:w="3000" w:type="dxa"/>
            <w:tcBorders>
              <w:top w:val="single" w:sz="4" w:space="0" w:color="auto"/>
              <w:left w:val="nil"/>
              <w:bottom w:val="nil"/>
              <w:right w:val="nil"/>
            </w:tcBorders>
            <w:shd w:val="clear" w:color="auto" w:fill="auto"/>
            <w:hideMark/>
          </w:tcPr>
          <w:p w14:paraId="3FB431C4" w14:textId="77777777" w:rsidR="00077096" w:rsidRPr="00077096" w:rsidRDefault="00077096" w:rsidP="00F37D69">
            <w:pPr>
              <w:spacing w:before="24" w:after="0" w:line="240" w:lineRule="auto"/>
              <w:jc w:val="right"/>
              <w:rPr>
                <w:rFonts w:ascii="Arial" w:hAnsi="Arial" w:cs="Arial"/>
                <w:color w:val="FF0000"/>
                <w:sz w:val="16"/>
                <w:szCs w:val="16"/>
              </w:rPr>
            </w:pPr>
            <w:r w:rsidRPr="00077096">
              <w:rPr>
                <w:rFonts w:ascii="Arial" w:hAnsi="Arial" w:cs="Arial"/>
                <w:color w:val="FF0000"/>
                <w:sz w:val="16"/>
                <w:szCs w:val="16"/>
              </w:rPr>
              <w:t> </w:t>
            </w:r>
          </w:p>
        </w:tc>
        <w:tc>
          <w:tcPr>
            <w:tcW w:w="920" w:type="dxa"/>
            <w:tcBorders>
              <w:top w:val="single" w:sz="4" w:space="0" w:color="auto"/>
              <w:left w:val="nil"/>
              <w:bottom w:val="single" w:sz="4" w:space="0" w:color="auto"/>
              <w:right w:val="nil"/>
            </w:tcBorders>
            <w:shd w:val="clear" w:color="auto" w:fill="auto"/>
            <w:hideMark/>
          </w:tcPr>
          <w:p w14:paraId="7EE60118" w14:textId="71FB2D40" w:rsidR="00077096" w:rsidRPr="00077096" w:rsidRDefault="00077096" w:rsidP="00F37D69">
            <w:pPr>
              <w:spacing w:before="24" w:after="0" w:line="240" w:lineRule="auto"/>
              <w:jc w:val="right"/>
              <w:rPr>
                <w:rFonts w:ascii="Arial" w:hAnsi="Arial" w:cs="Arial"/>
                <w:b/>
                <w:bCs/>
                <w:sz w:val="16"/>
                <w:szCs w:val="16"/>
              </w:rPr>
            </w:pPr>
            <w:r>
              <w:rPr>
                <w:rFonts w:ascii="Arial" w:hAnsi="Arial" w:cs="Arial"/>
                <w:b/>
                <w:bCs/>
                <w:sz w:val="16"/>
                <w:szCs w:val="16"/>
              </w:rPr>
              <w:t>2022–</w:t>
            </w:r>
            <w:r w:rsidRPr="00077096">
              <w:rPr>
                <w:rFonts w:ascii="Arial" w:hAnsi="Arial" w:cs="Arial"/>
                <w:b/>
                <w:bCs/>
                <w:sz w:val="16"/>
                <w:szCs w:val="16"/>
              </w:rPr>
              <w:t>23</w:t>
            </w:r>
            <w:r w:rsidRPr="00077096">
              <w:rPr>
                <w:rFonts w:ascii="Arial" w:hAnsi="Arial" w:cs="Arial"/>
                <w:b/>
                <w:bCs/>
                <w:sz w:val="16"/>
                <w:szCs w:val="16"/>
              </w:rPr>
              <w:br/>
              <w:t>Actual</w:t>
            </w:r>
            <w:r w:rsidRPr="00077096">
              <w:rPr>
                <w:rFonts w:ascii="Arial" w:hAnsi="Arial" w:cs="Arial"/>
                <w:b/>
                <w:bCs/>
                <w:sz w:val="16"/>
                <w:szCs w:val="16"/>
              </w:rPr>
              <w:br/>
            </w:r>
            <w:r w:rsidRPr="00077096">
              <w:rPr>
                <w:rFonts w:ascii="Arial" w:hAnsi="Arial" w:cs="Arial"/>
                <w:b/>
                <w:bCs/>
                <w:sz w:val="16"/>
                <w:szCs w:val="16"/>
              </w:rPr>
              <w:br/>
            </w:r>
            <w:r w:rsidRPr="00077096">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58C4EE34" w14:textId="0CC1C92A" w:rsidR="00077096" w:rsidRPr="00077096" w:rsidRDefault="00077096" w:rsidP="00F37D69">
            <w:pPr>
              <w:spacing w:before="24" w:after="0" w:line="240" w:lineRule="auto"/>
              <w:jc w:val="right"/>
              <w:rPr>
                <w:rFonts w:ascii="Arial" w:hAnsi="Arial" w:cs="Arial"/>
                <w:b/>
                <w:bCs/>
                <w:sz w:val="16"/>
                <w:szCs w:val="16"/>
              </w:rPr>
            </w:pPr>
            <w:r>
              <w:rPr>
                <w:rFonts w:ascii="Arial" w:hAnsi="Arial" w:cs="Arial"/>
                <w:b/>
                <w:bCs/>
                <w:sz w:val="16"/>
                <w:szCs w:val="16"/>
              </w:rPr>
              <w:t>2023–</w:t>
            </w:r>
            <w:r w:rsidRPr="00077096">
              <w:rPr>
                <w:rFonts w:ascii="Arial" w:hAnsi="Arial" w:cs="Arial"/>
                <w:b/>
                <w:bCs/>
                <w:sz w:val="16"/>
                <w:szCs w:val="16"/>
              </w:rPr>
              <w:t>24</w:t>
            </w:r>
            <w:r w:rsidRPr="00077096">
              <w:rPr>
                <w:rFonts w:ascii="Arial" w:hAnsi="Arial" w:cs="Arial"/>
                <w:b/>
                <w:bCs/>
                <w:sz w:val="16"/>
                <w:szCs w:val="16"/>
              </w:rPr>
              <w:br/>
              <w:t xml:space="preserve">Revised Budget </w:t>
            </w:r>
            <w:r w:rsidRPr="00077096">
              <w:rPr>
                <w:rFonts w:ascii="Arial" w:hAnsi="Arial" w:cs="Arial"/>
                <w:sz w:val="16"/>
                <w:szCs w:val="16"/>
              </w:rPr>
              <w:t xml:space="preserve"> </w:t>
            </w:r>
            <w:r w:rsidRPr="00077096">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15F31DBB" w14:textId="450077B2" w:rsidR="00077096" w:rsidRPr="00077096" w:rsidRDefault="00077096" w:rsidP="00F37D69">
            <w:pPr>
              <w:spacing w:before="24" w:after="0" w:line="240" w:lineRule="auto"/>
              <w:jc w:val="right"/>
              <w:rPr>
                <w:rFonts w:ascii="Arial" w:hAnsi="Arial" w:cs="Arial"/>
                <w:b/>
                <w:bCs/>
                <w:sz w:val="16"/>
                <w:szCs w:val="16"/>
              </w:rPr>
            </w:pPr>
            <w:r>
              <w:rPr>
                <w:rFonts w:ascii="Arial" w:hAnsi="Arial" w:cs="Arial"/>
                <w:b/>
                <w:bCs/>
                <w:sz w:val="16"/>
                <w:szCs w:val="16"/>
              </w:rPr>
              <w:t>2024–</w:t>
            </w:r>
            <w:r w:rsidRPr="00077096">
              <w:rPr>
                <w:rFonts w:ascii="Arial" w:hAnsi="Arial" w:cs="Arial"/>
                <w:b/>
                <w:bCs/>
                <w:sz w:val="16"/>
                <w:szCs w:val="16"/>
              </w:rPr>
              <w:t>25</w:t>
            </w:r>
            <w:r w:rsidRPr="00077096">
              <w:rPr>
                <w:rFonts w:ascii="Arial" w:hAnsi="Arial" w:cs="Arial"/>
                <w:b/>
                <w:bCs/>
                <w:sz w:val="16"/>
                <w:szCs w:val="16"/>
              </w:rPr>
              <w:br/>
              <w:t xml:space="preserve">Forward estimate </w:t>
            </w:r>
            <w:r w:rsidRPr="00077096">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2AC8446F" w14:textId="75FA70DF" w:rsidR="00077096" w:rsidRPr="00077096" w:rsidRDefault="00077096" w:rsidP="00F37D69">
            <w:pPr>
              <w:spacing w:before="24" w:after="0" w:line="240" w:lineRule="auto"/>
              <w:jc w:val="right"/>
              <w:rPr>
                <w:rFonts w:ascii="Arial" w:hAnsi="Arial" w:cs="Arial"/>
                <w:b/>
                <w:bCs/>
                <w:sz w:val="16"/>
                <w:szCs w:val="16"/>
              </w:rPr>
            </w:pPr>
            <w:r>
              <w:rPr>
                <w:rFonts w:ascii="Arial" w:hAnsi="Arial" w:cs="Arial"/>
                <w:b/>
                <w:bCs/>
                <w:sz w:val="16"/>
                <w:szCs w:val="16"/>
              </w:rPr>
              <w:t>2025–</w:t>
            </w:r>
            <w:r w:rsidRPr="00077096">
              <w:rPr>
                <w:rFonts w:ascii="Arial" w:hAnsi="Arial" w:cs="Arial"/>
                <w:b/>
                <w:bCs/>
                <w:sz w:val="16"/>
                <w:szCs w:val="16"/>
              </w:rPr>
              <w:t>26</w:t>
            </w:r>
            <w:r w:rsidRPr="00077096">
              <w:rPr>
                <w:rFonts w:ascii="Arial" w:hAnsi="Arial" w:cs="Arial"/>
                <w:b/>
                <w:bCs/>
                <w:sz w:val="16"/>
                <w:szCs w:val="16"/>
              </w:rPr>
              <w:br/>
              <w:t xml:space="preserve">Forward estimate </w:t>
            </w:r>
            <w:r w:rsidRPr="00077096">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5FF62453" w14:textId="6B41A81F" w:rsidR="00077096" w:rsidRPr="00077096" w:rsidRDefault="00077096" w:rsidP="00F37D69">
            <w:pPr>
              <w:spacing w:before="24" w:after="0" w:line="240" w:lineRule="auto"/>
              <w:jc w:val="right"/>
              <w:rPr>
                <w:rFonts w:ascii="Arial" w:hAnsi="Arial" w:cs="Arial"/>
                <w:b/>
                <w:bCs/>
                <w:sz w:val="16"/>
                <w:szCs w:val="16"/>
              </w:rPr>
            </w:pPr>
            <w:r w:rsidRPr="00077096">
              <w:rPr>
                <w:rFonts w:ascii="Arial" w:hAnsi="Arial" w:cs="Arial"/>
                <w:b/>
                <w:bCs/>
                <w:sz w:val="16"/>
                <w:szCs w:val="16"/>
              </w:rPr>
              <w:t>2026</w:t>
            </w:r>
            <w:r>
              <w:rPr>
                <w:rFonts w:ascii="Arial" w:hAnsi="Arial" w:cs="Arial"/>
                <w:b/>
                <w:bCs/>
                <w:sz w:val="16"/>
                <w:szCs w:val="16"/>
              </w:rPr>
              <w:t>–</w:t>
            </w:r>
            <w:r w:rsidRPr="00077096">
              <w:rPr>
                <w:rFonts w:ascii="Arial" w:hAnsi="Arial" w:cs="Arial"/>
                <w:b/>
                <w:bCs/>
                <w:sz w:val="16"/>
                <w:szCs w:val="16"/>
              </w:rPr>
              <w:t>27</w:t>
            </w:r>
            <w:r w:rsidRPr="00077096">
              <w:rPr>
                <w:rFonts w:ascii="Arial" w:hAnsi="Arial" w:cs="Arial"/>
                <w:b/>
                <w:bCs/>
                <w:sz w:val="16"/>
                <w:szCs w:val="16"/>
              </w:rPr>
              <w:br/>
              <w:t xml:space="preserve">Forward estimate </w:t>
            </w:r>
            <w:r w:rsidRPr="00077096">
              <w:rPr>
                <w:rFonts w:ascii="Arial" w:hAnsi="Arial" w:cs="Arial"/>
                <w:sz w:val="16"/>
                <w:szCs w:val="16"/>
              </w:rPr>
              <w:t>$'000</w:t>
            </w:r>
          </w:p>
        </w:tc>
      </w:tr>
      <w:tr w:rsidR="00077096" w:rsidRPr="00077096" w14:paraId="7C5B02DD" w14:textId="77777777" w:rsidTr="00F37D69">
        <w:trPr>
          <w:trHeight w:val="283"/>
          <w:jc w:val="center"/>
        </w:trPr>
        <w:tc>
          <w:tcPr>
            <w:tcW w:w="3000" w:type="dxa"/>
            <w:tcBorders>
              <w:top w:val="nil"/>
              <w:left w:val="nil"/>
              <w:bottom w:val="nil"/>
              <w:right w:val="nil"/>
            </w:tcBorders>
            <w:shd w:val="clear" w:color="000000" w:fill="FFFFFF"/>
            <w:noWrap/>
            <w:vAlign w:val="bottom"/>
            <w:hideMark/>
          </w:tcPr>
          <w:p w14:paraId="21900521" w14:textId="77777777" w:rsidR="00077096" w:rsidRPr="00077096" w:rsidRDefault="00077096" w:rsidP="00077096">
            <w:pPr>
              <w:spacing w:before="0" w:after="0" w:line="240" w:lineRule="auto"/>
              <w:rPr>
                <w:rFonts w:ascii="Arial" w:hAnsi="Arial" w:cs="Arial"/>
                <w:b/>
                <w:bCs/>
                <w:sz w:val="16"/>
                <w:szCs w:val="16"/>
              </w:rPr>
            </w:pPr>
            <w:r w:rsidRPr="00077096">
              <w:rPr>
                <w:rFonts w:ascii="Arial" w:hAnsi="Arial" w:cs="Arial"/>
                <w:b/>
                <w:bCs/>
                <w:sz w:val="16"/>
                <w:szCs w:val="16"/>
              </w:rPr>
              <w:t>CAPITAL APPROPRIATIONS</w:t>
            </w:r>
          </w:p>
        </w:tc>
        <w:tc>
          <w:tcPr>
            <w:tcW w:w="920" w:type="dxa"/>
            <w:tcBorders>
              <w:top w:val="nil"/>
              <w:left w:val="nil"/>
              <w:bottom w:val="nil"/>
              <w:right w:val="nil"/>
            </w:tcBorders>
            <w:shd w:val="clear" w:color="000000" w:fill="FFFFFF"/>
            <w:noWrap/>
            <w:vAlign w:val="bottom"/>
            <w:hideMark/>
          </w:tcPr>
          <w:p w14:paraId="2D217C63"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D9D9D9"/>
            <w:noWrap/>
            <w:vAlign w:val="bottom"/>
            <w:hideMark/>
          </w:tcPr>
          <w:p w14:paraId="78ADA62F"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8CD54D2" w14:textId="77777777" w:rsidR="00077096" w:rsidRPr="00077096" w:rsidRDefault="00077096" w:rsidP="0007709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000000" w:fill="FFFFFF"/>
            <w:noWrap/>
            <w:vAlign w:val="bottom"/>
            <w:hideMark/>
          </w:tcPr>
          <w:p w14:paraId="383BC233"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6795E40F"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r>
      <w:tr w:rsidR="00077096" w:rsidRPr="00077096" w14:paraId="1E0E8A25"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4A89DC4F" w14:textId="77777777" w:rsidR="00077096" w:rsidRPr="00077096" w:rsidRDefault="00077096" w:rsidP="00077096">
            <w:pPr>
              <w:spacing w:before="0" w:after="0" w:line="240" w:lineRule="auto"/>
              <w:ind w:leftChars="75" w:left="143"/>
              <w:rPr>
                <w:rFonts w:ascii="Arial" w:hAnsi="Arial" w:cs="Arial"/>
                <w:sz w:val="16"/>
                <w:szCs w:val="16"/>
              </w:rPr>
            </w:pPr>
            <w:r w:rsidRPr="00077096">
              <w:rPr>
                <w:rFonts w:ascii="Arial" w:hAnsi="Arial" w:cs="Arial"/>
                <w:sz w:val="16"/>
                <w:szCs w:val="16"/>
              </w:rPr>
              <w:t>Equity injections - Bill 2</w:t>
            </w:r>
          </w:p>
        </w:tc>
        <w:tc>
          <w:tcPr>
            <w:tcW w:w="920" w:type="dxa"/>
            <w:tcBorders>
              <w:top w:val="nil"/>
              <w:left w:val="nil"/>
              <w:bottom w:val="nil"/>
              <w:right w:val="nil"/>
            </w:tcBorders>
            <w:shd w:val="clear" w:color="auto" w:fill="auto"/>
            <w:noWrap/>
            <w:vAlign w:val="bottom"/>
            <w:hideMark/>
          </w:tcPr>
          <w:p w14:paraId="25D59EA3"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131,871</w:t>
            </w:r>
          </w:p>
        </w:tc>
        <w:tc>
          <w:tcPr>
            <w:tcW w:w="920" w:type="dxa"/>
            <w:tcBorders>
              <w:top w:val="nil"/>
              <w:left w:val="nil"/>
              <w:bottom w:val="nil"/>
              <w:right w:val="nil"/>
            </w:tcBorders>
            <w:shd w:val="clear" w:color="000000" w:fill="D9D9D9"/>
            <w:noWrap/>
            <w:vAlign w:val="bottom"/>
            <w:hideMark/>
          </w:tcPr>
          <w:p w14:paraId="0F33A830"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221,949</w:t>
            </w:r>
          </w:p>
        </w:tc>
        <w:tc>
          <w:tcPr>
            <w:tcW w:w="920" w:type="dxa"/>
            <w:tcBorders>
              <w:top w:val="nil"/>
              <w:left w:val="nil"/>
              <w:bottom w:val="nil"/>
              <w:right w:val="nil"/>
            </w:tcBorders>
            <w:shd w:val="clear" w:color="auto" w:fill="auto"/>
            <w:noWrap/>
            <w:vAlign w:val="bottom"/>
            <w:hideMark/>
          </w:tcPr>
          <w:p w14:paraId="4BC7EC2A"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32,627</w:t>
            </w:r>
          </w:p>
        </w:tc>
        <w:tc>
          <w:tcPr>
            <w:tcW w:w="920" w:type="dxa"/>
            <w:tcBorders>
              <w:top w:val="nil"/>
              <w:left w:val="nil"/>
              <w:bottom w:val="nil"/>
              <w:right w:val="nil"/>
            </w:tcBorders>
            <w:shd w:val="clear" w:color="auto" w:fill="auto"/>
            <w:noWrap/>
            <w:vAlign w:val="bottom"/>
            <w:hideMark/>
          </w:tcPr>
          <w:p w14:paraId="4FBBDFF9"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11,942</w:t>
            </w:r>
          </w:p>
        </w:tc>
        <w:tc>
          <w:tcPr>
            <w:tcW w:w="920" w:type="dxa"/>
            <w:tcBorders>
              <w:top w:val="nil"/>
              <w:left w:val="nil"/>
              <w:bottom w:val="nil"/>
              <w:right w:val="nil"/>
            </w:tcBorders>
            <w:shd w:val="clear" w:color="auto" w:fill="auto"/>
            <w:noWrap/>
            <w:vAlign w:val="bottom"/>
            <w:hideMark/>
          </w:tcPr>
          <w:p w14:paraId="758C2FB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7,035</w:t>
            </w:r>
          </w:p>
        </w:tc>
      </w:tr>
      <w:tr w:rsidR="00077096" w:rsidRPr="00077096" w14:paraId="19E9EB44"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2ED67633" w14:textId="77777777" w:rsidR="00077096" w:rsidRPr="00077096" w:rsidRDefault="00077096" w:rsidP="00077096">
            <w:pPr>
              <w:spacing w:before="0" w:after="0" w:line="240" w:lineRule="auto"/>
              <w:ind w:leftChars="75" w:left="143"/>
              <w:rPr>
                <w:rFonts w:ascii="Arial" w:hAnsi="Arial" w:cs="Arial"/>
                <w:sz w:val="16"/>
                <w:szCs w:val="16"/>
              </w:rPr>
            </w:pPr>
            <w:r w:rsidRPr="00077096">
              <w:rPr>
                <w:rFonts w:ascii="Arial" w:hAnsi="Arial" w:cs="Arial"/>
                <w:sz w:val="16"/>
                <w:szCs w:val="16"/>
              </w:rPr>
              <w:t>Capital budget - Bill 1 (DCB)</w:t>
            </w:r>
          </w:p>
        </w:tc>
        <w:tc>
          <w:tcPr>
            <w:tcW w:w="920" w:type="dxa"/>
            <w:tcBorders>
              <w:top w:val="nil"/>
              <w:left w:val="nil"/>
              <w:bottom w:val="nil"/>
              <w:right w:val="nil"/>
            </w:tcBorders>
            <w:shd w:val="clear" w:color="auto" w:fill="auto"/>
            <w:noWrap/>
            <w:vAlign w:val="bottom"/>
            <w:hideMark/>
          </w:tcPr>
          <w:p w14:paraId="74814450"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14,517</w:t>
            </w:r>
          </w:p>
        </w:tc>
        <w:tc>
          <w:tcPr>
            <w:tcW w:w="920" w:type="dxa"/>
            <w:tcBorders>
              <w:top w:val="nil"/>
              <w:left w:val="nil"/>
              <w:bottom w:val="nil"/>
              <w:right w:val="nil"/>
            </w:tcBorders>
            <w:shd w:val="clear" w:color="000000" w:fill="D9D9D9"/>
            <w:noWrap/>
            <w:vAlign w:val="bottom"/>
            <w:hideMark/>
          </w:tcPr>
          <w:p w14:paraId="1E269D56"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12,708</w:t>
            </w:r>
          </w:p>
        </w:tc>
        <w:tc>
          <w:tcPr>
            <w:tcW w:w="920" w:type="dxa"/>
            <w:tcBorders>
              <w:top w:val="nil"/>
              <w:left w:val="nil"/>
              <w:bottom w:val="nil"/>
              <w:right w:val="nil"/>
            </w:tcBorders>
            <w:shd w:val="clear" w:color="auto" w:fill="auto"/>
            <w:noWrap/>
            <w:vAlign w:val="bottom"/>
            <w:hideMark/>
          </w:tcPr>
          <w:p w14:paraId="4A6EB1DA"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12,943</w:t>
            </w:r>
          </w:p>
        </w:tc>
        <w:tc>
          <w:tcPr>
            <w:tcW w:w="920" w:type="dxa"/>
            <w:tcBorders>
              <w:top w:val="nil"/>
              <w:left w:val="nil"/>
              <w:bottom w:val="nil"/>
              <w:right w:val="nil"/>
            </w:tcBorders>
            <w:shd w:val="clear" w:color="auto" w:fill="auto"/>
            <w:noWrap/>
            <w:vAlign w:val="bottom"/>
            <w:hideMark/>
          </w:tcPr>
          <w:p w14:paraId="13A9C839"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13,113</w:t>
            </w:r>
          </w:p>
        </w:tc>
        <w:tc>
          <w:tcPr>
            <w:tcW w:w="920" w:type="dxa"/>
            <w:tcBorders>
              <w:top w:val="nil"/>
              <w:left w:val="nil"/>
              <w:bottom w:val="nil"/>
              <w:right w:val="nil"/>
            </w:tcBorders>
            <w:shd w:val="clear" w:color="auto" w:fill="auto"/>
            <w:noWrap/>
            <w:vAlign w:val="bottom"/>
            <w:hideMark/>
          </w:tcPr>
          <w:p w14:paraId="7372E5E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13,248</w:t>
            </w:r>
          </w:p>
        </w:tc>
      </w:tr>
      <w:tr w:rsidR="00077096" w:rsidRPr="00077096" w14:paraId="47921940"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3DF3535D" w14:textId="77777777" w:rsidR="00077096" w:rsidRPr="00077096" w:rsidRDefault="00077096" w:rsidP="00077096">
            <w:pPr>
              <w:spacing w:before="0" w:after="0" w:line="240" w:lineRule="auto"/>
              <w:ind w:leftChars="75" w:left="143"/>
              <w:rPr>
                <w:rFonts w:ascii="Arial" w:hAnsi="Arial" w:cs="Arial"/>
                <w:b/>
                <w:bCs/>
                <w:sz w:val="16"/>
                <w:szCs w:val="16"/>
              </w:rPr>
            </w:pPr>
            <w:r w:rsidRPr="00077096">
              <w:rPr>
                <w:rFonts w:ascii="Arial" w:hAnsi="Arial" w:cs="Arial"/>
                <w:b/>
                <w:bCs/>
                <w:sz w:val="16"/>
                <w:szCs w:val="16"/>
              </w:rPr>
              <w:t>Total capital appropriations</w:t>
            </w:r>
          </w:p>
        </w:tc>
        <w:tc>
          <w:tcPr>
            <w:tcW w:w="920" w:type="dxa"/>
            <w:tcBorders>
              <w:top w:val="nil"/>
              <w:left w:val="nil"/>
              <w:bottom w:val="single" w:sz="4" w:space="0" w:color="auto"/>
              <w:right w:val="nil"/>
            </w:tcBorders>
            <w:shd w:val="clear" w:color="auto" w:fill="auto"/>
            <w:noWrap/>
            <w:vAlign w:val="bottom"/>
            <w:hideMark/>
          </w:tcPr>
          <w:p w14:paraId="3AD1F173"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146,388</w:t>
            </w:r>
          </w:p>
        </w:tc>
        <w:tc>
          <w:tcPr>
            <w:tcW w:w="920" w:type="dxa"/>
            <w:tcBorders>
              <w:top w:val="nil"/>
              <w:left w:val="nil"/>
              <w:bottom w:val="single" w:sz="4" w:space="0" w:color="auto"/>
              <w:right w:val="nil"/>
            </w:tcBorders>
            <w:shd w:val="clear" w:color="000000" w:fill="D9D9D9"/>
            <w:noWrap/>
            <w:vAlign w:val="bottom"/>
            <w:hideMark/>
          </w:tcPr>
          <w:p w14:paraId="23289A60"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234,657</w:t>
            </w:r>
          </w:p>
        </w:tc>
        <w:tc>
          <w:tcPr>
            <w:tcW w:w="920" w:type="dxa"/>
            <w:tcBorders>
              <w:top w:val="nil"/>
              <w:left w:val="nil"/>
              <w:bottom w:val="single" w:sz="4" w:space="0" w:color="auto"/>
              <w:right w:val="nil"/>
            </w:tcBorders>
            <w:shd w:val="clear" w:color="auto" w:fill="auto"/>
            <w:noWrap/>
            <w:vAlign w:val="bottom"/>
            <w:hideMark/>
          </w:tcPr>
          <w:p w14:paraId="67B7274B"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45,570</w:t>
            </w:r>
          </w:p>
        </w:tc>
        <w:tc>
          <w:tcPr>
            <w:tcW w:w="920" w:type="dxa"/>
            <w:tcBorders>
              <w:top w:val="nil"/>
              <w:left w:val="nil"/>
              <w:bottom w:val="single" w:sz="4" w:space="0" w:color="auto"/>
              <w:right w:val="nil"/>
            </w:tcBorders>
            <w:shd w:val="clear" w:color="auto" w:fill="auto"/>
            <w:noWrap/>
            <w:vAlign w:val="bottom"/>
            <w:hideMark/>
          </w:tcPr>
          <w:p w14:paraId="786B60F4"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25,055</w:t>
            </w:r>
          </w:p>
        </w:tc>
        <w:tc>
          <w:tcPr>
            <w:tcW w:w="920" w:type="dxa"/>
            <w:tcBorders>
              <w:top w:val="nil"/>
              <w:left w:val="nil"/>
              <w:bottom w:val="single" w:sz="4" w:space="0" w:color="auto"/>
              <w:right w:val="nil"/>
            </w:tcBorders>
            <w:shd w:val="clear" w:color="auto" w:fill="auto"/>
            <w:noWrap/>
            <w:vAlign w:val="bottom"/>
            <w:hideMark/>
          </w:tcPr>
          <w:p w14:paraId="4A736262"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20,283</w:t>
            </w:r>
          </w:p>
        </w:tc>
      </w:tr>
      <w:tr w:rsidR="00077096" w:rsidRPr="00077096" w14:paraId="43091722" w14:textId="77777777" w:rsidTr="00F37D69">
        <w:trPr>
          <w:trHeight w:val="454"/>
          <w:jc w:val="center"/>
        </w:trPr>
        <w:tc>
          <w:tcPr>
            <w:tcW w:w="3000" w:type="dxa"/>
            <w:tcBorders>
              <w:top w:val="nil"/>
              <w:left w:val="nil"/>
              <w:bottom w:val="nil"/>
              <w:right w:val="nil"/>
            </w:tcBorders>
            <w:shd w:val="clear" w:color="000000" w:fill="FFFFFF"/>
            <w:vAlign w:val="bottom"/>
            <w:hideMark/>
          </w:tcPr>
          <w:p w14:paraId="4ADF8950" w14:textId="77777777" w:rsidR="00077096" w:rsidRPr="00077096" w:rsidRDefault="00077096" w:rsidP="00077096">
            <w:pPr>
              <w:spacing w:before="0" w:after="0" w:line="240" w:lineRule="auto"/>
              <w:ind w:leftChars="75" w:left="143"/>
              <w:rPr>
                <w:rFonts w:ascii="Arial" w:hAnsi="Arial" w:cs="Arial"/>
                <w:b/>
                <w:bCs/>
                <w:sz w:val="16"/>
                <w:szCs w:val="16"/>
              </w:rPr>
            </w:pPr>
            <w:r w:rsidRPr="00077096">
              <w:rPr>
                <w:rFonts w:ascii="Arial" w:hAnsi="Arial" w:cs="Arial"/>
                <w:b/>
                <w:bCs/>
                <w:sz w:val="16"/>
                <w:szCs w:val="16"/>
              </w:rPr>
              <w:t>Total new capital appropriations represented by:</w:t>
            </w:r>
          </w:p>
        </w:tc>
        <w:tc>
          <w:tcPr>
            <w:tcW w:w="920" w:type="dxa"/>
            <w:tcBorders>
              <w:top w:val="nil"/>
              <w:left w:val="nil"/>
              <w:bottom w:val="nil"/>
              <w:right w:val="nil"/>
            </w:tcBorders>
            <w:shd w:val="clear" w:color="000000" w:fill="FFFFFF"/>
            <w:noWrap/>
            <w:vAlign w:val="bottom"/>
            <w:hideMark/>
          </w:tcPr>
          <w:p w14:paraId="7CA38C77"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D9D9D9"/>
            <w:noWrap/>
            <w:vAlign w:val="bottom"/>
            <w:hideMark/>
          </w:tcPr>
          <w:p w14:paraId="2950993C"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4134AC5" w14:textId="77777777" w:rsidR="00077096" w:rsidRPr="00077096" w:rsidRDefault="00077096" w:rsidP="0007709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000000" w:fill="FFFFFF"/>
            <w:noWrap/>
            <w:vAlign w:val="bottom"/>
            <w:hideMark/>
          </w:tcPr>
          <w:p w14:paraId="43283558"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78933945"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r>
      <w:tr w:rsidR="00077096" w:rsidRPr="00077096" w14:paraId="57D86C11"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4EC951FC" w14:textId="77777777" w:rsidR="00077096" w:rsidRPr="00077096" w:rsidRDefault="00077096" w:rsidP="00077096">
            <w:pPr>
              <w:spacing w:before="0" w:after="0" w:line="240" w:lineRule="auto"/>
              <w:ind w:leftChars="75" w:left="143"/>
              <w:rPr>
                <w:rFonts w:ascii="Arial" w:hAnsi="Arial" w:cs="Arial"/>
                <w:sz w:val="16"/>
                <w:szCs w:val="16"/>
              </w:rPr>
            </w:pPr>
            <w:r w:rsidRPr="00077096">
              <w:rPr>
                <w:rFonts w:ascii="Arial" w:hAnsi="Arial" w:cs="Arial"/>
                <w:sz w:val="16"/>
                <w:szCs w:val="16"/>
              </w:rPr>
              <w:t>Purchase of non-financial assets</w:t>
            </w:r>
          </w:p>
        </w:tc>
        <w:tc>
          <w:tcPr>
            <w:tcW w:w="920" w:type="dxa"/>
            <w:tcBorders>
              <w:top w:val="nil"/>
              <w:left w:val="nil"/>
              <w:bottom w:val="nil"/>
              <w:right w:val="nil"/>
            </w:tcBorders>
            <w:shd w:val="clear" w:color="auto" w:fill="auto"/>
            <w:noWrap/>
            <w:vAlign w:val="bottom"/>
            <w:hideMark/>
          </w:tcPr>
          <w:p w14:paraId="1C5B1A33"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146,388</w:t>
            </w:r>
          </w:p>
        </w:tc>
        <w:tc>
          <w:tcPr>
            <w:tcW w:w="920" w:type="dxa"/>
            <w:tcBorders>
              <w:top w:val="nil"/>
              <w:left w:val="nil"/>
              <w:bottom w:val="nil"/>
              <w:right w:val="nil"/>
            </w:tcBorders>
            <w:shd w:val="clear" w:color="000000" w:fill="D9D9D9"/>
            <w:noWrap/>
            <w:vAlign w:val="bottom"/>
            <w:hideMark/>
          </w:tcPr>
          <w:p w14:paraId="6E08CE59"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234,657</w:t>
            </w:r>
          </w:p>
        </w:tc>
        <w:tc>
          <w:tcPr>
            <w:tcW w:w="920" w:type="dxa"/>
            <w:tcBorders>
              <w:top w:val="nil"/>
              <w:left w:val="nil"/>
              <w:bottom w:val="nil"/>
              <w:right w:val="nil"/>
            </w:tcBorders>
            <w:shd w:val="clear" w:color="auto" w:fill="auto"/>
            <w:noWrap/>
            <w:vAlign w:val="bottom"/>
            <w:hideMark/>
          </w:tcPr>
          <w:p w14:paraId="62E11288"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45,570</w:t>
            </w:r>
          </w:p>
        </w:tc>
        <w:tc>
          <w:tcPr>
            <w:tcW w:w="920" w:type="dxa"/>
            <w:tcBorders>
              <w:top w:val="nil"/>
              <w:left w:val="nil"/>
              <w:bottom w:val="nil"/>
              <w:right w:val="nil"/>
            </w:tcBorders>
            <w:shd w:val="clear" w:color="auto" w:fill="auto"/>
            <w:noWrap/>
            <w:vAlign w:val="bottom"/>
            <w:hideMark/>
          </w:tcPr>
          <w:p w14:paraId="6F90E25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25,055</w:t>
            </w:r>
          </w:p>
        </w:tc>
        <w:tc>
          <w:tcPr>
            <w:tcW w:w="920" w:type="dxa"/>
            <w:tcBorders>
              <w:top w:val="nil"/>
              <w:left w:val="nil"/>
              <w:bottom w:val="nil"/>
              <w:right w:val="nil"/>
            </w:tcBorders>
            <w:shd w:val="clear" w:color="auto" w:fill="auto"/>
            <w:noWrap/>
            <w:vAlign w:val="bottom"/>
            <w:hideMark/>
          </w:tcPr>
          <w:p w14:paraId="24472162"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20,283</w:t>
            </w:r>
          </w:p>
        </w:tc>
      </w:tr>
      <w:tr w:rsidR="00077096" w:rsidRPr="00077096" w14:paraId="7C280E7B"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24B69C3F" w14:textId="77777777" w:rsidR="00077096" w:rsidRPr="00077096" w:rsidRDefault="00077096" w:rsidP="00077096">
            <w:pPr>
              <w:spacing w:before="0" w:after="0" w:line="240" w:lineRule="auto"/>
              <w:ind w:leftChars="75" w:left="143"/>
              <w:rPr>
                <w:rFonts w:ascii="Arial" w:hAnsi="Arial" w:cs="Arial"/>
                <w:b/>
                <w:bCs/>
                <w:sz w:val="16"/>
                <w:szCs w:val="16"/>
              </w:rPr>
            </w:pPr>
            <w:r w:rsidRPr="00077096">
              <w:rPr>
                <w:rFonts w:ascii="Arial" w:hAnsi="Arial" w:cs="Arial"/>
                <w:b/>
                <w:bCs/>
                <w:sz w:val="16"/>
                <w:szCs w:val="16"/>
              </w:rPr>
              <w:t>Total items</w:t>
            </w:r>
          </w:p>
        </w:tc>
        <w:tc>
          <w:tcPr>
            <w:tcW w:w="920" w:type="dxa"/>
            <w:tcBorders>
              <w:top w:val="nil"/>
              <w:left w:val="nil"/>
              <w:bottom w:val="single" w:sz="4" w:space="0" w:color="auto"/>
              <w:right w:val="nil"/>
            </w:tcBorders>
            <w:shd w:val="clear" w:color="auto" w:fill="auto"/>
            <w:noWrap/>
            <w:vAlign w:val="bottom"/>
            <w:hideMark/>
          </w:tcPr>
          <w:p w14:paraId="0C94EF16"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146,388</w:t>
            </w:r>
          </w:p>
        </w:tc>
        <w:tc>
          <w:tcPr>
            <w:tcW w:w="920" w:type="dxa"/>
            <w:tcBorders>
              <w:top w:val="nil"/>
              <w:left w:val="nil"/>
              <w:bottom w:val="single" w:sz="4" w:space="0" w:color="auto"/>
              <w:right w:val="nil"/>
            </w:tcBorders>
            <w:shd w:val="clear" w:color="000000" w:fill="D9D9D9"/>
            <w:noWrap/>
            <w:vAlign w:val="bottom"/>
            <w:hideMark/>
          </w:tcPr>
          <w:p w14:paraId="48A4DC6F"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234,657</w:t>
            </w:r>
          </w:p>
        </w:tc>
        <w:tc>
          <w:tcPr>
            <w:tcW w:w="920" w:type="dxa"/>
            <w:tcBorders>
              <w:top w:val="nil"/>
              <w:left w:val="nil"/>
              <w:bottom w:val="single" w:sz="4" w:space="0" w:color="auto"/>
              <w:right w:val="nil"/>
            </w:tcBorders>
            <w:shd w:val="clear" w:color="auto" w:fill="auto"/>
            <w:noWrap/>
            <w:vAlign w:val="bottom"/>
            <w:hideMark/>
          </w:tcPr>
          <w:p w14:paraId="77A96610"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45,570</w:t>
            </w:r>
          </w:p>
        </w:tc>
        <w:tc>
          <w:tcPr>
            <w:tcW w:w="920" w:type="dxa"/>
            <w:tcBorders>
              <w:top w:val="nil"/>
              <w:left w:val="nil"/>
              <w:bottom w:val="single" w:sz="4" w:space="0" w:color="auto"/>
              <w:right w:val="nil"/>
            </w:tcBorders>
            <w:shd w:val="clear" w:color="auto" w:fill="auto"/>
            <w:noWrap/>
            <w:vAlign w:val="bottom"/>
            <w:hideMark/>
          </w:tcPr>
          <w:p w14:paraId="38BD688D"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25,055</w:t>
            </w:r>
          </w:p>
        </w:tc>
        <w:tc>
          <w:tcPr>
            <w:tcW w:w="920" w:type="dxa"/>
            <w:tcBorders>
              <w:top w:val="nil"/>
              <w:left w:val="nil"/>
              <w:bottom w:val="single" w:sz="4" w:space="0" w:color="auto"/>
              <w:right w:val="nil"/>
            </w:tcBorders>
            <w:shd w:val="clear" w:color="auto" w:fill="auto"/>
            <w:noWrap/>
            <w:vAlign w:val="bottom"/>
            <w:hideMark/>
          </w:tcPr>
          <w:p w14:paraId="5560C310"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20,283</w:t>
            </w:r>
          </w:p>
        </w:tc>
      </w:tr>
      <w:tr w:rsidR="00077096" w:rsidRPr="00077096" w14:paraId="4D713465" w14:textId="77777777" w:rsidTr="00F37D69">
        <w:trPr>
          <w:trHeight w:val="595"/>
          <w:jc w:val="center"/>
        </w:trPr>
        <w:tc>
          <w:tcPr>
            <w:tcW w:w="3000" w:type="dxa"/>
            <w:tcBorders>
              <w:top w:val="nil"/>
              <w:left w:val="nil"/>
              <w:bottom w:val="nil"/>
              <w:right w:val="nil"/>
            </w:tcBorders>
            <w:shd w:val="clear" w:color="000000" w:fill="FFFFFF"/>
            <w:vAlign w:val="bottom"/>
            <w:hideMark/>
          </w:tcPr>
          <w:p w14:paraId="27C08470" w14:textId="77777777" w:rsidR="00077096" w:rsidRPr="00077096" w:rsidRDefault="00077096" w:rsidP="00077096">
            <w:pPr>
              <w:spacing w:before="0" w:after="0" w:line="240" w:lineRule="auto"/>
              <w:rPr>
                <w:rFonts w:ascii="Arial" w:hAnsi="Arial" w:cs="Arial"/>
                <w:b/>
                <w:bCs/>
                <w:sz w:val="16"/>
                <w:szCs w:val="16"/>
              </w:rPr>
            </w:pPr>
            <w:r w:rsidRPr="00077096">
              <w:rPr>
                <w:rFonts w:ascii="Arial" w:hAnsi="Arial" w:cs="Arial"/>
                <w:b/>
                <w:bCs/>
                <w:sz w:val="16"/>
                <w:szCs w:val="16"/>
              </w:rPr>
              <w:t>PURCHASE OF NON-FINANCIAL ASSETS</w:t>
            </w:r>
          </w:p>
        </w:tc>
        <w:tc>
          <w:tcPr>
            <w:tcW w:w="920" w:type="dxa"/>
            <w:tcBorders>
              <w:top w:val="nil"/>
              <w:left w:val="nil"/>
              <w:bottom w:val="nil"/>
              <w:right w:val="nil"/>
            </w:tcBorders>
            <w:shd w:val="clear" w:color="000000" w:fill="FFFFFF"/>
            <w:noWrap/>
            <w:vAlign w:val="bottom"/>
            <w:hideMark/>
          </w:tcPr>
          <w:p w14:paraId="1FA58AFD"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D9D9D9"/>
            <w:noWrap/>
            <w:vAlign w:val="bottom"/>
            <w:hideMark/>
          </w:tcPr>
          <w:p w14:paraId="2CD1DEA2"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A56B4B6" w14:textId="77777777" w:rsidR="00077096" w:rsidRPr="00077096" w:rsidRDefault="00077096" w:rsidP="0007709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000000" w:fill="FFFFFF"/>
            <w:noWrap/>
            <w:vAlign w:val="bottom"/>
            <w:hideMark/>
          </w:tcPr>
          <w:p w14:paraId="3B5F6503"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c>
          <w:tcPr>
            <w:tcW w:w="920" w:type="dxa"/>
            <w:tcBorders>
              <w:top w:val="nil"/>
              <w:left w:val="nil"/>
              <w:bottom w:val="nil"/>
              <w:right w:val="nil"/>
            </w:tcBorders>
            <w:shd w:val="clear" w:color="000000" w:fill="FFFFFF"/>
            <w:noWrap/>
            <w:vAlign w:val="bottom"/>
            <w:hideMark/>
          </w:tcPr>
          <w:p w14:paraId="55B2F516" w14:textId="77777777" w:rsidR="00077096" w:rsidRPr="00077096" w:rsidRDefault="00077096" w:rsidP="00077096">
            <w:pPr>
              <w:spacing w:before="0" w:after="0" w:line="240" w:lineRule="auto"/>
              <w:jc w:val="right"/>
              <w:rPr>
                <w:rFonts w:ascii="Arial" w:hAnsi="Arial" w:cs="Arial"/>
                <w:sz w:val="16"/>
                <w:szCs w:val="16"/>
              </w:rPr>
            </w:pPr>
            <w:r w:rsidRPr="00077096">
              <w:rPr>
                <w:rFonts w:ascii="Arial" w:hAnsi="Arial" w:cs="Arial"/>
                <w:sz w:val="16"/>
                <w:szCs w:val="16"/>
              </w:rPr>
              <w:t> </w:t>
            </w:r>
          </w:p>
        </w:tc>
      </w:tr>
      <w:tr w:rsidR="00077096" w:rsidRPr="00077096" w14:paraId="38C95AF6" w14:textId="77777777" w:rsidTr="00F37D69">
        <w:trPr>
          <w:trHeight w:val="425"/>
          <w:jc w:val="center"/>
        </w:trPr>
        <w:tc>
          <w:tcPr>
            <w:tcW w:w="3000" w:type="dxa"/>
            <w:tcBorders>
              <w:top w:val="nil"/>
              <w:left w:val="nil"/>
              <w:bottom w:val="nil"/>
              <w:right w:val="nil"/>
            </w:tcBorders>
            <w:shd w:val="clear" w:color="auto" w:fill="auto"/>
            <w:vAlign w:val="bottom"/>
            <w:hideMark/>
          </w:tcPr>
          <w:p w14:paraId="0AF3D3A5" w14:textId="069CF6DD" w:rsidR="00077096" w:rsidRPr="00077096" w:rsidRDefault="00077096" w:rsidP="00E25509">
            <w:pPr>
              <w:spacing w:before="0" w:after="0" w:line="240" w:lineRule="auto"/>
              <w:ind w:leftChars="75" w:left="143"/>
              <w:rPr>
                <w:rFonts w:ascii="Arial" w:hAnsi="Arial" w:cs="Arial"/>
                <w:sz w:val="16"/>
                <w:szCs w:val="16"/>
              </w:rPr>
            </w:pPr>
            <w:r w:rsidRPr="00077096">
              <w:rPr>
                <w:rFonts w:ascii="Arial" w:hAnsi="Arial" w:cs="Arial"/>
                <w:sz w:val="16"/>
                <w:szCs w:val="16"/>
              </w:rPr>
              <w:t xml:space="preserve">Funded by capital appropriations </w:t>
            </w:r>
            <w:r w:rsidRPr="00077096">
              <w:rPr>
                <w:rFonts w:ascii="Arial" w:hAnsi="Arial" w:cs="Arial"/>
                <w:sz w:val="16"/>
                <w:szCs w:val="16"/>
              </w:rPr>
              <w:br/>
              <w:t>- equity injection</w:t>
            </w:r>
            <w:r w:rsidRPr="00077096">
              <w:rPr>
                <w:rFonts w:ascii="Arial" w:hAnsi="Arial" w:cs="Arial"/>
                <w:sz w:val="16"/>
                <w:szCs w:val="16"/>
                <w:vertAlign w:val="superscript"/>
              </w:rPr>
              <w:t>(a)</w:t>
            </w:r>
          </w:p>
        </w:tc>
        <w:tc>
          <w:tcPr>
            <w:tcW w:w="920" w:type="dxa"/>
            <w:tcBorders>
              <w:top w:val="nil"/>
              <w:left w:val="nil"/>
              <w:bottom w:val="nil"/>
              <w:right w:val="nil"/>
            </w:tcBorders>
            <w:shd w:val="clear" w:color="auto" w:fill="auto"/>
            <w:noWrap/>
            <w:vAlign w:val="bottom"/>
            <w:hideMark/>
          </w:tcPr>
          <w:p w14:paraId="470B2952"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156,871</w:t>
            </w:r>
          </w:p>
        </w:tc>
        <w:tc>
          <w:tcPr>
            <w:tcW w:w="920" w:type="dxa"/>
            <w:tcBorders>
              <w:top w:val="nil"/>
              <w:left w:val="nil"/>
              <w:bottom w:val="nil"/>
              <w:right w:val="nil"/>
            </w:tcBorders>
            <w:shd w:val="clear" w:color="000000" w:fill="D9D9D9"/>
            <w:noWrap/>
            <w:vAlign w:val="bottom"/>
            <w:hideMark/>
          </w:tcPr>
          <w:p w14:paraId="123D1A77"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244,858</w:t>
            </w:r>
          </w:p>
        </w:tc>
        <w:tc>
          <w:tcPr>
            <w:tcW w:w="920" w:type="dxa"/>
            <w:tcBorders>
              <w:top w:val="nil"/>
              <w:left w:val="nil"/>
              <w:bottom w:val="nil"/>
              <w:right w:val="nil"/>
            </w:tcBorders>
            <w:shd w:val="clear" w:color="auto" w:fill="auto"/>
            <w:noWrap/>
            <w:vAlign w:val="bottom"/>
            <w:hideMark/>
          </w:tcPr>
          <w:p w14:paraId="4D2CFB6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32,627</w:t>
            </w:r>
          </w:p>
        </w:tc>
        <w:tc>
          <w:tcPr>
            <w:tcW w:w="920" w:type="dxa"/>
            <w:tcBorders>
              <w:top w:val="nil"/>
              <w:left w:val="nil"/>
              <w:bottom w:val="nil"/>
              <w:right w:val="nil"/>
            </w:tcBorders>
            <w:shd w:val="clear" w:color="auto" w:fill="auto"/>
            <w:noWrap/>
            <w:vAlign w:val="bottom"/>
            <w:hideMark/>
          </w:tcPr>
          <w:p w14:paraId="51B4A243"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11,942</w:t>
            </w:r>
          </w:p>
        </w:tc>
        <w:tc>
          <w:tcPr>
            <w:tcW w:w="920" w:type="dxa"/>
            <w:tcBorders>
              <w:top w:val="nil"/>
              <w:left w:val="nil"/>
              <w:bottom w:val="nil"/>
              <w:right w:val="nil"/>
            </w:tcBorders>
            <w:shd w:val="clear" w:color="auto" w:fill="auto"/>
            <w:noWrap/>
            <w:vAlign w:val="bottom"/>
            <w:hideMark/>
          </w:tcPr>
          <w:p w14:paraId="19C1BF0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7,035</w:t>
            </w:r>
          </w:p>
        </w:tc>
      </w:tr>
      <w:tr w:rsidR="00077096" w:rsidRPr="00077096" w14:paraId="55560F21" w14:textId="77777777" w:rsidTr="00F37D69">
        <w:trPr>
          <w:trHeight w:val="425"/>
          <w:jc w:val="center"/>
        </w:trPr>
        <w:tc>
          <w:tcPr>
            <w:tcW w:w="3000" w:type="dxa"/>
            <w:tcBorders>
              <w:top w:val="nil"/>
              <w:left w:val="nil"/>
              <w:bottom w:val="nil"/>
              <w:right w:val="nil"/>
            </w:tcBorders>
            <w:shd w:val="clear" w:color="000000" w:fill="FFFFFF"/>
            <w:vAlign w:val="bottom"/>
            <w:hideMark/>
          </w:tcPr>
          <w:p w14:paraId="1FB361CA" w14:textId="379B8FBD" w:rsidR="00077096" w:rsidRPr="00077096" w:rsidRDefault="00077096" w:rsidP="00E25509">
            <w:pPr>
              <w:spacing w:before="0" w:after="0" w:line="240" w:lineRule="auto"/>
              <w:ind w:leftChars="75" w:left="143"/>
              <w:rPr>
                <w:rFonts w:ascii="Arial" w:hAnsi="Arial" w:cs="Arial"/>
                <w:sz w:val="16"/>
                <w:szCs w:val="16"/>
              </w:rPr>
            </w:pPr>
            <w:r w:rsidRPr="00077096">
              <w:rPr>
                <w:rFonts w:ascii="Arial" w:hAnsi="Arial" w:cs="Arial"/>
                <w:sz w:val="16"/>
                <w:szCs w:val="16"/>
              </w:rPr>
              <w:t xml:space="preserve">Funded by capital appropriation </w:t>
            </w:r>
            <w:r w:rsidRPr="00077096">
              <w:rPr>
                <w:rFonts w:ascii="Arial" w:hAnsi="Arial" w:cs="Arial"/>
                <w:sz w:val="16"/>
                <w:szCs w:val="16"/>
              </w:rPr>
              <w:br/>
              <w:t>- DCB</w:t>
            </w:r>
            <w:r w:rsidRPr="00077096">
              <w:rPr>
                <w:rFonts w:ascii="Arial" w:hAnsi="Arial" w:cs="Arial"/>
                <w:sz w:val="16"/>
                <w:szCs w:val="16"/>
                <w:vertAlign w:val="superscript"/>
              </w:rPr>
              <w:t>(b)</w:t>
            </w:r>
          </w:p>
        </w:tc>
        <w:tc>
          <w:tcPr>
            <w:tcW w:w="920" w:type="dxa"/>
            <w:tcBorders>
              <w:top w:val="nil"/>
              <w:left w:val="nil"/>
              <w:bottom w:val="nil"/>
              <w:right w:val="nil"/>
            </w:tcBorders>
            <w:shd w:val="clear" w:color="auto" w:fill="auto"/>
            <w:noWrap/>
            <w:vAlign w:val="bottom"/>
            <w:hideMark/>
          </w:tcPr>
          <w:p w14:paraId="3FBB54BB"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16,341</w:t>
            </w:r>
          </w:p>
        </w:tc>
        <w:tc>
          <w:tcPr>
            <w:tcW w:w="920" w:type="dxa"/>
            <w:tcBorders>
              <w:top w:val="nil"/>
              <w:left w:val="nil"/>
              <w:bottom w:val="nil"/>
              <w:right w:val="nil"/>
            </w:tcBorders>
            <w:shd w:val="clear" w:color="000000" w:fill="D9D9D9"/>
            <w:noWrap/>
            <w:vAlign w:val="bottom"/>
            <w:hideMark/>
          </w:tcPr>
          <w:p w14:paraId="10AE555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12,708</w:t>
            </w:r>
          </w:p>
        </w:tc>
        <w:tc>
          <w:tcPr>
            <w:tcW w:w="920" w:type="dxa"/>
            <w:tcBorders>
              <w:top w:val="nil"/>
              <w:left w:val="nil"/>
              <w:bottom w:val="nil"/>
              <w:right w:val="nil"/>
            </w:tcBorders>
            <w:shd w:val="clear" w:color="auto" w:fill="auto"/>
            <w:noWrap/>
            <w:vAlign w:val="bottom"/>
            <w:hideMark/>
          </w:tcPr>
          <w:p w14:paraId="0B0BAD91"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12,943</w:t>
            </w:r>
          </w:p>
        </w:tc>
        <w:tc>
          <w:tcPr>
            <w:tcW w:w="920" w:type="dxa"/>
            <w:tcBorders>
              <w:top w:val="nil"/>
              <w:left w:val="nil"/>
              <w:bottom w:val="nil"/>
              <w:right w:val="nil"/>
            </w:tcBorders>
            <w:shd w:val="clear" w:color="auto" w:fill="auto"/>
            <w:noWrap/>
            <w:vAlign w:val="bottom"/>
            <w:hideMark/>
          </w:tcPr>
          <w:p w14:paraId="5A0E3C6F"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13,113</w:t>
            </w:r>
          </w:p>
        </w:tc>
        <w:tc>
          <w:tcPr>
            <w:tcW w:w="920" w:type="dxa"/>
            <w:tcBorders>
              <w:top w:val="nil"/>
              <w:left w:val="nil"/>
              <w:bottom w:val="nil"/>
              <w:right w:val="nil"/>
            </w:tcBorders>
            <w:shd w:val="clear" w:color="auto" w:fill="auto"/>
            <w:noWrap/>
            <w:vAlign w:val="bottom"/>
            <w:hideMark/>
          </w:tcPr>
          <w:p w14:paraId="6F316755"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13,248</w:t>
            </w:r>
          </w:p>
        </w:tc>
      </w:tr>
      <w:tr w:rsidR="00077096" w:rsidRPr="00077096" w14:paraId="2AA5830C" w14:textId="77777777" w:rsidTr="00F37D69">
        <w:trPr>
          <w:trHeight w:val="425"/>
          <w:jc w:val="center"/>
        </w:trPr>
        <w:tc>
          <w:tcPr>
            <w:tcW w:w="3000" w:type="dxa"/>
            <w:tcBorders>
              <w:top w:val="nil"/>
              <w:left w:val="nil"/>
              <w:bottom w:val="nil"/>
              <w:right w:val="nil"/>
            </w:tcBorders>
            <w:shd w:val="clear" w:color="000000" w:fill="FFFFFF"/>
            <w:vAlign w:val="bottom"/>
            <w:hideMark/>
          </w:tcPr>
          <w:p w14:paraId="618F4A84" w14:textId="77777777" w:rsidR="00077096" w:rsidRPr="00077096" w:rsidRDefault="00077096" w:rsidP="00077096">
            <w:pPr>
              <w:spacing w:before="0" w:after="0" w:line="240" w:lineRule="auto"/>
              <w:ind w:leftChars="75" w:left="143"/>
              <w:rPr>
                <w:rFonts w:ascii="Arial" w:hAnsi="Arial" w:cs="Arial"/>
                <w:sz w:val="16"/>
                <w:szCs w:val="16"/>
              </w:rPr>
            </w:pPr>
            <w:r w:rsidRPr="00077096">
              <w:rPr>
                <w:rFonts w:ascii="Arial" w:hAnsi="Arial" w:cs="Arial"/>
                <w:sz w:val="16"/>
                <w:szCs w:val="16"/>
              </w:rPr>
              <w:t>Funded internally from departmental resources</w:t>
            </w:r>
          </w:p>
        </w:tc>
        <w:tc>
          <w:tcPr>
            <w:tcW w:w="920" w:type="dxa"/>
            <w:tcBorders>
              <w:top w:val="nil"/>
              <w:left w:val="nil"/>
              <w:bottom w:val="nil"/>
              <w:right w:val="nil"/>
            </w:tcBorders>
            <w:shd w:val="clear" w:color="auto" w:fill="auto"/>
            <w:noWrap/>
            <w:vAlign w:val="bottom"/>
            <w:hideMark/>
          </w:tcPr>
          <w:p w14:paraId="512A8883"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34,068</w:t>
            </w:r>
          </w:p>
        </w:tc>
        <w:tc>
          <w:tcPr>
            <w:tcW w:w="920" w:type="dxa"/>
            <w:tcBorders>
              <w:top w:val="nil"/>
              <w:left w:val="nil"/>
              <w:bottom w:val="nil"/>
              <w:right w:val="nil"/>
            </w:tcBorders>
            <w:shd w:val="clear" w:color="000000" w:fill="D9D9D9"/>
            <w:noWrap/>
            <w:vAlign w:val="bottom"/>
            <w:hideMark/>
          </w:tcPr>
          <w:p w14:paraId="67C3EC45"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19,615</w:t>
            </w:r>
          </w:p>
        </w:tc>
        <w:tc>
          <w:tcPr>
            <w:tcW w:w="920" w:type="dxa"/>
            <w:tcBorders>
              <w:top w:val="nil"/>
              <w:left w:val="nil"/>
              <w:bottom w:val="nil"/>
              <w:right w:val="nil"/>
            </w:tcBorders>
            <w:shd w:val="clear" w:color="auto" w:fill="auto"/>
            <w:noWrap/>
            <w:vAlign w:val="bottom"/>
            <w:hideMark/>
          </w:tcPr>
          <w:p w14:paraId="624BF55F"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11,300</w:t>
            </w:r>
          </w:p>
        </w:tc>
        <w:tc>
          <w:tcPr>
            <w:tcW w:w="920" w:type="dxa"/>
            <w:tcBorders>
              <w:top w:val="nil"/>
              <w:left w:val="nil"/>
              <w:bottom w:val="nil"/>
              <w:right w:val="nil"/>
            </w:tcBorders>
            <w:shd w:val="clear" w:color="auto" w:fill="auto"/>
            <w:noWrap/>
            <w:vAlign w:val="bottom"/>
            <w:hideMark/>
          </w:tcPr>
          <w:p w14:paraId="17112358"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9,000</w:t>
            </w:r>
          </w:p>
        </w:tc>
        <w:tc>
          <w:tcPr>
            <w:tcW w:w="920" w:type="dxa"/>
            <w:tcBorders>
              <w:top w:val="nil"/>
              <w:left w:val="nil"/>
              <w:bottom w:val="nil"/>
              <w:right w:val="nil"/>
            </w:tcBorders>
            <w:shd w:val="clear" w:color="auto" w:fill="auto"/>
            <w:noWrap/>
            <w:vAlign w:val="bottom"/>
            <w:hideMark/>
          </w:tcPr>
          <w:p w14:paraId="078594AE"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9,000</w:t>
            </w:r>
          </w:p>
        </w:tc>
      </w:tr>
      <w:tr w:rsidR="00077096" w:rsidRPr="00077096" w14:paraId="4D82F41F" w14:textId="77777777" w:rsidTr="00F37D69">
        <w:trPr>
          <w:trHeight w:val="454"/>
          <w:jc w:val="center"/>
        </w:trPr>
        <w:tc>
          <w:tcPr>
            <w:tcW w:w="3000" w:type="dxa"/>
            <w:tcBorders>
              <w:top w:val="nil"/>
              <w:left w:val="nil"/>
              <w:bottom w:val="nil"/>
              <w:right w:val="nil"/>
            </w:tcBorders>
            <w:shd w:val="clear" w:color="000000" w:fill="FFFFFF"/>
            <w:vAlign w:val="bottom"/>
            <w:hideMark/>
          </w:tcPr>
          <w:p w14:paraId="2AA120CD" w14:textId="77777777" w:rsidR="00077096" w:rsidRPr="00077096" w:rsidRDefault="00077096" w:rsidP="00077096">
            <w:pPr>
              <w:spacing w:before="0" w:after="0" w:line="240" w:lineRule="auto"/>
              <w:ind w:leftChars="75" w:left="143"/>
              <w:rPr>
                <w:rFonts w:ascii="Arial" w:hAnsi="Arial" w:cs="Arial"/>
                <w:b/>
                <w:bCs/>
                <w:sz w:val="16"/>
                <w:szCs w:val="16"/>
              </w:rPr>
            </w:pPr>
            <w:r w:rsidRPr="00077096">
              <w:rPr>
                <w:rFonts w:ascii="Arial" w:hAnsi="Arial" w:cs="Arial"/>
                <w:b/>
                <w:bCs/>
                <w:sz w:val="16"/>
                <w:szCs w:val="16"/>
              </w:rPr>
              <w:t xml:space="preserve">Total acquisitions of </w:t>
            </w:r>
            <w:r w:rsidRPr="00077096">
              <w:rPr>
                <w:rFonts w:ascii="Arial" w:hAnsi="Arial" w:cs="Arial"/>
                <w:b/>
                <w:bCs/>
                <w:sz w:val="16"/>
                <w:szCs w:val="16"/>
              </w:rPr>
              <w:br/>
              <w:t>non-financial assets</w:t>
            </w:r>
          </w:p>
        </w:tc>
        <w:tc>
          <w:tcPr>
            <w:tcW w:w="920" w:type="dxa"/>
            <w:tcBorders>
              <w:top w:val="nil"/>
              <w:left w:val="nil"/>
              <w:bottom w:val="single" w:sz="4" w:space="0" w:color="auto"/>
              <w:right w:val="nil"/>
            </w:tcBorders>
            <w:shd w:val="clear" w:color="auto" w:fill="auto"/>
            <w:noWrap/>
            <w:vAlign w:val="bottom"/>
            <w:hideMark/>
          </w:tcPr>
          <w:p w14:paraId="02743038"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207,280</w:t>
            </w:r>
          </w:p>
        </w:tc>
        <w:tc>
          <w:tcPr>
            <w:tcW w:w="920" w:type="dxa"/>
            <w:tcBorders>
              <w:top w:val="nil"/>
              <w:left w:val="nil"/>
              <w:bottom w:val="single" w:sz="4" w:space="0" w:color="auto"/>
              <w:right w:val="nil"/>
            </w:tcBorders>
            <w:shd w:val="clear" w:color="000000" w:fill="D9D9D9"/>
            <w:noWrap/>
            <w:vAlign w:val="bottom"/>
            <w:hideMark/>
          </w:tcPr>
          <w:p w14:paraId="3E6A7C5B"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277,181</w:t>
            </w:r>
          </w:p>
        </w:tc>
        <w:tc>
          <w:tcPr>
            <w:tcW w:w="920" w:type="dxa"/>
            <w:tcBorders>
              <w:top w:val="nil"/>
              <w:left w:val="nil"/>
              <w:bottom w:val="single" w:sz="4" w:space="0" w:color="auto"/>
              <w:right w:val="nil"/>
            </w:tcBorders>
            <w:shd w:val="clear" w:color="auto" w:fill="auto"/>
            <w:noWrap/>
            <w:vAlign w:val="bottom"/>
            <w:hideMark/>
          </w:tcPr>
          <w:p w14:paraId="163188C1"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56,870</w:t>
            </w:r>
          </w:p>
        </w:tc>
        <w:tc>
          <w:tcPr>
            <w:tcW w:w="920" w:type="dxa"/>
            <w:tcBorders>
              <w:top w:val="nil"/>
              <w:left w:val="nil"/>
              <w:bottom w:val="single" w:sz="4" w:space="0" w:color="auto"/>
              <w:right w:val="nil"/>
            </w:tcBorders>
            <w:shd w:val="clear" w:color="auto" w:fill="auto"/>
            <w:noWrap/>
            <w:vAlign w:val="bottom"/>
            <w:hideMark/>
          </w:tcPr>
          <w:p w14:paraId="0558087E"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34,055</w:t>
            </w:r>
          </w:p>
        </w:tc>
        <w:tc>
          <w:tcPr>
            <w:tcW w:w="920" w:type="dxa"/>
            <w:tcBorders>
              <w:top w:val="nil"/>
              <w:left w:val="nil"/>
              <w:bottom w:val="single" w:sz="4" w:space="0" w:color="auto"/>
              <w:right w:val="nil"/>
            </w:tcBorders>
            <w:shd w:val="clear" w:color="auto" w:fill="auto"/>
            <w:noWrap/>
            <w:vAlign w:val="bottom"/>
            <w:hideMark/>
          </w:tcPr>
          <w:p w14:paraId="1D4A7BFA"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29,283</w:t>
            </w:r>
          </w:p>
        </w:tc>
      </w:tr>
      <w:tr w:rsidR="00077096" w:rsidRPr="00077096" w14:paraId="60A6472F" w14:textId="77777777" w:rsidTr="00F37D69">
        <w:trPr>
          <w:trHeight w:val="624"/>
          <w:jc w:val="center"/>
        </w:trPr>
        <w:tc>
          <w:tcPr>
            <w:tcW w:w="3000" w:type="dxa"/>
            <w:tcBorders>
              <w:top w:val="nil"/>
              <w:left w:val="nil"/>
              <w:bottom w:val="nil"/>
              <w:right w:val="nil"/>
            </w:tcBorders>
            <w:shd w:val="clear" w:color="000000" w:fill="FFFFFF"/>
            <w:vAlign w:val="bottom"/>
            <w:hideMark/>
          </w:tcPr>
          <w:p w14:paraId="33DC1BFC" w14:textId="77777777" w:rsidR="00077096" w:rsidRPr="00077096" w:rsidRDefault="00077096" w:rsidP="00077096">
            <w:pPr>
              <w:spacing w:before="0" w:after="0" w:line="240" w:lineRule="auto"/>
              <w:rPr>
                <w:rFonts w:ascii="Arial" w:hAnsi="Arial" w:cs="Arial"/>
                <w:b/>
                <w:bCs/>
                <w:sz w:val="16"/>
                <w:szCs w:val="16"/>
              </w:rPr>
            </w:pPr>
            <w:r w:rsidRPr="00077096">
              <w:rPr>
                <w:rFonts w:ascii="Arial" w:hAnsi="Arial" w:cs="Arial"/>
                <w:b/>
                <w:bCs/>
                <w:sz w:val="16"/>
                <w:szCs w:val="16"/>
              </w:rPr>
              <w:t>RECONCILIATION OF CASH USED TO ACQUIRE ASSETS TO ASSET MOVEMENT TABLE</w:t>
            </w:r>
          </w:p>
        </w:tc>
        <w:tc>
          <w:tcPr>
            <w:tcW w:w="920" w:type="dxa"/>
            <w:tcBorders>
              <w:top w:val="nil"/>
              <w:left w:val="nil"/>
              <w:bottom w:val="nil"/>
              <w:right w:val="nil"/>
            </w:tcBorders>
            <w:shd w:val="clear" w:color="auto" w:fill="auto"/>
            <w:noWrap/>
            <w:vAlign w:val="bottom"/>
            <w:hideMark/>
          </w:tcPr>
          <w:p w14:paraId="1E2A5A68" w14:textId="77777777" w:rsidR="00077096" w:rsidRPr="00077096" w:rsidRDefault="00077096" w:rsidP="00077096">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59DB02AC"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 </w:t>
            </w:r>
          </w:p>
        </w:tc>
        <w:tc>
          <w:tcPr>
            <w:tcW w:w="920" w:type="dxa"/>
            <w:tcBorders>
              <w:top w:val="nil"/>
              <w:left w:val="nil"/>
              <w:bottom w:val="nil"/>
              <w:right w:val="nil"/>
            </w:tcBorders>
            <w:shd w:val="clear" w:color="auto" w:fill="auto"/>
            <w:noWrap/>
            <w:vAlign w:val="bottom"/>
            <w:hideMark/>
          </w:tcPr>
          <w:p w14:paraId="420277D8" w14:textId="77777777" w:rsidR="00077096" w:rsidRPr="00077096" w:rsidRDefault="00077096" w:rsidP="00077096">
            <w:pPr>
              <w:spacing w:before="0" w:after="0" w:line="240" w:lineRule="auto"/>
              <w:jc w:val="righ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14:paraId="73BC80DE" w14:textId="77777777" w:rsidR="00077096" w:rsidRPr="00077096" w:rsidRDefault="00077096" w:rsidP="0007709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1A8B7F7" w14:textId="77777777" w:rsidR="00077096" w:rsidRPr="00077096" w:rsidRDefault="00077096" w:rsidP="00077096">
            <w:pPr>
              <w:spacing w:before="0" w:after="0" w:line="240" w:lineRule="auto"/>
              <w:jc w:val="right"/>
              <w:rPr>
                <w:rFonts w:ascii="Times New Roman" w:hAnsi="Times New Roman"/>
                <w:sz w:val="20"/>
              </w:rPr>
            </w:pPr>
          </w:p>
        </w:tc>
      </w:tr>
      <w:tr w:rsidR="00077096" w:rsidRPr="00077096" w14:paraId="41BB88F7" w14:textId="77777777" w:rsidTr="00077096">
        <w:trPr>
          <w:trHeight w:val="225"/>
          <w:jc w:val="center"/>
        </w:trPr>
        <w:tc>
          <w:tcPr>
            <w:tcW w:w="3000" w:type="dxa"/>
            <w:tcBorders>
              <w:top w:val="nil"/>
              <w:left w:val="nil"/>
              <w:bottom w:val="nil"/>
              <w:right w:val="nil"/>
            </w:tcBorders>
            <w:shd w:val="clear" w:color="000000" w:fill="FFFFFF"/>
            <w:noWrap/>
            <w:vAlign w:val="bottom"/>
            <w:hideMark/>
          </w:tcPr>
          <w:p w14:paraId="6605C8B6" w14:textId="77777777" w:rsidR="00077096" w:rsidRPr="00077096" w:rsidRDefault="00077096" w:rsidP="00077096">
            <w:pPr>
              <w:spacing w:before="0" w:after="0" w:line="240" w:lineRule="auto"/>
              <w:ind w:leftChars="75" w:left="143"/>
              <w:rPr>
                <w:rFonts w:ascii="Arial" w:hAnsi="Arial" w:cs="Arial"/>
                <w:sz w:val="16"/>
                <w:szCs w:val="16"/>
              </w:rPr>
            </w:pPr>
            <w:r w:rsidRPr="00077096">
              <w:rPr>
                <w:rFonts w:ascii="Arial" w:hAnsi="Arial" w:cs="Arial"/>
                <w:sz w:val="16"/>
                <w:szCs w:val="16"/>
              </w:rPr>
              <w:t>Total purchases</w:t>
            </w:r>
          </w:p>
        </w:tc>
        <w:tc>
          <w:tcPr>
            <w:tcW w:w="920" w:type="dxa"/>
            <w:tcBorders>
              <w:top w:val="nil"/>
              <w:left w:val="nil"/>
              <w:bottom w:val="nil"/>
              <w:right w:val="nil"/>
            </w:tcBorders>
            <w:shd w:val="clear" w:color="auto" w:fill="auto"/>
            <w:noWrap/>
            <w:vAlign w:val="bottom"/>
            <w:hideMark/>
          </w:tcPr>
          <w:p w14:paraId="06F1EAE0"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191,315</w:t>
            </w:r>
          </w:p>
        </w:tc>
        <w:tc>
          <w:tcPr>
            <w:tcW w:w="920" w:type="dxa"/>
            <w:tcBorders>
              <w:top w:val="nil"/>
              <w:left w:val="nil"/>
              <w:bottom w:val="nil"/>
              <w:right w:val="nil"/>
            </w:tcBorders>
            <w:shd w:val="clear" w:color="000000" w:fill="D9D9D9"/>
            <w:noWrap/>
            <w:vAlign w:val="bottom"/>
            <w:hideMark/>
          </w:tcPr>
          <w:p w14:paraId="09CC576A"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277,181</w:t>
            </w:r>
          </w:p>
        </w:tc>
        <w:tc>
          <w:tcPr>
            <w:tcW w:w="920" w:type="dxa"/>
            <w:tcBorders>
              <w:top w:val="nil"/>
              <w:left w:val="nil"/>
              <w:bottom w:val="nil"/>
              <w:right w:val="nil"/>
            </w:tcBorders>
            <w:shd w:val="clear" w:color="auto" w:fill="auto"/>
            <w:noWrap/>
            <w:vAlign w:val="bottom"/>
            <w:hideMark/>
          </w:tcPr>
          <w:p w14:paraId="7F422E48"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56,870</w:t>
            </w:r>
          </w:p>
        </w:tc>
        <w:tc>
          <w:tcPr>
            <w:tcW w:w="920" w:type="dxa"/>
            <w:tcBorders>
              <w:top w:val="nil"/>
              <w:left w:val="nil"/>
              <w:bottom w:val="nil"/>
              <w:right w:val="nil"/>
            </w:tcBorders>
            <w:shd w:val="clear" w:color="auto" w:fill="auto"/>
            <w:noWrap/>
            <w:vAlign w:val="bottom"/>
            <w:hideMark/>
          </w:tcPr>
          <w:p w14:paraId="28F689E0"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34,055</w:t>
            </w:r>
          </w:p>
        </w:tc>
        <w:tc>
          <w:tcPr>
            <w:tcW w:w="920" w:type="dxa"/>
            <w:tcBorders>
              <w:top w:val="nil"/>
              <w:left w:val="nil"/>
              <w:bottom w:val="nil"/>
              <w:right w:val="nil"/>
            </w:tcBorders>
            <w:shd w:val="clear" w:color="auto" w:fill="auto"/>
            <w:noWrap/>
            <w:vAlign w:val="bottom"/>
            <w:hideMark/>
          </w:tcPr>
          <w:p w14:paraId="15142AD2" w14:textId="77777777" w:rsidR="00077096" w:rsidRPr="00077096" w:rsidRDefault="00077096" w:rsidP="00077096">
            <w:pPr>
              <w:spacing w:before="0" w:after="0" w:line="240" w:lineRule="auto"/>
              <w:jc w:val="right"/>
              <w:rPr>
                <w:rFonts w:ascii="Arial" w:hAnsi="Arial" w:cs="Arial"/>
                <w:color w:val="000000"/>
                <w:sz w:val="16"/>
                <w:szCs w:val="16"/>
              </w:rPr>
            </w:pPr>
            <w:r w:rsidRPr="00077096">
              <w:rPr>
                <w:rFonts w:ascii="Arial" w:hAnsi="Arial" w:cs="Arial"/>
                <w:color w:val="000000"/>
                <w:sz w:val="16"/>
                <w:szCs w:val="16"/>
              </w:rPr>
              <w:t>29,283</w:t>
            </w:r>
          </w:p>
        </w:tc>
      </w:tr>
      <w:tr w:rsidR="00077096" w:rsidRPr="00077096" w14:paraId="4A69DD92" w14:textId="77777777" w:rsidTr="00F37D69">
        <w:trPr>
          <w:trHeight w:val="283"/>
          <w:jc w:val="center"/>
        </w:trPr>
        <w:tc>
          <w:tcPr>
            <w:tcW w:w="3000" w:type="dxa"/>
            <w:tcBorders>
              <w:top w:val="nil"/>
              <w:left w:val="nil"/>
              <w:bottom w:val="single" w:sz="4" w:space="0" w:color="auto"/>
              <w:right w:val="nil"/>
            </w:tcBorders>
            <w:shd w:val="clear" w:color="000000" w:fill="FFFFFF"/>
            <w:vAlign w:val="bottom"/>
            <w:hideMark/>
          </w:tcPr>
          <w:p w14:paraId="52823AEE" w14:textId="77777777" w:rsidR="00077096" w:rsidRPr="00077096" w:rsidRDefault="00077096" w:rsidP="00077096">
            <w:pPr>
              <w:spacing w:before="0" w:after="0" w:line="240" w:lineRule="auto"/>
              <w:ind w:leftChars="75" w:left="143"/>
              <w:rPr>
                <w:rFonts w:ascii="Arial" w:hAnsi="Arial" w:cs="Arial"/>
                <w:b/>
                <w:bCs/>
                <w:sz w:val="16"/>
                <w:szCs w:val="16"/>
              </w:rPr>
            </w:pPr>
            <w:r w:rsidRPr="00077096">
              <w:rPr>
                <w:rFonts w:ascii="Arial" w:hAnsi="Arial" w:cs="Arial"/>
                <w:b/>
                <w:bCs/>
                <w:sz w:val="16"/>
                <w:szCs w:val="16"/>
              </w:rPr>
              <w:t>Total cash used to acquire assets</w:t>
            </w:r>
          </w:p>
        </w:tc>
        <w:tc>
          <w:tcPr>
            <w:tcW w:w="920" w:type="dxa"/>
            <w:tcBorders>
              <w:top w:val="nil"/>
              <w:left w:val="nil"/>
              <w:bottom w:val="single" w:sz="4" w:space="0" w:color="auto"/>
              <w:right w:val="nil"/>
            </w:tcBorders>
            <w:shd w:val="clear" w:color="auto" w:fill="auto"/>
            <w:noWrap/>
            <w:vAlign w:val="bottom"/>
            <w:hideMark/>
          </w:tcPr>
          <w:p w14:paraId="691B9613"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191,315</w:t>
            </w:r>
          </w:p>
        </w:tc>
        <w:tc>
          <w:tcPr>
            <w:tcW w:w="920" w:type="dxa"/>
            <w:tcBorders>
              <w:top w:val="nil"/>
              <w:left w:val="nil"/>
              <w:bottom w:val="single" w:sz="4" w:space="0" w:color="auto"/>
              <w:right w:val="nil"/>
            </w:tcBorders>
            <w:shd w:val="clear" w:color="000000" w:fill="D9D9D9"/>
            <w:noWrap/>
            <w:vAlign w:val="bottom"/>
            <w:hideMark/>
          </w:tcPr>
          <w:p w14:paraId="62593A08"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277,181</w:t>
            </w:r>
          </w:p>
        </w:tc>
        <w:tc>
          <w:tcPr>
            <w:tcW w:w="920" w:type="dxa"/>
            <w:tcBorders>
              <w:top w:val="nil"/>
              <w:left w:val="nil"/>
              <w:bottom w:val="single" w:sz="4" w:space="0" w:color="auto"/>
              <w:right w:val="nil"/>
            </w:tcBorders>
            <w:shd w:val="clear" w:color="auto" w:fill="auto"/>
            <w:noWrap/>
            <w:vAlign w:val="bottom"/>
            <w:hideMark/>
          </w:tcPr>
          <w:p w14:paraId="14142AA9"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56,870</w:t>
            </w:r>
          </w:p>
        </w:tc>
        <w:tc>
          <w:tcPr>
            <w:tcW w:w="920" w:type="dxa"/>
            <w:tcBorders>
              <w:top w:val="nil"/>
              <w:left w:val="nil"/>
              <w:bottom w:val="single" w:sz="4" w:space="0" w:color="auto"/>
              <w:right w:val="nil"/>
            </w:tcBorders>
            <w:shd w:val="clear" w:color="auto" w:fill="auto"/>
            <w:noWrap/>
            <w:vAlign w:val="bottom"/>
            <w:hideMark/>
          </w:tcPr>
          <w:p w14:paraId="64B5627E"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34,055</w:t>
            </w:r>
          </w:p>
        </w:tc>
        <w:tc>
          <w:tcPr>
            <w:tcW w:w="920" w:type="dxa"/>
            <w:tcBorders>
              <w:top w:val="nil"/>
              <w:left w:val="nil"/>
              <w:bottom w:val="single" w:sz="4" w:space="0" w:color="auto"/>
              <w:right w:val="nil"/>
            </w:tcBorders>
            <w:shd w:val="clear" w:color="auto" w:fill="auto"/>
            <w:noWrap/>
            <w:vAlign w:val="bottom"/>
            <w:hideMark/>
          </w:tcPr>
          <w:p w14:paraId="1D907875" w14:textId="77777777" w:rsidR="00077096" w:rsidRPr="00077096" w:rsidRDefault="00077096" w:rsidP="00077096">
            <w:pPr>
              <w:spacing w:before="0" w:after="0" w:line="240" w:lineRule="auto"/>
              <w:jc w:val="right"/>
              <w:rPr>
                <w:rFonts w:ascii="Arial" w:hAnsi="Arial" w:cs="Arial"/>
                <w:b/>
                <w:bCs/>
                <w:color w:val="000000"/>
                <w:sz w:val="16"/>
                <w:szCs w:val="16"/>
              </w:rPr>
            </w:pPr>
            <w:r w:rsidRPr="00077096">
              <w:rPr>
                <w:rFonts w:ascii="Arial" w:hAnsi="Arial" w:cs="Arial"/>
                <w:b/>
                <w:bCs/>
                <w:color w:val="000000"/>
                <w:sz w:val="16"/>
                <w:szCs w:val="16"/>
              </w:rPr>
              <w:t>29,283</w:t>
            </w:r>
          </w:p>
        </w:tc>
      </w:tr>
    </w:tbl>
    <w:p w14:paraId="5E49383E" w14:textId="0DABE2DE" w:rsidR="00163534" w:rsidRDefault="00163534" w:rsidP="00163534">
      <w:pPr>
        <w:pStyle w:val="FootnoteText"/>
        <w:spacing w:before="120"/>
      </w:pPr>
      <w:r>
        <w:t>DCB = Departmental Capital Budget</w:t>
      </w:r>
    </w:p>
    <w:p w14:paraId="39FF79AA" w14:textId="37429D07" w:rsidR="00163534" w:rsidRDefault="00163534" w:rsidP="00163534">
      <w:pPr>
        <w:pStyle w:val="FootnoteText"/>
      </w:pPr>
      <w:r w:rsidRPr="00163534">
        <w:rPr>
          <w:vertAlign w:val="superscript"/>
        </w:rPr>
        <w:t>(a)</w:t>
      </w:r>
      <w:r>
        <w:t xml:space="preserve"> </w:t>
      </w:r>
      <w:r>
        <w:tab/>
      </w:r>
      <w:r w:rsidR="00F37D69">
        <w:t xml:space="preserve"> </w:t>
      </w:r>
      <w:r>
        <w:t>Includes both current Appropriation Act/Bill (No. 2, 4) and prior Act 2, 4, 6 appropriations.</w:t>
      </w:r>
    </w:p>
    <w:p w14:paraId="24C92CA9" w14:textId="319845B6" w:rsidR="00242CA1" w:rsidRDefault="00163534" w:rsidP="00163534">
      <w:pPr>
        <w:pStyle w:val="FootnoteText"/>
      </w:pPr>
      <w:r w:rsidRPr="00163534">
        <w:rPr>
          <w:vertAlign w:val="superscript"/>
        </w:rPr>
        <w:t>(b)</w:t>
      </w:r>
      <w:r>
        <w:tab/>
        <w:t xml:space="preserve"> Includes purchases from current and previous years' DCB.</w:t>
      </w:r>
    </w:p>
    <w:p w14:paraId="618BE6B9" w14:textId="5793AE8D" w:rsidR="00736DD8" w:rsidRPr="00242CA1" w:rsidRDefault="00242CA1" w:rsidP="00242CA1">
      <w:pPr>
        <w:spacing w:before="0" w:after="0" w:line="240" w:lineRule="auto"/>
        <w:rPr>
          <w:rFonts w:ascii="Arial" w:hAnsi="Arial"/>
          <w:sz w:val="16"/>
        </w:rPr>
      </w:pPr>
      <w:r>
        <w:br w:type="page"/>
      </w:r>
    </w:p>
    <w:p w14:paraId="54C32855" w14:textId="77777777" w:rsidR="00736DD8" w:rsidRDefault="00736DD8" w:rsidP="00DA5DF5">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7640" w:type="dxa"/>
        <w:jc w:val="center"/>
        <w:tblLayout w:type="fixed"/>
        <w:tblLook w:val="04A0" w:firstRow="1" w:lastRow="0" w:firstColumn="1" w:lastColumn="0" w:noHBand="0" w:noVBand="1"/>
      </w:tblPr>
      <w:tblGrid>
        <w:gridCol w:w="3237"/>
        <w:gridCol w:w="1098"/>
        <w:gridCol w:w="1103"/>
        <w:gridCol w:w="1105"/>
        <w:gridCol w:w="1097"/>
      </w:tblGrid>
      <w:tr w:rsidR="00242CA1" w:rsidRPr="00242CA1" w14:paraId="7BF82E18" w14:textId="77777777" w:rsidTr="00242CA1">
        <w:trPr>
          <w:trHeight w:val="765"/>
          <w:jc w:val="center"/>
        </w:trPr>
        <w:tc>
          <w:tcPr>
            <w:tcW w:w="3237" w:type="dxa"/>
            <w:tcBorders>
              <w:top w:val="single" w:sz="4" w:space="0" w:color="auto"/>
              <w:left w:val="nil"/>
              <w:bottom w:val="nil"/>
              <w:right w:val="nil"/>
            </w:tcBorders>
            <w:shd w:val="clear" w:color="auto" w:fill="auto"/>
            <w:hideMark/>
          </w:tcPr>
          <w:p w14:paraId="2D507E3B" w14:textId="77777777" w:rsidR="00242CA1" w:rsidRPr="00242CA1" w:rsidRDefault="00242CA1" w:rsidP="00242CA1">
            <w:pPr>
              <w:spacing w:before="24" w:after="0" w:line="240" w:lineRule="auto"/>
              <w:jc w:val="right"/>
              <w:rPr>
                <w:rFonts w:ascii="Arial" w:hAnsi="Arial" w:cs="Arial"/>
                <w:b/>
                <w:bCs/>
                <w:sz w:val="16"/>
                <w:szCs w:val="16"/>
              </w:rPr>
            </w:pPr>
            <w:r w:rsidRPr="00242CA1">
              <w:rPr>
                <w:rFonts w:ascii="Arial" w:hAnsi="Arial" w:cs="Arial"/>
                <w:b/>
                <w:bCs/>
                <w:sz w:val="16"/>
                <w:szCs w:val="16"/>
              </w:rPr>
              <w:t> </w:t>
            </w:r>
          </w:p>
        </w:tc>
        <w:tc>
          <w:tcPr>
            <w:tcW w:w="1098" w:type="dxa"/>
            <w:tcBorders>
              <w:top w:val="single" w:sz="4" w:space="0" w:color="auto"/>
              <w:left w:val="nil"/>
              <w:bottom w:val="single" w:sz="4" w:space="0" w:color="auto"/>
              <w:right w:val="nil"/>
            </w:tcBorders>
            <w:shd w:val="clear" w:color="auto" w:fill="auto"/>
            <w:hideMark/>
          </w:tcPr>
          <w:p w14:paraId="040775B4" w14:textId="77777777" w:rsidR="00242CA1" w:rsidRPr="00242CA1" w:rsidRDefault="00242CA1" w:rsidP="00242CA1">
            <w:pPr>
              <w:spacing w:before="24" w:after="0" w:line="240" w:lineRule="auto"/>
              <w:jc w:val="right"/>
              <w:rPr>
                <w:rFonts w:ascii="Arial" w:hAnsi="Arial" w:cs="Arial"/>
                <w:b/>
                <w:bCs/>
                <w:sz w:val="16"/>
                <w:szCs w:val="16"/>
              </w:rPr>
            </w:pPr>
            <w:r w:rsidRPr="00242CA1">
              <w:rPr>
                <w:rFonts w:ascii="Arial" w:hAnsi="Arial" w:cs="Arial"/>
                <w:b/>
                <w:bCs/>
                <w:sz w:val="16"/>
                <w:szCs w:val="16"/>
              </w:rPr>
              <w:t>Buildings</w:t>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sz w:val="16"/>
                <w:szCs w:val="16"/>
              </w:rPr>
              <w:t>$'000</w:t>
            </w:r>
          </w:p>
        </w:tc>
        <w:tc>
          <w:tcPr>
            <w:tcW w:w="1103" w:type="dxa"/>
            <w:tcBorders>
              <w:top w:val="single" w:sz="4" w:space="0" w:color="auto"/>
              <w:left w:val="nil"/>
              <w:bottom w:val="single" w:sz="4" w:space="0" w:color="auto"/>
              <w:right w:val="nil"/>
            </w:tcBorders>
            <w:shd w:val="clear" w:color="auto" w:fill="auto"/>
            <w:hideMark/>
          </w:tcPr>
          <w:p w14:paraId="2D3B2CD2" w14:textId="77777777" w:rsidR="00242CA1" w:rsidRPr="00242CA1" w:rsidRDefault="00242CA1" w:rsidP="00242CA1">
            <w:pPr>
              <w:spacing w:before="24" w:after="0" w:line="240" w:lineRule="auto"/>
              <w:jc w:val="right"/>
              <w:rPr>
                <w:rFonts w:ascii="Arial" w:hAnsi="Arial" w:cs="Arial"/>
                <w:b/>
                <w:bCs/>
                <w:sz w:val="16"/>
                <w:szCs w:val="16"/>
              </w:rPr>
            </w:pPr>
            <w:r w:rsidRPr="00242CA1">
              <w:rPr>
                <w:rFonts w:ascii="Arial" w:hAnsi="Arial" w:cs="Arial"/>
                <w:b/>
                <w:bCs/>
                <w:sz w:val="16"/>
                <w:szCs w:val="16"/>
              </w:rPr>
              <w:t xml:space="preserve">Property, </w:t>
            </w:r>
            <w:proofErr w:type="gramStart"/>
            <w:r w:rsidRPr="00242CA1">
              <w:rPr>
                <w:rFonts w:ascii="Arial" w:hAnsi="Arial" w:cs="Arial"/>
                <w:b/>
                <w:bCs/>
                <w:sz w:val="16"/>
                <w:szCs w:val="16"/>
              </w:rPr>
              <w:t>plant</w:t>
            </w:r>
            <w:proofErr w:type="gramEnd"/>
            <w:r w:rsidRPr="00242CA1">
              <w:rPr>
                <w:rFonts w:ascii="Arial" w:hAnsi="Arial" w:cs="Arial"/>
                <w:b/>
                <w:bCs/>
                <w:sz w:val="16"/>
                <w:szCs w:val="16"/>
              </w:rPr>
              <w:t xml:space="preserve"> and equipment</w:t>
            </w:r>
            <w:r w:rsidRPr="00242CA1">
              <w:rPr>
                <w:rFonts w:ascii="Arial" w:hAnsi="Arial" w:cs="Arial"/>
                <w:b/>
                <w:bCs/>
                <w:sz w:val="16"/>
                <w:szCs w:val="16"/>
              </w:rPr>
              <w:br/>
            </w:r>
            <w:r w:rsidRPr="00242CA1">
              <w:rPr>
                <w:rFonts w:ascii="Arial" w:hAnsi="Arial" w:cs="Arial"/>
                <w:sz w:val="16"/>
                <w:szCs w:val="16"/>
              </w:rPr>
              <w:t>$'000</w:t>
            </w:r>
          </w:p>
        </w:tc>
        <w:tc>
          <w:tcPr>
            <w:tcW w:w="1105" w:type="dxa"/>
            <w:tcBorders>
              <w:top w:val="single" w:sz="4" w:space="0" w:color="auto"/>
              <w:left w:val="nil"/>
              <w:bottom w:val="single" w:sz="4" w:space="0" w:color="auto"/>
              <w:right w:val="nil"/>
            </w:tcBorders>
            <w:shd w:val="clear" w:color="auto" w:fill="auto"/>
            <w:hideMark/>
          </w:tcPr>
          <w:p w14:paraId="52333121" w14:textId="77777777" w:rsidR="00242CA1" w:rsidRPr="00242CA1" w:rsidRDefault="00242CA1" w:rsidP="00242CA1">
            <w:pPr>
              <w:spacing w:before="24" w:after="0" w:line="240" w:lineRule="auto"/>
              <w:jc w:val="right"/>
              <w:rPr>
                <w:rFonts w:ascii="Arial" w:hAnsi="Arial" w:cs="Arial"/>
                <w:b/>
                <w:bCs/>
                <w:sz w:val="16"/>
                <w:szCs w:val="16"/>
              </w:rPr>
            </w:pPr>
            <w:r w:rsidRPr="00242CA1">
              <w:rPr>
                <w:rFonts w:ascii="Arial" w:hAnsi="Arial" w:cs="Arial"/>
                <w:b/>
                <w:bCs/>
                <w:sz w:val="16"/>
                <w:szCs w:val="16"/>
              </w:rPr>
              <w:t>Intangibles</w:t>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sz w:val="16"/>
                <w:szCs w:val="16"/>
              </w:rPr>
              <w:t>$'000</w:t>
            </w:r>
          </w:p>
        </w:tc>
        <w:tc>
          <w:tcPr>
            <w:tcW w:w="1097" w:type="dxa"/>
            <w:tcBorders>
              <w:top w:val="single" w:sz="4" w:space="0" w:color="auto"/>
              <w:left w:val="nil"/>
              <w:bottom w:val="single" w:sz="4" w:space="0" w:color="auto"/>
              <w:right w:val="nil"/>
            </w:tcBorders>
            <w:shd w:val="clear" w:color="auto" w:fill="auto"/>
            <w:hideMark/>
          </w:tcPr>
          <w:p w14:paraId="10F0ABB6" w14:textId="77777777" w:rsidR="00242CA1" w:rsidRPr="00242CA1" w:rsidRDefault="00242CA1" w:rsidP="00242CA1">
            <w:pPr>
              <w:spacing w:before="24" w:after="0" w:line="240" w:lineRule="auto"/>
              <w:jc w:val="right"/>
              <w:rPr>
                <w:rFonts w:ascii="Arial" w:hAnsi="Arial" w:cs="Arial"/>
                <w:b/>
                <w:bCs/>
                <w:sz w:val="16"/>
                <w:szCs w:val="16"/>
              </w:rPr>
            </w:pPr>
            <w:r w:rsidRPr="00242CA1">
              <w:rPr>
                <w:rFonts w:ascii="Arial" w:hAnsi="Arial" w:cs="Arial"/>
                <w:b/>
                <w:bCs/>
                <w:sz w:val="16"/>
                <w:szCs w:val="16"/>
              </w:rPr>
              <w:t>Total</w:t>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b/>
                <w:bCs/>
                <w:sz w:val="16"/>
                <w:szCs w:val="16"/>
              </w:rPr>
              <w:br/>
            </w:r>
            <w:r w:rsidRPr="00242CA1">
              <w:rPr>
                <w:rFonts w:ascii="Arial" w:hAnsi="Arial" w:cs="Arial"/>
                <w:sz w:val="16"/>
                <w:szCs w:val="16"/>
              </w:rPr>
              <w:t>$'000</w:t>
            </w:r>
          </w:p>
        </w:tc>
      </w:tr>
      <w:tr w:rsidR="00242CA1" w:rsidRPr="00242CA1" w14:paraId="483182FD" w14:textId="77777777" w:rsidTr="00242CA1">
        <w:trPr>
          <w:trHeight w:val="283"/>
          <w:jc w:val="center"/>
        </w:trPr>
        <w:tc>
          <w:tcPr>
            <w:tcW w:w="3237" w:type="dxa"/>
            <w:tcBorders>
              <w:top w:val="nil"/>
              <w:left w:val="nil"/>
              <w:bottom w:val="nil"/>
              <w:right w:val="nil"/>
            </w:tcBorders>
            <w:shd w:val="clear" w:color="auto" w:fill="auto"/>
            <w:noWrap/>
            <w:vAlign w:val="bottom"/>
            <w:hideMark/>
          </w:tcPr>
          <w:p w14:paraId="7B0D4BC5" w14:textId="77777777" w:rsidR="00242CA1" w:rsidRPr="00242CA1" w:rsidRDefault="00242CA1" w:rsidP="00242CA1">
            <w:pPr>
              <w:spacing w:before="0" w:after="0" w:line="240" w:lineRule="auto"/>
              <w:rPr>
                <w:rFonts w:ascii="Arial" w:hAnsi="Arial" w:cs="Arial"/>
                <w:b/>
                <w:bCs/>
                <w:sz w:val="16"/>
                <w:szCs w:val="16"/>
              </w:rPr>
            </w:pPr>
            <w:r w:rsidRPr="00242CA1">
              <w:rPr>
                <w:rFonts w:ascii="Arial" w:hAnsi="Arial" w:cs="Arial"/>
                <w:b/>
                <w:bCs/>
                <w:sz w:val="16"/>
                <w:szCs w:val="16"/>
              </w:rPr>
              <w:t xml:space="preserve">As </w:t>
            </w:r>
            <w:proofErr w:type="gramStart"/>
            <w:r w:rsidRPr="00242CA1">
              <w:rPr>
                <w:rFonts w:ascii="Arial" w:hAnsi="Arial" w:cs="Arial"/>
                <w:b/>
                <w:bCs/>
                <w:sz w:val="16"/>
                <w:szCs w:val="16"/>
              </w:rPr>
              <w:t>at</w:t>
            </w:r>
            <w:proofErr w:type="gramEnd"/>
            <w:r w:rsidRPr="00242CA1">
              <w:rPr>
                <w:rFonts w:ascii="Arial" w:hAnsi="Arial" w:cs="Arial"/>
                <w:b/>
                <w:bCs/>
                <w:sz w:val="16"/>
                <w:szCs w:val="16"/>
              </w:rPr>
              <w:t xml:space="preserve"> 1 July 2023</w:t>
            </w:r>
          </w:p>
        </w:tc>
        <w:tc>
          <w:tcPr>
            <w:tcW w:w="1098" w:type="dxa"/>
            <w:tcBorders>
              <w:top w:val="nil"/>
              <w:left w:val="nil"/>
              <w:bottom w:val="nil"/>
              <w:right w:val="nil"/>
            </w:tcBorders>
            <w:shd w:val="clear" w:color="auto" w:fill="auto"/>
            <w:noWrap/>
            <w:vAlign w:val="bottom"/>
            <w:hideMark/>
          </w:tcPr>
          <w:p w14:paraId="4820CAEA" w14:textId="77777777" w:rsidR="00242CA1" w:rsidRPr="00242CA1" w:rsidRDefault="00242CA1" w:rsidP="00242CA1">
            <w:pPr>
              <w:spacing w:before="0" w:after="0" w:line="240" w:lineRule="auto"/>
              <w:rPr>
                <w:rFonts w:ascii="Arial" w:hAnsi="Arial" w:cs="Arial"/>
                <w:b/>
                <w:bCs/>
                <w:sz w:val="16"/>
                <w:szCs w:val="16"/>
              </w:rPr>
            </w:pPr>
          </w:p>
        </w:tc>
        <w:tc>
          <w:tcPr>
            <w:tcW w:w="1103" w:type="dxa"/>
            <w:tcBorders>
              <w:top w:val="nil"/>
              <w:left w:val="nil"/>
              <w:bottom w:val="nil"/>
              <w:right w:val="nil"/>
            </w:tcBorders>
            <w:shd w:val="clear" w:color="auto" w:fill="auto"/>
            <w:noWrap/>
            <w:vAlign w:val="bottom"/>
            <w:hideMark/>
          </w:tcPr>
          <w:p w14:paraId="2D1540B6" w14:textId="77777777" w:rsidR="00242CA1" w:rsidRPr="00242CA1" w:rsidRDefault="00242CA1" w:rsidP="00242CA1">
            <w:pPr>
              <w:spacing w:before="0" w:after="0" w:line="240" w:lineRule="auto"/>
              <w:jc w:val="right"/>
              <w:rPr>
                <w:rFonts w:ascii="Times New Roman" w:hAnsi="Times New Roman"/>
                <w:sz w:val="20"/>
              </w:rPr>
            </w:pPr>
          </w:p>
        </w:tc>
        <w:tc>
          <w:tcPr>
            <w:tcW w:w="1105" w:type="dxa"/>
            <w:tcBorders>
              <w:top w:val="nil"/>
              <w:left w:val="nil"/>
              <w:bottom w:val="nil"/>
              <w:right w:val="nil"/>
            </w:tcBorders>
            <w:shd w:val="clear" w:color="auto" w:fill="auto"/>
            <w:noWrap/>
            <w:vAlign w:val="bottom"/>
            <w:hideMark/>
          </w:tcPr>
          <w:p w14:paraId="23604775" w14:textId="77777777" w:rsidR="00242CA1" w:rsidRPr="00242CA1" w:rsidRDefault="00242CA1" w:rsidP="00242CA1">
            <w:pPr>
              <w:spacing w:before="0" w:after="0" w:line="240" w:lineRule="auto"/>
              <w:jc w:val="right"/>
              <w:rPr>
                <w:rFonts w:ascii="Times New Roman" w:hAnsi="Times New Roman"/>
                <w:sz w:val="20"/>
              </w:rPr>
            </w:pPr>
          </w:p>
        </w:tc>
        <w:tc>
          <w:tcPr>
            <w:tcW w:w="1097" w:type="dxa"/>
            <w:tcBorders>
              <w:top w:val="nil"/>
              <w:left w:val="nil"/>
              <w:bottom w:val="nil"/>
              <w:right w:val="nil"/>
            </w:tcBorders>
            <w:shd w:val="clear" w:color="auto" w:fill="auto"/>
            <w:noWrap/>
            <w:vAlign w:val="bottom"/>
            <w:hideMark/>
          </w:tcPr>
          <w:p w14:paraId="3FA215F7" w14:textId="77777777" w:rsidR="00242CA1" w:rsidRPr="00242CA1" w:rsidRDefault="00242CA1" w:rsidP="00242CA1">
            <w:pPr>
              <w:spacing w:before="0" w:after="0" w:line="240" w:lineRule="auto"/>
              <w:jc w:val="right"/>
              <w:rPr>
                <w:rFonts w:ascii="Times New Roman" w:hAnsi="Times New Roman"/>
                <w:sz w:val="20"/>
              </w:rPr>
            </w:pPr>
          </w:p>
        </w:tc>
      </w:tr>
      <w:tr w:rsidR="00242CA1" w:rsidRPr="00242CA1" w14:paraId="67214D9D"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2E7B1115"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Gross book value </w:t>
            </w:r>
          </w:p>
        </w:tc>
        <w:tc>
          <w:tcPr>
            <w:tcW w:w="1098" w:type="dxa"/>
            <w:tcBorders>
              <w:top w:val="nil"/>
              <w:left w:val="nil"/>
              <w:bottom w:val="nil"/>
              <w:right w:val="nil"/>
            </w:tcBorders>
            <w:shd w:val="clear" w:color="auto" w:fill="auto"/>
            <w:noWrap/>
            <w:vAlign w:val="bottom"/>
            <w:hideMark/>
          </w:tcPr>
          <w:p w14:paraId="424B1F0E"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81,635</w:t>
            </w:r>
          </w:p>
        </w:tc>
        <w:tc>
          <w:tcPr>
            <w:tcW w:w="1103" w:type="dxa"/>
            <w:tcBorders>
              <w:top w:val="nil"/>
              <w:left w:val="nil"/>
              <w:bottom w:val="nil"/>
              <w:right w:val="nil"/>
            </w:tcBorders>
            <w:shd w:val="clear" w:color="auto" w:fill="auto"/>
            <w:noWrap/>
            <w:vAlign w:val="bottom"/>
            <w:hideMark/>
          </w:tcPr>
          <w:p w14:paraId="56F3406A"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6,790</w:t>
            </w:r>
          </w:p>
        </w:tc>
        <w:tc>
          <w:tcPr>
            <w:tcW w:w="1105" w:type="dxa"/>
            <w:tcBorders>
              <w:top w:val="nil"/>
              <w:left w:val="nil"/>
              <w:bottom w:val="nil"/>
              <w:right w:val="nil"/>
            </w:tcBorders>
            <w:shd w:val="clear" w:color="auto" w:fill="auto"/>
            <w:noWrap/>
            <w:vAlign w:val="bottom"/>
            <w:hideMark/>
          </w:tcPr>
          <w:p w14:paraId="4CFB04AA"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682,299</w:t>
            </w:r>
          </w:p>
        </w:tc>
        <w:tc>
          <w:tcPr>
            <w:tcW w:w="1097" w:type="dxa"/>
            <w:tcBorders>
              <w:top w:val="nil"/>
              <w:left w:val="nil"/>
              <w:bottom w:val="nil"/>
              <w:right w:val="nil"/>
            </w:tcBorders>
            <w:shd w:val="clear" w:color="auto" w:fill="auto"/>
            <w:noWrap/>
            <w:vAlign w:val="bottom"/>
            <w:hideMark/>
          </w:tcPr>
          <w:p w14:paraId="54EEC5A6"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770,724</w:t>
            </w:r>
          </w:p>
        </w:tc>
      </w:tr>
      <w:tr w:rsidR="00242CA1" w:rsidRPr="00242CA1" w14:paraId="2F0733F5"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03AB77D9"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Gross book value - </w:t>
            </w:r>
            <w:proofErr w:type="spellStart"/>
            <w:r w:rsidRPr="00242CA1">
              <w:rPr>
                <w:rFonts w:ascii="Arial" w:hAnsi="Arial" w:cs="Arial"/>
                <w:sz w:val="16"/>
                <w:szCs w:val="16"/>
              </w:rPr>
              <w:t>RoU</w:t>
            </w:r>
            <w:proofErr w:type="spellEnd"/>
          </w:p>
        </w:tc>
        <w:tc>
          <w:tcPr>
            <w:tcW w:w="1098" w:type="dxa"/>
            <w:tcBorders>
              <w:top w:val="nil"/>
              <w:left w:val="nil"/>
              <w:bottom w:val="nil"/>
              <w:right w:val="nil"/>
            </w:tcBorders>
            <w:shd w:val="clear" w:color="auto" w:fill="auto"/>
            <w:noWrap/>
            <w:vAlign w:val="bottom"/>
            <w:hideMark/>
          </w:tcPr>
          <w:p w14:paraId="64218451"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768,732</w:t>
            </w:r>
          </w:p>
        </w:tc>
        <w:tc>
          <w:tcPr>
            <w:tcW w:w="1103" w:type="dxa"/>
            <w:tcBorders>
              <w:top w:val="nil"/>
              <w:left w:val="nil"/>
              <w:bottom w:val="nil"/>
              <w:right w:val="nil"/>
            </w:tcBorders>
            <w:shd w:val="clear" w:color="auto" w:fill="auto"/>
            <w:noWrap/>
            <w:vAlign w:val="bottom"/>
            <w:hideMark/>
          </w:tcPr>
          <w:p w14:paraId="74DDF203"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397</w:t>
            </w:r>
          </w:p>
        </w:tc>
        <w:tc>
          <w:tcPr>
            <w:tcW w:w="1105" w:type="dxa"/>
            <w:tcBorders>
              <w:top w:val="nil"/>
              <w:left w:val="nil"/>
              <w:bottom w:val="nil"/>
              <w:right w:val="nil"/>
            </w:tcBorders>
            <w:shd w:val="clear" w:color="auto" w:fill="auto"/>
            <w:noWrap/>
            <w:vAlign w:val="bottom"/>
            <w:hideMark/>
          </w:tcPr>
          <w:p w14:paraId="019A4E16"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nil"/>
              <w:right w:val="nil"/>
            </w:tcBorders>
            <w:shd w:val="clear" w:color="auto" w:fill="auto"/>
            <w:noWrap/>
            <w:vAlign w:val="bottom"/>
            <w:hideMark/>
          </w:tcPr>
          <w:p w14:paraId="17B2522D"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769,129</w:t>
            </w:r>
          </w:p>
        </w:tc>
      </w:tr>
      <w:tr w:rsidR="00242CA1" w:rsidRPr="00242CA1" w14:paraId="08EA75AD" w14:textId="77777777" w:rsidTr="00242CA1">
        <w:trPr>
          <w:trHeight w:val="425"/>
          <w:jc w:val="center"/>
        </w:trPr>
        <w:tc>
          <w:tcPr>
            <w:tcW w:w="3237" w:type="dxa"/>
            <w:tcBorders>
              <w:top w:val="nil"/>
              <w:left w:val="nil"/>
              <w:bottom w:val="nil"/>
              <w:right w:val="nil"/>
            </w:tcBorders>
            <w:shd w:val="clear" w:color="auto" w:fill="auto"/>
            <w:vAlign w:val="bottom"/>
            <w:hideMark/>
          </w:tcPr>
          <w:p w14:paraId="42611868"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Accumulated depreciation/amortisation and impairment</w:t>
            </w:r>
          </w:p>
        </w:tc>
        <w:tc>
          <w:tcPr>
            <w:tcW w:w="1098" w:type="dxa"/>
            <w:tcBorders>
              <w:top w:val="nil"/>
              <w:left w:val="nil"/>
              <w:bottom w:val="nil"/>
              <w:right w:val="nil"/>
            </w:tcBorders>
            <w:shd w:val="clear" w:color="auto" w:fill="auto"/>
            <w:noWrap/>
            <w:vAlign w:val="bottom"/>
            <w:hideMark/>
          </w:tcPr>
          <w:p w14:paraId="21F21A2C"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(18,480)</w:t>
            </w:r>
          </w:p>
        </w:tc>
        <w:tc>
          <w:tcPr>
            <w:tcW w:w="1103" w:type="dxa"/>
            <w:tcBorders>
              <w:top w:val="nil"/>
              <w:left w:val="nil"/>
              <w:bottom w:val="nil"/>
              <w:right w:val="nil"/>
            </w:tcBorders>
            <w:shd w:val="clear" w:color="auto" w:fill="auto"/>
            <w:noWrap/>
            <w:vAlign w:val="bottom"/>
            <w:hideMark/>
          </w:tcPr>
          <w:p w14:paraId="5FE2D79C"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(1,872)</w:t>
            </w:r>
          </w:p>
        </w:tc>
        <w:tc>
          <w:tcPr>
            <w:tcW w:w="1105" w:type="dxa"/>
            <w:tcBorders>
              <w:top w:val="nil"/>
              <w:left w:val="nil"/>
              <w:bottom w:val="nil"/>
              <w:right w:val="nil"/>
            </w:tcBorders>
            <w:shd w:val="clear" w:color="auto" w:fill="auto"/>
            <w:noWrap/>
            <w:vAlign w:val="bottom"/>
            <w:hideMark/>
          </w:tcPr>
          <w:p w14:paraId="1C765C68"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(284,339)</w:t>
            </w:r>
          </w:p>
        </w:tc>
        <w:tc>
          <w:tcPr>
            <w:tcW w:w="1097" w:type="dxa"/>
            <w:tcBorders>
              <w:top w:val="nil"/>
              <w:left w:val="nil"/>
              <w:bottom w:val="nil"/>
              <w:right w:val="nil"/>
            </w:tcBorders>
            <w:shd w:val="clear" w:color="auto" w:fill="auto"/>
            <w:noWrap/>
            <w:vAlign w:val="bottom"/>
            <w:hideMark/>
          </w:tcPr>
          <w:p w14:paraId="03C3C85E"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(304,691)</w:t>
            </w:r>
          </w:p>
        </w:tc>
      </w:tr>
      <w:tr w:rsidR="00242CA1" w:rsidRPr="00242CA1" w14:paraId="058AA937" w14:textId="77777777" w:rsidTr="00242CA1">
        <w:trPr>
          <w:trHeight w:val="425"/>
          <w:jc w:val="center"/>
        </w:trPr>
        <w:tc>
          <w:tcPr>
            <w:tcW w:w="3237" w:type="dxa"/>
            <w:tcBorders>
              <w:top w:val="nil"/>
              <w:left w:val="nil"/>
              <w:bottom w:val="nil"/>
              <w:right w:val="nil"/>
            </w:tcBorders>
            <w:shd w:val="clear" w:color="auto" w:fill="auto"/>
            <w:vAlign w:val="bottom"/>
            <w:hideMark/>
          </w:tcPr>
          <w:p w14:paraId="25B111D1"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Accumulated depreciation/amortisation and impairment - </w:t>
            </w:r>
            <w:proofErr w:type="spellStart"/>
            <w:r w:rsidRPr="00242CA1">
              <w:rPr>
                <w:rFonts w:ascii="Arial" w:hAnsi="Arial" w:cs="Arial"/>
                <w:sz w:val="16"/>
                <w:szCs w:val="16"/>
              </w:rPr>
              <w:t>RoU</w:t>
            </w:r>
            <w:proofErr w:type="spellEnd"/>
          </w:p>
        </w:tc>
        <w:tc>
          <w:tcPr>
            <w:tcW w:w="1098" w:type="dxa"/>
            <w:tcBorders>
              <w:top w:val="nil"/>
              <w:left w:val="nil"/>
              <w:bottom w:val="single" w:sz="4" w:space="0" w:color="auto"/>
              <w:right w:val="nil"/>
            </w:tcBorders>
            <w:shd w:val="clear" w:color="auto" w:fill="auto"/>
            <w:noWrap/>
            <w:vAlign w:val="bottom"/>
            <w:hideMark/>
          </w:tcPr>
          <w:p w14:paraId="15053999"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(230,879)</w:t>
            </w:r>
          </w:p>
        </w:tc>
        <w:tc>
          <w:tcPr>
            <w:tcW w:w="1103" w:type="dxa"/>
            <w:tcBorders>
              <w:top w:val="nil"/>
              <w:left w:val="nil"/>
              <w:bottom w:val="single" w:sz="4" w:space="0" w:color="auto"/>
              <w:right w:val="nil"/>
            </w:tcBorders>
            <w:shd w:val="clear" w:color="auto" w:fill="auto"/>
            <w:noWrap/>
            <w:vAlign w:val="bottom"/>
            <w:hideMark/>
          </w:tcPr>
          <w:p w14:paraId="047F5EAE"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(348)</w:t>
            </w:r>
          </w:p>
        </w:tc>
        <w:tc>
          <w:tcPr>
            <w:tcW w:w="1105" w:type="dxa"/>
            <w:tcBorders>
              <w:top w:val="nil"/>
              <w:left w:val="nil"/>
              <w:bottom w:val="single" w:sz="4" w:space="0" w:color="auto"/>
              <w:right w:val="nil"/>
            </w:tcBorders>
            <w:shd w:val="clear" w:color="auto" w:fill="auto"/>
            <w:noWrap/>
            <w:vAlign w:val="bottom"/>
            <w:hideMark/>
          </w:tcPr>
          <w:p w14:paraId="255FE040"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single" w:sz="4" w:space="0" w:color="auto"/>
              <w:right w:val="nil"/>
            </w:tcBorders>
            <w:shd w:val="clear" w:color="auto" w:fill="auto"/>
            <w:noWrap/>
            <w:vAlign w:val="bottom"/>
            <w:hideMark/>
          </w:tcPr>
          <w:p w14:paraId="6A2AC313"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(231,227)</w:t>
            </w:r>
          </w:p>
        </w:tc>
      </w:tr>
      <w:tr w:rsidR="00242CA1" w:rsidRPr="00242CA1" w14:paraId="2C061CAC" w14:textId="77777777" w:rsidTr="00242CA1">
        <w:trPr>
          <w:trHeight w:val="283"/>
          <w:jc w:val="center"/>
        </w:trPr>
        <w:tc>
          <w:tcPr>
            <w:tcW w:w="3237" w:type="dxa"/>
            <w:tcBorders>
              <w:top w:val="nil"/>
              <w:left w:val="nil"/>
              <w:bottom w:val="nil"/>
              <w:right w:val="nil"/>
            </w:tcBorders>
            <w:shd w:val="clear" w:color="auto" w:fill="auto"/>
            <w:noWrap/>
            <w:vAlign w:val="bottom"/>
            <w:hideMark/>
          </w:tcPr>
          <w:p w14:paraId="338A5961" w14:textId="77777777" w:rsidR="00242CA1" w:rsidRPr="00242CA1" w:rsidRDefault="00242CA1" w:rsidP="00FE0130">
            <w:pPr>
              <w:spacing w:before="0" w:after="0" w:line="240" w:lineRule="auto"/>
              <w:ind w:leftChars="75" w:left="143"/>
              <w:rPr>
                <w:rFonts w:ascii="Arial" w:hAnsi="Arial" w:cs="Arial"/>
                <w:b/>
                <w:bCs/>
                <w:sz w:val="16"/>
                <w:szCs w:val="16"/>
              </w:rPr>
            </w:pPr>
            <w:r w:rsidRPr="00242CA1">
              <w:rPr>
                <w:rFonts w:ascii="Arial" w:hAnsi="Arial" w:cs="Arial"/>
                <w:b/>
                <w:bCs/>
                <w:sz w:val="16"/>
                <w:szCs w:val="16"/>
              </w:rPr>
              <w:t>Opening net book balance</w:t>
            </w:r>
          </w:p>
        </w:tc>
        <w:tc>
          <w:tcPr>
            <w:tcW w:w="1098" w:type="dxa"/>
            <w:tcBorders>
              <w:top w:val="nil"/>
              <w:left w:val="nil"/>
              <w:bottom w:val="single" w:sz="4" w:space="0" w:color="auto"/>
              <w:right w:val="nil"/>
            </w:tcBorders>
            <w:shd w:val="clear" w:color="auto" w:fill="auto"/>
            <w:noWrap/>
            <w:vAlign w:val="bottom"/>
            <w:hideMark/>
          </w:tcPr>
          <w:p w14:paraId="5D93B321"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601,008</w:t>
            </w:r>
          </w:p>
        </w:tc>
        <w:tc>
          <w:tcPr>
            <w:tcW w:w="1103" w:type="dxa"/>
            <w:tcBorders>
              <w:top w:val="nil"/>
              <w:left w:val="nil"/>
              <w:bottom w:val="single" w:sz="4" w:space="0" w:color="auto"/>
              <w:right w:val="nil"/>
            </w:tcBorders>
            <w:shd w:val="clear" w:color="auto" w:fill="auto"/>
            <w:noWrap/>
            <w:vAlign w:val="bottom"/>
            <w:hideMark/>
          </w:tcPr>
          <w:p w14:paraId="064BF17A"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4,967</w:t>
            </w:r>
          </w:p>
        </w:tc>
        <w:tc>
          <w:tcPr>
            <w:tcW w:w="1105" w:type="dxa"/>
            <w:tcBorders>
              <w:top w:val="nil"/>
              <w:left w:val="nil"/>
              <w:bottom w:val="single" w:sz="4" w:space="0" w:color="auto"/>
              <w:right w:val="nil"/>
            </w:tcBorders>
            <w:shd w:val="clear" w:color="auto" w:fill="auto"/>
            <w:noWrap/>
            <w:vAlign w:val="bottom"/>
            <w:hideMark/>
          </w:tcPr>
          <w:p w14:paraId="2A7B8BCB"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397,960</w:t>
            </w:r>
          </w:p>
        </w:tc>
        <w:tc>
          <w:tcPr>
            <w:tcW w:w="1097" w:type="dxa"/>
            <w:tcBorders>
              <w:top w:val="nil"/>
              <w:left w:val="nil"/>
              <w:bottom w:val="single" w:sz="4" w:space="0" w:color="auto"/>
              <w:right w:val="nil"/>
            </w:tcBorders>
            <w:shd w:val="clear" w:color="auto" w:fill="auto"/>
            <w:noWrap/>
            <w:vAlign w:val="bottom"/>
            <w:hideMark/>
          </w:tcPr>
          <w:p w14:paraId="60AEC69B"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1,003,935</w:t>
            </w:r>
          </w:p>
        </w:tc>
      </w:tr>
      <w:tr w:rsidR="00242CA1" w:rsidRPr="00242CA1" w14:paraId="11D05E5B" w14:textId="77777777" w:rsidTr="00242CA1">
        <w:trPr>
          <w:trHeight w:val="283"/>
          <w:jc w:val="center"/>
        </w:trPr>
        <w:tc>
          <w:tcPr>
            <w:tcW w:w="3237" w:type="dxa"/>
            <w:tcBorders>
              <w:top w:val="nil"/>
              <w:left w:val="nil"/>
              <w:bottom w:val="nil"/>
              <w:right w:val="nil"/>
            </w:tcBorders>
            <w:shd w:val="clear" w:color="auto" w:fill="auto"/>
            <w:noWrap/>
            <w:vAlign w:val="bottom"/>
            <w:hideMark/>
          </w:tcPr>
          <w:p w14:paraId="0186CFB3" w14:textId="77777777" w:rsidR="00242CA1" w:rsidRPr="00242CA1" w:rsidRDefault="00242CA1" w:rsidP="00242CA1">
            <w:pPr>
              <w:spacing w:before="0" w:after="0" w:line="240" w:lineRule="auto"/>
              <w:rPr>
                <w:rFonts w:ascii="Arial" w:hAnsi="Arial" w:cs="Arial"/>
                <w:b/>
                <w:bCs/>
                <w:sz w:val="16"/>
                <w:szCs w:val="16"/>
              </w:rPr>
            </w:pPr>
            <w:r w:rsidRPr="00242CA1">
              <w:rPr>
                <w:rFonts w:ascii="Arial" w:hAnsi="Arial" w:cs="Arial"/>
                <w:b/>
                <w:bCs/>
                <w:sz w:val="16"/>
                <w:szCs w:val="16"/>
              </w:rPr>
              <w:t>CAPITAL ASSET ADDITIONS</w:t>
            </w:r>
          </w:p>
        </w:tc>
        <w:tc>
          <w:tcPr>
            <w:tcW w:w="1098" w:type="dxa"/>
            <w:tcBorders>
              <w:top w:val="nil"/>
              <w:left w:val="nil"/>
              <w:bottom w:val="nil"/>
              <w:right w:val="nil"/>
            </w:tcBorders>
            <w:shd w:val="clear" w:color="auto" w:fill="auto"/>
            <w:noWrap/>
            <w:vAlign w:val="bottom"/>
            <w:hideMark/>
          </w:tcPr>
          <w:p w14:paraId="2BDAB802" w14:textId="77777777" w:rsidR="00242CA1" w:rsidRPr="00242CA1" w:rsidRDefault="00242CA1" w:rsidP="00242CA1">
            <w:pPr>
              <w:spacing w:before="0" w:after="0" w:line="240" w:lineRule="auto"/>
              <w:rPr>
                <w:rFonts w:ascii="Arial" w:hAnsi="Arial" w:cs="Arial"/>
                <w:b/>
                <w:bCs/>
                <w:sz w:val="16"/>
                <w:szCs w:val="16"/>
              </w:rPr>
            </w:pPr>
          </w:p>
        </w:tc>
        <w:tc>
          <w:tcPr>
            <w:tcW w:w="1103" w:type="dxa"/>
            <w:tcBorders>
              <w:top w:val="nil"/>
              <w:left w:val="nil"/>
              <w:bottom w:val="nil"/>
              <w:right w:val="nil"/>
            </w:tcBorders>
            <w:shd w:val="clear" w:color="auto" w:fill="auto"/>
            <w:noWrap/>
            <w:vAlign w:val="bottom"/>
            <w:hideMark/>
          </w:tcPr>
          <w:p w14:paraId="00D1DE21" w14:textId="77777777" w:rsidR="00242CA1" w:rsidRPr="00242CA1" w:rsidRDefault="00242CA1" w:rsidP="00242CA1">
            <w:pPr>
              <w:spacing w:before="0" w:after="0" w:line="240" w:lineRule="auto"/>
              <w:jc w:val="right"/>
              <w:rPr>
                <w:rFonts w:ascii="Times New Roman" w:hAnsi="Times New Roman"/>
                <w:sz w:val="20"/>
              </w:rPr>
            </w:pPr>
          </w:p>
        </w:tc>
        <w:tc>
          <w:tcPr>
            <w:tcW w:w="1105" w:type="dxa"/>
            <w:tcBorders>
              <w:top w:val="nil"/>
              <w:left w:val="nil"/>
              <w:bottom w:val="nil"/>
              <w:right w:val="nil"/>
            </w:tcBorders>
            <w:shd w:val="clear" w:color="auto" w:fill="auto"/>
            <w:noWrap/>
            <w:vAlign w:val="bottom"/>
            <w:hideMark/>
          </w:tcPr>
          <w:p w14:paraId="0E4335DA" w14:textId="77777777" w:rsidR="00242CA1" w:rsidRPr="00242CA1" w:rsidRDefault="00242CA1" w:rsidP="00242CA1">
            <w:pPr>
              <w:spacing w:before="0" w:after="0" w:line="240" w:lineRule="auto"/>
              <w:jc w:val="right"/>
              <w:rPr>
                <w:rFonts w:ascii="Times New Roman" w:hAnsi="Times New Roman"/>
                <w:sz w:val="20"/>
              </w:rPr>
            </w:pPr>
          </w:p>
        </w:tc>
        <w:tc>
          <w:tcPr>
            <w:tcW w:w="1097" w:type="dxa"/>
            <w:tcBorders>
              <w:top w:val="nil"/>
              <w:left w:val="nil"/>
              <w:bottom w:val="nil"/>
              <w:right w:val="nil"/>
            </w:tcBorders>
            <w:shd w:val="clear" w:color="auto" w:fill="auto"/>
            <w:noWrap/>
            <w:vAlign w:val="bottom"/>
            <w:hideMark/>
          </w:tcPr>
          <w:p w14:paraId="43759B37" w14:textId="77777777" w:rsidR="00242CA1" w:rsidRPr="00242CA1" w:rsidRDefault="00242CA1" w:rsidP="00242CA1">
            <w:pPr>
              <w:spacing w:before="0" w:after="0" w:line="240" w:lineRule="auto"/>
              <w:jc w:val="right"/>
              <w:rPr>
                <w:rFonts w:ascii="Times New Roman" w:hAnsi="Times New Roman"/>
                <w:sz w:val="20"/>
              </w:rPr>
            </w:pPr>
          </w:p>
        </w:tc>
      </w:tr>
      <w:tr w:rsidR="00242CA1" w:rsidRPr="00242CA1" w14:paraId="6A19DDBB" w14:textId="77777777" w:rsidTr="00242CA1">
        <w:trPr>
          <w:trHeight w:val="425"/>
          <w:jc w:val="center"/>
        </w:trPr>
        <w:tc>
          <w:tcPr>
            <w:tcW w:w="3237" w:type="dxa"/>
            <w:tcBorders>
              <w:top w:val="nil"/>
              <w:left w:val="nil"/>
              <w:bottom w:val="nil"/>
              <w:right w:val="nil"/>
            </w:tcBorders>
            <w:shd w:val="clear" w:color="auto" w:fill="auto"/>
            <w:vAlign w:val="bottom"/>
            <w:hideMark/>
          </w:tcPr>
          <w:p w14:paraId="01C08694" w14:textId="77777777" w:rsidR="00242CA1" w:rsidRPr="00242CA1" w:rsidRDefault="00242CA1" w:rsidP="00FE0130">
            <w:pPr>
              <w:spacing w:before="0" w:after="0" w:line="240" w:lineRule="auto"/>
              <w:ind w:leftChars="75" w:left="143"/>
              <w:rPr>
                <w:rFonts w:ascii="Arial" w:hAnsi="Arial" w:cs="Arial"/>
                <w:b/>
                <w:bCs/>
                <w:sz w:val="16"/>
                <w:szCs w:val="16"/>
              </w:rPr>
            </w:pPr>
            <w:r w:rsidRPr="00242CA1">
              <w:rPr>
                <w:rFonts w:ascii="Arial" w:hAnsi="Arial" w:cs="Arial"/>
                <w:b/>
                <w:bCs/>
                <w:sz w:val="16"/>
                <w:szCs w:val="16"/>
              </w:rPr>
              <w:t>Estimated expenditure on new or replacement assets</w:t>
            </w:r>
          </w:p>
        </w:tc>
        <w:tc>
          <w:tcPr>
            <w:tcW w:w="1098" w:type="dxa"/>
            <w:tcBorders>
              <w:top w:val="nil"/>
              <w:left w:val="nil"/>
              <w:bottom w:val="nil"/>
              <w:right w:val="nil"/>
            </w:tcBorders>
            <w:shd w:val="clear" w:color="auto" w:fill="auto"/>
            <w:noWrap/>
            <w:vAlign w:val="bottom"/>
            <w:hideMark/>
          </w:tcPr>
          <w:p w14:paraId="51F7941C" w14:textId="77777777" w:rsidR="00242CA1" w:rsidRPr="00242CA1" w:rsidRDefault="00242CA1" w:rsidP="00242CA1">
            <w:pPr>
              <w:spacing w:before="0" w:after="0" w:line="240" w:lineRule="auto"/>
              <w:ind w:firstLineChars="100" w:firstLine="161"/>
              <w:rPr>
                <w:rFonts w:ascii="Arial" w:hAnsi="Arial" w:cs="Arial"/>
                <w:b/>
                <w:bCs/>
                <w:sz w:val="16"/>
                <w:szCs w:val="16"/>
              </w:rPr>
            </w:pPr>
          </w:p>
        </w:tc>
        <w:tc>
          <w:tcPr>
            <w:tcW w:w="1103" w:type="dxa"/>
            <w:tcBorders>
              <w:top w:val="nil"/>
              <w:left w:val="nil"/>
              <w:bottom w:val="nil"/>
              <w:right w:val="nil"/>
            </w:tcBorders>
            <w:shd w:val="clear" w:color="auto" w:fill="auto"/>
            <w:noWrap/>
            <w:vAlign w:val="bottom"/>
            <w:hideMark/>
          </w:tcPr>
          <w:p w14:paraId="21F9E6CB" w14:textId="77777777" w:rsidR="00242CA1" w:rsidRPr="00242CA1" w:rsidRDefault="00242CA1" w:rsidP="00242CA1">
            <w:pPr>
              <w:spacing w:before="0" w:after="0" w:line="240" w:lineRule="auto"/>
              <w:jc w:val="right"/>
              <w:rPr>
                <w:rFonts w:ascii="Times New Roman" w:hAnsi="Times New Roman"/>
                <w:sz w:val="20"/>
              </w:rPr>
            </w:pPr>
          </w:p>
        </w:tc>
        <w:tc>
          <w:tcPr>
            <w:tcW w:w="1105" w:type="dxa"/>
            <w:tcBorders>
              <w:top w:val="nil"/>
              <w:left w:val="nil"/>
              <w:bottom w:val="nil"/>
              <w:right w:val="nil"/>
            </w:tcBorders>
            <w:shd w:val="clear" w:color="auto" w:fill="auto"/>
            <w:noWrap/>
            <w:vAlign w:val="bottom"/>
            <w:hideMark/>
          </w:tcPr>
          <w:p w14:paraId="0B17C474" w14:textId="77777777" w:rsidR="00242CA1" w:rsidRPr="00242CA1" w:rsidRDefault="00242CA1" w:rsidP="00242CA1">
            <w:pPr>
              <w:spacing w:before="0" w:after="0" w:line="240" w:lineRule="auto"/>
              <w:jc w:val="right"/>
              <w:rPr>
                <w:rFonts w:ascii="Times New Roman" w:hAnsi="Times New Roman"/>
                <w:sz w:val="20"/>
              </w:rPr>
            </w:pPr>
          </w:p>
        </w:tc>
        <w:tc>
          <w:tcPr>
            <w:tcW w:w="1097" w:type="dxa"/>
            <w:tcBorders>
              <w:top w:val="nil"/>
              <w:left w:val="nil"/>
              <w:bottom w:val="nil"/>
              <w:right w:val="nil"/>
            </w:tcBorders>
            <w:shd w:val="clear" w:color="auto" w:fill="auto"/>
            <w:noWrap/>
            <w:vAlign w:val="bottom"/>
            <w:hideMark/>
          </w:tcPr>
          <w:p w14:paraId="29D84D4A" w14:textId="77777777" w:rsidR="00242CA1" w:rsidRPr="00242CA1" w:rsidRDefault="00242CA1" w:rsidP="00242CA1">
            <w:pPr>
              <w:spacing w:before="0" w:after="0" w:line="240" w:lineRule="auto"/>
              <w:jc w:val="right"/>
              <w:rPr>
                <w:rFonts w:ascii="Times New Roman" w:hAnsi="Times New Roman"/>
                <w:sz w:val="20"/>
              </w:rPr>
            </w:pPr>
          </w:p>
        </w:tc>
      </w:tr>
      <w:tr w:rsidR="00242CA1" w:rsidRPr="00242CA1" w14:paraId="05B262E1"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7D5C4491"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By purchase - appropriation equity</w:t>
            </w:r>
          </w:p>
        </w:tc>
        <w:tc>
          <w:tcPr>
            <w:tcW w:w="1098" w:type="dxa"/>
            <w:tcBorders>
              <w:top w:val="nil"/>
              <w:left w:val="nil"/>
              <w:bottom w:val="nil"/>
              <w:right w:val="nil"/>
            </w:tcBorders>
            <w:shd w:val="clear" w:color="auto" w:fill="auto"/>
            <w:noWrap/>
            <w:vAlign w:val="bottom"/>
            <w:hideMark/>
          </w:tcPr>
          <w:p w14:paraId="57BF759F"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103" w:type="dxa"/>
            <w:tcBorders>
              <w:top w:val="nil"/>
              <w:left w:val="nil"/>
              <w:bottom w:val="nil"/>
              <w:right w:val="nil"/>
            </w:tcBorders>
            <w:shd w:val="clear" w:color="auto" w:fill="auto"/>
            <w:noWrap/>
            <w:vAlign w:val="bottom"/>
            <w:hideMark/>
          </w:tcPr>
          <w:p w14:paraId="671033D8"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w:t>
            </w:r>
          </w:p>
        </w:tc>
        <w:tc>
          <w:tcPr>
            <w:tcW w:w="1105" w:type="dxa"/>
            <w:tcBorders>
              <w:top w:val="nil"/>
              <w:left w:val="nil"/>
              <w:bottom w:val="nil"/>
              <w:right w:val="nil"/>
            </w:tcBorders>
            <w:shd w:val="clear" w:color="auto" w:fill="auto"/>
            <w:noWrap/>
            <w:vAlign w:val="bottom"/>
            <w:hideMark/>
          </w:tcPr>
          <w:p w14:paraId="73A1D290"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244,858</w:t>
            </w:r>
          </w:p>
        </w:tc>
        <w:tc>
          <w:tcPr>
            <w:tcW w:w="1097" w:type="dxa"/>
            <w:tcBorders>
              <w:top w:val="nil"/>
              <w:left w:val="nil"/>
              <w:bottom w:val="nil"/>
              <w:right w:val="nil"/>
            </w:tcBorders>
            <w:shd w:val="clear" w:color="auto" w:fill="auto"/>
            <w:noWrap/>
            <w:vAlign w:val="bottom"/>
            <w:hideMark/>
          </w:tcPr>
          <w:p w14:paraId="2217CA23"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244,858</w:t>
            </w:r>
          </w:p>
        </w:tc>
      </w:tr>
      <w:tr w:rsidR="00242CA1" w:rsidRPr="00242CA1" w14:paraId="24000F2D" w14:textId="77777777" w:rsidTr="00242CA1">
        <w:trPr>
          <w:trHeight w:val="425"/>
          <w:jc w:val="center"/>
        </w:trPr>
        <w:tc>
          <w:tcPr>
            <w:tcW w:w="3237" w:type="dxa"/>
            <w:tcBorders>
              <w:top w:val="nil"/>
              <w:left w:val="nil"/>
              <w:bottom w:val="nil"/>
              <w:right w:val="nil"/>
            </w:tcBorders>
            <w:shd w:val="clear" w:color="auto" w:fill="auto"/>
            <w:vAlign w:val="bottom"/>
            <w:hideMark/>
          </w:tcPr>
          <w:p w14:paraId="27881420"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By purchase - appropriation ordinary annual services</w:t>
            </w:r>
          </w:p>
        </w:tc>
        <w:tc>
          <w:tcPr>
            <w:tcW w:w="1098" w:type="dxa"/>
            <w:tcBorders>
              <w:top w:val="nil"/>
              <w:left w:val="nil"/>
              <w:bottom w:val="nil"/>
              <w:right w:val="nil"/>
            </w:tcBorders>
            <w:shd w:val="clear" w:color="auto" w:fill="auto"/>
            <w:noWrap/>
            <w:vAlign w:val="bottom"/>
            <w:hideMark/>
          </w:tcPr>
          <w:p w14:paraId="2A78E6EB"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103" w:type="dxa"/>
            <w:tcBorders>
              <w:top w:val="nil"/>
              <w:left w:val="nil"/>
              <w:bottom w:val="nil"/>
              <w:right w:val="nil"/>
            </w:tcBorders>
            <w:shd w:val="clear" w:color="auto" w:fill="auto"/>
            <w:noWrap/>
            <w:vAlign w:val="bottom"/>
            <w:hideMark/>
          </w:tcPr>
          <w:p w14:paraId="7B3F904C"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w:t>
            </w:r>
          </w:p>
        </w:tc>
        <w:tc>
          <w:tcPr>
            <w:tcW w:w="1105" w:type="dxa"/>
            <w:tcBorders>
              <w:top w:val="nil"/>
              <w:left w:val="nil"/>
              <w:bottom w:val="nil"/>
              <w:right w:val="nil"/>
            </w:tcBorders>
            <w:shd w:val="clear" w:color="auto" w:fill="auto"/>
            <w:noWrap/>
            <w:vAlign w:val="bottom"/>
            <w:hideMark/>
          </w:tcPr>
          <w:p w14:paraId="508FA606"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12,708</w:t>
            </w:r>
          </w:p>
        </w:tc>
        <w:tc>
          <w:tcPr>
            <w:tcW w:w="1097" w:type="dxa"/>
            <w:tcBorders>
              <w:top w:val="nil"/>
              <w:left w:val="nil"/>
              <w:bottom w:val="nil"/>
              <w:right w:val="nil"/>
            </w:tcBorders>
            <w:shd w:val="clear" w:color="auto" w:fill="auto"/>
            <w:noWrap/>
            <w:vAlign w:val="bottom"/>
            <w:hideMark/>
          </w:tcPr>
          <w:p w14:paraId="31E11C1B"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12,708</w:t>
            </w:r>
          </w:p>
        </w:tc>
      </w:tr>
      <w:tr w:rsidR="00242CA1" w:rsidRPr="00242CA1" w14:paraId="53C29C1A"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3153033F"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By purchase - internal resources</w:t>
            </w:r>
          </w:p>
        </w:tc>
        <w:tc>
          <w:tcPr>
            <w:tcW w:w="1098" w:type="dxa"/>
            <w:tcBorders>
              <w:top w:val="nil"/>
              <w:left w:val="nil"/>
              <w:bottom w:val="nil"/>
              <w:right w:val="nil"/>
            </w:tcBorders>
            <w:shd w:val="clear" w:color="auto" w:fill="auto"/>
            <w:noWrap/>
            <w:vAlign w:val="bottom"/>
            <w:hideMark/>
          </w:tcPr>
          <w:p w14:paraId="58B04FD1"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9,000</w:t>
            </w:r>
          </w:p>
        </w:tc>
        <w:tc>
          <w:tcPr>
            <w:tcW w:w="1103" w:type="dxa"/>
            <w:tcBorders>
              <w:top w:val="nil"/>
              <w:left w:val="nil"/>
              <w:bottom w:val="nil"/>
              <w:right w:val="nil"/>
            </w:tcBorders>
            <w:shd w:val="clear" w:color="auto" w:fill="auto"/>
            <w:noWrap/>
            <w:vAlign w:val="bottom"/>
            <w:hideMark/>
          </w:tcPr>
          <w:p w14:paraId="7EF2ED26"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2,262</w:t>
            </w:r>
          </w:p>
        </w:tc>
        <w:tc>
          <w:tcPr>
            <w:tcW w:w="1105" w:type="dxa"/>
            <w:tcBorders>
              <w:top w:val="nil"/>
              <w:left w:val="nil"/>
              <w:bottom w:val="nil"/>
              <w:right w:val="nil"/>
            </w:tcBorders>
            <w:shd w:val="clear" w:color="auto" w:fill="auto"/>
            <w:noWrap/>
            <w:vAlign w:val="bottom"/>
            <w:hideMark/>
          </w:tcPr>
          <w:p w14:paraId="4880BE0B"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8,353</w:t>
            </w:r>
          </w:p>
        </w:tc>
        <w:tc>
          <w:tcPr>
            <w:tcW w:w="1097" w:type="dxa"/>
            <w:tcBorders>
              <w:top w:val="nil"/>
              <w:left w:val="nil"/>
              <w:bottom w:val="nil"/>
              <w:right w:val="nil"/>
            </w:tcBorders>
            <w:shd w:val="clear" w:color="auto" w:fill="auto"/>
            <w:noWrap/>
            <w:vAlign w:val="bottom"/>
            <w:hideMark/>
          </w:tcPr>
          <w:p w14:paraId="0E0793ED"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19,615</w:t>
            </w:r>
          </w:p>
        </w:tc>
      </w:tr>
      <w:tr w:rsidR="00242CA1" w:rsidRPr="00242CA1" w14:paraId="235E2F82"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6BEB6357"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By purchase - </w:t>
            </w:r>
            <w:proofErr w:type="spellStart"/>
            <w:r w:rsidRPr="00242CA1">
              <w:rPr>
                <w:rFonts w:ascii="Arial" w:hAnsi="Arial" w:cs="Arial"/>
                <w:sz w:val="16"/>
                <w:szCs w:val="16"/>
              </w:rPr>
              <w:t>RoU</w:t>
            </w:r>
            <w:proofErr w:type="spellEnd"/>
          </w:p>
        </w:tc>
        <w:tc>
          <w:tcPr>
            <w:tcW w:w="1098" w:type="dxa"/>
            <w:tcBorders>
              <w:top w:val="nil"/>
              <w:left w:val="nil"/>
              <w:bottom w:val="nil"/>
              <w:right w:val="nil"/>
            </w:tcBorders>
            <w:shd w:val="clear" w:color="auto" w:fill="auto"/>
            <w:noWrap/>
            <w:vAlign w:val="bottom"/>
            <w:hideMark/>
          </w:tcPr>
          <w:p w14:paraId="404EEEE6"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(106)</w:t>
            </w:r>
          </w:p>
        </w:tc>
        <w:tc>
          <w:tcPr>
            <w:tcW w:w="1103" w:type="dxa"/>
            <w:tcBorders>
              <w:top w:val="nil"/>
              <w:left w:val="nil"/>
              <w:bottom w:val="nil"/>
              <w:right w:val="nil"/>
            </w:tcBorders>
            <w:shd w:val="clear" w:color="auto" w:fill="auto"/>
            <w:noWrap/>
            <w:vAlign w:val="bottom"/>
            <w:hideMark/>
          </w:tcPr>
          <w:p w14:paraId="2F2FD5C8"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106</w:t>
            </w:r>
          </w:p>
        </w:tc>
        <w:tc>
          <w:tcPr>
            <w:tcW w:w="1105" w:type="dxa"/>
            <w:tcBorders>
              <w:top w:val="nil"/>
              <w:left w:val="nil"/>
              <w:bottom w:val="nil"/>
              <w:right w:val="nil"/>
            </w:tcBorders>
            <w:shd w:val="clear" w:color="auto" w:fill="auto"/>
            <w:noWrap/>
            <w:vAlign w:val="bottom"/>
            <w:hideMark/>
          </w:tcPr>
          <w:p w14:paraId="59292688"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nil"/>
              <w:right w:val="nil"/>
            </w:tcBorders>
            <w:shd w:val="clear" w:color="auto" w:fill="auto"/>
            <w:noWrap/>
            <w:vAlign w:val="bottom"/>
            <w:hideMark/>
          </w:tcPr>
          <w:p w14:paraId="1AB8172F"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w:t>
            </w:r>
          </w:p>
        </w:tc>
      </w:tr>
      <w:tr w:rsidR="00242CA1" w:rsidRPr="00242CA1" w14:paraId="1C65646C"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6F514200"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Revaluations</w:t>
            </w:r>
          </w:p>
        </w:tc>
        <w:tc>
          <w:tcPr>
            <w:tcW w:w="1098" w:type="dxa"/>
            <w:tcBorders>
              <w:top w:val="nil"/>
              <w:left w:val="nil"/>
              <w:bottom w:val="nil"/>
              <w:right w:val="nil"/>
            </w:tcBorders>
            <w:shd w:val="clear" w:color="auto" w:fill="auto"/>
            <w:noWrap/>
            <w:vAlign w:val="bottom"/>
            <w:hideMark/>
          </w:tcPr>
          <w:p w14:paraId="1B5DE78C"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(2,210)</w:t>
            </w:r>
          </w:p>
        </w:tc>
        <w:tc>
          <w:tcPr>
            <w:tcW w:w="1103" w:type="dxa"/>
            <w:tcBorders>
              <w:top w:val="nil"/>
              <w:left w:val="nil"/>
              <w:bottom w:val="nil"/>
              <w:right w:val="nil"/>
            </w:tcBorders>
            <w:shd w:val="clear" w:color="auto" w:fill="auto"/>
            <w:noWrap/>
            <w:vAlign w:val="bottom"/>
            <w:hideMark/>
          </w:tcPr>
          <w:p w14:paraId="7C88AEE9"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w:t>
            </w:r>
          </w:p>
        </w:tc>
        <w:tc>
          <w:tcPr>
            <w:tcW w:w="1105" w:type="dxa"/>
            <w:tcBorders>
              <w:top w:val="nil"/>
              <w:left w:val="nil"/>
              <w:bottom w:val="nil"/>
              <w:right w:val="nil"/>
            </w:tcBorders>
            <w:shd w:val="clear" w:color="auto" w:fill="auto"/>
            <w:noWrap/>
            <w:vAlign w:val="bottom"/>
            <w:hideMark/>
          </w:tcPr>
          <w:p w14:paraId="22AB24AC"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nil"/>
              <w:right w:val="nil"/>
            </w:tcBorders>
            <w:shd w:val="clear" w:color="auto" w:fill="auto"/>
            <w:noWrap/>
            <w:vAlign w:val="bottom"/>
            <w:hideMark/>
          </w:tcPr>
          <w:p w14:paraId="1AAA9010"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(2,210)</w:t>
            </w:r>
          </w:p>
        </w:tc>
      </w:tr>
      <w:tr w:rsidR="00242CA1" w:rsidRPr="00242CA1" w14:paraId="442CE295"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78CA35F5" w14:textId="77777777" w:rsidR="00242CA1" w:rsidRPr="00242CA1" w:rsidRDefault="00242CA1" w:rsidP="00FE0130">
            <w:pPr>
              <w:spacing w:before="0" w:after="0" w:line="240" w:lineRule="auto"/>
              <w:ind w:leftChars="75" w:left="143"/>
              <w:rPr>
                <w:rFonts w:ascii="Arial" w:hAnsi="Arial" w:cs="Arial"/>
                <w:b/>
                <w:bCs/>
                <w:sz w:val="16"/>
                <w:szCs w:val="16"/>
              </w:rPr>
            </w:pPr>
            <w:r w:rsidRPr="00242CA1">
              <w:rPr>
                <w:rFonts w:ascii="Arial" w:hAnsi="Arial" w:cs="Arial"/>
                <w:b/>
                <w:bCs/>
                <w:sz w:val="16"/>
                <w:szCs w:val="16"/>
              </w:rPr>
              <w:t>Total additions</w:t>
            </w:r>
          </w:p>
        </w:tc>
        <w:tc>
          <w:tcPr>
            <w:tcW w:w="1098" w:type="dxa"/>
            <w:tcBorders>
              <w:top w:val="nil"/>
              <w:left w:val="nil"/>
              <w:bottom w:val="single" w:sz="4" w:space="0" w:color="auto"/>
              <w:right w:val="nil"/>
            </w:tcBorders>
            <w:shd w:val="clear" w:color="auto" w:fill="auto"/>
            <w:noWrap/>
            <w:vAlign w:val="bottom"/>
            <w:hideMark/>
          </w:tcPr>
          <w:p w14:paraId="0084F716"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6,684</w:t>
            </w:r>
          </w:p>
        </w:tc>
        <w:tc>
          <w:tcPr>
            <w:tcW w:w="1103" w:type="dxa"/>
            <w:tcBorders>
              <w:top w:val="nil"/>
              <w:left w:val="nil"/>
              <w:bottom w:val="single" w:sz="4" w:space="0" w:color="auto"/>
              <w:right w:val="nil"/>
            </w:tcBorders>
            <w:shd w:val="clear" w:color="auto" w:fill="auto"/>
            <w:noWrap/>
            <w:vAlign w:val="bottom"/>
            <w:hideMark/>
          </w:tcPr>
          <w:p w14:paraId="0807BCDF"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2,368</w:t>
            </w:r>
          </w:p>
        </w:tc>
        <w:tc>
          <w:tcPr>
            <w:tcW w:w="1105" w:type="dxa"/>
            <w:tcBorders>
              <w:top w:val="nil"/>
              <w:left w:val="nil"/>
              <w:bottom w:val="single" w:sz="4" w:space="0" w:color="auto"/>
              <w:right w:val="nil"/>
            </w:tcBorders>
            <w:shd w:val="clear" w:color="auto" w:fill="auto"/>
            <w:noWrap/>
            <w:vAlign w:val="bottom"/>
            <w:hideMark/>
          </w:tcPr>
          <w:p w14:paraId="2BE55B21"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265,919</w:t>
            </w:r>
          </w:p>
        </w:tc>
        <w:tc>
          <w:tcPr>
            <w:tcW w:w="1097" w:type="dxa"/>
            <w:tcBorders>
              <w:top w:val="nil"/>
              <w:left w:val="nil"/>
              <w:bottom w:val="single" w:sz="4" w:space="0" w:color="auto"/>
              <w:right w:val="nil"/>
            </w:tcBorders>
            <w:shd w:val="clear" w:color="auto" w:fill="auto"/>
            <w:noWrap/>
            <w:vAlign w:val="bottom"/>
            <w:hideMark/>
          </w:tcPr>
          <w:p w14:paraId="18E5D519"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274,971</w:t>
            </w:r>
          </w:p>
        </w:tc>
      </w:tr>
      <w:tr w:rsidR="00242CA1" w:rsidRPr="00242CA1" w14:paraId="74BA35C0" w14:textId="77777777" w:rsidTr="00242CA1">
        <w:trPr>
          <w:trHeight w:val="283"/>
          <w:jc w:val="center"/>
        </w:trPr>
        <w:tc>
          <w:tcPr>
            <w:tcW w:w="3237" w:type="dxa"/>
            <w:tcBorders>
              <w:top w:val="nil"/>
              <w:left w:val="nil"/>
              <w:bottom w:val="nil"/>
              <w:right w:val="nil"/>
            </w:tcBorders>
            <w:shd w:val="clear" w:color="auto" w:fill="auto"/>
            <w:noWrap/>
            <w:vAlign w:val="bottom"/>
            <w:hideMark/>
          </w:tcPr>
          <w:p w14:paraId="08FD3CB2" w14:textId="77777777" w:rsidR="00242CA1" w:rsidRPr="00242CA1" w:rsidRDefault="00242CA1" w:rsidP="00242CA1">
            <w:pPr>
              <w:spacing w:before="0" w:after="0" w:line="240" w:lineRule="auto"/>
              <w:rPr>
                <w:rFonts w:ascii="Arial" w:hAnsi="Arial" w:cs="Arial"/>
                <w:b/>
                <w:bCs/>
                <w:sz w:val="16"/>
                <w:szCs w:val="16"/>
              </w:rPr>
            </w:pPr>
            <w:r w:rsidRPr="00242CA1">
              <w:rPr>
                <w:rFonts w:ascii="Arial" w:hAnsi="Arial" w:cs="Arial"/>
                <w:b/>
                <w:bCs/>
                <w:sz w:val="16"/>
                <w:szCs w:val="16"/>
              </w:rPr>
              <w:t>Other movements</w:t>
            </w:r>
          </w:p>
        </w:tc>
        <w:tc>
          <w:tcPr>
            <w:tcW w:w="1098" w:type="dxa"/>
            <w:tcBorders>
              <w:top w:val="nil"/>
              <w:left w:val="nil"/>
              <w:bottom w:val="nil"/>
              <w:right w:val="nil"/>
            </w:tcBorders>
            <w:shd w:val="clear" w:color="auto" w:fill="auto"/>
            <w:noWrap/>
            <w:vAlign w:val="bottom"/>
            <w:hideMark/>
          </w:tcPr>
          <w:p w14:paraId="760E2A43" w14:textId="77777777" w:rsidR="00242CA1" w:rsidRPr="00242CA1" w:rsidRDefault="00242CA1" w:rsidP="00242CA1">
            <w:pPr>
              <w:spacing w:before="0" w:after="0" w:line="240" w:lineRule="auto"/>
              <w:rPr>
                <w:rFonts w:ascii="Arial" w:hAnsi="Arial" w:cs="Arial"/>
                <w:b/>
                <w:bCs/>
                <w:sz w:val="16"/>
                <w:szCs w:val="16"/>
              </w:rPr>
            </w:pPr>
          </w:p>
        </w:tc>
        <w:tc>
          <w:tcPr>
            <w:tcW w:w="1103" w:type="dxa"/>
            <w:tcBorders>
              <w:top w:val="nil"/>
              <w:left w:val="nil"/>
              <w:bottom w:val="nil"/>
              <w:right w:val="nil"/>
            </w:tcBorders>
            <w:shd w:val="clear" w:color="auto" w:fill="auto"/>
            <w:noWrap/>
            <w:vAlign w:val="bottom"/>
            <w:hideMark/>
          </w:tcPr>
          <w:p w14:paraId="187855FC" w14:textId="77777777" w:rsidR="00242CA1" w:rsidRPr="00242CA1" w:rsidRDefault="00242CA1" w:rsidP="00242CA1">
            <w:pPr>
              <w:spacing w:before="0" w:after="0" w:line="240" w:lineRule="auto"/>
              <w:jc w:val="right"/>
              <w:rPr>
                <w:rFonts w:ascii="Times New Roman" w:hAnsi="Times New Roman"/>
                <w:sz w:val="20"/>
              </w:rPr>
            </w:pPr>
          </w:p>
        </w:tc>
        <w:tc>
          <w:tcPr>
            <w:tcW w:w="1105" w:type="dxa"/>
            <w:tcBorders>
              <w:top w:val="nil"/>
              <w:left w:val="nil"/>
              <w:bottom w:val="nil"/>
              <w:right w:val="nil"/>
            </w:tcBorders>
            <w:shd w:val="clear" w:color="auto" w:fill="auto"/>
            <w:noWrap/>
            <w:vAlign w:val="bottom"/>
            <w:hideMark/>
          </w:tcPr>
          <w:p w14:paraId="5B8771F2" w14:textId="77777777" w:rsidR="00242CA1" w:rsidRPr="00242CA1" w:rsidRDefault="00242CA1" w:rsidP="00242CA1">
            <w:pPr>
              <w:spacing w:before="0" w:after="0" w:line="240" w:lineRule="auto"/>
              <w:jc w:val="right"/>
              <w:rPr>
                <w:rFonts w:ascii="Times New Roman" w:hAnsi="Times New Roman"/>
                <w:sz w:val="20"/>
              </w:rPr>
            </w:pPr>
          </w:p>
        </w:tc>
        <w:tc>
          <w:tcPr>
            <w:tcW w:w="1097" w:type="dxa"/>
            <w:tcBorders>
              <w:top w:val="nil"/>
              <w:left w:val="nil"/>
              <w:bottom w:val="nil"/>
              <w:right w:val="nil"/>
            </w:tcBorders>
            <w:shd w:val="clear" w:color="auto" w:fill="auto"/>
            <w:noWrap/>
            <w:vAlign w:val="bottom"/>
            <w:hideMark/>
          </w:tcPr>
          <w:p w14:paraId="762B431A" w14:textId="77777777" w:rsidR="00242CA1" w:rsidRPr="00242CA1" w:rsidRDefault="00242CA1" w:rsidP="00242CA1">
            <w:pPr>
              <w:spacing w:before="0" w:after="0" w:line="240" w:lineRule="auto"/>
              <w:jc w:val="right"/>
              <w:rPr>
                <w:rFonts w:ascii="Times New Roman" w:hAnsi="Times New Roman"/>
                <w:sz w:val="20"/>
              </w:rPr>
            </w:pPr>
          </w:p>
        </w:tc>
      </w:tr>
      <w:tr w:rsidR="00242CA1" w:rsidRPr="00242CA1" w14:paraId="4119E086"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26AD09F4"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Depreciation/amortisation expense</w:t>
            </w:r>
          </w:p>
        </w:tc>
        <w:tc>
          <w:tcPr>
            <w:tcW w:w="1098" w:type="dxa"/>
            <w:tcBorders>
              <w:top w:val="nil"/>
              <w:left w:val="nil"/>
              <w:bottom w:val="nil"/>
              <w:right w:val="nil"/>
            </w:tcBorders>
            <w:shd w:val="clear" w:color="auto" w:fill="auto"/>
            <w:noWrap/>
            <w:vAlign w:val="bottom"/>
            <w:hideMark/>
          </w:tcPr>
          <w:p w14:paraId="57638B37"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(714)</w:t>
            </w:r>
          </w:p>
        </w:tc>
        <w:tc>
          <w:tcPr>
            <w:tcW w:w="1103" w:type="dxa"/>
            <w:tcBorders>
              <w:top w:val="nil"/>
              <w:left w:val="nil"/>
              <w:bottom w:val="nil"/>
              <w:right w:val="nil"/>
            </w:tcBorders>
            <w:shd w:val="clear" w:color="auto" w:fill="auto"/>
            <w:noWrap/>
            <w:vAlign w:val="bottom"/>
            <w:hideMark/>
          </w:tcPr>
          <w:p w14:paraId="20E091F4"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(1,192)</w:t>
            </w:r>
          </w:p>
        </w:tc>
        <w:tc>
          <w:tcPr>
            <w:tcW w:w="1105" w:type="dxa"/>
            <w:tcBorders>
              <w:top w:val="nil"/>
              <w:left w:val="nil"/>
              <w:bottom w:val="nil"/>
              <w:right w:val="nil"/>
            </w:tcBorders>
            <w:shd w:val="clear" w:color="auto" w:fill="auto"/>
            <w:noWrap/>
            <w:vAlign w:val="bottom"/>
            <w:hideMark/>
          </w:tcPr>
          <w:p w14:paraId="624BF05E"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(40,969)</w:t>
            </w:r>
          </w:p>
        </w:tc>
        <w:tc>
          <w:tcPr>
            <w:tcW w:w="1097" w:type="dxa"/>
            <w:tcBorders>
              <w:top w:val="nil"/>
              <w:left w:val="nil"/>
              <w:bottom w:val="nil"/>
              <w:right w:val="nil"/>
            </w:tcBorders>
            <w:shd w:val="clear" w:color="auto" w:fill="auto"/>
            <w:noWrap/>
            <w:vAlign w:val="bottom"/>
            <w:hideMark/>
          </w:tcPr>
          <w:p w14:paraId="16511EDE"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(42,875)</w:t>
            </w:r>
          </w:p>
        </w:tc>
      </w:tr>
      <w:tr w:rsidR="00242CA1" w:rsidRPr="00242CA1" w14:paraId="550BBE50"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18C73F29"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Depreciation/amortisation expense - </w:t>
            </w:r>
            <w:proofErr w:type="spellStart"/>
            <w:r w:rsidRPr="00242CA1">
              <w:rPr>
                <w:rFonts w:ascii="Arial" w:hAnsi="Arial" w:cs="Arial"/>
                <w:sz w:val="16"/>
                <w:szCs w:val="16"/>
              </w:rPr>
              <w:t>RoU</w:t>
            </w:r>
            <w:proofErr w:type="spellEnd"/>
          </w:p>
        </w:tc>
        <w:tc>
          <w:tcPr>
            <w:tcW w:w="1098" w:type="dxa"/>
            <w:tcBorders>
              <w:top w:val="nil"/>
              <w:left w:val="nil"/>
              <w:bottom w:val="nil"/>
              <w:right w:val="nil"/>
            </w:tcBorders>
            <w:shd w:val="clear" w:color="auto" w:fill="auto"/>
            <w:noWrap/>
            <w:vAlign w:val="bottom"/>
            <w:hideMark/>
          </w:tcPr>
          <w:p w14:paraId="2ECED080"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(65,244)</w:t>
            </w:r>
          </w:p>
        </w:tc>
        <w:tc>
          <w:tcPr>
            <w:tcW w:w="1103" w:type="dxa"/>
            <w:tcBorders>
              <w:top w:val="nil"/>
              <w:left w:val="nil"/>
              <w:bottom w:val="nil"/>
              <w:right w:val="nil"/>
            </w:tcBorders>
            <w:shd w:val="clear" w:color="auto" w:fill="auto"/>
            <w:noWrap/>
            <w:vAlign w:val="bottom"/>
            <w:hideMark/>
          </w:tcPr>
          <w:p w14:paraId="4F2198B7" w14:textId="77777777" w:rsidR="00242CA1" w:rsidRPr="00242CA1" w:rsidRDefault="00242CA1" w:rsidP="00242CA1">
            <w:pPr>
              <w:spacing w:before="0" w:after="0" w:line="240" w:lineRule="auto"/>
              <w:jc w:val="right"/>
              <w:rPr>
                <w:rFonts w:ascii="Arial" w:hAnsi="Arial" w:cs="Arial"/>
                <w:sz w:val="16"/>
                <w:szCs w:val="16"/>
              </w:rPr>
            </w:pPr>
            <w:r w:rsidRPr="00242CA1">
              <w:rPr>
                <w:rFonts w:ascii="Arial" w:hAnsi="Arial" w:cs="Arial"/>
                <w:sz w:val="16"/>
                <w:szCs w:val="16"/>
              </w:rPr>
              <w:t>(66)</w:t>
            </w:r>
          </w:p>
        </w:tc>
        <w:tc>
          <w:tcPr>
            <w:tcW w:w="1105" w:type="dxa"/>
            <w:tcBorders>
              <w:top w:val="nil"/>
              <w:left w:val="nil"/>
              <w:bottom w:val="nil"/>
              <w:right w:val="nil"/>
            </w:tcBorders>
            <w:shd w:val="clear" w:color="auto" w:fill="auto"/>
            <w:noWrap/>
            <w:vAlign w:val="bottom"/>
            <w:hideMark/>
          </w:tcPr>
          <w:p w14:paraId="56EC72A1"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nil"/>
              <w:right w:val="nil"/>
            </w:tcBorders>
            <w:shd w:val="clear" w:color="auto" w:fill="auto"/>
            <w:noWrap/>
            <w:vAlign w:val="bottom"/>
            <w:hideMark/>
          </w:tcPr>
          <w:p w14:paraId="47F675A3"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(65,310)</w:t>
            </w:r>
          </w:p>
        </w:tc>
      </w:tr>
      <w:tr w:rsidR="00242CA1" w:rsidRPr="00242CA1" w14:paraId="23415D89"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3E90E392" w14:textId="77777777" w:rsidR="00242CA1" w:rsidRPr="00242CA1" w:rsidRDefault="00242CA1" w:rsidP="00FE0130">
            <w:pPr>
              <w:spacing w:before="0" w:after="0" w:line="240" w:lineRule="auto"/>
              <w:ind w:leftChars="75" w:left="143"/>
              <w:rPr>
                <w:rFonts w:ascii="Arial" w:hAnsi="Arial" w:cs="Arial"/>
                <w:b/>
                <w:bCs/>
                <w:sz w:val="16"/>
                <w:szCs w:val="16"/>
              </w:rPr>
            </w:pPr>
            <w:r w:rsidRPr="00242CA1">
              <w:rPr>
                <w:rFonts w:ascii="Arial" w:hAnsi="Arial" w:cs="Arial"/>
                <w:b/>
                <w:bCs/>
                <w:sz w:val="16"/>
                <w:szCs w:val="16"/>
              </w:rPr>
              <w:t>Total other movements</w:t>
            </w:r>
          </w:p>
        </w:tc>
        <w:tc>
          <w:tcPr>
            <w:tcW w:w="1098" w:type="dxa"/>
            <w:tcBorders>
              <w:top w:val="nil"/>
              <w:left w:val="nil"/>
              <w:bottom w:val="single" w:sz="4" w:space="0" w:color="auto"/>
              <w:right w:val="nil"/>
            </w:tcBorders>
            <w:shd w:val="clear" w:color="auto" w:fill="auto"/>
            <w:noWrap/>
            <w:vAlign w:val="bottom"/>
            <w:hideMark/>
          </w:tcPr>
          <w:p w14:paraId="57773014"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(65,958)</w:t>
            </w:r>
          </w:p>
        </w:tc>
        <w:tc>
          <w:tcPr>
            <w:tcW w:w="1103" w:type="dxa"/>
            <w:tcBorders>
              <w:top w:val="nil"/>
              <w:left w:val="nil"/>
              <w:bottom w:val="single" w:sz="4" w:space="0" w:color="auto"/>
              <w:right w:val="nil"/>
            </w:tcBorders>
            <w:shd w:val="clear" w:color="auto" w:fill="auto"/>
            <w:noWrap/>
            <w:vAlign w:val="bottom"/>
            <w:hideMark/>
          </w:tcPr>
          <w:p w14:paraId="127C5984"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(1,258)</w:t>
            </w:r>
          </w:p>
        </w:tc>
        <w:tc>
          <w:tcPr>
            <w:tcW w:w="1105" w:type="dxa"/>
            <w:tcBorders>
              <w:top w:val="nil"/>
              <w:left w:val="nil"/>
              <w:bottom w:val="single" w:sz="4" w:space="0" w:color="auto"/>
              <w:right w:val="nil"/>
            </w:tcBorders>
            <w:shd w:val="clear" w:color="auto" w:fill="auto"/>
            <w:noWrap/>
            <w:vAlign w:val="bottom"/>
            <w:hideMark/>
          </w:tcPr>
          <w:p w14:paraId="4782E628"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(40,969)</w:t>
            </w:r>
          </w:p>
        </w:tc>
        <w:tc>
          <w:tcPr>
            <w:tcW w:w="1097" w:type="dxa"/>
            <w:tcBorders>
              <w:top w:val="nil"/>
              <w:left w:val="nil"/>
              <w:bottom w:val="single" w:sz="4" w:space="0" w:color="auto"/>
              <w:right w:val="nil"/>
            </w:tcBorders>
            <w:shd w:val="clear" w:color="auto" w:fill="auto"/>
            <w:noWrap/>
            <w:vAlign w:val="bottom"/>
            <w:hideMark/>
          </w:tcPr>
          <w:p w14:paraId="03C47822"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(108,185)</w:t>
            </w:r>
          </w:p>
        </w:tc>
      </w:tr>
      <w:tr w:rsidR="00242CA1" w:rsidRPr="00242CA1" w14:paraId="28A6FAFA" w14:textId="77777777" w:rsidTr="00242CA1">
        <w:trPr>
          <w:trHeight w:val="283"/>
          <w:jc w:val="center"/>
        </w:trPr>
        <w:tc>
          <w:tcPr>
            <w:tcW w:w="3237" w:type="dxa"/>
            <w:tcBorders>
              <w:top w:val="nil"/>
              <w:left w:val="nil"/>
              <w:bottom w:val="nil"/>
              <w:right w:val="nil"/>
            </w:tcBorders>
            <w:shd w:val="clear" w:color="auto" w:fill="auto"/>
            <w:noWrap/>
            <w:vAlign w:val="bottom"/>
            <w:hideMark/>
          </w:tcPr>
          <w:p w14:paraId="1DAE188E" w14:textId="77777777" w:rsidR="00242CA1" w:rsidRPr="00242CA1" w:rsidRDefault="00242CA1" w:rsidP="00242CA1">
            <w:pPr>
              <w:spacing w:before="0" w:after="0" w:line="240" w:lineRule="auto"/>
              <w:rPr>
                <w:rFonts w:ascii="Arial" w:hAnsi="Arial" w:cs="Arial"/>
                <w:b/>
                <w:bCs/>
                <w:sz w:val="16"/>
                <w:szCs w:val="16"/>
              </w:rPr>
            </w:pPr>
            <w:r w:rsidRPr="00242CA1">
              <w:rPr>
                <w:rFonts w:ascii="Arial" w:hAnsi="Arial" w:cs="Arial"/>
                <w:b/>
                <w:bCs/>
                <w:sz w:val="16"/>
                <w:szCs w:val="16"/>
              </w:rPr>
              <w:t xml:space="preserve">As </w:t>
            </w:r>
            <w:proofErr w:type="gramStart"/>
            <w:r w:rsidRPr="00242CA1">
              <w:rPr>
                <w:rFonts w:ascii="Arial" w:hAnsi="Arial" w:cs="Arial"/>
                <w:b/>
                <w:bCs/>
                <w:sz w:val="16"/>
                <w:szCs w:val="16"/>
              </w:rPr>
              <w:t>at</w:t>
            </w:r>
            <w:proofErr w:type="gramEnd"/>
            <w:r w:rsidRPr="00242CA1">
              <w:rPr>
                <w:rFonts w:ascii="Arial" w:hAnsi="Arial" w:cs="Arial"/>
                <w:b/>
                <w:bCs/>
                <w:sz w:val="16"/>
                <w:szCs w:val="16"/>
              </w:rPr>
              <w:t xml:space="preserve"> 30 June 2024</w:t>
            </w:r>
          </w:p>
        </w:tc>
        <w:tc>
          <w:tcPr>
            <w:tcW w:w="1098" w:type="dxa"/>
            <w:tcBorders>
              <w:top w:val="nil"/>
              <w:left w:val="nil"/>
              <w:bottom w:val="nil"/>
              <w:right w:val="nil"/>
            </w:tcBorders>
            <w:shd w:val="clear" w:color="auto" w:fill="auto"/>
            <w:noWrap/>
            <w:vAlign w:val="bottom"/>
            <w:hideMark/>
          </w:tcPr>
          <w:p w14:paraId="3AF0B383" w14:textId="77777777" w:rsidR="00242CA1" w:rsidRPr="00242CA1" w:rsidRDefault="00242CA1" w:rsidP="00242CA1">
            <w:pPr>
              <w:spacing w:before="0" w:after="0" w:line="240" w:lineRule="auto"/>
              <w:rPr>
                <w:rFonts w:ascii="Arial" w:hAnsi="Arial" w:cs="Arial"/>
                <w:b/>
                <w:bCs/>
                <w:sz w:val="16"/>
                <w:szCs w:val="16"/>
              </w:rPr>
            </w:pPr>
          </w:p>
        </w:tc>
        <w:tc>
          <w:tcPr>
            <w:tcW w:w="1103" w:type="dxa"/>
            <w:tcBorders>
              <w:top w:val="nil"/>
              <w:left w:val="nil"/>
              <w:bottom w:val="nil"/>
              <w:right w:val="nil"/>
            </w:tcBorders>
            <w:shd w:val="clear" w:color="auto" w:fill="auto"/>
            <w:noWrap/>
            <w:vAlign w:val="bottom"/>
            <w:hideMark/>
          </w:tcPr>
          <w:p w14:paraId="3F237DB5" w14:textId="77777777" w:rsidR="00242CA1" w:rsidRPr="00242CA1" w:rsidRDefault="00242CA1" w:rsidP="00242CA1">
            <w:pPr>
              <w:spacing w:before="0" w:after="0" w:line="240" w:lineRule="auto"/>
              <w:jc w:val="right"/>
              <w:rPr>
                <w:rFonts w:ascii="Times New Roman" w:hAnsi="Times New Roman"/>
                <w:sz w:val="20"/>
              </w:rPr>
            </w:pPr>
          </w:p>
        </w:tc>
        <w:tc>
          <w:tcPr>
            <w:tcW w:w="1105" w:type="dxa"/>
            <w:tcBorders>
              <w:top w:val="nil"/>
              <w:left w:val="nil"/>
              <w:bottom w:val="nil"/>
              <w:right w:val="nil"/>
            </w:tcBorders>
            <w:shd w:val="clear" w:color="auto" w:fill="auto"/>
            <w:noWrap/>
            <w:vAlign w:val="bottom"/>
            <w:hideMark/>
          </w:tcPr>
          <w:p w14:paraId="4F9A6FC8" w14:textId="77777777" w:rsidR="00242CA1" w:rsidRPr="00242CA1" w:rsidRDefault="00242CA1" w:rsidP="00242CA1">
            <w:pPr>
              <w:spacing w:before="0" w:after="0" w:line="240" w:lineRule="auto"/>
              <w:jc w:val="right"/>
              <w:rPr>
                <w:rFonts w:ascii="Times New Roman" w:hAnsi="Times New Roman"/>
                <w:sz w:val="20"/>
              </w:rPr>
            </w:pPr>
          </w:p>
        </w:tc>
        <w:tc>
          <w:tcPr>
            <w:tcW w:w="1097" w:type="dxa"/>
            <w:tcBorders>
              <w:top w:val="nil"/>
              <w:left w:val="nil"/>
              <w:bottom w:val="nil"/>
              <w:right w:val="nil"/>
            </w:tcBorders>
            <w:shd w:val="clear" w:color="auto" w:fill="auto"/>
            <w:noWrap/>
            <w:vAlign w:val="bottom"/>
            <w:hideMark/>
          </w:tcPr>
          <w:p w14:paraId="72BF1C20" w14:textId="77777777" w:rsidR="00242CA1" w:rsidRPr="00242CA1" w:rsidRDefault="00242CA1" w:rsidP="00242CA1">
            <w:pPr>
              <w:spacing w:before="0" w:after="0" w:line="240" w:lineRule="auto"/>
              <w:jc w:val="right"/>
              <w:rPr>
                <w:rFonts w:ascii="Times New Roman" w:hAnsi="Times New Roman"/>
                <w:sz w:val="20"/>
              </w:rPr>
            </w:pPr>
          </w:p>
        </w:tc>
      </w:tr>
      <w:tr w:rsidR="00242CA1" w:rsidRPr="00242CA1" w14:paraId="786F4557"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28F70C55"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Gross book value</w:t>
            </w:r>
          </w:p>
        </w:tc>
        <w:tc>
          <w:tcPr>
            <w:tcW w:w="1098" w:type="dxa"/>
            <w:tcBorders>
              <w:top w:val="nil"/>
              <w:left w:val="nil"/>
              <w:bottom w:val="nil"/>
              <w:right w:val="nil"/>
            </w:tcBorders>
            <w:shd w:val="clear" w:color="auto" w:fill="auto"/>
            <w:noWrap/>
            <w:vAlign w:val="bottom"/>
            <w:hideMark/>
          </w:tcPr>
          <w:p w14:paraId="28A0E59B"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88,425</w:t>
            </w:r>
          </w:p>
        </w:tc>
        <w:tc>
          <w:tcPr>
            <w:tcW w:w="1103" w:type="dxa"/>
            <w:tcBorders>
              <w:top w:val="nil"/>
              <w:left w:val="nil"/>
              <w:bottom w:val="nil"/>
              <w:right w:val="nil"/>
            </w:tcBorders>
            <w:shd w:val="clear" w:color="auto" w:fill="auto"/>
            <w:noWrap/>
            <w:vAlign w:val="bottom"/>
            <w:hideMark/>
          </w:tcPr>
          <w:p w14:paraId="3F954526"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9,052</w:t>
            </w:r>
          </w:p>
        </w:tc>
        <w:tc>
          <w:tcPr>
            <w:tcW w:w="1105" w:type="dxa"/>
            <w:tcBorders>
              <w:top w:val="nil"/>
              <w:left w:val="nil"/>
              <w:bottom w:val="nil"/>
              <w:right w:val="nil"/>
            </w:tcBorders>
            <w:shd w:val="clear" w:color="auto" w:fill="auto"/>
            <w:noWrap/>
            <w:vAlign w:val="bottom"/>
            <w:hideMark/>
          </w:tcPr>
          <w:p w14:paraId="5C8A947A"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948,218</w:t>
            </w:r>
          </w:p>
        </w:tc>
        <w:tc>
          <w:tcPr>
            <w:tcW w:w="1097" w:type="dxa"/>
            <w:tcBorders>
              <w:top w:val="nil"/>
              <w:left w:val="nil"/>
              <w:bottom w:val="nil"/>
              <w:right w:val="nil"/>
            </w:tcBorders>
            <w:shd w:val="clear" w:color="auto" w:fill="auto"/>
            <w:noWrap/>
            <w:vAlign w:val="bottom"/>
            <w:hideMark/>
          </w:tcPr>
          <w:p w14:paraId="4B6EE5B6"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1,045,695</w:t>
            </w:r>
          </w:p>
        </w:tc>
      </w:tr>
      <w:tr w:rsidR="00242CA1" w:rsidRPr="00242CA1" w14:paraId="095F5362" w14:textId="77777777" w:rsidTr="00242CA1">
        <w:trPr>
          <w:trHeight w:val="225"/>
          <w:jc w:val="center"/>
        </w:trPr>
        <w:tc>
          <w:tcPr>
            <w:tcW w:w="3237" w:type="dxa"/>
            <w:tcBorders>
              <w:top w:val="nil"/>
              <w:left w:val="nil"/>
              <w:bottom w:val="nil"/>
              <w:right w:val="nil"/>
            </w:tcBorders>
            <w:shd w:val="clear" w:color="auto" w:fill="auto"/>
            <w:noWrap/>
            <w:vAlign w:val="bottom"/>
            <w:hideMark/>
          </w:tcPr>
          <w:p w14:paraId="5FC40CB8"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Gross book value - </w:t>
            </w:r>
            <w:proofErr w:type="spellStart"/>
            <w:r w:rsidRPr="00242CA1">
              <w:rPr>
                <w:rFonts w:ascii="Arial" w:hAnsi="Arial" w:cs="Arial"/>
                <w:sz w:val="16"/>
                <w:szCs w:val="16"/>
              </w:rPr>
              <w:t>RoU</w:t>
            </w:r>
            <w:proofErr w:type="spellEnd"/>
          </w:p>
        </w:tc>
        <w:tc>
          <w:tcPr>
            <w:tcW w:w="1098" w:type="dxa"/>
            <w:tcBorders>
              <w:top w:val="nil"/>
              <w:left w:val="nil"/>
              <w:bottom w:val="nil"/>
              <w:right w:val="nil"/>
            </w:tcBorders>
            <w:shd w:val="clear" w:color="auto" w:fill="auto"/>
            <w:noWrap/>
            <w:vAlign w:val="bottom"/>
            <w:hideMark/>
          </w:tcPr>
          <w:p w14:paraId="7F28E141"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768,626</w:t>
            </w:r>
          </w:p>
        </w:tc>
        <w:tc>
          <w:tcPr>
            <w:tcW w:w="1103" w:type="dxa"/>
            <w:tcBorders>
              <w:top w:val="nil"/>
              <w:left w:val="nil"/>
              <w:bottom w:val="nil"/>
              <w:right w:val="nil"/>
            </w:tcBorders>
            <w:shd w:val="clear" w:color="auto" w:fill="auto"/>
            <w:noWrap/>
            <w:vAlign w:val="bottom"/>
            <w:hideMark/>
          </w:tcPr>
          <w:p w14:paraId="5E5688D3"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503</w:t>
            </w:r>
          </w:p>
        </w:tc>
        <w:tc>
          <w:tcPr>
            <w:tcW w:w="1105" w:type="dxa"/>
            <w:tcBorders>
              <w:top w:val="nil"/>
              <w:left w:val="nil"/>
              <w:bottom w:val="nil"/>
              <w:right w:val="nil"/>
            </w:tcBorders>
            <w:shd w:val="clear" w:color="auto" w:fill="auto"/>
            <w:noWrap/>
            <w:vAlign w:val="bottom"/>
            <w:hideMark/>
          </w:tcPr>
          <w:p w14:paraId="38CBFD90"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nil"/>
              <w:right w:val="nil"/>
            </w:tcBorders>
            <w:shd w:val="clear" w:color="auto" w:fill="auto"/>
            <w:noWrap/>
            <w:vAlign w:val="bottom"/>
            <w:hideMark/>
          </w:tcPr>
          <w:p w14:paraId="04CB6145"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769,129</w:t>
            </w:r>
          </w:p>
        </w:tc>
      </w:tr>
      <w:tr w:rsidR="00242CA1" w:rsidRPr="00242CA1" w14:paraId="664A6D2B" w14:textId="77777777" w:rsidTr="00242CA1">
        <w:trPr>
          <w:trHeight w:val="425"/>
          <w:jc w:val="center"/>
        </w:trPr>
        <w:tc>
          <w:tcPr>
            <w:tcW w:w="3237" w:type="dxa"/>
            <w:tcBorders>
              <w:top w:val="nil"/>
              <w:left w:val="nil"/>
              <w:bottom w:val="nil"/>
              <w:right w:val="nil"/>
            </w:tcBorders>
            <w:shd w:val="clear" w:color="auto" w:fill="auto"/>
            <w:vAlign w:val="bottom"/>
            <w:hideMark/>
          </w:tcPr>
          <w:p w14:paraId="290E9CBC"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Accumulated depreciation/amortisation and impairment</w:t>
            </w:r>
          </w:p>
        </w:tc>
        <w:tc>
          <w:tcPr>
            <w:tcW w:w="1098" w:type="dxa"/>
            <w:tcBorders>
              <w:top w:val="nil"/>
              <w:left w:val="nil"/>
              <w:bottom w:val="nil"/>
              <w:right w:val="nil"/>
            </w:tcBorders>
            <w:shd w:val="clear" w:color="auto" w:fill="auto"/>
            <w:noWrap/>
            <w:vAlign w:val="bottom"/>
            <w:hideMark/>
          </w:tcPr>
          <w:p w14:paraId="309FB2BD"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(19,194)</w:t>
            </w:r>
          </w:p>
        </w:tc>
        <w:tc>
          <w:tcPr>
            <w:tcW w:w="1103" w:type="dxa"/>
            <w:tcBorders>
              <w:top w:val="nil"/>
              <w:left w:val="nil"/>
              <w:bottom w:val="nil"/>
              <w:right w:val="nil"/>
            </w:tcBorders>
            <w:shd w:val="clear" w:color="auto" w:fill="auto"/>
            <w:noWrap/>
            <w:vAlign w:val="bottom"/>
            <w:hideMark/>
          </w:tcPr>
          <w:p w14:paraId="7998B959"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(3,064)</w:t>
            </w:r>
          </w:p>
        </w:tc>
        <w:tc>
          <w:tcPr>
            <w:tcW w:w="1105" w:type="dxa"/>
            <w:tcBorders>
              <w:top w:val="nil"/>
              <w:left w:val="nil"/>
              <w:bottom w:val="nil"/>
              <w:right w:val="nil"/>
            </w:tcBorders>
            <w:shd w:val="clear" w:color="auto" w:fill="auto"/>
            <w:noWrap/>
            <w:vAlign w:val="bottom"/>
            <w:hideMark/>
          </w:tcPr>
          <w:p w14:paraId="730B907A"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(325,308)</w:t>
            </w:r>
          </w:p>
        </w:tc>
        <w:tc>
          <w:tcPr>
            <w:tcW w:w="1097" w:type="dxa"/>
            <w:tcBorders>
              <w:top w:val="nil"/>
              <w:left w:val="nil"/>
              <w:bottom w:val="nil"/>
              <w:right w:val="nil"/>
            </w:tcBorders>
            <w:shd w:val="clear" w:color="auto" w:fill="auto"/>
            <w:noWrap/>
            <w:vAlign w:val="bottom"/>
            <w:hideMark/>
          </w:tcPr>
          <w:p w14:paraId="1DB28FFC"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(347,566)</w:t>
            </w:r>
          </w:p>
        </w:tc>
      </w:tr>
      <w:tr w:rsidR="00242CA1" w:rsidRPr="00242CA1" w14:paraId="2DC1C952" w14:textId="77777777" w:rsidTr="00242CA1">
        <w:trPr>
          <w:trHeight w:val="425"/>
          <w:jc w:val="center"/>
        </w:trPr>
        <w:tc>
          <w:tcPr>
            <w:tcW w:w="3237" w:type="dxa"/>
            <w:tcBorders>
              <w:top w:val="nil"/>
              <w:left w:val="nil"/>
              <w:bottom w:val="nil"/>
              <w:right w:val="nil"/>
            </w:tcBorders>
            <w:shd w:val="clear" w:color="auto" w:fill="auto"/>
            <w:vAlign w:val="bottom"/>
            <w:hideMark/>
          </w:tcPr>
          <w:p w14:paraId="504AF46B" w14:textId="77777777" w:rsidR="00242CA1" w:rsidRPr="00242CA1" w:rsidRDefault="00242CA1" w:rsidP="00FE0130">
            <w:pPr>
              <w:spacing w:before="0" w:after="0" w:line="240" w:lineRule="auto"/>
              <w:ind w:leftChars="75" w:left="143"/>
              <w:rPr>
                <w:rFonts w:ascii="Arial" w:hAnsi="Arial" w:cs="Arial"/>
                <w:sz w:val="16"/>
                <w:szCs w:val="16"/>
              </w:rPr>
            </w:pPr>
            <w:r w:rsidRPr="00242CA1">
              <w:rPr>
                <w:rFonts w:ascii="Arial" w:hAnsi="Arial" w:cs="Arial"/>
                <w:sz w:val="16"/>
                <w:szCs w:val="16"/>
              </w:rPr>
              <w:t xml:space="preserve">Accumulated depreciation/amortisation and impairment - </w:t>
            </w:r>
            <w:proofErr w:type="spellStart"/>
            <w:r w:rsidRPr="00242CA1">
              <w:rPr>
                <w:rFonts w:ascii="Arial" w:hAnsi="Arial" w:cs="Arial"/>
                <w:sz w:val="16"/>
                <w:szCs w:val="16"/>
              </w:rPr>
              <w:t>RoU</w:t>
            </w:r>
            <w:proofErr w:type="spellEnd"/>
          </w:p>
        </w:tc>
        <w:tc>
          <w:tcPr>
            <w:tcW w:w="1098" w:type="dxa"/>
            <w:tcBorders>
              <w:top w:val="nil"/>
              <w:left w:val="nil"/>
              <w:bottom w:val="single" w:sz="4" w:space="0" w:color="auto"/>
              <w:right w:val="nil"/>
            </w:tcBorders>
            <w:shd w:val="clear" w:color="auto" w:fill="auto"/>
            <w:noWrap/>
            <w:vAlign w:val="bottom"/>
            <w:hideMark/>
          </w:tcPr>
          <w:p w14:paraId="668F98FE"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(296,123)</w:t>
            </w:r>
          </w:p>
        </w:tc>
        <w:tc>
          <w:tcPr>
            <w:tcW w:w="1103" w:type="dxa"/>
            <w:tcBorders>
              <w:top w:val="nil"/>
              <w:left w:val="nil"/>
              <w:bottom w:val="single" w:sz="4" w:space="0" w:color="auto"/>
              <w:right w:val="nil"/>
            </w:tcBorders>
            <w:shd w:val="clear" w:color="auto" w:fill="auto"/>
            <w:noWrap/>
            <w:vAlign w:val="bottom"/>
            <w:hideMark/>
          </w:tcPr>
          <w:p w14:paraId="2DED263C"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(414)</w:t>
            </w:r>
          </w:p>
        </w:tc>
        <w:tc>
          <w:tcPr>
            <w:tcW w:w="1105" w:type="dxa"/>
            <w:tcBorders>
              <w:top w:val="nil"/>
              <w:left w:val="nil"/>
              <w:bottom w:val="single" w:sz="4" w:space="0" w:color="auto"/>
              <w:right w:val="nil"/>
            </w:tcBorders>
            <w:shd w:val="clear" w:color="auto" w:fill="auto"/>
            <w:noWrap/>
            <w:vAlign w:val="bottom"/>
            <w:hideMark/>
          </w:tcPr>
          <w:p w14:paraId="7DE09D17" w14:textId="77777777" w:rsidR="00242CA1" w:rsidRPr="00242CA1" w:rsidRDefault="00242CA1" w:rsidP="00242CA1">
            <w:pPr>
              <w:spacing w:before="0" w:after="0" w:line="240" w:lineRule="auto"/>
              <w:jc w:val="right"/>
              <w:rPr>
                <w:rFonts w:ascii="Arial" w:hAnsi="Arial" w:cs="Arial"/>
                <w:color w:val="000000"/>
                <w:sz w:val="16"/>
                <w:szCs w:val="16"/>
              </w:rPr>
            </w:pPr>
            <w:r w:rsidRPr="00242CA1">
              <w:rPr>
                <w:rFonts w:ascii="Arial" w:hAnsi="Arial" w:cs="Arial"/>
                <w:color w:val="000000"/>
                <w:sz w:val="16"/>
                <w:szCs w:val="16"/>
              </w:rPr>
              <w:t>-</w:t>
            </w:r>
          </w:p>
        </w:tc>
        <w:tc>
          <w:tcPr>
            <w:tcW w:w="1097" w:type="dxa"/>
            <w:tcBorders>
              <w:top w:val="nil"/>
              <w:left w:val="nil"/>
              <w:bottom w:val="single" w:sz="4" w:space="0" w:color="auto"/>
              <w:right w:val="nil"/>
            </w:tcBorders>
            <w:shd w:val="clear" w:color="auto" w:fill="auto"/>
            <w:noWrap/>
            <w:vAlign w:val="bottom"/>
            <w:hideMark/>
          </w:tcPr>
          <w:p w14:paraId="2CF77EA2"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(296,537)</w:t>
            </w:r>
          </w:p>
        </w:tc>
      </w:tr>
      <w:tr w:rsidR="00242CA1" w:rsidRPr="00242CA1" w14:paraId="20AD7330" w14:textId="77777777" w:rsidTr="00242CA1">
        <w:trPr>
          <w:trHeight w:val="283"/>
          <w:jc w:val="center"/>
        </w:trPr>
        <w:tc>
          <w:tcPr>
            <w:tcW w:w="3237" w:type="dxa"/>
            <w:tcBorders>
              <w:top w:val="nil"/>
              <w:left w:val="nil"/>
              <w:bottom w:val="single" w:sz="4" w:space="0" w:color="auto"/>
              <w:right w:val="nil"/>
            </w:tcBorders>
            <w:shd w:val="clear" w:color="auto" w:fill="auto"/>
            <w:noWrap/>
            <w:vAlign w:val="bottom"/>
            <w:hideMark/>
          </w:tcPr>
          <w:p w14:paraId="7E5518AA" w14:textId="77777777" w:rsidR="00242CA1" w:rsidRPr="00242CA1" w:rsidRDefault="00242CA1" w:rsidP="00FE0130">
            <w:pPr>
              <w:spacing w:before="0" w:after="0" w:line="240" w:lineRule="auto"/>
              <w:ind w:leftChars="75" w:left="143"/>
              <w:rPr>
                <w:rFonts w:ascii="Arial" w:hAnsi="Arial" w:cs="Arial"/>
                <w:b/>
                <w:bCs/>
                <w:sz w:val="16"/>
                <w:szCs w:val="16"/>
              </w:rPr>
            </w:pPr>
            <w:r w:rsidRPr="00242CA1">
              <w:rPr>
                <w:rFonts w:ascii="Arial" w:hAnsi="Arial" w:cs="Arial"/>
                <w:b/>
                <w:bCs/>
                <w:sz w:val="16"/>
                <w:szCs w:val="16"/>
              </w:rPr>
              <w:t>Closing net book balance</w:t>
            </w:r>
          </w:p>
        </w:tc>
        <w:tc>
          <w:tcPr>
            <w:tcW w:w="1098" w:type="dxa"/>
            <w:tcBorders>
              <w:top w:val="nil"/>
              <w:left w:val="nil"/>
              <w:bottom w:val="single" w:sz="4" w:space="0" w:color="auto"/>
              <w:right w:val="nil"/>
            </w:tcBorders>
            <w:shd w:val="clear" w:color="auto" w:fill="auto"/>
            <w:noWrap/>
            <w:vAlign w:val="bottom"/>
            <w:hideMark/>
          </w:tcPr>
          <w:p w14:paraId="21A035B5"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541,734</w:t>
            </w:r>
          </w:p>
        </w:tc>
        <w:tc>
          <w:tcPr>
            <w:tcW w:w="1103" w:type="dxa"/>
            <w:tcBorders>
              <w:top w:val="nil"/>
              <w:left w:val="nil"/>
              <w:bottom w:val="single" w:sz="4" w:space="0" w:color="auto"/>
              <w:right w:val="nil"/>
            </w:tcBorders>
            <w:shd w:val="clear" w:color="auto" w:fill="auto"/>
            <w:noWrap/>
            <w:vAlign w:val="bottom"/>
            <w:hideMark/>
          </w:tcPr>
          <w:p w14:paraId="1A3935A6"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6,077</w:t>
            </w:r>
          </w:p>
        </w:tc>
        <w:tc>
          <w:tcPr>
            <w:tcW w:w="1105" w:type="dxa"/>
            <w:tcBorders>
              <w:top w:val="nil"/>
              <w:left w:val="nil"/>
              <w:bottom w:val="single" w:sz="4" w:space="0" w:color="auto"/>
              <w:right w:val="nil"/>
            </w:tcBorders>
            <w:shd w:val="clear" w:color="auto" w:fill="auto"/>
            <w:noWrap/>
            <w:vAlign w:val="bottom"/>
            <w:hideMark/>
          </w:tcPr>
          <w:p w14:paraId="1FCBF36E"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622,910</w:t>
            </w:r>
          </w:p>
        </w:tc>
        <w:tc>
          <w:tcPr>
            <w:tcW w:w="1097" w:type="dxa"/>
            <w:tcBorders>
              <w:top w:val="nil"/>
              <w:left w:val="nil"/>
              <w:bottom w:val="single" w:sz="4" w:space="0" w:color="auto"/>
              <w:right w:val="nil"/>
            </w:tcBorders>
            <w:shd w:val="clear" w:color="auto" w:fill="auto"/>
            <w:noWrap/>
            <w:vAlign w:val="bottom"/>
            <w:hideMark/>
          </w:tcPr>
          <w:p w14:paraId="6E46796E" w14:textId="77777777" w:rsidR="00242CA1" w:rsidRPr="00242CA1" w:rsidRDefault="00242CA1" w:rsidP="00242CA1">
            <w:pPr>
              <w:spacing w:before="0" w:after="0" w:line="240" w:lineRule="auto"/>
              <w:jc w:val="right"/>
              <w:rPr>
                <w:rFonts w:ascii="Arial" w:hAnsi="Arial" w:cs="Arial"/>
                <w:b/>
                <w:bCs/>
                <w:color w:val="000000"/>
                <w:sz w:val="16"/>
                <w:szCs w:val="16"/>
              </w:rPr>
            </w:pPr>
            <w:r w:rsidRPr="00242CA1">
              <w:rPr>
                <w:rFonts w:ascii="Arial" w:hAnsi="Arial" w:cs="Arial"/>
                <w:b/>
                <w:bCs/>
                <w:color w:val="000000"/>
                <w:sz w:val="16"/>
                <w:szCs w:val="16"/>
              </w:rPr>
              <w:t>1,170,721</w:t>
            </w:r>
          </w:p>
        </w:tc>
      </w:tr>
    </w:tbl>
    <w:p w14:paraId="3CF8424C" w14:textId="6C5DA2EF" w:rsidR="00242CA1" w:rsidRPr="00242CA1" w:rsidRDefault="00242CA1" w:rsidP="00242CA1">
      <w:pPr>
        <w:pStyle w:val="TableHeadingcontinued"/>
        <w:rPr>
          <w:b w:val="0"/>
          <w:sz w:val="16"/>
          <w:szCs w:val="16"/>
        </w:rPr>
      </w:pPr>
      <w:proofErr w:type="spellStart"/>
      <w:r w:rsidRPr="00242CA1">
        <w:rPr>
          <w:b w:val="0"/>
          <w:sz w:val="16"/>
          <w:szCs w:val="16"/>
        </w:rPr>
        <w:t>RoU</w:t>
      </w:r>
      <w:proofErr w:type="spellEnd"/>
      <w:r w:rsidRPr="00242CA1">
        <w:rPr>
          <w:b w:val="0"/>
          <w:sz w:val="16"/>
          <w:szCs w:val="16"/>
        </w:rPr>
        <w:t xml:space="preserve"> = Right-of-Use asset</w:t>
      </w:r>
    </w:p>
    <w:p w14:paraId="064E0EAE" w14:textId="369BF4CD" w:rsidR="00736DD8" w:rsidRPr="00DA5DF5" w:rsidRDefault="00736DD8" w:rsidP="00DA5DF5">
      <w:pPr>
        <w:pStyle w:val="TableHeadingcontinued"/>
        <w:rPr>
          <w:b w:val="0"/>
          <w:bCs/>
          <w:color w:val="0000FF"/>
        </w:rPr>
      </w:pPr>
      <w:r w:rsidRPr="00242CA1">
        <w:br w:type="page"/>
      </w:r>
      <w:bookmarkEnd w:id="336"/>
      <w:bookmarkEnd w:id="367"/>
      <w:bookmarkEnd w:id="368"/>
      <w:bookmarkEnd w:id="369"/>
      <w:r>
        <w:t xml:space="preserve">Table 3.8: </w:t>
      </w:r>
      <w:r w:rsidRPr="007463B7">
        <w:t xml:space="preserve">Schedule of </w:t>
      </w:r>
      <w:r>
        <w:t>b</w:t>
      </w:r>
      <w:r w:rsidRPr="007463B7">
        <w:t xml:space="preserve">udgeted </w:t>
      </w:r>
      <w:r>
        <w:t>i</w:t>
      </w:r>
      <w:r w:rsidRPr="007463B7">
        <w:t xml:space="preserve">ncome and </w:t>
      </w:r>
      <w:r>
        <w:t>e</w:t>
      </w:r>
      <w:r w:rsidRPr="007463B7">
        <w:t xml:space="preserve">xpenses </w:t>
      </w:r>
      <w:r>
        <w:t>a</w:t>
      </w:r>
      <w:r w:rsidRPr="007463B7">
        <w:t xml:space="preserve">dministered on </w:t>
      </w:r>
      <w:r>
        <w:t>b</w:t>
      </w:r>
      <w:r w:rsidRPr="007463B7">
        <w:t>ehalf of</w:t>
      </w:r>
      <w:r>
        <w:t xml:space="preserve"> G</w:t>
      </w:r>
      <w:r w:rsidRPr="007463B7">
        <w:t>overnment (for the period ended 30 June)</w:t>
      </w:r>
      <w:r w:rsidRPr="008D4221">
        <w:rPr>
          <w:b w:val="0"/>
        </w:rPr>
        <w:t xml:space="preserve"> </w:t>
      </w:r>
    </w:p>
    <w:tbl>
      <w:tblPr>
        <w:tblW w:w="8240" w:type="dxa"/>
        <w:jc w:val="center"/>
        <w:tblLayout w:type="fixed"/>
        <w:tblLook w:val="04A0" w:firstRow="1" w:lastRow="0" w:firstColumn="1" w:lastColumn="0" w:noHBand="0" w:noVBand="1"/>
      </w:tblPr>
      <w:tblGrid>
        <w:gridCol w:w="3080"/>
        <w:gridCol w:w="928"/>
        <w:gridCol w:w="1045"/>
        <w:gridCol w:w="1009"/>
        <w:gridCol w:w="1080"/>
        <w:gridCol w:w="1098"/>
      </w:tblGrid>
      <w:tr w:rsidR="00CD7AEC" w:rsidRPr="00CD7AEC" w14:paraId="711B7B7E" w14:textId="77777777" w:rsidTr="00CD7AEC">
        <w:trPr>
          <w:trHeight w:val="737"/>
          <w:jc w:val="center"/>
        </w:trPr>
        <w:tc>
          <w:tcPr>
            <w:tcW w:w="3080" w:type="dxa"/>
            <w:tcBorders>
              <w:top w:val="single" w:sz="4" w:space="0" w:color="auto"/>
              <w:left w:val="nil"/>
              <w:bottom w:val="nil"/>
              <w:right w:val="nil"/>
            </w:tcBorders>
            <w:shd w:val="clear" w:color="auto" w:fill="auto"/>
            <w:hideMark/>
          </w:tcPr>
          <w:p w14:paraId="41D84973" w14:textId="77777777" w:rsidR="00CD7AEC" w:rsidRPr="00CD7AEC" w:rsidRDefault="00CD7AEC" w:rsidP="00CD7AEC">
            <w:pPr>
              <w:spacing w:before="24" w:after="0" w:line="240" w:lineRule="auto"/>
              <w:jc w:val="right"/>
              <w:rPr>
                <w:rFonts w:ascii="Arial" w:hAnsi="Arial" w:cs="Arial"/>
                <w:sz w:val="16"/>
                <w:szCs w:val="16"/>
              </w:rPr>
            </w:pPr>
            <w:r w:rsidRPr="00CD7AEC">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hideMark/>
          </w:tcPr>
          <w:p w14:paraId="2186A6AF" w14:textId="36EBAF96" w:rsidR="00CD7AEC" w:rsidRPr="00CD7AEC" w:rsidRDefault="00394461" w:rsidP="00CD7AEC">
            <w:pPr>
              <w:spacing w:before="24" w:after="0" w:line="240" w:lineRule="auto"/>
              <w:jc w:val="right"/>
              <w:rPr>
                <w:rFonts w:ascii="Arial" w:hAnsi="Arial" w:cs="Arial"/>
                <w:b/>
                <w:bCs/>
                <w:sz w:val="16"/>
                <w:szCs w:val="16"/>
              </w:rPr>
            </w:pPr>
            <w:r>
              <w:rPr>
                <w:rFonts w:ascii="Arial" w:hAnsi="Arial" w:cs="Arial"/>
                <w:b/>
                <w:bCs/>
                <w:sz w:val="16"/>
                <w:szCs w:val="16"/>
              </w:rPr>
              <w:t>2022–</w:t>
            </w:r>
            <w:r w:rsidR="00CD7AEC" w:rsidRPr="00CD7AEC">
              <w:rPr>
                <w:rFonts w:ascii="Arial" w:hAnsi="Arial" w:cs="Arial"/>
                <w:b/>
                <w:bCs/>
                <w:sz w:val="16"/>
                <w:szCs w:val="16"/>
              </w:rPr>
              <w:t>23</w:t>
            </w:r>
            <w:r w:rsidR="00CD7AEC" w:rsidRPr="00CD7AEC">
              <w:rPr>
                <w:rFonts w:ascii="Arial" w:hAnsi="Arial" w:cs="Arial"/>
                <w:b/>
                <w:bCs/>
                <w:sz w:val="16"/>
                <w:szCs w:val="16"/>
              </w:rPr>
              <w:br/>
              <w:t>Actual</w:t>
            </w:r>
            <w:r w:rsidR="00CD7AEC" w:rsidRPr="00CD7AEC">
              <w:rPr>
                <w:rFonts w:ascii="Arial" w:hAnsi="Arial" w:cs="Arial"/>
                <w:b/>
                <w:bCs/>
                <w:sz w:val="16"/>
                <w:szCs w:val="16"/>
              </w:rPr>
              <w:br/>
            </w:r>
            <w:r w:rsidR="00CD7AEC" w:rsidRPr="00CD7AEC">
              <w:rPr>
                <w:rFonts w:ascii="Arial" w:hAnsi="Arial" w:cs="Arial"/>
                <w:b/>
                <w:bCs/>
                <w:sz w:val="16"/>
                <w:szCs w:val="16"/>
              </w:rPr>
              <w:br/>
            </w:r>
            <w:r w:rsidR="00CD7AEC" w:rsidRPr="00CD7AEC">
              <w:rPr>
                <w:rFonts w:ascii="Arial" w:hAnsi="Arial" w:cs="Arial"/>
                <w:sz w:val="16"/>
                <w:szCs w:val="16"/>
              </w:rPr>
              <w:t>$'000</w:t>
            </w:r>
          </w:p>
        </w:tc>
        <w:tc>
          <w:tcPr>
            <w:tcW w:w="1045" w:type="dxa"/>
            <w:tcBorders>
              <w:top w:val="single" w:sz="4" w:space="0" w:color="auto"/>
              <w:left w:val="nil"/>
              <w:bottom w:val="single" w:sz="4" w:space="0" w:color="auto"/>
              <w:right w:val="nil"/>
            </w:tcBorders>
            <w:shd w:val="clear" w:color="000000" w:fill="D9D9D9"/>
            <w:hideMark/>
          </w:tcPr>
          <w:p w14:paraId="45B55340" w14:textId="1754B02E" w:rsidR="00CD7AEC" w:rsidRPr="00CD7AEC" w:rsidRDefault="00394461" w:rsidP="00CD7AEC">
            <w:pPr>
              <w:spacing w:before="24" w:after="0" w:line="240" w:lineRule="auto"/>
              <w:jc w:val="right"/>
              <w:rPr>
                <w:rFonts w:ascii="Arial" w:hAnsi="Arial" w:cs="Arial"/>
                <w:b/>
                <w:bCs/>
                <w:sz w:val="16"/>
                <w:szCs w:val="16"/>
              </w:rPr>
            </w:pPr>
            <w:r>
              <w:rPr>
                <w:rFonts w:ascii="Arial" w:hAnsi="Arial" w:cs="Arial"/>
                <w:b/>
                <w:bCs/>
                <w:sz w:val="16"/>
                <w:szCs w:val="16"/>
              </w:rPr>
              <w:t>2023–</w:t>
            </w:r>
            <w:r w:rsidR="00CD7AEC" w:rsidRPr="00CD7AEC">
              <w:rPr>
                <w:rFonts w:ascii="Arial" w:hAnsi="Arial" w:cs="Arial"/>
                <w:b/>
                <w:bCs/>
                <w:sz w:val="16"/>
                <w:szCs w:val="16"/>
              </w:rPr>
              <w:t>24</w:t>
            </w:r>
            <w:r w:rsidR="00CD7AEC" w:rsidRPr="00CD7AEC">
              <w:rPr>
                <w:rFonts w:ascii="Arial" w:hAnsi="Arial" w:cs="Arial"/>
                <w:b/>
                <w:bCs/>
                <w:sz w:val="16"/>
                <w:szCs w:val="16"/>
              </w:rPr>
              <w:br/>
              <w:t xml:space="preserve">Revised Budget </w:t>
            </w:r>
            <w:r w:rsidR="00CD7AEC" w:rsidRPr="00CD7AEC">
              <w:rPr>
                <w:rFonts w:ascii="Arial" w:hAnsi="Arial" w:cs="Arial"/>
                <w:sz w:val="16"/>
                <w:szCs w:val="16"/>
              </w:rPr>
              <w:t xml:space="preserve"> </w:t>
            </w:r>
            <w:r w:rsidR="00CD7AEC" w:rsidRPr="00CD7AEC">
              <w:rPr>
                <w:rFonts w:ascii="Arial" w:hAnsi="Arial" w:cs="Arial"/>
                <w:sz w:val="16"/>
                <w:szCs w:val="16"/>
              </w:rPr>
              <w:br/>
              <w:t>$'000</w:t>
            </w:r>
          </w:p>
        </w:tc>
        <w:tc>
          <w:tcPr>
            <w:tcW w:w="1009" w:type="dxa"/>
            <w:tcBorders>
              <w:top w:val="single" w:sz="4" w:space="0" w:color="auto"/>
              <w:left w:val="nil"/>
              <w:bottom w:val="single" w:sz="4" w:space="0" w:color="auto"/>
              <w:right w:val="nil"/>
            </w:tcBorders>
            <w:shd w:val="clear" w:color="auto" w:fill="auto"/>
            <w:hideMark/>
          </w:tcPr>
          <w:p w14:paraId="5847A99F" w14:textId="2CB225CA" w:rsidR="00CD7AEC" w:rsidRPr="00CD7AEC" w:rsidRDefault="00394461" w:rsidP="00CD7AEC">
            <w:pPr>
              <w:spacing w:before="24" w:after="0" w:line="240" w:lineRule="auto"/>
              <w:jc w:val="right"/>
              <w:rPr>
                <w:rFonts w:ascii="Arial" w:hAnsi="Arial" w:cs="Arial"/>
                <w:b/>
                <w:bCs/>
                <w:sz w:val="16"/>
                <w:szCs w:val="16"/>
              </w:rPr>
            </w:pPr>
            <w:r>
              <w:rPr>
                <w:rFonts w:ascii="Arial" w:hAnsi="Arial" w:cs="Arial"/>
                <w:b/>
                <w:bCs/>
                <w:sz w:val="16"/>
                <w:szCs w:val="16"/>
              </w:rPr>
              <w:t>2024–</w:t>
            </w:r>
            <w:r w:rsidR="00CD7AEC" w:rsidRPr="00CD7AEC">
              <w:rPr>
                <w:rFonts w:ascii="Arial" w:hAnsi="Arial" w:cs="Arial"/>
                <w:b/>
                <w:bCs/>
                <w:sz w:val="16"/>
                <w:szCs w:val="16"/>
              </w:rPr>
              <w:t>25</w:t>
            </w:r>
            <w:r w:rsidR="00CD7AEC" w:rsidRPr="00CD7AEC">
              <w:rPr>
                <w:rFonts w:ascii="Arial" w:hAnsi="Arial" w:cs="Arial"/>
                <w:b/>
                <w:bCs/>
                <w:sz w:val="16"/>
                <w:szCs w:val="16"/>
              </w:rPr>
              <w:br/>
              <w:t xml:space="preserve">Forward </w:t>
            </w:r>
            <w:r w:rsidR="00CD7AEC" w:rsidRPr="00CD7AEC">
              <w:rPr>
                <w:rFonts w:ascii="Arial" w:hAnsi="Arial" w:cs="Arial"/>
                <w:b/>
                <w:bCs/>
                <w:sz w:val="16"/>
                <w:szCs w:val="16"/>
              </w:rPr>
              <w:br/>
              <w:t xml:space="preserve">Estimate </w:t>
            </w:r>
            <w:r w:rsidR="00CD7AEC" w:rsidRPr="00CD7AEC">
              <w:rPr>
                <w:rFonts w:ascii="Arial" w:hAnsi="Arial" w:cs="Arial"/>
                <w:b/>
                <w:bCs/>
                <w:sz w:val="16"/>
                <w:szCs w:val="16"/>
              </w:rPr>
              <w:br/>
            </w:r>
            <w:r w:rsidR="00CD7AEC" w:rsidRPr="00CD7AEC">
              <w:rPr>
                <w:rFonts w:ascii="Arial" w:hAnsi="Arial" w:cs="Arial"/>
                <w:sz w:val="16"/>
                <w:szCs w:val="16"/>
              </w:rPr>
              <w:t>$'000</w:t>
            </w:r>
          </w:p>
        </w:tc>
        <w:tc>
          <w:tcPr>
            <w:tcW w:w="1080" w:type="dxa"/>
            <w:tcBorders>
              <w:top w:val="single" w:sz="4" w:space="0" w:color="auto"/>
              <w:left w:val="nil"/>
              <w:bottom w:val="single" w:sz="4" w:space="0" w:color="auto"/>
              <w:right w:val="nil"/>
            </w:tcBorders>
            <w:shd w:val="clear" w:color="auto" w:fill="auto"/>
            <w:hideMark/>
          </w:tcPr>
          <w:p w14:paraId="50431DC4" w14:textId="10FE2136" w:rsidR="00CD7AEC" w:rsidRPr="00CD7AEC" w:rsidRDefault="00394461" w:rsidP="00CD7AEC">
            <w:pPr>
              <w:spacing w:before="24" w:after="0" w:line="240" w:lineRule="auto"/>
              <w:jc w:val="right"/>
              <w:rPr>
                <w:rFonts w:ascii="Arial" w:hAnsi="Arial" w:cs="Arial"/>
                <w:b/>
                <w:bCs/>
                <w:sz w:val="16"/>
                <w:szCs w:val="16"/>
              </w:rPr>
            </w:pPr>
            <w:r>
              <w:rPr>
                <w:rFonts w:ascii="Arial" w:hAnsi="Arial" w:cs="Arial"/>
                <w:b/>
                <w:bCs/>
                <w:sz w:val="16"/>
                <w:szCs w:val="16"/>
              </w:rPr>
              <w:t>2025–</w:t>
            </w:r>
            <w:r w:rsidR="00CD7AEC" w:rsidRPr="00CD7AEC">
              <w:rPr>
                <w:rFonts w:ascii="Arial" w:hAnsi="Arial" w:cs="Arial"/>
                <w:b/>
                <w:bCs/>
                <w:sz w:val="16"/>
                <w:szCs w:val="16"/>
              </w:rPr>
              <w:t>26</w:t>
            </w:r>
            <w:r w:rsidR="00CD7AEC" w:rsidRPr="00CD7AEC">
              <w:rPr>
                <w:rFonts w:ascii="Arial" w:hAnsi="Arial" w:cs="Arial"/>
                <w:b/>
                <w:bCs/>
                <w:sz w:val="16"/>
                <w:szCs w:val="16"/>
              </w:rPr>
              <w:br/>
              <w:t xml:space="preserve">Forward </w:t>
            </w:r>
            <w:r w:rsidR="00CD7AEC" w:rsidRPr="00CD7AEC">
              <w:rPr>
                <w:rFonts w:ascii="Arial" w:hAnsi="Arial" w:cs="Arial"/>
                <w:b/>
                <w:bCs/>
                <w:sz w:val="16"/>
                <w:szCs w:val="16"/>
              </w:rPr>
              <w:br/>
              <w:t xml:space="preserve">Estimate </w:t>
            </w:r>
            <w:r w:rsidR="00CD7AEC" w:rsidRPr="00CD7AEC">
              <w:rPr>
                <w:rFonts w:ascii="Arial" w:hAnsi="Arial" w:cs="Arial"/>
                <w:b/>
                <w:bCs/>
                <w:sz w:val="16"/>
                <w:szCs w:val="16"/>
              </w:rPr>
              <w:br/>
            </w:r>
            <w:r w:rsidR="00CD7AEC" w:rsidRPr="00CD7AEC">
              <w:rPr>
                <w:rFonts w:ascii="Arial" w:hAnsi="Arial" w:cs="Arial"/>
                <w:sz w:val="16"/>
                <w:szCs w:val="16"/>
              </w:rPr>
              <w:t>$'000</w:t>
            </w:r>
          </w:p>
        </w:tc>
        <w:tc>
          <w:tcPr>
            <w:tcW w:w="1098" w:type="dxa"/>
            <w:tcBorders>
              <w:top w:val="single" w:sz="4" w:space="0" w:color="auto"/>
              <w:left w:val="nil"/>
              <w:bottom w:val="single" w:sz="4" w:space="0" w:color="auto"/>
              <w:right w:val="nil"/>
            </w:tcBorders>
            <w:shd w:val="clear" w:color="auto" w:fill="auto"/>
            <w:hideMark/>
          </w:tcPr>
          <w:p w14:paraId="39D9BC59" w14:textId="3B18E094" w:rsidR="00CD7AEC" w:rsidRPr="00CD7AEC" w:rsidRDefault="00394461" w:rsidP="00CD7AEC">
            <w:pPr>
              <w:spacing w:before="24" w:after="0" w:line="240" w:lineRule="auto"/>
              <w:jc w:val="right"/>
              <w:rPr>
                <w:rFonts w:ascii="Arial" w:hAnsi="Arial" w:cs="Arial"/>
                <w:b/>
                <w:bCs/>
                <w:sz w:val="16"/>
                <w:szCs w:val="16"/>
              </w:rPr>
            </w:pPr>
            <w:r>
              <w:rPr>
                <w:rFonts w:ascii="Arial" w:hAnsi="Arial" w:cs="Arial"/>
                <w:b/>
                <w:bCs/>
                <w:sz w:val="16"/>
                <w:szCs w:val="16"/>
              </w:rPr>
              <w:t>2026–</w:t>
            </w:r>
            <w:r w:rsidR="00CD7AEC" w:rsidRPr="00CD7AEC">
              <w:rPr>
                <w:rFonts w:ascii="Arial" w:hAnsi="Arial" w:cs="Arial"/>
                <w:b/>
                <w:bCs/>
                <w:sz w:val="16"/>
                <w:szCs w:val="16"/>
              </w:rPr>
              <w:t>27</w:t>
            </w:r>
            <w:r w:rsidR="00CD7AEC" w:rsidRPr="00CD7AEC">
              <w:rPr>
                <w:rFonts w:ascii="Arial" w:hAnsi="Arial" w:cs="Arial"/>
                <w:b/>
                <w:bCs/>
                <w:sz w:val="16"/>
                <w:szCs w:val="16"/>
              </w:rPr>
              <w:br/>
              <w:t xml:space="preserve">Forward </w:t>
            </w:r>
            <w:r w:rsidR="00CD7AEC" w:rsidRPr="00CD7AEC">
              <w:rPr>
                <w:rFonts w:ascii="Arial" w:hAnsi="Arial" w:cs="Arial"/>
                <w:b/>
                <w:bCs/>
                <w:sz w:val="16"/>
                <w:szCs w:val="16"/>
              </w:rPr>
              <w:br/>
              <w:t xml:space="preserve">Estimate </w:t>
            </w:r>
            <w:r w:rsidR="00CD7AEC" w:rsidRPr="00CD7AEC">
              <w:rPr>
                <w:rFonts w:ascii="Arial" w:hAnsi="Arial" w:cs="Arial"/>
                <w:b/>
                <w:bCs/>
                <w:sz w:val="16"/>
                <w:szCs w:val="16"/>
              </w:rPr>
              <w:br/>
            </w:r>
            <w:r w:rsidR="00CD7AEC" w:rsidRPr="00CD7AEC">
              <w:rPr>
                <w:rFonts w:ascii="Arial" w:hAnsi="Arial" w:cs="Arial"/>
                <w:sz w:val="16"/>
                <w:szCs w:val="16"/>
              </w:rPr>
              <w:t>$'000</w:t>
            </w:r>
          </w:p>
        </w:tc>
      </w:tr>
      <w:tr w:rsidR="00CD7AEC" w:rsidRPr="00CD7AEC" w14:paraId="6361DF5A" w14:textId="77777777" w:rsidTr="00CD7AEC">
        <w:trPr>
          <w:trHeight w:val="454"/>
          <w:jc w:val="center"/>
        </w:trPr>
        <w:tc>
          <w:tcPr>
            <w:tcW w:w="3080" w:type="dxa"/>
            <w:tcBorders>
              <w:top w:val="nil"/>
              <w:left w:val="nil"/>
              <w:bottom w:val="nil"/>
              <w:right w:val="nil"/>
            </w:tcBorders>
            <w:shd w:val="clear" w:color="auto" w:fill="auto"/>
            <w:vAlign w:val="bottom"/>
            <w:hideMark/>
          </w:tcPr>
          <w:p w14:paraId="465D96D2" w14:textId="77777777" w:rsidR="00CD7AEC" w:rsidRPr="00CD7AEC" w:rsidRDefault="00CD7AEC" w:rsidP="00CD7AEC">
            <w:pPr>
              <w:spacing w:before="0" w:after="0" w:line="240" w:lineRule="auto"/>
              <w:rPr>
                <w:rFonts w:ascii="Arial" w:hAnsi="Arial" w:cs="Arial"/>
                <w:b/>
                <w:bCs/>
                <w:sz w:val="16"/>
                <w:szCs w:val="16"/>
              </w:rPr>
            </w:pPr>
            <w:r w:rsidRPr="00CD7AEC">
              <w:rPr>
                <w:rFonts w:ascii="Arial" w:hAnsi="Arial" w:cs="Arial"/>
                <w:b/>
                <w:bCs/>
                <w:sz w:val="16"/>
                <w:szCs w:val="16"/>
              </w:rPr>
              <w:t>EXPENSES ADMINISTERED ON BEHALF OF GOVERNMENT</w:t>
            </w:r>
          </w:p>
        </w:tc>
        <w:tc>
          <w:tcPr>
            <w:tcW w:w="928" w:type="dxa"/>
            <w:tcBorders>
              <w:top w:val="nil"/>
              <w:left w:val="nil"/>
              <w:bottom w:val="nil"/>
              <w:right w:val="nil"/>
            </w:tcBorders>
            <w:shd w:val="clear" w:color="auto" w:fill="auto"/>
            <w:noWrap/>
            <w:vAlign w:val="bottom"/>
            <w:hideMark/>
          </w:tcPr>
          <w:p w14:paraId="0F6FCE7C" w14:textId="77777777" w:rsidR="00CD7AEC" w:rsidRPr="00CD7AEC" w:rsidRDefault="00CD7AEC" w:rsidP="00CD7AEC">
            <w:pPr>
              <w:spacing w:before="0" w:after="0" w:line="240" w:lineRule="auto"/>
              <w:rPr>
                <w:rFonts w:ascii="Arial" w:hAnsi="Arial" w:cs="Arial"/>
                <w:b/>
                <w:bCs/>
                <w:sz w:val="16"/>
                <w:szCs w:val="16"/>
              </w:rPr>
            </w:pPr>
          </w:p>
        </w:tc>
        <w:tc>
          <w:tcPr>
            <w:tcW w:w="1045" w:type="dxa"/>
            <w:tcBorders>
              <w:top w:val="nil"/>
              <w:left w:val="nil"/>
              <w:bottom w:val="nil"/>
              <w:right w:val="nil"/>
            </w:tcBorders>
            <w:shd w:val="clear" w:color="000000" w:fill="D9D9D9"/>
            <w:noWrap/>
            <w:vAlign w:val="bottom"/>
            <w:hideMark/>
          </w:tcPr>
          <w:p w14:paraId="4F51168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 </w:t>
            </w:r>
          </w:p>
        </w:tc>
        <w:tc>
          <w:tcPr>
            <w:tcW w:w="1009" w:type="dxa"/>
            <w:tcBorders>
              <w:top w:val="nil"/>
              <w:left w:val="nil"/>
              <w:bottom w:val="nil"/>
              <w:right w:val="nil"/>
            </w:tcBorders>
            <w:shd w:val="clear" w:color="auto" w:fill="auto"/>
            <w:noWrap/>
            <w:vAlign w:val="bottom"/>
            <w:hideMark/>
          </w:tcPr>
          <w:p w14:paraId="74D93A30" w14:textId="77777777" w:rsidR="00CD7AEC" w:rsidRPr="00CD7AEC" w:rsidRDefault="00CD7AEC" w:rsidP="00CD7AEC">
            <w:pPr>
              <w:spacing w:before="0" w:after="0" w:line="240" w:lineRule="auto"/>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4C9A2FC9"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noWrap/>
            <w:vAlign w:val="bottom"/>
            <w:hideMark/>
          </w:tcPr>
          <w:p w14:paraId="5227FEAC"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66DCBD3C"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3CC27BDA"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0C163337"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2,980,680</w:t>
            </w:r>
          </w:p>
        </w:tc>
        <w:tc>
          <w:tcPr>
            <w:tcW w:w="1045" w:type="dxa"/>
            <w:tcBorders>
              <w:top w:val="nil"/>
              <w:left w:val="nil"/>
              <w:bottom w:val="nil"/>
              <w:right w:val="nil"/>
            </w:tcBorders>
            <w:shd w:val="clear" w:color="000000" w:fill="D9D9D9"/>
            <w:noWrap/>
            <w:vAlign w:val="bottom"/>
            <w:hideMark/>
          </w:tcPr>
          <w:p w14:paraId="4AB7705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3,339,975</w:t>
            </w:r>
          </w:p>
        </w:tc>
        <w:tc>
          <w:tcPr>
            <w:tcW w:w="1009" w:type="dxa"/>
            <w:tcBorders>
              <w:top w:val="nil"/>
              <w:left w:val="nil"/>
              <w:bottom w:val="nil"/>
              <w:right w:val="nil"/>
            </w:tcBorders>
            <w:shd w:val="clear" w:color="auto" w:fill="auto"/>
            <w:noWrap/>
            <w:vAlign w:val="bottom"/>
            <w:hideMark/>
          </w:tcPr>
          <w:p w14:paraId="7A5E8024"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2,195,528</w:t>
            </w:r>
          </w:p>
        </w:tc>
        <w:tc>
          <w:tcPr>
            <w:tcW w:w="1080" w:type="dxa"/>
            <w:tcBorders>
              <w:top w:val="nil"/>
              <w:left w:val="nil"/>
              <w:bottom w:val="nil"/>
              <w:right w:val="nil"/>
            </w:tcBorders>
            <w:shd w:val="clear" w:color="auto" w:fill="auto"/>
            <w:noWrap/>
            <w:vAlign w:val="bottom"/>
            <w:hideMark/>
          </w:tcPr>
          <w:p w14:paraId="1666D58C"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2,106,513</w:t>
            </w:r>
          </w:p>
        </w:tc>
        <w:tc>
          <w:tcPr>
            <w:tcW w:w="1098" w:type="dxa"/>
            <w:tcBorders>
              <w:top w:val="nil"/>
              <w:left w:val="nil"/>
              <w:bottom w:val="nil"/>
              <w:right w:val="nil"/>
            </w:tcBorders>
            <w:shd w:val="clear" w:color="auto" w:fill="auto"/>
            <w:noWrap/>
            <w:vAlign w:val="bottom"/>
            <w:hideMark/>
          </w:tcPr>
          <w:p w14:paraId="021B281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2,075,864</w:t>
            </w:r>
          </w:p>
        </w:tc>
      </w:tr>
      <w:tr w:rsidR="00CD7AEC" w:rsidRPr="00CD7AEC" w14:paraId="7D8ED91C"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3D549552"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Subsidies</w:t>
            </w:r>
          </w:p>
        </w:tc>
        <w:tc>
          <w:tcPr>
            <w:tcW w:w="928" w:type="dxa"/>
            <w:tcBorders>
              <w:top w:val="nil"/>
              <w:left w:val="nil"/>
              <w:bottom w:val="nil"/>
              <w:right w:val="nil"/>
            </w:tcBorders>
            <w:shd w:val="clear" w:color="auto" w:fill="auto"/>
            <w:noWrap/>
            <w:tcMar>
              <w:left w:w="0" w:type="dxa"/>
            </w:tcMar>
            <w:vAlign w:val="bottom"/>
            <w:hideMark/>
          </w:tcPr>
          <w:p w14:paraId="70F1323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16,246,880</w:t>
            </w:r>
          </w:p>
        </w:tc>
        <w:tc>
          <w:tcPr>
            <w:tcW w:w="1045" w:type="dxa"/>
            <w:tcBorders>
              <w:top w:val="nil"/>
              <w:left w:val="nil"/>
              <w:bottom w:val="nil"/>
              <w:right w:val="nil"/>
            </w:tcBorders>
            <w:shd w:val="clear" w:color="000000" w:fill="D9D9D9"/>
            <w:noWrap/>
            <w:vAlign w:val="bottom"/>
            <w:hideMark/>
          </w:tcPr>
          <w:p w14:paraId="701F85F9"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21,258,922</w:t>
            </w:r>
          </w:p>
        </w:tc>
        <w:tc>
          <w:tcPr>
            <w:tcW w:w="1009" w:type="dxa"/>
            <w:tcBorders>
              <w:top w:val="nil"/>
              <w:left w:val="nil"/>
              <w:bottom w:val="nil"/>
              <w:right w:val="nil"/>
            </w:tcBorders>
            <w:shd w:val="clear" w:color="auto" w:fill="auto"/>
            <w:noWrap/>
            <w:tcMar>
              <w:left w:w="0" w:type="dxa"/>
            </w:tcMar>
            <w:vAlign w:val="bottom"/>
            <w:hideMark/>
          </w:tcPr>
          <w:p w14:paraId="04638B2F"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24,068,293</w:t>
            </w:r>
          </w:p>
        </w:tc>
        <w:tc>
          <w:tcPr>
            <w:tcW w:w="1080" w:type="dxa"/>
            <w:tcBorders>
              <w:top w:val="nil"/>
              <w:left w:val="nil"/>
              <w:bottom w:val="nil"/>
              <w:right w:val="nil"/>
            </w:tcBorders>
            <w:shd w:val="clear" w:color="auto" w:fill="auto"/>
            <w:noWrap/>
            <w:vAlign w:val="bottom"/>
            <w:hideMark/>
          </w:tcPr>
          <w:p w14:paraId="79DF48F0"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25,759,787</w:t>
            </w:r>
          </w:p>
        </w:tc>
        <w:tc>
          <w:tcPr>
            <w:tcW w:w="1098" w:type="dxa"/>
            <w:tcBorders>
              <w:top w:val="nil"/>
              <w:left w:val="nil"/>
              <w:bottom w:val="nil"/>
              <w:right w:val="nil"/>
            </w:tcBorders>
            <w:shd w:val="clear" w:color="auto" w:fill="auto"/>
            <w:noWrap/>
            <w:vAlign w:val="bottom"/>
            <w:hideMark/>
          </w:tcPr>
          <w:p w14:paraId="05FE083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27,284,914</w:t>
            </w:r>
          </w:p>
        </w:tc>
      </w:tr>
      <w:tr w:rsidR="00CD7AEC" w:rsidRPr="00CD7AEC" w14:paraId="6BD48A04"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6C2BF5EA"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Personal benefits</w:t>
            </w:r>
          </w:p>
        </w:tc>
        <w:tc>
          <w:tcPr>
            <w:tcW w:w="928" w:type="dxa"/>
            <w:tcBorders>
              <w:top w:val="nil"/>
              <w:left w:val="nil"/>
              <w:bottom w:val="nil"/>
              <w:right w:val="nil"/>
            </w:tcBorders>
            <w:shd w:val="clear" w:color="auto" w:fill="auto"/>
            <w:noWrap/>
            <w:tcMar>
              <w:left w:w="0" w:type="dxa"/>
            </w:tcMar>
            <w:vAlign w:val="bottom"/>
            <w:hideMark/>
          </w:tcPr>
          <w:p w14:paraId="6D85FDD4"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59,263,843</w:t>
            </w:r>
          </w:p>
        </w:tc>
        <w:tc>
          <w:tcPr>
            <w:tcW w:w="1045" w:type="dxa"/>
            <w:tcBorders>
              <w:top w:val="nil"/>
              <w:left w:val="nil"/>
              <w:bottom w:val="nil"/>
              <w:right w:val="nil"/>
            </w:tcBorders>
            <w:shd w:val="clear" w:color="000000" w:fill="D9D9D9"/>
            <w:noWrap/>
            <w:vAlign w:val="bottom"/>
            <w:hideMark/>
          </w:tcPr>
          <w:p w14:paraId="4867968A"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63,983,425</w:t>
            </w:r>
          </w:p>
        </w:tc>
        <w:tc>
          <w:tcPr>
            <w:tcW w:w="1009" w:type="dxa"/>
            <w:tcBorders>
              <w:top w:val="nil"/>
              <w:left w:val="nil"/>
              <w:bottom w:val="nil"/>
              <w:right w:val="nil"/>
            </w:tcBorders>
            <w:shd w:val="clear" w:color="auto" w:fill="auto"/>
            <w:noWrap/>
            <w:tcMar>
              <w:left w:w="0" w:type="dxa"/>
            </w:tcMar>
            <w:vAlign w:val="bottom"/>
            <w:hideMark/>
          </w:tcPr>
          <w:p w14:paraId="490714F5"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65,940,101</w:t>
            </w:r>
          </w:p>
        </w:tc>
        <w:tc>
          <w:tcPr>
            <w:tcW w:w="1080" w:type="dxa"/>
            <w:tcBorders>
              <w:top w:val="nil"/>
              <w:left w:val="nil"/>
              <w:bottom w:val="nil"/>
              <w:right w:val="nil"/>
            </w:tcBorders>
            <w:shd w:val="clear" w:color="auto" w:fill="auto"/>
            <w:noWrap/>
            <w:vAlign w:val="bottom"/>
            <w:hideMark/>
          </w:tcPr>
          <w:p w14:paraId="2FBBD944"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68,635,254</w:t>
            </w:r>
          </w:p>
        </w:tc>
        <w:tc>
          <w:tcPr>
            <w:tcW w:w="1098" w:type="dxa"/>
            <w:tcBorders>
              <w:top w:val="nil"/>
              <w:left w:val="nil"/>
              <w:bottom w:val="nil"/>
              <w:right w:val="nil"/>
            </w:tcBorders>
            <w:shd w:val="clear" w:color="auto" w:fill="auto"/>
            <w:noWrap/>
            <w:vAlign w:val="bottom"/>
            <w:hideMark/>
          </w:tcPr>
          <w:p w14:paraId="548ACC82"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70,848,030</w:t>
            </w:r>
          </w:p>
        </w:tc>
      </w:tr>
      <w:tr w:rsidR="00CD7AEC" w:rsidRPr="00CD7AEC" w14:paraId="752A453F"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53BF9FC8"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Grants</w:t>
            </w:r>
          </w:p>
        </w:tc>
        <w:tc>
          <w:tcPr>
            <w:tcW w:w="928" w:type="dxa"/>
            <w:tcBorders>
              <w:top w:val="nil"/>
              <w:left w:val="nil"/>
              <w:bottom w:val="nil"/>
              <w:right w:val="nil"/>
            </w:tcBorders>
            <w:shd w:val="clear" w:color="auto" w:fill="auto"/>
            <w:noWrap/>
            <w:tcMar>
              <w:left w:w="0" w:type="dxa"/>
            </w:tcMar>
            <w:vAlign w:val="bottom"/>
            <w:hideMark/>
          </w:tcPr>
          <w:p w14:paraId="79619DE2"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12,751,415</w:t>
            </w:r>
          </w:p>
        </w:tc>
        <w:tc>
          <w:tcPr>
            <w:tcW w:w="1045" w:type="dxa"/>
            <w:tcBorders>
              <w:top w:val="nil"/>
              <w:left w:val="nil"/>
              <w:bottom w:val="nil"/>
              <w:right w:val="nil"/>
            </w:tcBorders>
            <w:shd w:val="clear" w:color="000000" w:fill="D9D9D9"/>
            <w:noWrap/>
            <w:vAlign w:val="bottom"/>
            <w:hideMark/>
          </w:tcPr>
          <w:p w14:paraId="30F2EC5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14,563,708</w:t>
            </w:r>
          </w:p>
        </w:tc>
        <w:tc>
          <w:tcPr>
            <w:tcW w:w="1009" w:type="dxa"/>
            <w:tcBorders>
              <w:top w:val="nil"/>
              <w:left w:val="nil"/>
              <w:bottom w:val="nil"/>
              <w:right w:val="nil"/>
            </w:tcBorders>
            <w:shd w:val="clear" w:color="auto" w:fill="auto"/>
            <w:noWrap/>
            <w:tcMar>
              <w:left w:w="0" w:type="dxa"/>
            </w:tcMar>
            <w:vAlign w:val="bottom"/>
            <w:hideMark/>
          </w:tcPr>
          <w:p w14:paraId="7261047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13,398,794</w:t>
            </w:r>
          </w:p>
        </w:tc>
        <w:tc>
          <w:tcPr>
            <w:tcW w:w="1080" w:type="dxa"/>
            <w:tcBorders>
              <w:top w:val="nil"/>
              <w:left w:val="nil"/>
              <w:bottom w:val="nil"/>
              <w:right w:val="nil"/>
            </w:tcBorders>
            <w:shd w:val="clear" w:color="auto" w:fill="auto"/>
            <w:noWrap/>
            <w:vAlign w:val="bottom"/>
            <w:hideMark/>
          </w:tcPr>
          <w:p w14:paraId="0EF63589"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13,388,268</w:t>
            </w:r>
          </w:p>
        </w:tc>
        <w:tc>
          <w:tcPr>
            <w:tcW w:w="1098" w:type="dxa"/>
            <w:tcBorders>
              <w:top w:val="nil"/>
              <w:left w:val="nil"/>
              <w:bottom w:val="nil"/>
              <w:right w:val="nil"/>
            </w:tcBorders>
            <w:shd w:val="clear" w:color="auto" w:fill="auto"/>
            <w:noWrap/>
            <w:vAlign w:val="bottom"/>
            <w:hideMark/>
          </w:tcPr>
          <w:p w14:paraId="167081A5"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13,440,785</w:t>
            </w:r>
          </w:p>
        </w:tc>
      </w:tr>
      <w:tr w:rsidR="00CD7AEC" w:rsidRPr="00CD7AEC" w14:paraId="72F91BF7" w14:textId="77777777" w:rsidTr="00CD7AEC">
        <w:trPr>
          <w:trHeight w:val="225"/>
          <w:jc w:val="center"/>
        </w:trPr>
        <w:tc>
          <w:tcPr>
            <w:tcW w:w="3080" w:type="dxa"/>
            <w:tcBorders>
              <w:top w:val="nil"/>
              <w:left w:val="nil"/>
              <w:bottom w:val="nil"/>
              <w:right w:val="nil"/>
            </w:tcBorders>
            <w:shd w:val="clear" w:color="auto" w:fill="auto"/>
            <w:vAlign w:val="bottom"/>
            <w:hideMark/>
          </w:tcPr>
          <w:p w14:paraId="71AF6577"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14:paraId="70D46F8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1,277,562</w:t>
            </w:r>
          </w:p>
        </w:tc>
        <w:tc>
          <w:tcPr>
            <w:tcW w:w="1045" w:type="dxa"/>
            <w:tcBorders>
              <w:top w:val="nil"/>
              <w:left w:val="nil"/>
              <w:bottom w:val="nil"/>
              <w:right w:val="nil"/>
            </w:tcBorders>
            <w:shd w:val="clear" w:color="000000" w:fill="D9D9D9"/>
            <w:noWrap/>
            <w:vAlign w:val="bottom"/>
            <w:hideMark/>
          </w:tcPr>
          <w:p w14:paraId="20C689A6"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730,589</w:t>
            </w:r>
          </w:p>
        </w:tc>
        <w:tc>
          <w:tcPr>
            <w:tcW w:w="1009" w:type="dxa"/>
            <w:tcBorders>
              <w:top w:val="nil"/>
              <w:left w:val="nil"/>
              <w:bottom w:val="nil"/>
              <w:right w:val="nil"/>
            </w:tcBorders>
            <w:shd w:val="clear" w:color="auto" w:fill="auto"/>
            <w:noWrap/>
            <w:vAlign w:val="bottom"/>
            <w:hideMark/>
          </w:tcPr>
          <w:p w14:paraId="7B9B5A6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16,529</w:t>
            </w:r>
          </w:p>
        </w:tc>
        <w:tc>
          <w:tcPr>
            <w:tcW w:w="1080" w:type="dxa"/>
            <w:tcBorders>
              <w:top w:val="nil"/>
              <w:left w:val="nil"/>
              <w:bottom w:val="nil"/>
              <w:right w:val="nil"/>
            </w:tcBorders>
            <w:shd w:val="clear" w:color="auto" w:fill="auto"/>
            <w:noWrap/>
            <w:vAlign w:val="bottom"/>
            <w:hideMark/>
          </w:tcPr>
          <w:p w14:paraId="11E8FF7C"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16,529</w:t>
            </w:r>
          </w:p>
        </w:tc>
        <w:tc>
          <w:tcPr>
            <w:tcW w:w="1098" w:type="dxa"/>
            <w:tcBorders>
              <w:top w:val="nil"/>
              <w:left w:val="nil"/>
              <w:bottom w:val="nil"/>
              <w:right w:val="nil"/>
            </w:tcBorders>
            <w:shd w:val="clear" w:color="auto" w:fill="auto"/>
            <w:noWrap/>
            <w:vAlign w:val="bottom"/>
            <w:hideMark/>
          </w:tcPr>
          <w:p w14:paraId="329E0380"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16,529</w:t>
            </w:r>
          </w:p>
        </w:tc>
      </w:tr>
      <w:tr w:rsidR="00CD7AEC" w:rsidRPr="00CD7AEC" w14:paraId="5A3075FC" w14:textId="77777777" w:rsidTr="00CD7AEC">
        <w:trPr>
          <w:trHeight w:val="225"/>
          <w:jc w:val="center"/>
        </w:trPr>
        <w:tc>
          <w:tcPr>
            <w:tcW w:w="3080" w:type="dxa"/>
            <w:tcBorders>
              <w:top w:val="nil"/>
              <w:left w:val="nil"/>
              <w:bottom w:val="nil"/>
              <w:right w:val="nil"/>
            </w:tcBorders>
            <w:shd w:val="clear" w:color="000000" w:fill="FFFFFF"/>
            <w:vAlign w:val="center"/>
            <w:hideMark/>
          </w:tcPr>
          <w:p w14:paraId="59B2C419"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Corporate Commonwealth entities</w:t>
            </w:r>
          </w:p>
        </w:tc>
        <w:tc>
          <w:tcPr>
            <w:tcW w:w="928" w:type="dxa"/>
            <w:tcBorders>
              <w:top w:val="nil"/>
              <w:left w:val="nil"/>
              <w:bottom w:val="nil"/>
              <w:right w:val="nil"/>
            </w:tcBorders>
            <w:shd w:val="clear" w:color="auto" w:fill="auto"/>
            <w:noWrap/>
            <w:vAlign w:val="bottom"/>
            <w:hideMark/>
          </w:tcPr>
          <w:p w14:paraId="3A19C62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601,516</w:t>
            </w:r>
          </w:p>
        </w:tc>
        <w:tc>
          <w:tcPr>
            <w:tcW w:w="1045" w:type="dxa"/>
            <w:tcBorders>
              <w:top w:val="nil"/>
              <w:left w:val="nil"/>
              <w:bottom w:val="nil"/>
              <w:right w:val="nil"/>
            </w:tcBorders>
            <w:shd w:val="clear" w:color="000000" w:fill="D9D9D9"/>
            <w:noWrap/>
            <w:vAlign w:val="bottom"/>
            <w:hideMark/>
          </w:tcPr>
          <w:p w14:paraId="09D4970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665,326</w:t>
            </w:r>
          </w:p>
        </w:tc>
        <w:tc>
          <w:tcPr>
            <w:tcW w:w="1009" w:type="dxa"/>
            <w:tcBorders>
              <w:top w:val="nil"/>
              <w:left w:val="nil"/>
              <w:bottom w:val="nil"/>
              <w:right w:val="nil"/>
            </w:tcBorders>
            <w:shd w:val="clear" w:color="auto" w:fill="auto"/>
            <w:noWrap/>
            <w:vAlign w:val="bottom"/>
            <w:hideMark/>
          </w:tcPr>
          <w:p w14:paraId="3BB3740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599,011</w:t>
            </w:r>
          </w:p>
        </w:tc>
        <w:tc>
          <w:tcPr>
            <w:tcW w:w="1080" w:type="dxa"/>
            <w:tcBorders>
              <w:top w:val="nil"/>
              <w:left w:val="nil"/>
              <w:bottom w:val="nil"/>
              <w:right w:val="nil"/>
            </w:tcBorders>
            <w:shd w:val="clear" w:color="auto" w:fill="auto"/>
            <w:noWrap/>
            <w:vAlign w:val="bottom"/>
            <w:hideMark/>
          </w:tcPr>
          <w:p w14:paraId="6E7669F5"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385,431</w:t>
            </w:r>
          </w:p>
        </w:tc>
        <w:tc>
          <w:tcPr>
            <w:tcW w:w="1098" w:type="dxa"/>
            <w:tcBorders>
              <w:top w:val="nil"/>
              <w:left w:val="nil"/>
              <w:bottom w:val="nil"/>
              <w:right w:val="nil"/>
            </w:tcBorders>
            <w:shd w:val="clear" w:color="auto" w:fill="auto"/>
            <w:noWrap/>
            <w:vAlign w:val="bottom"/>
            <w:hideMark/>
          </w:tcPr>
          <w:p w14:paraId="4FCBD829"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387,719</w:t>
            </w:r>
          </w:p>
        </w:tc>
      </w:tr>
      <w:tr w:rsidR="00CD7AEC" w:rsidRPr="00CD7AEC" w14:paraId="4363A5E5" w14:textId="77777777" w:rsidTr="00CD7AEC">
        <w:trPr>
          <w:trHeight w:val="225"/>
          <w:jc w:val="center"/>
        </w:trPr>
        <w:tc>
          <w:tcPr>
            <w:tcW w:w="3080" w:type="dxa"/>
            <w:tcBorders>
              <w:top w:val="nil"/>
              <w:left w:val="nil"/>
              <w:bottom w:val="nil"/>
              <w:right w:val="nil"/>
            </w:tcBorders>
            <w:shd w:val="clear" w:color="000000" w:fill="FFFFFF"/>
            <w:vAlign w:val="center"/>
            <w:hideMark/>
          </w:tcPr>
          <w:p w14:paraId="102B1D44"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610E6F9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1,703</w:t>
            </w:r>
          </w:p>
        </w:tc>
        <w:tc>
          <w:tcPr>
            <w:tcW w:w="1045" w:type="dxa"/>
            <w:tcBorders>
              <w:top w:val="nil"/>
              <w:left w:val="nil"/>
              <w:bottom w:val="nil"/>
              <w:right w:val="nil"/>
            </w:tcBorders>
            <w:shd w:val="clear" w:color="000000" w:fill="D9D9D9"/>
            <w:noWrap/>
            <w:vAlign w:val="bottom"/>
            <w:hideMark/>
          </w:tcPr>
          <w:p w14:paraId="01DB4B40"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1,711</w:t>
            </w:r>
          </w:p>
        </w:tc>
        <w:tc>
          <w:tcPr>
            <w:tcW w:w="1009" w:type="dxa"/>
            <w:tcBorders>
              <w:top w:val="nil"/>
              <w:left w:val="nil"/>
              <w:bottom w:val="nil"/>
              <w:right w:val="nil"/>
            </w:tcBorders>
            <w:shd w:val="clear" w:color="auto" w:fill="auto"/>
            <w:noWrap/>
            <w:vAlign w:val="bottom"/>
            <w:hideMark/>
          </w:tcPr>
          <w:p w14:paraId="54E2787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1,442</w:t>
            </w:r>
          </w:p>
        </w:tc>
        <w:tc>
          <w:tcPr>
            <w:tcW w:w="1080" w:type="dxa"/>
            <w:tcBorders>
              <w:top w:val="nil"/>
              <w:left w:val="nil"/>
              <w:bottom w:val="nil"/>
              <w:right w:val="nil"/>
            </w:tcBorders>
            <w:shd w:val="clear" w:color="auto" w:fill="auto"/>
            <w:noWrap/>
            <w:vAlign w:val="bottom"/>
            <w:hideMark/>
          </w:tcPr>
          <w:p w14:paraId="0F3553F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98" w:type="dxa"/>
            <w:tcBorders>
              <w:top w:val="nil"/>
              <w:left w:val="nil"/>
              <w:bottom w:val="nil"/>
              <w:right w:val="nil"/>
            </w:tcBorders>
            <w:shd w:val="clear" w:color="auto" w:fill="auto"/>
            <w:noWrap/>
            <w:vAlign w:val="bottom"/>
            <w:hideMark/>
          </w:tcPr>
          <w:p w14:paraId="0BE3F61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r>
      <w:tr w:rsidR="00CD7AEC" w:rsidRPr="00CD7AEC" w14:paraId="71FEF2A5" w14:textId="77777777" w:rsidTr="00CD7AEC">
        <w:trPr>
          <w:trHeight w:val="225"/>
          <w:jc w:val="center"/>
        </w:trPr>
        <w:tc>
          <w:tcPr>
            <w:tcW w:w="3080" w:type="dxa"/>
            <w:tcBorders>
              <w:top w:val="nil"/>
              <w:left w:val="nil"/>
              <w:bottom w:val="nil"/>
              <w:right w:val="nil"/>
            </w:tcBorders>
            <w:shd w:val="clear" w:color="000000" w:fill="FFFFFF"/>
            <w:vAlign w:val="bottom"/>
            <w:hideMark/>
          </w:tcPr>
          <w:p w14:paraId="60E0131D" w14:textId="77777777" w:rsidR="00CD7AEC" w:rsidRPr="00CD7AEC" w:rsidRDefault="00CD7AEC" w:rsidP="00CD7AEC">
            <w:pPr>
              <w:spacing w:before="0" w:after="0" w:line="240" w:lineRule="auto"/>
              <w:ind w:leftChars="75" w:left="143"/>
              <w:rPr>
                <w:rFonts w:ascii="Arial" w:hAnsi="Arial" w:cs="Arial"/>
                <w:sz w:val="16"/>
                <w:szCs w:val="16"/>
              </w:rPr>
            </w:pPr>
            <w:r w:rsidRPr="00CD7AEC">
              <w:rPr>
                <w:rFonts w:ascii="Arial" w:hAnsi="Arial" w:cs="Arial"/>
                <w:sz w:val="16"/>
                <w:szCs w:val="16"/>
              </w:rPr>
              <w:t>Other expenses</w:t>
            </w:r>
          </w:p>
        </w:tc>
        <w:tc>
          <w:tcPr>
            <w:tcW w:w="928" w:type="dxa"/>
            <w:tcBorders>
              <w:top w:val="nil"/>
              <w:left w:val="nil"/>
              <w:bottom w:val="nil"/>
              <w:right w:val="nil"/>
            </w:tcBorders>
            <w:shd w:val="clear" w:color="auto" w:fill="auto"/>
            <w:noWrap/>
            <w:vAlign w:val="bottom"/>
            <w:hideMark/>
          </w:tcPr>
          <w:p w14:paraId="0F4A1FF9"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7</w:t>
            </w:r>
          </w:p>
        </w:tc>
        <w:tc>
          <w:tcPr>
            <w:tcW w:w="1045" w:type="dxa"/>
            <w:tcBorders>
              <w:top w:val="nil"/>
              <w:left w:val="nil"/>
              <w:bottom w:val="nil"/>
              <w:right w:val="nil"/>
            </w:tcBorders>
            <w:shd w:val="clear" w:color="000000" w:fill="D9D9D9"/>
            <w:noWrap/>
            <w:vAlign w:val="bottom"/>
            <w:hideMark/>
          </w:tcPr>
          <w:p w14:paraId="29B93E2B"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09" w:type="dxa"/>
            <w:tcBorders>
              <w:top w:val="nil"/>
              <w:left w:val="nil"/>
              <w:bottom w:val="nil"/>
              <w:right w:val="nil"/>
            </w:tcBorders>
            <w:shd w:val="clear" w:color="auto" w:fill="auto"/>
            <w:noWrap/>
            <w:vAlign w:val="bottom"/>
            <w:hideMark/>
          </w:tcPr>
          <w:p w14:paraId="4292BFA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12CE4C52"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98" w:type="dxa"/>
            <w:tcBorders>
              <w:top w:val="nil"/>
              <w:left w:val="nil"/>
              <w:bottom w:val="nil"/>
              <w:right w:val="nil"/>
            </w:tcBorders>
            <w:shd w:val="clear" w:color="auto" w:fill="auto"/>
            <w:noWrap/>
            <w:vAlign w:val="bottom"/>
            <w:hideMark/>
          </w:tcPr>
          <w:p w14:paraId="0F52AE8C"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r>
      <w:tr w:rsidR="00CD7AEC" w:rsidRPr="00CD7AEC" w14:paraId="1667B9AF" w14:textId="77777777" w:rsidTr="00CD7AEC">
        <w:trPr>
          <w:trHeight w:val="454"/>
          <w:jc w:val="center"/>
        </w:trPr>
        <w:tc>
          <w:tcPr>
            <w:tcW w:w="3080" w:type="dxa"/>
            <w:tcBorders>
              <w:top w:val="nil"/>
              <w:left w:val="nil"/>
              <w:bottom w:val="nil"/>
              <w:right w:val="nil"/>
            </w:tcBorders>
            <w:shd w:val="clear" w:color="auto" w:fill="auto"/>
            <w:vAlign w:val="bottom"/>
            <w:hideMark/>
          </w:tcPr>
          <w:p w14:paraId="5CAF9036" w14:textId="77777777" w:rsidR="00CD7AEC" w:rsidRPr="00CD7AEC" w:rsidRDefault="00CD7AEC" w:rsidP="00CD7AEC">
            <w:pPr>
              <w:spacing w:before="0" w:after="0" w:line="240" w:lineRule="auto"/>
              <w:ind w:leftChars="75" w:left="143"/>
              <w:rPr>
                <w:rFonts w:ascii="Arial" w:hAnsi="Arial" w:cs="Arial"/>
                <w:b/>
                <w:bCs/>
                <w:sz w:val="16"/>
                <w:szCs w:val="16"/>
              </w:rPr>
            </w:pPr>
            <w:r w:rsidRPr="00CD7AEC">
              <w:rPr>
                <w:rFonts w:ascii="Arial" w:hAnsi="Arial" w:cs="Arial"/>
                <w:b/>
                <w:bCs/>
                <w:sz w:val="16"/>
                <w:szCs w:val="16"/>
              </w:rPr>
              <w:t>Total expenses administered on behalf of Government</w:t>
            </w:r>
          </w:p>
        </w:tc>
        <w:tc>
          <w:tcPr>
            <w:tcW w:w="928" w:type="dxa"/>
            <w:tcBorders>
              <w:top w:val="nil"/>
              <w:left w:val="nil"/>
              <w:bottom w:val="single" w:sz="4" w:space="0" w:color="auto"/>
              <w:right w:val="nil"/>
            </w:tcBorders>
            <w:shd w:val="clear" w:color="auto" w:fill="auto"/>
            <w:noWrap/>
            <w:tcMar>
              <w:left w:w="0" w:type="dxa"/>
            </w:tcMar>
            <w:vAlign w:val="bottom"/>
            <w:hideMark/>
          </w:tcPr>
          <w:p w14:paraId="563C5396"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93,123,605</w:t>
            </w:r>
          </w:p>
        </w:tc>
        <w:tc>
          <w:tcPr>
            <w:tcW w:w="1045" w:type="dxa"/>
            <w:tcBorders>
              <w:top w:val="nil"/>
              <w:left w:val="nil"/>
              <w:bottom w:val="single" w:sz="4" w:space="0" w:color="auto"/>
              <w:right w:val="nil"/>
            </w:tcBorders>
            <w:shd w:val="clear" w:color="000000" w:fill="D9D9D9"/>
            <w:noWrap/>
            <w:tcMar>
              <w:left w:w="0" w:type="dxa"/>
            </w:tcMar>
            <w:vAlign w:val="bottom"/>
            <w:hideMark/>
          </w:tcPr>
          <w:p w14:paraId="635F97E1"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104,543,656</w:t>
            </w:r>
          </w:p>
        </w:tc>
        <w:tc>
          <w:tcPr>
            <w:tcW w:w="1009" w:type="dxa"/>
            <w:tcBorders>
              <w:top w:val="nil"/>
              <w:left w:val="nil"/>
              <w:bottom w:val="single" w:sz="4" w:space="0" w:color="auto"/>
              <w:right w:val="nil"/>
            </w:tcBorders>
            <w:shd w:val="clear" w:color="auto" w:fill="auto"/>
            <w:noWrap/>
            <w:tcMar>
              <w:left w:w="0" w:type="dxa"/>
            </w:tcMar>
            <w:vAlign w:val="bottom"/>
            <w:hideMark/>
          </w:tcPr>
          <w:p w14:paraId="65526C47"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106,219,698</w:t>
            </w:r>
          </w:p>
        </w:tc>
        <w:tc>
          <w:tcPr>
            <w:tcW w:w="1080" w:type="dxa"/>
            <w:tcBorders>
              <w:top w:val="nil"/>
              <w:left w:val="nil"/>
              <w:bottom w:val="single" w:sz="4" w:space="0" w:color="auto"/>
              <w:right w:val="nil"/>
            </w:tcBorders>
            <w:shd w:val="clear" w:color="auto" w:fill="auto"/>
            <w:noWrap/>
            <w:tcMar>
              <w:left w:w="0" w:type="dxa"/>
            </w:tcMar>
            <w:vAlign w:val="bottom"/>
            <w:hideMark/>
          </w:tcPr>
          <w:p w14:paraId="2610BBF5"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110,291,782</w:t>
            </w:r>
          </w:p>
        </w:tc>
        <w:tc>
          <w:tcPr>
            <w:tcW w:w="1098" w:type="dxa"/>
            <w:tcBorders>
              <w:top w:val="nil"/>
              <w:left w:val="nil"/>
              <w:bottom w:val="single" w:sz="4" w:space="0" w:color="auto"/>
              <w:right w:val="nil"/>
            </w:tcBorders>
            <w:shd w:val="clear" w:color="auto" w:fill="auto"/>
            <w:noWrap/>
            <w:tcMar>
              <w:left w:w="0" w:type="dxa"/>
            </w:tcMar>
            <w:vAlign w:val="bottom"/>
            <w:hideMark/>
          </w:tcPr>
          <w:p w14:paraId="6B076983"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114,053,841</w:t>
            </w:r>
          </w:p>
        </w:tc>
      </w:tr>
      <w:tr w:rsidR="00CD7AEC" w:rsidRPr="00CD7AEC" w14:paraId="412A858E" w14:textId="77777777" w:rsidTr="000911F8">
        <w:trPr>
          <w:trHeight w:val="454"/>
          <w:jc w:val="center"/>
        </w:trPr>
        <w:tc>
          <w:tcPr>
            <w:tcW w:w="3080" w:type="dxa"/>
            <w:tcBorders>
              <w:top w:val="nil"/>
              <w:left w:val="nil"/>
              <w:bottom w:val="nil"/>
              <w:right w:val="nil"/>
            </w:tcBorders>
            <w:shd w:val="clear" w:color="auto" w:fill="auto"/>
            <w:vAlign w:val="bottom"/>
            <w:hideMark/>
          </w:tcPr>
          <w:p w14:paraId="244B220D" w14:textId="77777777" w:rsidR="00CD7AEC" w:rsidRPr="00CD7AEC" w:rsidRDefault="00CD7AEC" w:rsidP="00CD7AEC">
            <w:pPr>
              <w:spacing w:before="0" w:after="0" w:line="240" w:lineRule="auto"/>
              <w:rPr>
                <w:rFonts w:ascii="Arial" w:hAnsi="Arial" w:cs="Arial"/>
                <w:b/>
                <w:bCs/>
                <w:sz w:val="16"/>
                <w:szCs w:val="16"/>
              </w:rPr>
            </w:pPr>
            <w:r w:rsidRPr="00CD7AEC">
              <w:rPr>
                <w:rFonts w:ascii="Arial" w:hAnsi="Arial" w:cs="Arial"/>
                <w:b/>
                <w:bCs/>
                <w:sz w:val="16"/>
                <w:szCs w:val="16"/>
              </w:rPr>
              <w:t>INCOME ADMINISTERED ON BEHALF OF GOVERNMENT</w:t>
            </w:r>
          </w:p>
        </w:tc>
        <w:tc>
          <w:tcPr>
            <w:tcW w:w="928" w:type="dxa"/>
            <w:tcBorders>
              <w:top w:val="nil"/>
              <w:left w:val="nil"/>
              <w:bottom w:val="nil"/>
              <w:right w:val="nil"/>
            </w:tcBorders>
            <w:shd w:val="clear" w:color="auto" w:fill="auto"/>
            <w:vAlign w:val="bottom"/>
            <w:hideMark/>
          </w:tcPr>
          <w:p w14:paraId="71661E64" w14:textId="77777777" w:rsidR="00CD7AEC" w:rsidRPr="00CD7AEC" w:rsidRDefault="00CD7AEC" w:rsidP="00CD7AEC">
            <w:pPr>
              <w:spacing w:before="0" w:after="0" w:line="240" w:lineRule="auto"/>
              <w:rPr>
                <w:rFonts w:ascii="Arial" w:hAnsi="Arial" w:cs="Arial"/>
                <w:b/>
                <w:bCs/>
                <w:sz w:val="16"/>
                <w:szCs w:val="16"/>
              </w:rPr>
            </w:pPr>
          </w:p>
        </w:tc>
        <w:tc>
          <w:tcPr>
            <w:tcW w:w="1045" w:type="dxa"/>
            <w:tcBorders>
              <w:top w:val="nil"/>
              <w:left w:val="nil"/>
              <w:bottom w:val="nil"/>
              <w:right w:val="nil"/>
            </w:tcBorders>
            <w:shd w:val="clear" w:color="000000" w:fill="D9D9D9"/>
            <w:vAlign w:val="bottom"/>
            <w:hideMark/>
          </w:tcPr>
          <w:p w14:paraId="75A8E214"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 </w:t>
            </w:r>
          </w:p>
        </w:tc>
        <w:tc>
          <w:tcPr>
            <w:tcW w:w="1009" w:type="dxa"/>
            <w:tcBorders>
              <w:top w:val="nil"/>
              <w:left w:val="nil"/>
              <w:bottom w:val="nil"/>
              <w:right w:val="nil"/>
            </w:tcBorders>
            <w:shd w:val="clear" w:color="auto" w:fill="auto"/>
            <w:vAlign w:val="bottom"/>
            <w:hideMark/>
          </w:tcPr>
          <w:p w14:paraId="6AF60DED" w14:textId="77777777" w:rsidR="00CD7AEC" w:rsidRPr="00CD7AEC" w:rsidRDefault="00CD7AEC" w:rsidP="00CD7AEC">
            <w:pPr>
              <w:spacing w:before="0" w:after="0" w:line="240" w:lineRule="auto"/>
              <w:jc w:val="right"/>
              <w:rPr>
                <w:rFonts w:ascii="Arial" w:hAnsi="Arial" w:cs="Arial"/>
                <w:b/>
                <w:bCs/>
                <w:sz w:val="16"/>
                <w:szCs w:val="16"/>
              </w:rPr>
            </w:pPr>
          </w:p>
        </w:tc>
        <w:tc>
          <w:tcPr>
            <w:tcW w:w="1080" w:type="dxa"/>
            <w:tcBorders>
              <w:top w:val="nil"/>
              <w:left w:val="nil"/>
              <w:bottom w:val="nil"/>
              <w:right w:val="nil"/>
            </w:tcBorders>
            <w:shd w:val="clear" w:color="auto" w:fill="auto"/>
            <w:vAlign w:val="bottom"/>
            <w:hideMark/>
          </w:tcPr>
          <w:p w14:paraId="7C813641"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vAlign w:val="bottom"/>
            <w:hideMark/>
          </w:tcPr>
          <w:p w14:paraId="040B50E1"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2F65794F"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17526CCF" w14:textId="77777777" w:rsidR="00CD7AEC" w:rsidRPr="00CD7AEC" w:rsidRDefault="00CD7AEC" w:rsidP="00CD7AEC">
            <w:pPr>
              <w:spacing w:before="0" w:after="0" w:line="240" w:lineRule="auto"/>
              <w:ind w:leftChars="75" w:left="143"/>
              <w:rPr>
                <w:rFonts w:ascii="Arial" w:hAnsi="Arial" w:cs="Arial"/>
                <w:b/>
                <w:bCs/>
                <w:sz w:val="16"/>
                <w:szCs w:val="16"/>
              </w:rPr>
            </w:pPr>
            <w:r w:rsidRPr="00CD7AEC">
              <w:rPr>
                <w:rFonts w:ascii="Arial" w:hAnsi="Arial" w:cs="Arial"/>
                <w:b/>
                <w:bCs/>
                <w:sz w:val="16"/>
                <w:szCs w:val="16"/>
              </w:rPr>
              <w:t>Revenue</w:t>
            </w:r>
          </w:p>
        </w:tc>
        <w:tc>
          <w:tcPr>
            <w:tcW w:w="928" w:type="dxa"/>
            <w:tcBorders>
              <w:top w:val="nil"/>
              <w:left w:val="nil"/>
              <w:bottom w:val="nil"/>
              <w:right w:val="nil"/>
            </w:tcBorders>
            <w:shd w:val="clear" w:color="auto" w:fill="auto"/>
            <w:vAlign w:val="bottom"/>
            <w:hideMark/>
          </w:tcPr>
          <w:p w14:paraId="5024FAF8" w14:textId="77777777" w:rsidR="00CD7AEC" w:rsidRPr="00CD7AEC" w:rsidRDefault="00CD7AEC" w:rsidP="00CD7AEC">
            <w:pPr>
              <w:spacing w:before="0" w:after="0" w:line="240" w:lineRule="auto"/>
              <w:ind w:firstLineChars="100" w:firstLine="161"/>
              <w:rPr>
                <w:rFonts w:ascii="Arial" w:hAnsi="Arial" w:cs="Arial"/>
                <w:b/>
                <w:bCs/>
                <w:sz w:val="16"/>
                <w:szCs w:val="16"/>
              </w:rPr>
            </w:pPr>
          </w:p>
        </w:tc>
        <w:tc>
          <w:tcPr>
            <w:tcW w:w="1045" w:type="dxa"/>
            <w:tcBorders>
              <w:top w:val="nil"/>
              <w:left w:val="nil"/>
              <w:bottom w:val="nil"/>
              <w:right w:val="nil"/>
            </w:tcBorders>
            <w:shd w:val="clear" w:color="000000" w:fill="D9D9D9"/>
            <w:vAlign w:val="bottom"/>
            <w:hideMark/>
          </w:tcPr>
          <w:p w14:paraId="35BCD7A8"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 </w:t>
            </w:r>
          </w:p>
        </w:tc>
        <w:tc>
          <w:tcPr>
            <w:tcW w:w="1009" w:type="dxa"/>
            <w:tcBorders>
              <w:top w:val="nil"/>
              <w:left w:val="nil"/>
              <w:bottom w:val="nil"/>
              <w:right w:val="nil"/>
            </w:tcBorders>
            <w:shd w:val="clear" w:color="auto" w:fill="auto"/>
            <w:vAlign w:val="bottom"/>
            <w:hideMark/>
          </w:tcPr>
          <w:p w14:paraId="28AA2086" w14:textId="77777777" w:rsidR="00CD7AEC" w:rsidRPr="00CD7AEC" w:rsidRDefault="00CD7AEC" w:rsidP="00CD7AEC">
            <w:pPr>
              <w:spacing w:before="0" w:after="0" w:line="240" w:lineRule="auto"/>
              <w:jc w:val="right"/>
              <w:rPr>
                <w:rFonts w:ascii="Arial" w:hAnsi="Arial" w:cs="Arial"/>
                <w:b/>
                <w:bCs/>
                <w:sz w:val="16"/>
                <w:szCs w:val="16"/>
              </w:rPr>
            </w:pPr>
          </w:p>
        </w:tc>
        <w:tc>
          <w:tcPr>
            <w:tcW w:w="1080" w:type="dxa"/>
            <w:tcBorders>
              <w:top w:val="nil"/>
              <w:left w:val="nil"/>
              <w:bottom w:val="nil"/>
              <w:right w:val="nil"/>
            </w:tcBorders>
            <w:shd w:val="clear" w:color="auto" w:fill="auto"/>
            <w:vAlign w:val="bottom"/>
            <w:hideMark/>
          </w:tcPr>
          <w:p w14:paraId="21AE7C03"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vAlign w:val="bottom"/>
            <w:hideMark/>
          </w:tcPr>
          <w:p w14:paraId="3DD855EF"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64B1DFCC"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62EB8A1D" w14:textId="77777777" w:rsidR="00CD7AEC" w:rsidRPr="00CD7AEC" w:rsidRDefault="00CD7AEC" w:rsidP="00CD7AEC">
            <w:pPr>
              <w:spacing w:before="0" w:after="0" w:line="240" w:lineRule="auto"/>
              <w:ind w:leftChars="150" w:left="285"/>
              <w:rPr>
                <w:rFonts w:ascii="Arial" w:hAnsi="Arial" w:cs="Arial"/>
                <w:b/>
                <w:bCs/>
                <w:sz w:val="16"/>
                <w:szCs w:val="16"/>
              </w:rPr>
            </w:pPr>
            <w:r w:rsidRPr="00CD7AEC">
              <w:rPr>
                <w:rFonts w:ascii="Arial" w:hAnsi="Arial" w:cs="Arial"/>
                <w:b/>
                <w:bCs/>
                <w:sz w:val="16"/>
                <w:szCs w:val="16"/>
              </w:rPr>
              <w:t>Taxation revenue</w:t>
            </w:r>
          </w:p>
        </w:tc>
        <w:tc>
          <w:tcPr>
            <w:tcW w:w="928" w:type="dxa"/>
            <w:tcBorders>
              <w:top w:val="nil"/>
              <w:left w:val="nil"/>
              <w:bottom w:val="nil"/>
              <w:right w:val="nil"/>
            </w:tcBorders>
            <w:shd w:val="clear" w:color="auto" w:fill="auto"/>
            <w:noWrap/>
            <w:vAlign w:val="bottom"/>
            <w:hideMark/>
          </w:tcPr>
          <w:p w14:paraId="011E6024" w14:textId="77777777" w:rsidR="00CD7AEC" w:rsidRPr="00CD7AEC" w:rsidRDefault="00CD7AEC" w:rsidP="00CD7AEC">
            <w:pPr>
              <w:spacing w:before="0" w:after="0" w:line="240" w:lineRule="auto"/>
              <w:ind w:firstLineChars="200" w:firstLine="321"/>
              <w:rPr>
                <w:rFonts w:ascii="Arial" w:hAnsi="Arial" w:cs="Arial"/>
                <w:b/>
                <w:bCs/>
                <w:sz w:val="16"/>
                <w:szCs w:val="16"/>
              </w:rPr>
            </w:pPr>
          </w:p>
        </w:tc>
        <w:tc>
          <w:tcPr>
            <w:tcW w:w="1045" w:type="dxa"/>
            <w:tcBorders>
              <w:top w:val="nil"/>
              <w:left w:val="nil"/>
              <w:bottom w:val="nil"/>
              <w:right w:val="nil"/>
            </w:tcBorders>
            <w:shd w:val="clear" w:color="000000" w:fill="D9D9D9"/>
            <w:noWrap/>
            <w:vAlign w:val="bottom"/>
            <w:hideMark/>
          </w:tcPr>
          <w:p w14:paraId="055B043F"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 </w:t>
            </w:r>
          </w:p>
        </w:tc>
        <w:tc>
          <w:tcPr>
            <w:tcW w:w="1009" w:type="dxa"/>
            <w:tcBorders>
              <w:top w:val="nil"/>
              <w:left w:val="nil"/>
              <w:bottom w:val="nil"/>
              <w:right w:val="nil"/>
            </w:tcBorders>
            <w:shd w:val="clear" w:color="auto" w:fill="auto"/>
            <w:noWrap/>
            <w:vAlign w:val="bottom"/>
            <w:hideMark/>
          </w:tcPr>
          <w:p w14:paraId="0FBE9D16" w14:textId="77777777" w:rsidR="00CD7AEC" w:rsidRPr="00CD7AEC" w:rsidRDefault="00CD7AEC" w:rsidP="00CD7AEC">
            <w:pPr>
              <w:spacing w:before="0" w:after="0" w:line="240" w:lineRule="auto"/>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1E9D1CCF"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noWrap/>
            <w:vAlign w:val="bottom"/>
            <w:hideMark/>
          </w:tcPr>
          <w:p w14:paraId="0C66F42B"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5EA20F28"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16E38E92" w14:textId="77777777" w:rsidR="00CD7AEC" w:rsidRPr="00CD7AEC" w:rsidRDefault="00CD7AEC" w:rsidP="0048588C">
            <w:pPr>
              <w:spacing w:before="0" w:after="0" w:line="240" w:lineRule="auto"/>
              <w:ind w:leftChars="225" w:left="428"/>
              <w:rPr>
                <w:rFonts w:ascii="Arial" w:hAnsi="Arial" w:cs="Arial"/>
                <w:sz w:val="16"/>
                <w:szCs w:val="16"/>
              </w:rPr>
            </w:pPr>
            <w:r w:rsidRPr="00CD7AEC">
              <w:rPr>
                <w:rFonts w:ascii="Arial" w:hAnsi="Arial" w:cs="Arial"/>
                <w:sz w:val="16"/>
                <w:szCs w:val="16"/>
              </w:rPr>
              <w:t>Other taxes</w:t>
            </w:r>
          </w:p>
        </w:tc>
        <w:tc>
          <w:tcPr>
            <w:tcW w:w="928" w:type="dxa"/>
            <w:tcBorders>
              <w:top w:val="nil"/>
              <w:left w:val="nil"/>
              <w:bottom w:val="nil"/>
              <w:right w:val="nil"/>
            </w:tcBorders>
            <w:shd w:val="clear" w:color="auto" w:fill="auto"/>
            <w:noWrap/>
            <w:vAlign w:val="bottom"/>
            <w:hideMark/>
          </w:tcPr>
          <w:p w14:paraId="32E13B60"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45" w:type="dxa"/>
            <w:tcBorders>
              <w:top w:val="nil"/>
              <w:left w:val="nil"/>
              <w:bottom w:val="nil"/>
              <w:right w:val="nil"/>
            </w:tcBorders>
            <w:shd w:val="clear" w:color="000000" w:fill="D9D9D9"/>
            <w:noWrap/>
            <w:vAlign w:val="bottom"/>
            <w:hideMark/>
          </w:tcPr>
          <w:p w14:paraId="05AF9E88"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28,146</w:t>
            </w:r>
          </w:p>
        </w:tc>
        <w:tc>
          <w:tcPr>
            <w:tcW w:w="1009" w:type="dxa"/>
            <w:tcBorders>
              <w:top w:val="nil"/>
              <w:left w:val="nil"/>
              <w:bottom w:val="nil"/>
              <w:right w:val="nil"/>
            </w:tcBorders>
            <w:shd w:val="clear" w:color="auto" w:fill="auto"/>
            <w:noWrap/>
            <w:vAlign w:val="bottom"/>
            <w:hideMark/>
          </w:tcPr>
          <w:p w14:paraId="3D6173EA"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29,408</w:t>
            </w:r>
          </w:p>
        </w:tc>
        <w:tc>
          <w:tcPr>
            <w:tcW w:w="1080" w:type="dxa"/>
            <w:tcBorders>
              <w:top w:val="nil"/>
              <w:left w:val="nil"/>
              <w:bottom w:val="nil"/>
              <w:right w:val="nil"/>
            </w:tcBorders>
            <w:shd w:val="clear" w:color="auto" w:fill="auto"/>
            <w:noWrap/>
            <w:vAlign w:val="bottom"/>
            <w:hideMark/>
          </w:tcPr>
          <w:p w14:paraId="5EA8ADC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30,778</w:t>
            </w:r>
          </w:p>
        </w:tc>
        <w:tc>
          <w:tcPr>
            <w:tcW w:w="1098" w:type="dxa"/>
            <w:tcBorders>
              <w:top w:val="nil"/>
              <w:left w:val="nil"/>
              <w:bottom w:val="nil"/>
              <w:right w:val="nil"/>
            </w:tcBorders>
            <w:shd w:val="clear" w:color="auto" w:fill="auto"/>
            <w:noWrap/>
            <w:vAlign w:val="bottom"/>
            <w:hideMark/>
          </w:tcPr>
          <w:p w14:paraId="08206A7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32,349</w:t>
            </w:r>
          </w:p>
        </w:tc>
      </w:tr>
      <w:tr w:rsidR="00CD7AEC" w:rsidRPr="00CD7AEC" w14:paraId="57CBE1F6"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0A2C51E5" w14:textId="77777777" w:rsidR="00CD7AEC" w:rsidRPr="00CD7AEC" w:rsidRDefault="00CD7AEC" w:rsidP="0048588C">
            <w:pPr>
              <w:spacing w:before="0" w:after="0" w:line="240" w:lineRule="auto"/>
              <w:ind w:leftChars="225" w:left="428"/>
              <w:rPr>
                <w:rFonts w:ascii="Arial" w:hAnsi="Arial" w:cs="Arial"/>
                <w:b/>
                <w:bCs/>
                <w:sz w:val="16"/>
                <w:szCs w:val="16"/>
              </w:rPr>
            </w:pPr>
            <w:r w:rsidRPr="00CD7AEC">
              <w:rPr>
                <w:rFonts w:ascii="Arial" w:hAnsi="Arial" w:cs="Arial"/>
                <w:b/>
                <w:bCs/>
                <w:sz w:val="16"/>
                <w:szCs w:val="16"/>
              </w:rPr>
              <w:t>Total taxation revenue</w:t>
            </w:r>
          </w:p>
        </w:tc>
        <w:tc>
          <w:tcPr>
            <w:tcW w:w="928" w:type="dxa"/>
            <w:tcBorders>
              <w:top w:val="nil"/>
              <w:left w:val="nil"/>
              <w:bottom w:val="single" w:sz="4" w:space="0" w:color="auto"/>
              <w:right w:val="nil"/>
            </w:tcBorders>
            <w:shd w:val="clear" w:color="auto" w:fill="auto"/>
            <w:noWrap/>
            <w:vAlign w:val="bottom"/>
            <w:hideMark/>
          </w:tcPr>
          <w:p w14:paraId="614E61EE"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c>
          <w:tcPr>
            <w:tcW w:w="1045" w:type="dxa"/>
            <w:tcBorders>
              <w:top w:val="nil"/>
              <w:left w:val="nil"/>
              <w:bottom w:val="single" w:sz="4" w:space="0" w:color="auto"/>
              <w:right w:val="nil"/>
            </w:tcBorders>
            <w:shd w:val="clear" w:color="000000" w:fill="D9D9D9"/>
            <w:noWrap/>
            <w:vAlign w:val="bottom"/>
            <w:hideMark/>
          </w:tcPr>
          <w:p w14:paraId="170FD9F4"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28,146</w:t>
            </w:r>
          </w:p>
        </w:tc>
        <w:tc>
          <w:tcPr>
            <w:tcW w:w="1009" w:type="dxa"/>
            <w:tcBorders>
              <w:top w:val="nil"/>
              <w:left w:val="nil"/>
              <w:bottom w:val="single" w:sz="4" w:space="0" w:color="auto"/>
              <w:right w:val="nil"/>
            </w:tcBorders>
            <w:shd w:val="clear" w:color="auto" w:fill="auto"/>
            <w:noWrap/>
            <w:vAlign w:val="bottom"/>
            <w:hideMark/>
          </w:tcPr>
          <w:p w14:paraId="56292E18"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29,408</w:t>
            </w:r>
          </w:p>
        </w:tc>
        <w:tc>
          <w:tcPr>
            <w:tcW w:w="1080" w:type="dxa"/>
            <w:tcBorders>
              <w:top w:val="nil"/>
              <w:left w:val="nil"/>
              <w:bottom w:val="single" w:sz="4" w:space="0" w:color="auto"/>
              <w:right w:val="nil"/>
            </w:tcBorders>
            <w:shd w:val="clear" w:color="auto" w:fill="auto"/>
            <w:noWrap/>
            <w:vAlign w:val="bottom"/>
            <w:hideMark/>
          </w:tcPr>
          <w:p w14:paraId="04DA415D"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30,778</w:t>
            </w:r>
          </w:p>
        </w:tc>
        <w:tc>
          <w:tcPr>
            <w:tcW w:w="1098" w:type="dxa"/>
            <w:tcBorders>
              <w:top w:val="nil"/>
              <w:left w:val="nil"/>
              <w:bottom w:val="single" w:sz="4" w:space="0" w:color="auto"/>
              <w:right w:val="nil"/>
            </w:tcBorders>
            <w:shd w:val="clear" w:color="auto" w:fill="auto"/>
            <w:noWrap/>
            <w:vAlign w:val="bottom"/>
            <w:hideMark/>
          </w:tcPr>
          <w:p w14:paraId="440A3CD0"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32,349</w:t>
            </w:r>
          </w:p>
        </w:tc>
      </w:tr>
      <w:tr w:rsidR="00CD7AEC" w:rsidRPr="00CD7AEC" w14:paraId="724F6BDC" w14:textId="77777777" w:rsidTr="00CD7AEC">
        <w:trPr>
          <w:trHeight w:val="283"/>
          <w:jc w:val="center"/>
        </w:trPr>
        <w:tc>
          <w:tcPr>
            <w:tcW w:w="3080" w:type="dxa"/>
            <w:tcBorders>
              <w:top w:val="nil"/>
              <w:left w:val="nil"/>
              <w:bottom w:val="nil"/>
              <w:right w:val="nil"/>
            </w:tcBorders>
            <w:shd w:val="clear" w:color="auto" w:fill="auto"/>
            <w:noWrap/>
            <w:vAlign w:val="bottom"/>
            <w:hideMark/>
          </w:tcPr>
          <w:p w14:paraId="43A87182" w14:textId="77777777" w:rsidR="00CD7AEC" w:rsidRPr="00CD7AEC" w:rsidRDefault="00CD7AEC" w:rsidP="00CD7AEC">
            <w:pPr>
              <w:spacing w:before="0" w:after="0" w:line="240" w:lineRule="auto"/>
              <w:ind w:leftChars="150" w:left="285"/>
              <w:rPr>
                <w:rFonts w:ascii="Arial" w:hAnsi="Arial" w:cs="Arial"/>
                <w:b/>
                <w:bCs/>
                <w:sz w:val="16"/>
                <w:szCs w:val="16"/>
              </w:rPr>
            </w:pPr>
            <w:r w:rsidRPr="00CD7AEC">
              <w:rPr>
                <w:rFonts w:ascii="Arial" w:hAnsi="Arial" w:cs="Arial"/>
                <w:b/>
                <w:bCs/>
                <w:sz w:val="16"/>
                <w:szCs w:val="16"/>
              </w:rPr>
              <w:t>Non-taxation revenue</w:t>
            </w:r>
          </w:p>
        </w:tc>
        <w:tc>
          <w:tcPr>
            <w:tcW w:w="928" w:type="dxa"/>
            <w:tcBorders>
              <w:top w:val="nil"/>
              <w:left w:val="nil"/>
              <w:bottom w:val="nil"/>
              <w:right w:val="nil"/>
            </w:tcBorders>
            <w:shd w:val="clear" w:color="auto" w:fill="auto"/>
            <w:noWrap/>
            <w:vAlign w:val="bottom"/>
            <w:hideMark/>
          </w:tcPr>
          <w:p w14:paraId="30176B95" w14:textId="77777777" w:rsidR="00CD7AEC" w:rsidRPr="00CD7AEC" w:rsidRDefault="00CD7AEC" w:rsidP="00CD7AEC">
            <w:pPr>
              <w:spacing w:before="0" w:after="0" w:line="240" w:lineRule="auto"/>
              <w:ind w:firstLineChars="200" w:firstLine="321"/>
              <w:rPr>
                <w:rFonts w:ascii="Arial" w:hAnsi="Arial" w:cs="Arial"/>
                <w:b/>
                <w:bCs/>
                <w:sz w:val="16"/>
                <w:szCs w:val="16"/>
              </w:rPr>
            </w:pPr>
          </w:p>
        </w:tc>
        <w:tc>
          <w:tcPr>
            <w:tcW w:w="1045" w:type="dxa"/>
            <w:tcBorders>
              <w:top w:val="nil"/>
              <w:left w:val="nil"/>
              <w:bottom w:val="nil"/>
              <w:right w:val="nil"/>
            </w:tcBorders>
            <w:shd w:val="clear" w:color="000000" w:fill="D9D9D9"/>
            <w:noWrap/>
            <w:vAlign w:val="bottom"/>
            <w:hideMark/>
          </w:tcPr>
          <w:p w14:paraId="0D87076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 </w:t>
            </w:r>
          </w:p>
        </w:tc>
        <w:tc>
          <w:tcPr>
            <w:tcW w:w="1009" w:type="dxa"/>
            <w:tcBorders>
              <w:top w:val="nil"/>
              <w:left w:val="nil"/>
              <w:bottom w:val="nil"/>
              <w:right w:val="nil"/>
            </w:tcBorders>
            <w:shd w:val="clear" w:color="auto" w:fill="auto"/>
            <w:noWrap/>
            <w:vAlign w:val="bottom"/>
            <w:hideMark/>
          </w:tcPr>
          <w:p w14:paraId="1034A157" w14:textId="77777777" w:rsidR="00CD7AEC" w:rsidRPr="00CD7AEC" w:rsidRDefault="00CD7AEC" w:rsidP="00CD7AEC">
            <w:pPr>
              <w:spacing w:before="0" w:after="0" w:line="240" w:lineRule="auto"/>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4E1E37AF"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noWrap/>
            <w:vAlign w:val="bottom"/>
            <w:hideMark/>
          </w:tcPr>
          <w:p w14:paraId="784B0D70"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6EE0624C"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6BE9BF98" w14:textId="77777777" w:rsidR="00CD7AEC" w:rsidRPr="00CD7AEC" w:rsidRDefault="00CD7AEC" w:rsidP="0048588C">
            <w:pPr>
              <w:spacing w:before="0" w:after="0" w:line="240" w:lineRule="auto"/>
              <w:ind w:leftChars="225" w:left="428"/>
              <w:rPr>
                <w:rFonts w:ascii="Arial" w:hAnsi="Arial" w:cs="Arial"/>
                <w:sz w:val="16"/>
                <w:szCs w:val="16"/>
              </w:rPr>
            </w:pPr>
            <w:r w:rsidRPr="00CD7AEC">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016820FC"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45" w:type="dxa"/>
            <w:tcBorders>
              <w:top w:val="nil"/>
              <w:left w:val="nil"/>
              <w:bottom w:val="nil"/>
              <w:right w:val="nil"/>
            </w:tcBorders>
            <w:shd w:val="clear" w:color="000000" w:fill="D9D9D9"/>
            <w:noWrap/>
            <w:vAlign w:val="bottom"/>
            <w:hideMark/>
          </w:tcPr>
          <w:p w14:paraId="12C61347"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12,753</w:t>
            </w:r>
          </w:p>
        </w:tc>
        <w:tc>
          <w:tcPr>
            <w:tcW w:w="1009" w:type="dxa"/>
            <w:tcBorders>
              <w:top w:val="nil"/>
              <w:left w:val="nil"/>
              <w:bottom w:val="nil"/>
              <w:right w:val="nil"/>
            </w:tcBorders>
            <w:shd w:val="clear" w:color="auto" w:fill="auto"/>
            <w:noWrap/>
            <w:vAlign w:val="bottom"/>
            <w:hideMark/>
          </w:tcPr>
          <w:p w14:paraId="53DE595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12,760</w:t>
            </w:r>
          </w:p>
        </w:tc>
        <w:tc>
          <w:tcPr>
            <w:tcW w:w="1080" w:type="dxa"/>
            <w:tcBorders>
              <w:top w:val="nil"/>
              <w:left w:val="nil"/>
              <w:bottom w:val="nil"/>
              <w:right w:val="nil"/>
            </w:tcBorders>
            <w:shd w:val="clear" w:color="auto" w:fill="auto"/>
            <w:noWrap/>
            <w:vAlign w:val="bottom"/>
            <w:hideMark/>
          </w:tcPr>
          <w:p w14:paraId="14156B8E"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12,753</w:t>
            </w:r>
          </w:p>
        </w:tc>
        <w:tc>
          <w:tcPr>
            <w:tcW w:w="1098" w:type="dxa"/>
            <w:tcBorders>
              <w:top w:val="nil"/>
              <w:left w:val="nil"/>
              <w:bottom w:val="nil"/>
              <w:right w:val="nil"/>
            </w:tcBorders>
            <w:shd w:val="clear" w:color="auto" w:fill="auto"/>
            <w:noWrap/>
            <w:vAlign w:val="bottom"/>
            <w:hideMark/>
          </w:tcPr>
          <w:p w14:paraId="14CBF0C5"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12,753</w:t>
            </w:r>
          </w:p>
        </w:tc>
      </w:tr>
      <w:tr w:rsidR="00CD7AEC" w:rsidRPr="00CD7AEC" w14:paraId="17C0653B"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3127E84F" w14:textId="77777777" w:rsidR="00CD7AEC" w:rsidRPr="00CD7AEC" w:rsidRDefault="00CD7AEC" w:rsidP="0048588C">
            <w:pPr>
              <w:spacing w:before="0" w:after="0" w:line="240" w:lineRule="auto"/>
              <w:ind w:leftChars="225" w:left="428"/>
              <w:rPr>
                <w:rFonts w:ascii="Arial" w:hAnsi="Arial" w:cs="Arial"/>
                <w:sz w:val="16"/>
                <w:szCs w:val="16"/>
              </w:rPr>
            </w:pPr>
            <w:r w:rsidRPr="00CD7AEC">
              <w:rPr>
                <w:rFonts w:ascii="Arial" w:hAnsi="Arial" w:cs="Arial"/>
                <w:sz w:val="16"/>
                <w:szCs w:val="16"/>
              </w:rPr>
              <w:t>Special account transfers</w:t>
            </w:r>
          </w:p>
        </w:tc>
        <w:tc>
          <w:tcPr>
            <w:tcW w:w="928" w:type="dxa"/>
            <w:tcBorders>
              <w:top w:val="nil"/>
              <w:left w:val="nil"/>
              <w:bottom w:val="nil"/>
              <w:right w:val="nil"/>
            </w:tcBorders>
            <w:shd w:val="clear" w:color="auto" w:fill="auto"/>
            <w:noWrap/>
            <w:tcMar>
              <w:left w:w="0" w:type="dxa"/>
            </w:tcMar>
            <w:vAlign w:val="bottom"/>
            <w:hideMark/>
          </w:tcPr>
          <w:p w14:paraId="6307EB59"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47,382,364</w:t>
            </w:r>
          </w:p>
        </w:tc>
        <w:tc>
          <w:tcPr>
            <w:tcW w:w="1045" w:type="dxa"/>
            <w:tcBorders>
              <w:top w:val="nil"/>
              <w:left w:val="nil"/>
              <w:bottom w:val="nil"/>
              <w:right w:val="nil"/>
            </w:tcBorders>
            <w:shd w:val="clear" w:color="000000" w:fill="D9D9D9"/>
            <w:noWrap/>
            <w:vAlign w:val="bottom"/>
            <w:hideMark/>
          </w:tcPr>
          <w:p w14:paraId="41DCAE91"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48,261,917</w:t>
            </w:r>
          </w:p>
        </w:tc>
        <w:tc>
          <w:tcPr>
            <w:tcW w:w="1009" w:type="dxa"/>
            <w:tcBorders>
              <w:top w:val="nil"/>
              <w:left w:val="nil"/>
              <w:bottom w:val="nil"/>
              <w:right w:val="nil"/>
            </w:tcBorders>
            <w:shd w:val="clear" w:color="auto" w:fill="auto"/>
            <w:noWrap/>
            <w:tcMar>
              <w:left w:w="0" w:type="dxa"/>
            </w:tcMar>
            <w:vAlign w:val="bottom"/>
            <w:hideMark/>
          </w:tcPr>
          <w:p w14:paraId="4A21C678"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50,226,208</w:t>
            </w:r>
          </w:p>
        </w:tc>
        <w:tc>
          <w:tcPr>
            <w:tcW w:w="1080" w:type="dxa"/>
            <w:tcBorders>
              <w:top w:val="nil"/>
              <w:left w:val="nil"/>
              <w:bottom w:val="nil"/>
              <w:right w:val="nil"/>
            </w:tcBorders>
            <w:shd w:val="clear" w:color="auto" w:fill="auto"/>
            <w:noWrap/>
            <w:vAlign w:val="bottom"/>
            <w:hideMark/>
          </w:tcPr>
          <w:p w14:paraId="0CC7C29D"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52,270,993</w:t>
            </w:r>
          </w:p>
        </w:tc>
        <w:tc>
          <w:tcPr>
            <w:tcW w:w="1098" w:type="dxa"/>
            <w:tcBorders>
              <w:top w:val="nil"/>
              <w:left w:val="nil"/>
              <w:bottom w:val="nil"/>
              <w:right w:val="nil"/>
            </w:tcBorders>
            <w:shd w:val="clear" w:color="auto" w:fill="auto"/>
            <w:noWrap/>
            <w:vAlign w:val="bottom"/>
            <w:hideMark/>
          </w:tcPr>
          <w:p w14:paraId="6681AC6B"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53,920,644</w:t>
            </w:r>
          </w:p>
        </w:tc>
      </w:tr>
      <w:tr w:rsidR="00CD7AEC" w:rsidRPr="00CD7AEC" w14:paraId="2D48C085"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4AF8528A" w14:textId="77777777" w:rsidR="00CD7AEC" w:rsidRPr="00CD7AEC" w:rsidRDefault="00CD7AEC" w:rsidP="0048588C">
            <w:pPr>
              <w:spacing w:before="0" w:after="0" w:line="240" w:lineRule="auto"/>
              <w:ind w:leftChars="225" w:left="428"/>
              <w:rPr>
                <w:rFonts w:ascii="Arial" w:hAnsi="Arial" w:cs="Arial"/>
                <w:sz w:val="16"/>
                <w:szCs w:val="16"/>
              </w:rPr>
            </w:pPr>
            <w:r w:rsidRPr="00CD7AEC">
              <w:rPr>
                <w:rFonts w:ascii="Arial" w:hAnsi="Arial" w:cs="Arial"/>
                <w:sz w:val="16"/>
                <w:szCs w:val="16"/>
              </w:rPr>
              <w:t>Recoveries</w:t>
            </w:r>
          </w:p>
        </w:tc>
        <w:tc>
          <w:tcPr>
            <w:tcW w:w="928" w:type="dxa"/>
            <w:tcBorders>
              <w:top w:val="nil"/>
              <w:left w:val="nil"/>
              <w:bottom w:val="nil"/>
              <w:right w:val="nil"/>
            </w:tcBorders>
            <w:shd w:val="clear" w:color="auto" w:fill="auto"/>
            <w:noWrap/>
            <w:vAlign w:val="bottom"/>
            <w:hideMark/>
          </w:tcPr>
          <w:p w14:paraId="3383444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5,466,085</w:t>
            </w:r>
          </w:p>
        </w:tc>
        <w:tc>
          <w:tcPr>
            <w:tcW w:w="1045" w:type="dxa"/>
            <w:tcBorders>
              <w:top w:val="nil"/>
              <w:left w:val="nil"/>
              <w:bottom w:val="nil"/>
              <w:right w:val="nil"/>
            </w:tcBorders>
            <w:shd w:val="clear" w:color="000000" w:fill="D9D9D9"/>
            <w:noWrap/>
            <w:vAlign w:val="bottom"/>
            <w:hideMark/>
          </w:tcPr>
          <w:p w14:paraId="4DDE86CC"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5,648,831</w:t>
            </w:r>
          </w:p>
        </w:tc>
        <w:tc>
          <w:tcPr>
            <w:tcW w:w="1009" w:type="dxa"/>
            <w:tcBorders>
              <w:top w:val="nil"/>
              <w:left w:val="nil"/>
              <w:bottom w:val="nil"/>
              <w:right w:val="nil"/>
            </w:tcBorders>
            <w:shd w:val="clear" w:color="auto" w:fill="auto"/>
            <w:noWrap/>
            <w:vAlign w:val="bottom"/>
            <w:hideMark/>
          </w:tcPr>
          <w:p w14:paraId="6CE60C62"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6,074,820</w:t>
            </w:r>
          </w:p>
        </w:tc>
        <w:tc>
          <w:tcPr>
            <w:tcW w:w="1080" w:type="dxa"/>
            <w:tcBorders>
              <w:top w:val="nil"/>
              <w:left w:val="nil"/>
              <w:bottom w:val="nil"/>
              <w:right w:val="nil"/>
            </w:tcBorders>
            <w:shd w:val="clear" w:color="auto" w:fill="auto"/>
            <w:noWrap/>
            <w:vAlign w:val="bottom"/>
            <w:hideMark/>
          </w:tcPr>
          <w:p w14:paraId="5076085B"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6,268,258</w:t>
            </w:r>
          </w:p>
        </w:tc>
        <w:tc>
          <w:tcPr>
            <w:tcW w:w="1098" w:type="dxa"/>
            <w:tcBorders>
              <w:top w:val="nil"/>
              <w:left w:val="nil"/>
              <w:bottom w:val="nil"/>
              <w:right w:val="nil"/>
            </w:tcBorders>
            <w:shd w:val="clear" w:color="auto" w:fill="auto"/>
            <w:noWrap/>
            <w:vAlign w:val="bottom"/>
            <w:hideMark/>
          </w:tcPr>
          <w:p w14:paraId="5B2B7588"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6,361,758</w:t>
            </w:r>
          </w:p>
        </w:tc>
      </w:tr>
      <w:tr w:rsidR="00CD7AEC" w:rsidRPr="00CD7AEC" w14:paraId="6FFC9030"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5B0E6730" w14:textId="77777777" w:rsidR="00CD7AEC" w:rsidRPr="00CD7AEC" w:rsidRDefault="00CD7AEC" w:rsidP="0048588C">
            <w:pPr>
              <w:spacing w:before="0" w:after="0" w:line="240" w:lineRule="auto"/>
              <w:ind w:leftChars="225" w:left="428"/>
              <w:rPr>
                <w:rFonts w:ascii="Arial" w:hAnsi="Arial" w:cs="Arial"/>
                <w:sz w:val="16"/>
                <w:szCs w:val="16"/>
              </w:rPr>
            </w:pPr>
            <w:r w:rsidRPr="00CD7AEC">
              <w:rPr>
                <w:rFonts w:ascii="Arial" w:hAnsi="Arial" w:cs="Arial"/>
                <w:sz w:val="16"/>
                <w:szCs w:val="16"/>
              </w:rPr>
              <w:t>Other revenue</w:t>
            </w:r>
          </w:p>
        </w:tc>
        <w:tc>
          <w:tcPr>
            <w:tcW w:w="928" w:type="dxa"/>
            <w:tcBorders>
              <w:top w:val="nil"/>
              <w:left w:val="nil"/>
              <w:bottom w:val="nil"/>
              <w:right w:val="nil"/>
            </w:tcBorders>
            <w:shd w:val="clear" w:color="auto" w:fill="auto"/>
            <w:noWrap/>
            <w:vAlign w:val="bottom"/>
            <w:hideMark/>
          </w:tcPr>
          <w:p w14:paraId="5299711B"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474,334</w:t>
            </w:r>
          </w:p>
        </w:tc>
        <w:tc>
          <w:tcPr>
            <w:tcW w:w="1045" w:type="dxa"/>
            <w:tcBorders>
              <w:top w:val="nil"/>
              <w:left w:val="nil"/>
              <w:bottom w:val="nil"/>
              <w:right w:val="nil"/>
            </w:tcBorders>
            <w:shd w:val="clear" w:color="000000" w:fill="D9D9D9"/>
            <w:noWrap/>
            <w:vAlign w:val="bottom"/>
            <w:hideMark/>
          </w:tcPr>
          <w:p w14:paraId="6394FC6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474,496</w:t>
            </w:r>
          </w:p>
        </w:tc>
        <w:tc>
          <w:tcPr>
            <w:tcW w:w="1009" w:type="dxa"/>
            <w:tcBorders>
              <w:top w:val="nil"/>
              <w:left w:val="nil"/>
              <w:bottom w:val="nil"/>
              <w:right w:val="nil"/>
            </w:tcBorders>
            <w:shd w:val="clear" w:color="auto" w:fill="auto"/>
            <w:noWrap/>
            <w:vAlign w:val="bottom"/>
            <w:hideMark/>
          </w:tcPr>
          <w:p w14:paraId="65A34B2A"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445,345</w:t>
            </w:r>
          </w:p>
        </w:tc>
        <w:tc>
          <w:tcPr>
            <w:tcW w:w="1080" w:type="dxa"/>
            <w:tcBorders>
              <w:top w:val="nil"/>
              <w:left w:val="nil"/>
              <w:bottom w:val="nil"/>
              <w:right w:val="nil"/>
            </w:tcBorders>
            <w:shd w:val="clear" w:color="auto" w:fill="auto"/>
            <w:noWrap/>
            <w:vAlign w:val="bottom"/>
            <w:hideMark/>
          </w:tcPr>
          <w:p w14:paraId="448764FF"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408,930</w:t>
            </w:r>
          </w:p>
        </w:tc>
        <w:tc>
          <w:tcPr>
            <w:tcW w:w="1098" w:type="dxa"/>
            <w:tcBorders>
              <w:top w:val="nil"/>
              <w:left w:val="nil"/>
              <w:bottom w:val="nil"/>
              <w:right w:val="nil"/>
            </w:tcBorders>
            <w:shd w:val="clear" w:color="auto" w:fill="auto"/>
            <w:noWrap/>
            <w:vAlign w:val="bottom"/>
            <w:hideMark/>
          </w:tcPr>
          <w:p w14:paraId="193A6334"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375,148</w:t>
            </w:r>
          </w:p>
        </w:tc>
      </w:tr>
      <w:tr w:rsidR="00CD7AEC" w:rsidRPr="00CD7AEC" w14:paraId="2A3C1AE3"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47347A86" w14:textId="77777777" w:rsidR="00CD7AEC" w:rsidRPr="00CD7AEC" w:rsidRDefault="00CD7AEC" w:rsidP="0048588C">
            <w:pPr>
              <w:spacing w:before="0" w:after="0" w:line="240" w:lineRule="auto"/>
              <w:ind w:leftChars="225" w:left="428"/>
              <w:rPr>
                <w:rFonts w:ascii="Arial" w:hAnsi="Arial" w:cs="Arial"/>
                <w:b/>
                <w:bCs/>
                <w:sz w:val="16"/>
                <w:szCs w:val="16"/>
              </w:rPr>
            </w:pPr>
            <w:r w:rsidRPr="00CD7AEC">
              <w:rPr>
                <w:rFonts w:ascii="Arial" w:hAnsi="Arial" w:cs="Arial"/>
                <w:b/>
                <w:bCs/>
                <w:sz w:val="16"/>
                <w:szCs w:val="16"/>
              </w:rPr>
              <w:t>Total non-taxation revenue</w:t>
            </w:r>
          </w:p>
        </w:tc>
        <w:tc>
          <w:tcPr>
            <w:tcW w:w="928" w:type="dxa"/>
            <w:tcBorders>
              <w:top w:val="nil"/>
              <w:left w:val="nil"/>
              <w:bottom w:val="single" w:sz="4" w:space="0" w:color="auto"/>
              <w:right w:val="nil"/>
            </w:tcBorders>
            <w:shd w:val="clear" w:color="auto" w:fill="auto"/>
            <w:noWrap/>
            <w:tcMar>
              <w:left w:w="0" w:type="dxa"/>
            </w:tcMar>
            <w:vAlign w:val="bottom"/>
            <w:hideMark/>
          </w:tcPr>
          <w:p w14:paraId="434D2E89"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53,322,783</w:t>
            </w:r>
          </w:p>
        </w:tc>
        <w:tc>
          <w:tcPr>
            <w:tcW w:w="1045" w:type="dxa"/>
            <w:tcBorders>
              <w:top w:val="nil"/>
              <w:left w:val="nil"/>
              <w:bottom w:val="single" w:sz="4" w:space="0" w:color="auto"/>
              <w:right w:val="nil"/>
            </w:tcBorders>
            <w:shd w:val="clear" w:color="000000" w:fill="D9D9D9"/>
            <w:noWrap/>
            <w:vAlign w:val="bottom"/>
            <w:hideMark/>
          </w:tcPr>
          <w:p w14:paraId="02FF1F08"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54,397,997</w:t>
            </w:r>
          </w:p>
        </w:tc>
        <w:tc>
          <w:tcPr>
            <w:tcW w:w="1009" w:type="dxa"/>
            <w:tcBorders>
              <w:top w:val="nil"/>
              <w:left w:val="nil"/>
              <w:bottom w:val="single" w:sz="4" w:space="0" w:color="auto"/>
              <w:right w:val="nil"/>
            </w:tcBorders>
            <w:shd w:val="clear" w:color="auto" w:fill="auto"/>
            <w:noWrap/>
            <w:tcMar>
              <w:left w:w="0" w:type="dxa"/>
            </w:tcMar>
            <w:vAlign w:val="bottom"/>
            <w:hideMark/>
          </w:tcPr>
          <w:p w14:paraId="1056208B"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56,759,133</w:t>
            </w:r>
          </w:p>
        </w:tc>
        <w:tc>
          <w:tcPr>
            <w:tcW w:w="1080" w:type="dxa"/>
            <w:tcBorders>
              <w:top w:val="nil"/>
              <w:left w:val="nil"/>
              <w:bottom w:val="single" w:sz="4" w:space="0" w:color="auto"/>
              <w:right w:val="nil"/>
            </w:tcBorders>
            <w:shd w:val="clear" w:color="auto" w:fill="auto"/>
            <w:noWrap/>
            <w:vAlign w:val="bottom"/>
            <w:hideMark/>
          </w:tcPr>
          <w:p w14:paraId="532B3589"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58,960,934</w:t>
            </w:r>
          </w:p>
        </w:tc>
        <w:tc>
          <w:tcPr>
            <w:tcW w:w="1098" w:type="dxa"/>
            <w:tcBorders>
              <w:top w:val="nil"/>
              <w:left w:val="nil"/>
              <w:bottom w:val="single" w:sz="4" w:space="0" w:color="auto"/>
              <w:right w:val="nil"/>
            </w:tcBorders>
            <w:shd w:val="clear" w:color="auto" w:fill="auto"/>
            <w:noWrap/>
            <w:vAlign w:val="bottom"/>
            <w:hideMark/>
          </w:tcPr>
          <w:p w14:paraId="3BB1ACB9"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60,670,303</w:t>
            </w:r>
          </w:p>
        </w:tc>
      </w:tr>
      <w:tr w:rsidR="00CD7AEC" w:rsidRPr="00CD7AEC" w14:paraId="1F2ED73E" w14:textId="77777777" w:rsidTr="00CD7AEC">
        <w:trPr>
          <w:trHeight w:val="624"/>
          <w:jc w:val="center"/>
        </w:trPr>
        <w:tc>
          <w:tcPr>
            <w:tcW w:w="3080" w:type="dxa"/>
            <w:tcBorders>
              <w:top w:val="nil"/>
              <w:left w:val="nil"/>
              <w:bottom w:val="nil"/>
              <w:right w:val="nil"/>
            </w:tcBorders>
            <w:shd w:val="clear" w:color="auto" w:fill="auto"/>
            <w:vAlign w:val="bottom"/>
            <w:hideMark/>
          </w:tcPr>
          <w:p w14:paraId="5EE03C99" w14:textId="77777777" w:rsidR="00CD7AEC" w:rsidRPr="00CD7AEC" w:rsidRDefault="00CD7AEC" w:rsidP="00CD7AEC">
            <w:pPr>
              <w:spacing w:before="0" w:after="0" w:line="240" w:lineRule="auto"/>
              <w:ind w:leftChars="150" w:left="285"/>
              <w:rPr>
                <w:rFonts w:ascii="Arial" w:hAnsi="Arial" w:cs="Arial"/>
                <w:b/>
                <w:bCs/>
                <w:sz w:val="16"/>
                <w:szCs w:val="16"/>
              </w:rPr>
            </w:pPr>
            <w:r w:rsidRPr="00CD7AEC">
              <w:rPr>
                <w:rFonts w:ascii="Arial" w:hAnsi="Arial" w:cs="Arial"/>
                <w:b/>
                <w:bCs/>
                <w:sz w:val="16"/>
                <w:szCs w:val="16"/>
              </w:rPr>
              <w:t>Total own-source revenue administered on behalf of Government</w:t>
            </w:r>
          </w:p>
        </w:tc>
        <w:tc>
          <w:tcPr>
            <w:tcW w:w="928" w:type="dxa"/>
            <w:tcBorders>
              <w:top w:val="nil"/>
              <w:left w:val="nil"/>
              <w:bottom w:val="single" w:sz="4" w:space="0" w:color="auto"/>
              <w:right w:val="nil"/>
            </w:tcBorders>
            <w:shd w:val="clear" w:color="auto" w:fill="auto"/>
            <w:noWrap/>
            <w:tcMar>
              <w:left w:w="0" w:type="dxa"/>
            </w:tcMar>
            <w:vAlign w:val="bottom"/>
            <w:hideMark/>
          </w:tcPr>
          <w:p w14:paraId="5B819405"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53,322,783</w:t>
            </w:r>
          </w:p>
        </w:tc>
        <w:tc>
          <w:tcPr>
            <w:tcW w:w="1045" w:type="dxa"/>
            <w:tcBorders>
              <w:top w:val="nil"/>
              <w:left w:val="nil"/>
              <w:bottom w:val="single" w:sz="4" w:space="0" w:color="auto"/>
              <w:right w:val="nil"/>
            </w:tcBorders>
            <w:shd w:val="clear" w:color="000000" w:fill="D9D9D9"/>
            <w:noWrap/>
            <w:vAlign w:val="bottom"/>
            <w:hideMark/>
          </w:tcPr>
          <w:p w14:paraId="151866E0"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54,426,143</w:t>
            </w:r>
          </w:p>
        </w:tc>
        <w:tc>
          <w:tcPr>
            <w:tcW w:w="1009" w:type="dxa"/>
            <w:tcBorders>
              <w:top w:val="nil"/>
              <w:left w:val="nil"/>
              <w:bottom w:val="single" w:sz="4" w:space="0" w:color="auto"/>
              <w:right w:val="nil"/>
            </w:tcBorders>
            <w:shd w:val="clear" w:color="auto" w:fill="auto"/>
            <w:noWrap/>
            <w:tcMar>
              <w:left w:w="0" w:type="dxa"/>
            </w:tcMar>
            <w:vAlign w:val="bottom"/>
            <w:hideMark/>
          </w:tcPr>
          <w:p w14:paraId="642F57CB"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56,788,541</w:t>
            </w:r>
          </w:p>
        </w:tc>
        <w:tc>
          <w:tcPr>
            <w:tcW w:w="1080" w:type="dxa"/>
            <w:tcBorders>
              <w:top w:val="nil"/>
              <w:left w:val="nil"/>
              <w:bottom w:val="single" w:sz="4" w:space="0" w:color="auto"/>
              <w:right w:val="nil"/>
            </w:tcBorders>
            <w:shd w:val="clear" w:color="auto" w:fill="auto"/>
            <w:noWrap/>
            <w:vAlign w:val="bottom"/>
            <w:hideMark/>
          </w:tcPr>
          <w:p w14:paraId="0747FE56"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58,991,712</w:t>
            </w:r>
          </w:p>
        </w:tc>
        <w:tc>
          <w:tcPr>
            <w:tcW w:w="1098" w:type="dxa"/>
            <w:tcBorders>
              <w:top w:val="nil"/>
              <w:left w:val="nil"/>
              <w:bottom w:val="single" w:sz="4" w:space="0" w:color="auto"/>
              <w:right w:val="nil"/>
            </w:tcBorders>
            <w:shd w:val="clear" w:color="auto" w:fill="auto"/>
            <w:noWrap/>
            <w:vAlign w:val="bottom"/>
            <w:hideMark/>
          </w:tcPr>
          <w:p w14:paraId="6FF4D8D2"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60,702,652</w:t>
            </w:r>
          </w:p>
        </w:tc>
      </w:tr>
      <w:tr w:rsidR="00CD7AEC" w:rsidRPr="00CD7AEC" w14:paraId="7887A6F6" w14:textId="77777777" w:rsidTr="00CD7AEC">
        <w:trPr>
          <w:trHeight w:val="283"/>
          <w:jc w:val="center"/>
        </w:trPr>
        <w:tc>
          <w:tcPr>
            <w:tcW w:w="3080" w:type="dxa"/>
            <w:tcBorders>
              <w:top w:val="nil"/>
              <w:left w:val="nil"/>
              <w:bottom w:val="nil"/>
              <w:right w:val="nil"/>
            </w:tcBorders>
            <w:shd w:val="clear" w:color="auto" w:fill="auto"/>
            <w:noWrap/>
            <w:vAlign w:val="bottom"/>
            <w:hideMark/>
          </w:tcPr>
          <w:p w14:paraId="63042F2D" w14:textId="77777777" w:rsidR="00CD7AEC" w:rsidRPr="00CD7AEC" w:rsidRDefault="00CD7AEC" w:rsidP="00CD7AEC">
            <w:pPr>
              <w:spacing w:before="0" w:after="0" w:line="240" w:lineRule="auto"/>
              <w:ind w:leftChars="75" w:left="143"/>
              <w:rPr>
                <w:rFonts w:ascii="Arial" w:hAnsi="Arial" w:cs="Arial"/>
                <w:b/>
                <w:bCs/>
                <w:sz w:val="16"/>
                <w:szCs w:val="16"/>
              </w:rPr>
            </w:pPr>
            <w:r w:rsidRPr="00CD7AEC">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3292C064" w14:textId="77777777" w:rsidR="00CD7AEC" w:rsidRPr="00CD7AEC" w:rsidRDefault="00CD7AEC" w:rsidP="00CD7AEC">
            <w:pPr>
              <w:spacing w:before="0" w:after="0" w:line="240" w:lineRule="auto"/>
              <w:ind w:firstLineChars="100" w:firstLine="161"/>
              <w:rPr>
                <w:rFonts w:ascii="Arial" w:hAnsi="Arial" w:cs="Arial"/>
                <w:b/>
                <w:bCs/>
                <w:sz w:val="16"/>
                <w:szCs w:val="16"/>
              </w:rPr>
            </w:pPr>
          </w:p>
        </w:tc>
        <w:tc>
          <w:tcPr>
            <w:tcW w:w="1045" w:type="dxa"/>
            <w:tcBorders>
              <w:top w:val="nil"/>
              <w:left w:val="nil"/>
              <w:bottom w:val="nil"/>
              <w:right w:val="nil"/>
            </w:tcBorders>
            <w:shd w:val="clear" w:color="000000" w:fill="D9D9D9"/>
            <w:noWrap/>
            <w:vAlign w:val="bottom"/>
            <w:hideMark/>
          </w:tcPr>
          <w:p w14:paraId="42EB9D8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 </w:t>
            </w:r>
          </w:p>
        </w:tc>
        <w:tc>
          <w:tcPr>
            <w:tcW w:w="1009" w:type="dxa"/>
            <w:tcBorders>
              <w:top w:val="nil"/>
              <w:left w:val="nil"/>
              <w:bottom w:val="nil"/>
              <w:right w:val="nil"/>
            </w:tcBorders>
            <w:shd w:val="clear" w:color="auto" w:fill="auto"/>
            <w:noWrap/>
            <w:vAlign w:val="bottom"/>
            <w:hideMark/>
          </w:tcPr>
          <w:p w14:paraId="6406749E" w14:textId="77777777" w:rsidR="00CD7AEC" w:rsidRPr="00CD7AEC" w:rsidRDefault="00CD7AEC" w:rsidP="00CD7AEC">
            <w:pPr>
              <w:spacing w:before="0" w:after="0" w:line="240" w:lineRule="auto"/>
              <w:jc w:val="right"/>
              <w:rPr>
                <w:rFonts w:ascii="Arial" w:hAnsi="Arial" w:cs="Arial"/>
                <w:sz w:val="16"/>
                <w:szCs w:val="16"/>
              </w:rPr>
            </w:pPr>
          </w:p>
        </w:tc>
        <w:tc>
          <w:tcPr>
            <w:tcW w:w="1080" w:type="dxa"/>
            <w:tcBorders>
              <w:top w:val="nil"/>
              <w:left w:val="nil"/>
              <w:bottom w:val="nil"/>
              <w:right w:val="nil"/>
            </w:tcBorders>
            <w:shd w:val="clear" w:color="auto" w:fill="auto"/>
            <w:noWrap/>
            <w:vAlign w:val="bottom"/>
            <w:hideMark/>
          </w:tcPr>
          <w:p w14:paraId="66B4BCEB" w14:textId="77777777" w:rsidR="00CD7AEC" w:rsidRPr="00CD7AEC" w:rsidRDefault="00CD7AEC" w:rsidP="00CD7AEC">
            <w:pPr>
              <w:spacing w:before="0" w:after="0" w:line="240" w:lineRule="auto"/>
              <w:jc w:val="right"/>
              <w:rPr>
                <w:rFonts w:ascii="Times New Roman" w:hAnsi="Times New Roman"/>
                <w:sz w:val="20"/>
              </w:rPr>
            </w:pPr>
          </w:p>
        </w:tc>
        <w:tc>
          <w:tcPr>
            <w:tcW w:w="1098" w:type="dxa"/>
            <w:tcBorders>
              <w:top w:val="nil"/>
              <w:left w:val="nil"/>
              <w:bottom w:val="nil"/>
              <w:right w:val="nil"/>
            </w:tcBorders>
            <w:shd w:val="clear" w:color="auto" w:fill="auto"/>
            <w:noWrap/>
            <w:vAlign w:val="bottom"/>
            <w:hideMark/>
          </w:tcPr>
          <w:p w14:paraId="3EC07650" w14:textId="77777777" w:rsidR="00CD7AEC" w:rsidRPr="00CD7AEC" w:rsidRDefault="00CD7AEC" w:rsidP="00CD7AEC">
            <w:pPr>
              <w:spacing w:before="0" w:after="0" w:line="240" w:lineRule="auto"/>
              <w:jc w:val="right"/>
              <w:rPr>
                <w:rFonts w:ascii="Times New Roman" w:hAnsi="Times New Roman"/>
                <w:sz w:val="20"/>
              </w:rPr>
            </w:pPr>
          </w:p>
        </w:tc>
      </w:tr>
      <w:tr w:rsidR="00CD7AEC" w:rsidRPr="00CD7AEC" w14:paraId="0701A9A9" w14:textId="77777777" w:rsidTr="00CD7AEC">
        <w:trPr>
          <w:trHeight w:val="225"/>
          <w:jc w:val="center"/>
        </w:trPr>
        <w:tc>
          <w:tcPr>
            <w:tcW w:w="3080" w:type="dxa"/>
            <w:tcBorders>
              <w:top w:val="nil"/>
              <w:left w:val="nil"/>
              <w:bottom w:val="nil"/>
              <w:right w:val="nil"/>
            </w:tcBorders>
            <w:shd w:val="clear" w:color="auto" w:fill="auto"/>
            <w:noWrap/>
            <w:vAlign w:val="bottom"/>
            <w:hideMark/>
          </w:tcPr>
          <w:p w14:paraId="071D2BA6" w14:textId="77777777" w:rsidR="00CD7AEC" w:rsidRPr="00CD7AEC" w:rsidRDefault="00CD7AEC" w:rsidP="00CD7AEC">
            <w:pPr>
              <w:spacing w:before="0" w:after="0" w:line="240" w:lineRule="auto"/>
              <w:ind w:leftChars="150" w:left="285"/>
              <w:rPr>
                <w:rFonts w:ascii="Arial" w:hAnsi="Arial" w:cs="Arial"/>
                <w:sz w:val="16"/>
                <w:szCs w:val="16"/>
              </w:rPr>
            </w:pPr>
            <w:r w:rsidRPr="00CD7AEC">
              <w:rPr>
                <w:rFonts w:ascii="Arial" w:hAnsi="Arial" w:cs="Arial"/>
                <w:sz w:val="16"/>
                <w:szCs w:val="16"/>
              </w:rPr>
              <w:t>Other gains</w:t>
            </w:r>
          </w:p>
        </w:tc>
        <w:tc>
          <w:tcPr>
            <w:tcW w:w="928" w:type="dxa"/>
            <w:tcBorders>
              <w:top w:val="nil"/>
              <w:left w:val="nil"/>
              <w:bottom w:val="nil"/>
              <w:right w:val="nil"/>
            </w:tcBorders>
            <w:shd w:val="clear" w:color="auto" w:fill="auto"/>
            <w:noWrap/>
            <w:vAlign w:val="bottom"/>
            <w:hideMark/>
          </w:tcPr>
          <w:p w14:paraId="05203196"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45" w:type="dxa"/>
            <w:tcBorders>
              <w:top w:val="nil"/>
              <w:left w:val="nil"/>
              <w:bottom w:val="nil"/>
              <w:right w:val="nil"/>
            </w:tcBorders>
            <w:shd w:val="clear" w:color="000000" w:fill="D9D9D9"/>
            <w:noWrap/>
            <w:vAlign w:val="bottom"/>
            <w:hideMark/>
          </w:tcPr>
          <w:p w14:paraId="3F1AF666"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09" w:type="dxa"/>
            <w:tcBorders>
              <w:top w:val="nil"/>
              <w:left w:val="nil"/>
              <w:bottom w:val="nil"/>
              <w:right w:val="nil"/>
            </w:tcBorders>
            <w:shd w:val="clear" w:color="auto" w:fill="auto"/>
            <w:noWrap/>
            <w:vAlign w:val="bottom"/>
            <w:hideMark/>
          </w:tcPr>
          <w:p w14:paraId="086B75A8"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80" w:type="dxa"/>
            <w:tcBorders>
              <w:top w:val="nil"/>
              <w:left w:val="nil"/>
              <w:bottom w:val="nil"/>
              <w:right w:val="nil"/>
            </w:tcBorders>
            <w:shd w:val="clear" w:color="auto" w:fill="auto"/>
            <w:noWrap/>
            <w:vAlign w:val="bottom"/>
            <w:hideMark/>
          </w:tcPr>
          <w:p w14:paraId="1D8D7644"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c>
          <w:tcPr>
            <w:tcW w:w="1098" w:type="dxa"/>
            <w:tcBorders>
              <w:top w:val="nil"/>
              <w:left w:val="nil"/>
              <w:bottom w:val="nil"/>
              <w:right w:val="nil"/>
            </w:tcBorders>
            <w:shd w:val="clear" w:color="auto" w:fill="auto"/>
            <w:noWrap/>
            <w:vAlign w:val="bottom"/>
            <w:hideMark/>
          </w:tcPr>
          <w:p w14:paraId="56FEC613" w14:textId="77777777" w:rsidR="00CD7AEC" w:rsidRPr="00CD7AEC" w:rsidRDefault="00CD7AEC" w:rsidP="00CD7AEC">
            <w:pPr>
              <w:spacing w:before="0" w:after="0" w:line="240" w:lineRule="auto"/>
              <w:jc w:val="right"/>
              <w:rPr>
                <w:rFonts w:ascii="Arial" w:hAnsi="Arial" w:cs="Arial"/>
                <w:sz w:val="16"/>
                <w:szCs w:val="16"/>
              </w:rPr>
            </w:pPr>
            <w:r w:rsidRPr="00CD7AEC">
              <w:rPr>
                <w:rFonts w:ascii="Arial" w:hAnsi="Arial" w:cs="Arial"/>
                <w:sz w:val="16"/>
                <w:szCs w:val="16"/>
              </w:rPr>
              <w:t>-</w:t>
            </w:r>
          </w:p>
        </w:tc>
      </w:tr>
      <w:tr w:rsidR="00CD7AEC" w:rsidRPr="00CD7AEC" w14:paraId="2242B10C" w14:textId="77777777" w:rsidTr="00CD7AEC">
        <w:trPr>
          <w:trHeight w:val="454"/>
          <w:jc w:val="center"/>
        </w:trPr>
        <w:tc>
          <w:tcPr>
            <w:tcW w:w="3080" w:type="dxa"/>
            <w:tcBorders>
              <w:top w:val="nil"/>
              <w:left w:val="nil"/>
              <w:bottom w:val="nil"/>
              <w:right w:val="nil"/>
            </w:tcBorders>
            <w:shd w:val="clear" w:color="auto" w:fill="auto"/>
            <w:vAlign w:val="bottom"/>
            <w:hideMark/>
          </w:tcPr>
          <w:p w14:paraId="65D67B4E" w14:textId="77777777" w:rsidR="00CD7AEC" w:rsidRPr="00CD7AEC" w:rsidRDefault="00CD7AEC" w:rsidP="00CD7AEC">
            <w:pPr>
              <w:spacing w:before="0" w:after="0" w:line="240" w:lineRule="auto"/>
              <w:ind w:leftChars="150" w:left="285"/>
              <w:rPr>
                <w:rFonts w:ascii="Arial" w:hAnsi="Arial" w:cs="Arial"/>
                <w:b/>
                <w:bCs/>
                <w:sz w:val="16"/>
                <w:szCs w:val="16"/>
              </w:rPr>
            </w:pPr>
            <w:r w:rsidRPr="00CD7AEC">
              <w:rPr>
                <w:rFonts w:ascii="Arial" w:hAnsi="Arial" w:cs="Arial"/>
                <w:b/>
                <w:bCs/>
                <w:sz w:val="16"/>
                <w:szCs w:val="16"/>
              </w:rPr>
              <w:t>Total gains administered on behalf of Government</w:t>
            </w:r>
          </w:p>
        </w:tc>
        <w:tc>
          <w:tcPr>
            <w:tcW w:w="928" w:type="dxa"/>
            <w:tcBorders>
              <w:top w:val="nil"/>
              <w:left w:val="nil"/>
              <w:bottom w:val="single" w:sz="4" w:space="0" w:color="auto"/>
              <w:right w:val="nil"/>
            </w:tcBorders>
            <w:shd w:val="clear" w:color="auto" w:fill="auto"/>
            <w:noWrap/>
            <w:vAlign w:val="bottom"/>
            <w:hideMark/>
          </w:tcPr>
          <w:p w14:paraId="7045410A"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c>
          <w:tcPr>
            <w:tcW w:w="1045" w:type="dxa"/>
            <w:tcBorders>
              <w:top w:val="nil"/>
              <w:left w:val="nil"/>
              <w:bottom w:val="single" w:sz="4" w:space="0" w:color="auto"/>
              <w:right w:val="nil"/>
            </w:tcBorders>
            <w:shd w:val="clear" w:color="000000" w:fill="D9D9D9"/>
            <w:noWrap/>
            <w:vAlign w:val="bottom"/>
            <w:hideMark/>
          </w:tcPr>
          <w:p w14:paraId="2BDD1771"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c>
          <w:tcPr>
            <w:tcW w:w="1009" w:type="dxa"/>
            <w:tcBorders>
              <w:top w:val="nil"/>
              <w:left w:val="nil"/>
              <w:bottom w:val="single" w:sz="4" w:space="0" w:color="auto"/>
              <w:right w:val="nil"/>
            </w:tcBorders>
            <w:shd w:val="clear" w:color="auto" w:fill="auto"/>
            <w:noWrap/>
            <w:vAlign w:val="bottom"/>
            <w:hideMark/>
          </w:tcPr>
          <w:p w14:paraId="5BD918CD"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c>
          <w:tcPr>
            <w:tcW w:w="1080" w:type="dxa"/>
            <w:tcBorders>
              <w:top w:val="nil"/>
              <w:left w:val="nil"/>
              <w:bottom w:val="single" w:sz="4" w:space="0" w:color="auto"/>
              <w:right w:val="nil"/>
            </w:tcBorders>
            <w:shd w:val="clear" w:color="auto" w:fill="auto"/>
            <w:noWrap/>
            <w:vAlign w:val="bottom"/>
            <w:hideMark/>
          </w:tcPr>
          <w:p w14:paraId="329946A4"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c>
          <w:tcPr>
            <w:tcW w:w="1098" w:type="dxa"/>
            <w:tcBorders>
              <w:top w:val="nil"/>
              <w:left w:val="nil"/>
              <w:bottom w:val="single" w:sz="4" w:space="0" w:color="auto"/>
              <w:right w:val="nil"/>
            </w:tcBorders>
            <w:shd w:val="clear" w:color="auto" w:fill="auto"/>
            <w:noWrap/>
            <w:vAlign w:val="bottom"/>
            <w:hideMark/>
          </w:tcPr>
          <w:p w14:paraId="3D37D712"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w:t>
            </w:r>
          </w:p>
        </w:tc>
      </w:tr>
      <w:tr w:rsidR="00CD7AEC" w:rsidRPr="00CD7AEC" w14:paraId="54B9890D" w14:textId="77777777" w:rsidTr="00394461">
        <w:trPr>
          <w:trHeight w:val="454"/>
          <w:jc w:val="center"/>
        </w:trPr>
        <w:tc>
          <w:tcPr>
            <w:tcW w:w="3080" w:type="dxa"/>
            <w:tcBorders>
              <w:top w:val="nil"/>
              <w:left w:val="nil"/>
              <w:bottom w:val="single" w:sz="4" w:space="0" w:color="auto"/>
              <w:right w:val="nil"/>
            </w:tcBorders>
            <w:shd w:val="clear" w:color="auto" w:fill="auto"/>
            <w:vAlign w:val="bottom"/>
            <w:hideMark/>
          </w:tcPr>
          <w:p w14:paraId="738ED539" w14:textId="77777777" w:rsidR="00CD7AEC" w:rsidRPr="00CD7AEC" w:rsidRDefault="00CD7AEC" w:rsidP="00CD7AEC">
            <w:pPr>
              <w:spacing w:before="0" w:after="0" w:line="240" w:lineRule="auto"/>
              <w:ind w:leftChars="150" w:left="285"/>
              <w:rPr>
                <w:rFonts w:ascii="Arial" w:hAnsi="Arial" w:cs="Arial"/>
                <w:b/>
                <w:bCs/>
                <w:sz w:val="16"/>
                <w:szCs w:val="16"/>
              </w:rPr>
            </w:pPr>
            <w:r w:rsidRPr="00CD7AEC">
              <w:rPr>
                <w:rFonts w:ascii="Arial" w:hAnsi="Arial" w:cs="Arial"/>
                <w:b/>
                <w:bCs/>
                <w:sz w:val="16"/>
                <w:szCs w:val="16"/>
              </w:rPr>
              <w:t>Total revenue administered on behalf of Government</w:t>
            </w:r>
          </w:p>
        </w:tc>
        <w:tc>
          <w:tcPr>
            <w:tcW w:w="928" w:type="dxa"/>
            <w:tcBorders>
              <w:top w:val="nil"/>
              <w:left w:val="nil"/>
              <w:bottom w:val="single" w:sz="4" w:space="0" w:color="auto"/>
              <w:right w:val="nil"/>
            </w:tcBorders>
            <w:shd w:val="clear" w:color="auto" w:fill="auto"/>
            <w:noWrap/>
            <w:tcMar>
              <w:left w:w="0" w:type="dxa"/>
            </w:tcMar>
            <w:vAlign w:val="bottom"/>
            <w:hideMark/>
          </w:tcPr>
          <w:p w14:paraId="4996F0EE"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53,322,783</w:t>
            </w:r>
          </w:p>
        </w:tc>
        <w:tc>
          <w:tcPr>
            <w:tcW w:w="1045" w:type="dxa"/>
            <w:tcBorders>
              <w:top w:val="nil"/>
              <w:left w:val="nil"/>
              <w:bottom w:val="single" w:sz="4" w:space="0" w:color="auto"/>
              <w:right w:val="nil"/>
            </w:tcBorders>
            <w:shd w:val="clear" w:color="000000" w:fill="D9D9D9"/>
            <w:noWrap/>
            <w:vAlign w:val="bottom"/>
            <w:hideMark/>
          </w:tcPr>
          <w:p w14:paraId="3EA5B2CD"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54,426,143</w:t>
            </w:r>
          </w:p>
        </w:tc>
        <w:tc>
          <w:tcPr>
            <w:tcW w:w="1009" w:type="dxa"/>
            <w:tcBorders>
              <w:top w:val="nil"/>
              <w:left w:val="nil"/>
              <w:bottom w:val="single" w:sz="4" w:space="0" w:color="auto"/>
              <w:right w:val="nil"/>
            </w:tcBorders>
            <w:shd w:val="clear" w:color="auto" w:fill="auto"/>
            <w:noWrap/>
            <w:tcMar>
              <w:left w:w="0" w:type="dxa"/>
            </w:tcMar>
            <w:vAlign w:val="bottom"/>
            <w:hideMark/>
          </w:tcPr>
          <w:p w14:paraId="75C9423A"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56,788,541</w:t>
            </w:r>
          </w:p>
        </w:tc>
        <w:tc>
          <w:tcPr>
            <w:tcW w:w="1080" w:type="dxa"/>
            <w:tcBorders>
              <w:top w:val="nil"/>
              <w:left w:val="nil"/>
              <w:bottom w:val="single" w:sz="4" w:space="0" w:color="auto"/>
              <w:right w:val="nil"/>
            </w:tcBorders>
            <w:shd w:val="clear" w:color="auto" w:fill="auto"/>
            <w:noWrap/>
            <w:vAlign w:val="bottom"/>
            <w:hideMark/>
          </w:tcPr>
          <w:p w14:paraId="44FEB085"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58,991,712</w:t>
            </w:r>
          </w:p>
        </w:tc>
        <w:tc>
          <w:tcPr>
            <w:tcW w:w="1098" w:type="dxa"/>
            <w:tcBorders>
              <w:top w:val="nil"/>
              <w:left w:val="nil"/>
              <w:bottom w:val="single" w:sz="4" w:space="0" w:color="auto"/>
              <w:right w:val="nil"/>
            </w:tcBorders>
            <w:shd w:val="clear" w:color="auto" w:fill="auto"/>
            <w:noWrap/>
            <w:vAlign w:val="bottom"/>
            <w:hideMark/>
          </w:tcPr>
          <w:p w14:paraId="79C6A51F" w14:textId="77777777" w:rsidR="00CD7AEC" w:rsidRPr="00CD7AEC" w:rsidRDefault="00CD7AEC" w:rsidP="00CD7AEC">
            <w:pPr>
              <w:spacing w:before="0" w:after="0" w:line="240" w:lineRule="auto"/>
              <w:jc w:val="right"/>
              <w:rPr>
                <w:rFonts w:ascii="Arial" w:hAnsi="Arial" w:cs="Arial"/>
                <w:b/>
                <w:bCs/>
                <w:sz w:val="16"/>
                <w:szCs w:val="16"/>
              </w:rPr>
            </w:pPr>
            <w:r w:rsidRPr="00CD7AEC">
              <w:rPr>
                <w:rFonts w:ascii="Arial" w:hAnsi="Arial" w:cs="Arial"/>
                <w:b/>
                <w:bCs/>
                <w:sz w:val="16"/>
                <w:szCs w:val="16"/>
              </w:rPr>
              <w:t>60,702,652</w:t>
            </w:r>
          </w:p>
        </w:tc>
      </w:tr>
    </w:tbl>
    <w:p w14:paraId="39A06184" w14:textId="173C1436" w:rsidR="00736DD8" w:rsidRDefault="00736DD8" w:rsidP="00736DD8">
      <w:pPr>
        <w:pStyle w:val="TableGraphic"/>
      </w:pPr>
    </w:p>
    <w:p w14:paraId="655F7D0A" w14:textId="0A39E6E5" w:rsidR="00736DD8" w:rsidRPr="00ED3DCD" w:rsidRDefault="00ED3DCD" w:rsidP="00ED3DCD">
      <w:pPr>
        <w:spacing w:before="0" w:after="0" w:line="240" w:lineRule="auto"/>
        <w:rPr>
          <w:rFonts w:ascii="Arial" w:hAnsi="Arial"/>
          <w:b/>
          <w:snapToGrid w:val="0"/>
          <w:sz w:val="20"/>
        </w:rPr>
      </w:pPr>
      <w:r>
        <w:br w:type="page"/>
      </w:r>
    </w:p>
    <w:p w14:paraId="60ED24A9" w14:textId="77777777" w:rsidR="00736DD8" w:rsidRDefault="00736DD8" w:rsidP="00736DD8">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 xml:space="preserve">overnment (as </w:t>
      </w:r>
      <w:proofErr w:type="gramStart"/>
      <w:r w:rsidRPr="00014438">
        <w:rPr>
          <w:snapToGrid w:val="0"/>
        </w:rPr>
        <w:t>at</w:t>
      </w:r>
      <w:proofErr w:type="gramEnd"/>
      <w:r w:rsidRPr="00014438">
        <w:rPr>
          <w:snapToGrid w:val="0"/>
        </w:rPr>
        <w:t xml:space="preserve"> 30 June)</w:t>
      </w:r>
    </w:p>
    <w:tbl>
      <w:tblPr>
        <w:tblW w:w="7700" w:type="dxa"/>
        <w:jc w:val="center"/>
        <w:tblLayout w:type="fixed"/>
        <w:tblLook w:val="04A0" w:firstRow="1" w:lastRow="0" w:firstColumn="1" w:lastColumn="0" w:noHBand="0" w:noVBand="1"/>
      </w:tblPr>
      <w:tblGrid>
        <w:gridCol w:w="3177"/>
        <w:gridCol w:w="904"/>
        <w:gridCol w:w="904"/>
        <w:gridCol w:w="905"/>
        <w:gridCol w:w="905"/>
        <w:gridCol w:w="905"/>
      </w:tblGrid>
      <w:tr w:rsidR="00ED3DCD" w:rsidRPr="00ED3DCD" w14:paraId="5C06D488" w14:textId="77777777" w:rsidTr="00ED3DCD">
        <w:trPr>
          <w:trHeight w:val="737"/>
          <w:jc w:val="center"/>
        </w:trPr>
        <w:tc>
          <w:tcPr>
            <w:tcW w:w="3177" w:type="dxa"/>
            <w:tcBorders>
              <w:top w:val="single" w:sz="4" w:space="0" w:color="auto"/>
              <w:left w:val="nil"/>
              <w:bottom w:val="nil"/>
              <w:right w:val="nil"/>
            </w:tcBorders>
            <w:shd w:val="clear" w:color="auto" w:fill="auto"/>
            <w:hideMark/>
          </w:tcPr>
          <w:p w14:paraId="485162A5" w14:textId="77777777" w:rsidR="00ED3DCD" w:rsidRPr="00ED3DCD" w:rsidRDefault="00ED3DCD" w:rsidP="00ED3DCD">
            <w:pPr>
              <w:spacing w:before="24" w:after="0" w:line="240" w:lineRule="auto"/>
              <w:jc w:val="right"/>
              <w:rPr>
                <w:rFonts w:ascii="Arial" w:hAnsi="Arial" w:cs="Arial"/>
                <w:sz w:val="16"/>
                <w:szCs w:val="16"/>
              </w:rPr>
            </w:pPr>
            <w:r w:rsidRPr="00ED3DCD">
              <w:rPr>
                <w:rFonts w:ascii="Arial" w:hAnsi="Arial" w:cs="Arial"/>
                <w:sz w:val="16"/>
                <w:szCs w:val="16"/>
              </w:rPr>
              <w:t> </w:t>
            </w:r>
          </w:p>
        </w:tc>
        <w:tc>
          <w:tcPr>
            <w:tcW w:w="904" w:type="dxa"/>
            <w:tcBorders>
              <w:top w:val="single" w:sz="4" w:space="0" w:color="auto"/>
              <w:left w:val="nil"/>
              <w:bottom w:val="single" w:sz="4" w:space="0" w:color="auto"/>
              <w:right w:val="nil"/>
            </w:tcBorders>
            <w:shd w:val="clear" w:color="auto" w:fill="auto"/>
            <w:hideMark/>
          </w:tcPr>
          <w:p w14:paraId="754227EF" w14:textId="31758841" w:rsidR="00ED3DCD" w:rsidRPr="00ED3DCD" w:rsidRDefault="00ED3DCD" w:rsidP="00ED3DCD">
            <w:pPr>
              <w:spacing w:before="24" w:after="0" w:line="240" w:lineRule="auto"/>
              <w:jc w:val="right"/>
              <w:rPr>
                <w:rFonts w:ascii="Arial" w:hAnsi="Arial" w:cs="Arial"/>
                <w:b/>
                <w:bCs/>
                <w:sz w:val="16"/>
                <w:szCs w:val="16"/>
              </w:rPr>
            </w:pPr>
            <w:r>
              <w:rPr>
                <w:rFonts w:ascii="Arial" w:hAnsi="Arial" w:cs="Arial"/>
                <w:b/>
                <w:bCs/>
                <w:sz w:val="16"/>
                <w:szCs w:val="16"/>
              </w:rPr>
              <w:t>2022–</w:t>
            </w:r>
            <w:r w:rsidRPr="00ED3DCD">
              <w:rPr>
                <w:rFonts w:ascii="Arial" w:hAnsi="Arial" w:cs="Arial"/>
                <w:b/>
                <w:bCs/>
                <w:sz w:val="16"/>
                <w:szCs w:val="16"/>
              </w:rPr>
              <w:t>23</w:t>
            </w:r>
            <w:r w:rsidRPr="00ED3DCD">
              <w:rPr>
                <w:rFonts w:ascii="Arial" w:hAnsi="Arial" w:cs="Arial"/>
                <w:b/>
                <w:bCs/>
                <w:sz w:val="16"/>
                <w:szCs w:val="16"/>
              </w:rPr>
              <w:br/>
              <w:t>Actual</w:t>
            </w:r>
            <w:r w:rsidRPr="00ED3DCD">
              <w:rPr>
                <w:rFonts w:ascii="Arial" w:hAnsi="Arial" w:cs="Arial"/>
                <w:b/>
                <w:bCs/>
                <w:sz w:val="16"/>
                <w:szCs w:val="16"/>
              </w:rPr>
              <w:br/>
            </w:r>
            <w:r w:rsidRPr="00ED3DCD">
              <w:rPr>
                <w:rFonts w:ascii="Arial" w:hAnsi="Arial" w:cs="Arial"/>
                <w:b/>
                <w:bCs/>
                <w:sz w:val="16"/>
                <w:szCs w:val="16"/>
              </w:rPr>
              <w:br/>
            </w:r>
            <w:r w:rsidRPr="00ED3DCD">
              <w:rPr>
                <w:rFonts w:ascii="Arial" w:hAnsi="Arial" w:cs="Arial"/>
                <w:sz w:val="16"/>
                <w:szCs w:val="16"/>
              </w:rPr>
              <w:t>$'000</w:t>
            </w:r>
          </w:p>
        </w:tc>
        <w:tc>
          <w:tcPr>
            <w:tcW w:w="904" w:type="dxa"/>
            <w:tcBorders>
              <w:top w:val="single" w:sz="4" w:space="0" w:color="auto"/>
              <w:left w:val="nil"/>
              <w:bottom w:val="single" w:sz="4" w:space="0" w:color="auto"/>
              <w:right w:val="nil"/>
            </w:tcBorders>
            <w:shd w:val="clear" w:color="000000" w:fill="D9D9D9"/>
            <w:hideMark/>
          </w:tcPr>
          <w:p w14:paraId="0602ED6B" w14:textId="6DEEE9FB" w:rsidR="00ED3DCD" w:rsidRPr="00ED3DCD" w:rsidRDefault="00ED3DCD" w:rsidP="00ED3DCD">
            <w:pPr>
              <w:spacing w:before="24" w:after="0" w:line="240" w:lineRule="auto"/>
              <w:jc w:val="right"/>
              <w:rPr>
                <w:rFonts w:ascii="Arial" w:hAnsi="Arial" w:cs="Arial"/>
                <w:b/>
                <w:bCs/>
                <w:sz w:val="16"/>
                <w:szCs w:val="16"/>
              </w:rPr>
            </w:pPr>
            <w:r>
              <w:rPr>
                <w:rFonts w:ascii="Arial" w:hAnsi="Arial" w:cs="Arial"/>
                <w:b/>
                <w:bCs/>
                <w:sz w:val="16"/>
                <w:szCs w:val="16"/>
              </w:rPr>
              <w:t>2023–</w:t>
            </w:r>
            <w:r w:rsidRPr="00ED3DCD">
              <w:rPr>
                <w:rFonts w:ascii="Arial" w:hAnsi="Arial" w:cs="Arial"/>
                <w:b/>
                <w:bCs/>
                <w:sz w:val="16"/>
                <w:szCs w:val="16"/>
              </w:rPr>
              <w:t>24</w:t>
            </w:r>
            <w:r w:rsidRPr="00ED3DCD">
              <w:rPr>
                <w:rFonts w:ascii="Arial" w:hAnsi="Arial" w:cs="Arial"/>
                <w:b/>
                <w:bCs/>
                <w:sz w:val="16"/>
                <w:szCs w:val="16"/>
              </w:rPr>
              <w:br/>
              <w:t xml:space="preserve">Revised Budget </w:t>
            </w:r>
            <w:r w:rsidRPr="00ED3DCD">
              <w:rPr>
                <w:rFonts w:ascii="Arial" w:hAnsi="Arial" w:cs="Arial"/>
                <w:sz w:val="16"/>
                <w:szCs w:val="16"/>
              </w:rPr>
              <w:t xml:space="preserve"> </w:t>
            </w:r>
            <w:r w:rsidRPr="00ED3DCD">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hideMark/>
          </w:tcPr>
          <w:p w14:paraId="395AE36F" w14:textId="7DB9B7DE" w:rsidR="00ED3DCD" w:rsidRPr="00ED3DCD" w:rsidRDefault="00ED3DCD" w:rsidP="00ED3DCD">
            <w:pPr>
              <w:spacing w:before="24" w:after="0" w:line="240" w:lineRule="auto"/>
              <w:jc w:val="right"/>
              <w:rPr>
                <w:rFonts w:ascii="Arial" w:hAnsi="Arial" w:cs="Arial"/>
                <w:b/>
                <w:bCs/>
                <w:sz w:val="16"/>
                <w:szCs w:val="16"/>
              </w:rPr>
            </w:pPr>
            <w:r>
              <w:rPr>
                <w:rFonts w:ascii="Arial" w:hAnsi="Arial" w:cs="Arial"/>
                <w:b/>
                <w:bCs/>
                <w:sz w:val="16"/>
                <w:szCs w:val="16"/>
              </w:rPr>
              <w:t>2024–</w:t>
            </w:r>
            <w:r w:rsidRPr="00ED3DCD">
              <w:rPr>
                <w:rFonts w:ascii="Arial" w:hAnsi="Arial" w:cs="Arial"/>
                <w:b/>
                <w:bCs/>
                <w:sz w:val="16"/>
                <w:szCs w:val="16"/>
              </w:rPr>
              <w:t>25</w:t>
            </w:r>
            <w:r w:rsidRPr="00ED3DCD">
              <w:rPr>
                <w:rFonts w:ascii="Arial" w:hAnsi="Arial" w:cs="Arial"/>
                <w:b/>
                <w:bCs/>
                <w:sz w:val="16"/>
                <w:szCs w:val="16"/>
              </w:rPr>
              <w:br/>
              <w:t xml:space="preserve">Forward </w:t>
            </w:r>
            <w:r w:rsidRPr="00ED3DCD">
              <w:rPr>
                <w:rFonts w:ascii="Arial" w:hAnsi="Arial" w:cs="Arial"/>
                <w:b/>
                <w:bCs/>
                <w:sz w:val="16"/>
                <w:szCs w:val="16"/>
              </w:rPr>
              <w:br/>
              <w:t xml:space="preserve">Estimate </w:t>
            </w:r>
            <w:r w:rsidRPr="00ED3DCD">
              <w:rPr>
                <w:rFonts w:ascii="Arial" w:hAnsi="Arial" w:cs="Arial"/>
                <w:b/>
                <w:bCs/>
                <w:sz w:val="16"/>
                <w:szCs w:val="16"/>
              </w:rPr>
              <w:br/>
            </w:r>
            <w:r w:rsidRPr="00ED3DCD">
              <w:rPr>
                <w:rFonts w:ascii="Arial" w:hAnsi="Arial" w:cs="Arial"/>
                <w:sz w:val="16"/>
                <w:szCs w:val="16"/>
              </w:rPr>
              <w:t>$'000</w:t>
            </w:r>
          </w:p>
        </w:tc>
        <w:tc>
          <w:tcPr>
            <w:tcW w:w="905" w:type="dxa"/>
            <w:tcBorders>
              <w:top w:val="single" w:sz="4" w:space="0" w:color="auto"/>
              <w:left w:val="nil"/>
              <w:bottom w:val="single" w:sz="4" w:space="0" w:color="auto"/>
              <w:right w:val="nil"/>
            </w:tcBorders>
            <w:shd w:val="clear" w:color="auto" w:fill="auto"/>
            <w:hideMark/>
          </w:tcPr>
          <w:p w14:paraId="6ED3F0B0" w14:textId="740469C9" w:rsidR="00ED3DCD" w:rsidRPr="00ED3DCD" w:rsidRDefault="00ED3DCD" w:rsidP="00ED3DCD">
            <w:pPr>
              <w:spacing w:before="24" w:after="0" w:line="240" w:lineRule="auto"/>
              <w:jc w:val="right"/>
              <w:rPr>
                <w:rFonts w:ascii="Arial" w:hAnsi="Arial" w:cs="Arial"/>
                <w:b/>
                <w:bCs/>
                <w:sz w:val="16"/>
                <w:szCs w:val="16"/>
              </w:rPr>
            </w:pPr>
            <w:r>
              <w:rPr>
                <w:rFonts w:ascii="Arial" w:hAnsi="Arial" w:cs="Arial"/>
                <w:b/>
                <w:bCs/>
                <w:sz w:val="16"/>
                <w:szCs w:val="16"/>
              </w:rPr>
              <w:t>2025–</w:t>
            </w:r>
            <w:r w:rsidRPr="00ED3DCD">
              <w:rPr>
                <w:rFonts w:ascii="Arial" w:hAnsi="Arial" w:cs="Arial"/>
                <w:b/>
                <w:bCs/>
                <w:sz w:val="16"/>
                <w:szCs w:val="16"/>
              </w:rPr>
              <w:t>26</w:t>
            </w:r>
            <w:r w:rsidRPr="00ED3DCD">
              <w:rPr>
                <w:rFonts w:ascii="Arial" w:hAnsi="Arial" w:cs="Arial"/>
                <w:b/>
                <w:bCs/>
                <w:sz w:val="16"/>
                <w:szCs w:val="16"/>
              </w:rPr>
              <w:br/>
              <w:t xml:space="preserve">Forward </w:t>
            </w:r>
            <w:r w:rsidRPr="00ED3DCD">
              <w:rPr>
                <w:rFonts w:ascii="Arial" w:hAnsi="Arial" w:cs="Arial"/>
                <w:b/>
                <w:bCs/>
                <w:sz w:val="16"/>
                <w:szCs w:val="16"/>
              </w:rPr>
              <w:br/>
              <w:t xml:space="preserve">Estimate </w:t>
            </w:r>
            <w:r w:rsidRPr="00ED3DCD">
              <w:rPr>
                <w:rFonts w:ascii="Arial" w:hAnsi="Arial" w:cs="Arial"/>
                <w:b/>
                <w:bCs/>
                <w:sz w:val="16"/>
                <w:szCs w:val="16"/>
              </w:rPr>
              <w:br/>
            </w:r>
            <w:r w:rsidRPr="00ED3DCD">
              <w:rPr>
                <w:rFonts w:ascii="Arial" w:hAnsi="Arial" w:cs="Arial"/>
                <w:sz w:val="16"/>
                <w:szCs w:val="16"/>
              </w:rPr>
              <w:t>$'000</w:t>
            </w:r>
          </w:p>
        </w:tc>
        <w:tc>
          <w:tcPr>
            <w:tcW w:w="905" w:type="dxa"/>
            <w:tcBorders>
              <w:top w:val="single" w:sz="4" w:space="0" w:color="auto"/>
              <w:left w:val="nil"/>
              <w:bottom w:val="single" w:sz="4" w:space="0" w:color="auto"/>
              <w:right w:val="nil"/>
            </w:tcBorders>
            <w:shd w:val="clear" w:color="auto" w:fill="auto"/>
            <w:hideMark/>
          </w:tcPr>
          <w:p w14:paraId="53C58832" w14:textId="43D561B9" w:rsidR="00ED3DCD" w:rsidRPr="00ED3DCD" w:rsidRDefault="00ED3DCD" w:rsidP="00ED3DCD">
            <w:pPr>
              <w:spacing w:before="24" w:after="0" w:line="240" w:lineRule="auto"/>
              <w:jc w:val="right"/>
              <w:rPr>
                <w:rFonts w:ascii="Arial" w:hAnsi="Arial" w:cs="Arial"/>
                <w:b/>
                <w:bCs/>
                <w:sz w:val="16"/>
                <w:szCs w:val="16"/>
              </w:rPr>
            </w:pPr>
            <w:r>
              <w:rPr>
                <w:rFonts w:ascii="Arial" w:hAnsi="Arial" w:cs="Arial"/>
                <w:b/>
                <w:bCs/>
                <w:sz w:val="16"/>
                <w:szCs w:val="16"/>
              </w:rPr>
              <w:t>2026–</w:t>
            </w:r>
            <w:r w:rsidRPr="00ED3DCD">
              <w:rPr>
                <w:rFonts w:ascii="Arial" w:hAnsi="Arial" w:cs="Arial"/>
                <w:b/>
                <w:bCs/>
                <w:sz w:val="16"/>
                <w:szCs w:val="16"/>
              </w:rPr>
              <w:t>27</w:t>
            </w:r>
            <w:r w:rsidRPr="00ED3DCD">
              <w:rPr>
                <w:rFonts w:ascii="Arial" w:hAnsi="Arial" w:cs="Arial"/>
                <w:b/>
                <w:bCs/>
                <w:sz w:val="16"/>
                <w:szCs w:val="16"/>
              </w:rPr>
              <w:br/>
              <w:t xml:space="preserve">Forward </w:t>
            </w:r>
            <w:r w:rsidRPr="00ED3DCD">
              <w:rPr>
                <w:rFonts w:ascii="Arial" w:hAnsi="Arial" w:cs="Arial"/>
                <w:b/>
                <w:bCs/>
                <w:sz w:val="16"/>
                <w:szCs w:val="16"/>
              </w:rPr>
              <w:br/>
              <w:t xml:space="preserve">Estimate </w:t>
            </w:r>
            <w:r w:rsidRPr="00ED3DCD">
              <w:rPr>
                <w:rFonts w:ascii="Arial" w:hAnsi="Arial" w:cs="Arial"/>
                <w:b/>
                <w:bCs/>
                <w:sz w:val="16"/>
                <w:szCs w:val="16"/>
              </w:rPr>
              <w:br/>
            </w:r>
            <w:r w:rsidRPr="00ED3DCD">
              <w:rPr>
                <w:rFonts w:ascii="Arial" w:hAnsi="Arial" w:cs="Arial"/>
                <w:sz w:val="16"/>
                <w:szCs w:val="16"/>
              </w:rPr>
              <w:t>$'000</w:t>
            </w:r>
          </w:p>
        </w:tc>
      </w:tr>
      <w:tr w:rsidR="00ED3DCD" w:rsidRPr="00ED3DCD" w14:paraId="7C05516A" w14:textId="77777777" w:rsidTr="00ED3DCD">
        <w:trPr>
          <w:trHeight w:val="454"/>
          <w:jc w:val="center"/>
        </w:trPr>
        <w:tc>
          <w:tcPr>
            <w:tcW w:w="3177" w:type="dxa"/>
            <w:tcBorders>
              <w:top w:val="nil"/>
              <w:left w:val="nil"/>
              <w:bottom w:val="nil"/>
              <w:right w:val="nil"/>
            </w:tcBorders>
            <w:shd w:val="clear" w:color="auto" w:fill="auto"/>
            <w:vAlign w:val="bottom"/>
            <w:hideMark/>
          </w:tcPr>
          <w:p w14:paraId="0D14549A" w14:textId="77777777" w:rsidR="00ED3DCD" w:rsidRPr="00ED3DCD" w:rsidRDefault="00ED3DCD" w:rsidP="00ED3DCD">
            <w:pPr>
              <w:spacing w:before="0" w:after="0" w:line="240" w:lineRule="auto"/>
              <w:rPr>
                <w:rFonts w:ascii="Arial" w:hAnsi="Arial" w:cs="Arial"/>
                <w:b/>
                <w:bCs/>
                <w:color w:val="000000"/>
                <w:sz w:val="16"/>
                <w:szCs w:val="16"/>
              </w:rPr>
            </w:pPr>
            <w:r w:rsidRPr="00ED3DCD">
              <w:rPr>
                <w:rFonts w:ascii="Arial" w:hAnsi="Arial" w:cs="Arial"/>
                <w:b/>
                <w:bCs/>
                <w:color w:val="000000"/>
                <w:sz w:val="16"/>
                <w:szCs w:val="16"/>
              </w:rPr>
              <w:t>ASSETS ADMINISTERED ON BEHALF OF GOVERNMENT</w:t>
            </w:r>
          </w:p>
        </w:tc>
        <w:tc>
          <w:tcPr>
            <w:tcW w:w="904" w:type="dxa"/>
            <w:tcBorders>
              <w:top w:val="nil"/>
              <w:left w:val="nil"/>
              <w:bottom w:val="nil"/>
              <w:right w:val="nil"/>
            </w:tcBorders>
            <w:shd w:val="clear" w:color="auto" w:fill="auto"/>
            <w:noWrap/>
            <w:vAlign w:val="bottom"/>
            <w:hideMark/>
          </w:tcPr>
          <w:p w14:paraId="5FFE60B3" w14:textId="77777777" w:rsidR="00ED3DCD" w:rsidRPr="00ED3DCD" w:rsidRDefault="00ED3DCD" w:rsidP="00ED3DCD">
            <w:pPr>
              <w:spacing w:before="0" w:after="0" w:line="240" w:lineRule="auto"/>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3CD09B2E"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29DDF99F"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43BE0E4C"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6D3742A9"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336E1FD3"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731151CE"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Financial assets</w:t>
            </w:r>
          </w:p>
        </w:tc>
        <w:tc>
          <w:tcPr>
            <w:tcW w:w="904" w:type="dxa"/>
            <w:tcBorders>
              <w:top w:val="nil"/>
              <w:left w:val="nil"/>
              <w:bottom w:val="nil"/>
              <w:right w:val="nil"/>
            </w:tcBorders>
            <w:shd w:val="clear" w:color="auto" w:fill="auto"/>
            <w:noWrap/>
            <w:vAlign w:val="bottom"/>
            <w:hideMark/>
          </w:tcPr>
          <w:p w14:paraId="7A7C473D" w14:textId="77777777" w:rsidR="00ED3DCD" w:rsidRPr="00ED3DCD" w:rsidRDefault="00ED3DCD" w:rsidP="00ED3DCD">
            <w:pPr>
              <w:spacing w:before="0" w:after="0" w:line="240" w:lineRule="auto"/>
              <w:ind w:firstLineChars="100" w:firstLine="161"/>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0CC5F5A9"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216E09AC"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1575C495"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62034B56"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46758A73"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22C7A59D" w14:textId="77777777" w:rsidR="00ED3DCD" w:rsidRPr="00ED3DCD" w:rsidRDefault="00ED3DCD" w:rsidP="0048588C">
            <w:pPr>
              <w:spacing w:before="0" w:after="0" w:line="240" w:lineRule="auto"/>
              <w:ind w:leftChars="150" w:left="285"/>
              <w:rPr>
                <w:rFonts w:ascii="Arial" w:hAnsi="Arial" w:cs="Arial"/>
                <w:sz w:val="16"/>
                <w:szCs w:val="16"/>
              </w:rPr>
            </w:pPr>
            <w:r w:rsidRPr="00ED3DCD">
              <w:rPr>
                <w:rFonts w:ascii="Arial" w:hAnsi="Arial" w:cs="Arial"/>
                <w:sz w:val="16"/>
                <w:szCs w:val="16"/>
              </w:rPr>
              <w:t>Cash and cash equivalents</w:t>
            </w:r>
          </w:p>
        </w:tc>
        <w:tc>
          <w:tcPr>
            <w:tcW w:w="904" w:type="dxa"/>
            <w:tcBorders>
              <w:top w:val="nil"/>
              <w:left w:val="nil"/>
              <w:bottom w:val="nil"/>
              <w:right w:val="nil"/>
            </w:tcBorders>
            <w:shd w:val="clear" w:color="auto" w:fill="auto"/>
            <w:noWrap/>
            <w:tcMar>
              <w:left w:w="0" w:type="dxa"/>
            </w:tcMar>
            <w:vAlign w:val="bottom"/>
            <w:hideMark/>
          </w:tcPr>
          <w:p w14:paraId="60294835"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5,771,376</w:t>
            </w:r>
          </w:p>
        </w:tc>
        <w:tc>
          <w:tcPr>
            <w:tcW w:w="904" w:type="dxa"/>
            <w:tcBorders>
              <w:top w:val="nil"/>
              <w:left w:val="nil"/>
              <w:bottom w:val="nil"/>
              <w:right w:val="nil"/>
            </w:tcBorders>
            <w:shd w:val="clear" w:color="000000" w:fill="D9D9D9"/>
            <w:noWrap/>
            <w:tcMar>
              <w:left w:w="0" w:type="dxa"/>
            </w:tcMar>
            <w:vAlign w:val="bottom"/>
            <w:hideMark/>
          </w:tcPr>
          <w:p w14:paraId="2AC400B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5,833,497</w:t>
            </w:r>
          </w:p>
        </w:tc>
        <w:tc>
          <w:tcPr>
            <w:tcW w:w="905" w:type="dxa"/>
            <w:tcBorders>
              <w:top w:val="nil"/>
              <w:left w:val="nil"/>
              <w:bottom w:val="nil"/>
              <w:right w:val="nil"/>
            </w:tcBorders>
            <w:shd w:val="clear" w:color="auto" w:fill="auto"/>
            <w:noWrap/>
            <w:tcMar>
              <w:left w:w="0" w:type="dxa"/>
            </w:tcMar>
            <w:vAlign w:val="bottom"/>
            <w:hideMark/>
          </w:tcPr>
          <w:p w14:paraId="3C5CD9D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5,833,497</w:t>
            </w:r>
          </w:p>
        </w:tc>
        <w:tc>
          <w:tcPr>
            <w:tcW w:w="905" w:type="dxa"/>
            <w:tcBorders>
              <w:top w:val="nil"/>
              <w:left w:val="nil"/>
              <w:bottom w:val="nil"/>
              <w:right w:val="nil"/>
            </w:tcBorders>
            <w:shd w:val="clear" w:color="auto" w:fill="auto"/>
            <w:noWrap/>
            <w:tcMar>
              <w:left w:w="0" w:type="dxa"/>
            </w:tcMar>
            <w:vAlign w:val="bottom"/>
            <w:hideMark/>
          </w:tcPr>
          <w:p w14:paraId="511E6AD1"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5,833,497</w:t>
            </w:r>
          </w:p>
        </w:tc>
        <w:tc>
          <w:tcPr>
            <w:tcW w:w="905" w:type="dxa"/>
            <w:tcBorders>
              <w:top w:val="nil"/>
              <w:left w:val="nil"/>
              <w:bottom w:val="nil"/>
              <w:right w:val="nil"/>
            </w:tcBorders>
            <w:shd w:val="clear" w:color="auto" w:fill="auto"/>
            <w:noWrap/>
            <w:tcMar>
              <w:left w:w="0" w:type="dxa"/>
            </w:tcMar>
            <w:vAlign w:val="bottom"/>
            <w:hideMark/>
          </w:tcPr>
          <w:p w14:paraId="16F4BFFA"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5,833,497</w:t>
            </w:r>
          </w:p>
        </w:tc>
      </w:tr>
      <w:tr w:rsidR="00ED3DCD" w:rsidRPr="00ED3DCD" w14:paraId="1C742DF9"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264D3333"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Receivables</w:t>
            </w:r>
          </w:p>
        </w:tc>
        <w:tc>
          <w:tcPr>
            <w:tcW w:w="904" w:type="dxa"/>
            <w:tcBorders>
              <w:top w:val="nil"/>
              <w:left w:val="nil"/>
              <w:bottom w:val="nil"/>
              <w:right w:val="nil"/>
            </w:tcBorders>
            <w:shd w:val="clear" w:color="auto" w:fill="auto"/>
            <w:noWrap/>
            <w:tcMar>
              <w:left w:w="0" w:type="dxa"/>
            </w:tcMar>
            <w:vAlign w:val="bottom"/>
            <w:hideMark/>
          </w:tcPr>
          <w:p w14:paraId="7AB1E1B2"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1,667,668</w:t>
            </w:r>
          </w:p>
        </w:tc>
        <w:tc>
          <w:tcPr>
            <w:tcW w:w="904" w:type="dxa"/>
            <w:tcBorders>
              <w:top w:val="nil"/>
              <w:left w:val="nil"/>
              <w:bottom w:val="nil"/>
              <w:right w:val="nil"/>
            </w:tcBorders>
            <w:shd w:val="clear" w:color="000000" w:fill="D9D9D9"/>
            <w:noWrap/>
            <w:tcMar>
              <w:left w:w="0" w:type="dxa"/>
            </w:tcMar>
            <w:vAlign w:val="bottom"/>
            <w:hideMark/>
          </w:tcPr>
          <w:p w14:paraId="152C7662"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1,593,353</w:t>
            </w:r>
          </w:p>
        </w:tc>
        <w:tc>
          <w:tcPr>
            <w:tcW w:w="905" w:type="dxa"/>
            <w:tcBorders>
              <w:top w:val="nil"/>
              <w:left w:val="nil"/>
              <w:bottom w:val="nil"/>
              <w:right w:val="nil"/>
            </w:tcBorders>
            <w:shd w:val="clear" w:color="auto" w:fill="auto"/>
            <w:noWrap/>
            <w:tcMar>
              <w:left w:w="0" w:type="dxa"/>
            </w:tcMar>
            <w:vAlign w:val="bottom"/>
            <w:hideMark/>
          </w:tcPr>
          <w:p w14:paraId="65C645DF"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1,557,071</w:t>
            </w:r>
          </w:p>
        </w:tc>
        <w:tc>
          <w:tcPr>
            <w:tcW w:w="905" w:type="dxa"/>
            <w:tcBorders>
              <w:top w:val="nil"/>
              <w:left w:val="nil"/>
              <w:bottom w:val="nil"/>
              <w:right w:val="nil"/>
            </w:tcBorders>
            <w:shd w:val="clear" w:color="auto" w:fill="auto"/>
            <w:noWrap/>
            <w:tcMar>
              <w:left w:w="0" w:type="dxa"/>
            </w:tcMar>
            <w:vAlign w:val="bottom"/>
            <w:hideMark/>
          </w:tcPr>
          <w:p w14:paraId="027365AA"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1,536,729</w:t>
            </w:r>
          </w:p>
        </w:tc>
        <w:tc>
          <w:tcPr>
            <w:tcW w:w="905" w:type="dxa"/>
            <w:tcBorders>
              <w:top w:val="nil"/>
              <w:left w:val="nil"/>
              <w:bottom w:val="nil"/>
              <w:right w:val="nil"/>
            </w:tcBorders>
            <w:shd w:val="clear" w:color="auto" w:fill="auto"/>
            <w:noWrap/>
            <w:tcMar>
              <w:left w:w="0" w:type="dxa"/>
            </w:tcMar>
            <w:vAlign w:val="bottom"/>
            <w:hideMark/>
          </w:tcPr>
          <w:p w14:paraId="200FE295"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1,516,951</w:t>
            </w:r>
          </w:p>
        </w:tc>
      </w:tr>
      <w:tr w:rsidR="00ED3DCD" w:rsidRPr="00ED3DCD" w14:paraId="0F9911BF"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30146AA5"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Investments</w:t>
            </w:r>
          </w:p>
        </w:tc>
        <w:tc>
          <w:tcPr>
            <w:tcW w:w="904" w:type="dxa"/>
            <w:tcBorders>
              <w:top w:val="nil"/>
              <w:left w:val="nil"/>
              <w:bottom w:val="nil"/>
              <w:right w:val="nil"/>
            </w:tcBorders>
            <w:shd w:val="clear" w:color="auto" w:fill="auto"/>
            <w:noWrap/>
            <w:vAlign w:val="bottom"/>
            <w:hideMark/>
          </w:tcPr>
          <w:p w14:paraId="1A4C16D5"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721,409</w:t>
            </w:r>
          </w:p>
        </w:tc>
        <w:tc>
          <w:tcPr>
            <w:tcW w:w="904" w:type="dxa"/>
            <w:tcBorders>
              <w:top w:val="nil"/>
              <w:left w:val="nil"/>
              <w:bottom w:val="nil"/>
              <w:right w:val="nil"/>
            </w:tcBorders>
            <w:shd w:val="clear" w:color="000000" w:fill="D9D9D9"/>
            <w:noWrap/>
            <w:vAlign w:val="bottom"/>
            <w:hideMark/>
          </w:tcPr>
          <w:p w14:paraId="7414A984"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754,730</w:t>
            </w:r>
          </w:p>
        </w:tc>
        <w:tc>
          <w:tcPr>
            <w:tcW w:w="905" w:type="dxa"/>
            <w:tcBorders>
              <w:top w:val="nil"/>
              <w:left w:val="nil"/>
              <w:bottom w:val="nil"/>
              <w:right w:val="nil"/>
            </w:tcBorders>
            <w:shd w:val="clear" w:color="auto" w:fill="auto"/>
            <w:noWrap/>
            <w:vAlign w:val="bottom"/>
            <w:hideMark/>
          </w:tcPr>
          <w:p w14:paraId="57B81960"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795,162</w:t>
            </w:r>
          </w:p>
        </w:tc>
        <w:tc>
          <w:tcPr>
            <w:tcW w:w="905" w:type="dxa"/>
            <w:tcBorders>
              <w:top w:val="nil"/>
              <w:left w:val="nil"/>
              <w:bottom w:val="nil"/>
              <w:right w:val="nil"/>
            </w:tcBorders>
            <w:shd w:val="clear" w:color="auto" w:fill="auto"/>
            <w:noWrap/>
            <w:vAlign w:val="bottom"/>
            <w:hideMark/>
          </w:tcPr>
          <w:p w14:paraId="4CB24B6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801,459</w:t>
            </w:r>
          </w:p>
        </w:tc>
        <w:tc>
          <w:tcPr>
            <w:tcW w:w="905" w:type="dxa"/>
            <w:tcBorders>
              <w:top w:val="nil"/>
              <w:left w:val="nil"/>
              <w:bottom w:val="nil"/>
              <w:right w:val="nil"/>
            </w:tcBorders>
            <w:shd w:val="clear" w:color="auto" w:fill="auto"/>
            <w:noWrap/>
            <w:vAlign w:val="bottom"/>
            <w:hideMark/>
          </w:tcPr>
          <w:p w14:paraId="6F043603"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807,104</w:t>
            </w:r>
          </w:p>
        </w:tc>
      </w:tr>
      <w:tr w:rsidR="00ED3DCD" w:rsidRPr="00ED3DCD" w14:paraId="45851735"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7E4A7B37" w14:textId="77777777" w:rsidR="00ED3DCD" w:rsidRPr="00ED3DCD" w:rsidRDefault="00ED3DCD" w:rsidP="0048588C">
            <w:pPr>
              <w:spacing w:before="0" w:after="0" w:line="240" w:lineRule="auto"/>
              <w:ind w:leftChars="150" w:left="285"/>
              <w:rPr>
                <w:rFonts w:ascii="Arial" w:hAnsi="Arial" w:cs="Arial"/>
                <w:b/>
                <w:bCs/>
                <w:color w:val="000000"/>
                <w:sz w:val="16"/>
                <w:szCs w:val="16"/>
              </w:rPr>
            </w:pPr>
            <w:r w:rsidRPr="00ED3DCD">
              <w:rPr>
                <w:rFonts w:ascii="Arial" w:hAnsi="Arial" w:cs="Arial"/>
                <w:b/>
                <w:bCs/>
                <w:color w:val="000000"/>
                <w:sz w:val="16"/>
                <w:szCs w:val="16"/>
              </w:rPr>
              <w:t>Total financial assets</w:t>
            </w:r>
          </w:p>
        </w:tc>
        <w:tc>
          <w:tcPr>
            <w:tcW w:w="904" w:type="dxa"/>
            <w:tcBorders>
              <w:top w:val="nil"/>
              <w:left w:val="nil"/>
              <w:bottom w:val="single" w:sz="4" w:space="0" w:color="auto"/>
              <w:right w:val="nil"/>
            </w:tcBorders>
            <w:shd w:val="clear" w:color="auto" w:fill="auto"/>
            <w:noWrap/>
            <w:tcMar>
              <w:left w:w="0" w:type="dxa"/>
            </w:tcMar>
            <w:vAlign w:val="bottom"/>
            <w:hideMark/>
          </w:tcPr>
          <w:p w14:paraId="0A65DAFB"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8,160,453</w:t>
            </w:r>
          </w:p>
        </w:tc>
        <w:tc>
          <w:tcPr>
            <w:tcW w:w="904" w:type="dxa"/>
            <w:tcBorders>
              <w:top w:val="nil"/>
              <w:left w:val="nil"/>
              <w:bottom w:val="single" w:sz="4" w:space="0" w:color="auto"/>
              <w:right w:val="nil"/>
            </w:tcBorders>
            <w:shd w:val="clear" w:color="000000" w:fill="D9D9D9"/>
            <w:noWrap/>
            <w:tcMar>
              <w:left w:w="0" w:type="dxa"/>
            </w:tcMar>
            <w:vAlign w:val="bottom"/>
            <w:hideMark/>
          </w:tcPr>
          <w:p w14:paraId="008E752D"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8,181,580</w:t>
            </w:r>
          </w:p>
        </w:tc>
        <w:tc>
          <w:tcPr>
            <w:tcW w:w="905" w:type="dxa"/>
            <w:tcBorders>
              <w:top w:val="nil"/>
              <w:left w:val="nil"/>
              <w:bottom w:val="single" w:sz="4" w:space="0" w:color="auto"/>
              <w:right w:val="nil"/>
            </w:tcBorders>
            <w:shd w:val="clear" w:color="auto" w:fill="auto"/>
            <w:noWrap/>
            <w:tcMar>
              <w:left w:w="0" w:type="dxa"/>
            </w:tcMar>
            <w:vAlign w:val="bottom"/>
            <w:hideMark/>
          </w:tcPr>
          <w:p w14:paraId="7431F658"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8,185,730</w:t>
            </w:r>
          </w:p>
        </w:tc>
        <w:tc>
          <w:tcPr>
            <w:tcW w:w="905" w:type="dxa"/>
            <w:tcBorders>
              <w:top w:val="nil"/>
              <w:left w:val="nil"/>
              <w:bottom w:val="single" w:sz="4" w:space="0" w:color="auto"/>
              <w:right w:val="nil"/>
            </w:tcBorders>
            <w:shd w:val="clear" w:color="auto" w:fill="auto"/>
            <w:noWrap/>
            <w:tcMar>
              <w:left w:w="0" w:type="dxa"/>
            </w:tcMar>
            <w:vAlign w:val="bottom"/>
            <w:hideMark/>
          </w:tcPr>
          <w:p w14:paraId="3BC4743F"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8,171,685</w:t>
            </w:r>
          </w:p>
        </w:tc>
        <w:tc>
          <w:tcPr>
            <w:tcW w:w="905" w:type="dxa"/>
            <w:tcBorders>
              <w:top w:val="nil"/>
              <w:left w:val="nil"/>
              <w:bottom w:val="single" w:sz="4" w:space="0" w:color="auto"/>
              <w:right w:val="nil"/>
            </w:tcBorders>
            <w:shd w:val="clear" w:color="auto" w:fill="auto"/>
            <w:noWrap/>
            <w:tcMar>
              <w:left w:w="0" w:type="dxa"/>
            </w:tcMar>
            <w:vAlign w:val="bottom"/>
            <w:hideMark/>
          </w:tcPr>
          <w:p w14:paraId="7AAC7803"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8,157,552</w:t>
            </w:r>
          </w:p>
        </w:tc>
      </w:tr>
      <w:tr w:rsidR="00ED3DCD" w:rsidRPr="00ED3DCD" w14:paraId="59BC26A4" w14:textId="77777777" w:rsidTr="00ED3DCD">
        <w:trPr>
          <w:trHeight w:val="283"/>
          <w:jc w:val="center"/>
        </w:trPr>
        <w:tc>
          <w:tcPr>
            <w:tcW w:w="3177" w:type="dxa"/>
            <w:tcBorders>
              <w:top w:val="nil"/>
              <w:left w:val="nil"/>
              <w:bottom w:val="nil"/>
              <w:right w:val="nil"/>
            </w:tcBorders>
            <w:shd w:val="clear" w:color="auto" w:fill="auto"/>
            <w:noWrap/>
            <w:vAlign w:val="bottom"/>
            <w:hideMark/>
          </w:tcPr>
          <w:p w14:paraId="1DD81982"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Non-financial assets</w:t>
            </w:r>
          </w:p>
        </w:tc>
        <w:tc>
          <w:tcPr>
            <w:tcW w:w="904" w:type="dxa"/>
            <w:tcBorders>
              <w:top w:val="nil"/>
              <w:left w:val="nil"/>
              <w:bottom w:val="nil"/>
              <w:right w:val="nil"/>
            </w:tcBorders>
            <w:shd w:val="clear" w:color="auto" w:fill="auto"/>
            <w:noWrap/>
            <w:vAlign w:val="bottom"/>
            <w:hideMark/>
          </w:tcPr>
          <w:p w14:paraId="06574E1F" w14:textId="77777777" w:rsidR="00ED3DCD" w:rsidRPr="00ED3DCD" w:rsidRDefault="00ED3DCD" w:rsidP="00ED3DCD">
            <w:pPr>
              <w:spacing w:before="0" w:after="0" w:line="240" w:lineRule="auto"/>
              <w:ind w:firstLineChars="100" w:firstLine="161"/>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5E5CB016"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24DC1802"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2A91BA4D"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33A4F0F1"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0DEA8375"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22233A4C"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 xml:space="preserve">Infrastructure, </w:t>
            </w:r>
            <w:proofErr w:type="gramStart"/>
            <w:r w:rsidRPr="00ED3DCD">
              <w:rPr>
                <w:rFonts w:ascii="Arial" w:hAnsi="Arial" w:cs="Arial"/>
                <w:color w:val="000000"/>
                <w:sz w:val="16"/>
                <w:szCs w:val="16"/>
              </w:rPr>
              <w:t>plant</w:t>
            </w:r>
            <w:proofErr w:type="gramEnd"/>
            <w:r w:rsidRPr="00ED3DCD">
              <w:rPr>
                <w:rFonts w:ascii="Arial" w:hAnsi="Arial" w:cs="Arial"/>
                <w:color w:val="000000"/>
                <w:sz w:val="16"/>
                <w:szCs w:val="16"/>
              </w:rPr>
              <w:t xml:space="preserve"> and equipment</w:t>
            </w:r>
          </w:p>
        </w:tc>
        <w:tc>
          <w:tcPr>
            <w:tcW w:w="904" w:type="dxa"/>
            <w:tcBorders>
              <w:top w:val="nil"/>
              <w:left w:val="nil"/>
              <w:bottom w:val="nil"/>
              <w:right w:val="nil"/>
            </w:tcBorders>
            <w:shd w:val="clear" w:color="auto" w:fill="auto"/>
            <w:noWrap/>
            <w:vAlign w:val="bottom"/>
            <w:hideMark/>
          </w:tcPr>
          <w:p w14:paraId="3C802B7C"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3,161</w:t>
            </w:r>
          </w:p>
        </w:tc>
        <w:tc>
          <w:tcPr>
            <w:tcW w:w="904" w:type="dxa"/>
            <w:tcBorders>
              <w:top w:val="nil"/>
              <w:left w:val="nil"/>
              <w:bottom w:val="nil"/>
              <w:right w:val="nil"/>
            </w:tcBorders>
            <w:shd w:val="clear" w:color="000000" w:fill="D9D9D9"/>
            <w:noWrap/>
            <w:vAlign w:val="bottom"/>
            <w:hideMark/>
          </w:tcPr>
          <w:p w14:paraId="1C10FE87"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1,450</w:t>
            </w:r>
          </w:p>
        </w:tc>
        <w:tc>
          <w:tcPr>
            <w:tcW w:w="905" w:type="dxa"/>
            <w:tcBorders>
              <w:top w:val="nil"/>
              <w:left w:val="nil"/>
              <w:bottom w:val="nil"/>
              <w:right w:val="nil"/>
            </w:tcBorders>
            <w:shd w:val="clear" w:color="auto" w:fill="auto"/>
            <w:noWrap/>
            <w:vAlign w:val="bottom"/>
            <w:hideMark/>
          </w:tcPr>
          <w:p w14:paraId="530149A6"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8</w:t>
            </w:r>
          </w:p>
        </w:tc>
        <w:tc>
          <w:tcPr>
            <w:tcW w:w="905" w:type="dxa"/>
            <w:tcBorders>
              <w:top w:val="nil"/>
              <w:left w:val="nil"/>
              <w:bottom w:val="nil"/>
              <w:right w:val="nil"/>
            </w:tcBorders>
            <w:shd w:val="clear" w:color="auto" w:fill="auto"/>
            <w:noWrap/>
            <w:vAlign w:val="bottom"/>
            <w:hideMark/>
          </w:tcPr>
          <w:p w14:paraId="73733F84"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8</w:t>
            </w:r>
          </w:p>
        </w:tc>
        <w:tc>
          <w:tcPr>
            <w:tcW w:w="905" w:type="dxa"/>
            <w:tcBorders>
              <w:top w:val="nil"/>
              <w:left w:val="nil"/>
              <w:bottom w:val="nil"/>
              <w:right w:val="nil"/>
            </w:tcBorders>
            <w:shd w:val="clear" w:color="auto" w:fill="auto"/>
            <w:noWrap/>
            <w:vAlign w:val="bottom"/>
            <w:hideMark/>
          </w:tcPr>
          <w:p w14:paraId="27589F78"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8</w:t>
            </w:r>
          </w:p>
        </w:tc>
      </w:tr>
      <w:tr w:rsidR="00ED3DCD" w:rsidRPr="00ED3DCD" w14:paraId="4F34A469"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78C1D034"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Inventories</w:t>
            </w:r>
          </w:p>
        </w:tc>
        <w:tc>
          <w:tcPr>
            <w:tcW w:w="904" w:type="dxa"/>
            <w:tcBorders>
              <w:top w:val="nil"/>
              <w:left w:val="nil"/>
              <w:bottom w:val="nil"/>
              <w:right w:val="nil"/>
            </w:tcBorders>
            <w:shd w:val="clear" w:color="auto" w:fill="auto"/>
            <w:noWrap/>
            <w:tcMar>
              <w:left w:w="0" w:type="dxa"/>
            </w:tcMar>
            <w:vAlign w:val="bottom"/>
            <w:hideMark/>
          </w:tcPr>
          <w:p w14:paraId="3E5D5DA4"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3,080,003</w:t>
            </w:r>
          </w:p>
        </w:tc>
        <w:tc>
          <w:tcPr>
            <w:tcW w:w="904" w:type="dxa"/>
            <w:tcBorders>
              <w:top w:val="nil"/>
              <w:left w:val="nil"/>
              <w:bottom w:val="nil"/>
              <w:right w:val="nil"/>
            </w:tcBorders>
            <w:shd w:val="clear" w:color="000000" w:fill="D9D9D9"/>
            <w:noWrap/>
            <w:tcMar>
              <w:left w:w="0" w:type="dxa"/>
            </w:tcMar>
            <w:vAlign w:val="bottom"/>
            <w:hideMark/>
          </w:tcPr>
          <w:p w14:paraId="1EDE3512"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2,000,714</w:t>
            </w:r>
          </w:p>
        </w:tc>
        <w:tc>
          <w:tcPr>
            <w:tcW w:w="905" w:type="dxa"/>
            <w:tcBorders>
              <w:top w:val="nil"/>
              <w:left w:val="nil"/>
              <w:bottom w:val="nil"/>
              <w:right w:val="nil"/>
            </w:tcBorders>
            <w:shd w:val="clear" w:color="auto" w:fill="auto"/>
            <w:noWrap/>
            <w:tcMar>
              <w:left w:w="0" w:type="dxa"/>
            </w:tcMar>
            <w:vAlign w:val="bottom"/>
            <w:hideMark/>
          </w:tcPr>
          <w:p w14:paraId="4DA6BADF"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1,990,360</w:t>
            </w:r>
          </w:p>
        </w:tc>
        <w:tc>
          <w:tcPr>
            <w:tcW w:w="905" w:type="dxa"/>
            <w:tcBorders>
              <w:top w:val="nil"/>
              <w:left w:val="nil"/>
              <w:bottom w:val="nil"/>
              <w:right w:val="nil"/>
            </w:tcBorders>
            <w:shd w:val="clear" w:color="auto" w:fill="auto"/>
            <w:noWrap/>
            <w:tcMar>
              <w:left w:w="0" w:type="dxa"/>
            </w:tcMar>
            <w:vAlign w:val="bottom"/>
            <w:hideMark/>
          </w:tcPr>
          <w:p w14:paraId="105BD3D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1,976,919</w:t>
            </w:r>
          </w:p>
        </w:tc>
        <w:tc>
          <w:tcPr>
            <w:tcW w:w="905" w:type="dxa"/>
            <w:tcBorders>
              <w:top w:val="nil"/>
              <w:left w:val="nil"/>
              <w:bottom w:val="nil"/>
              <w:right w:val="nil"/>
            </w:tcBorders>
            <w:shd w:val="clear" w:color="auto" w:fill="auto"/>
            <w:noWrap/>
            <w:tcMar>
              <w:left w:w="0" w:type="dxa"/>
            </w:tcMar>
            <w:vAlign w:val="bottom"/>
            <w:hideMark/>
          </w:tcPr>
          <w:p w14:paraId="2DDB400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1,960,390</w:t>
            </w:r>
          </w:p>
        </w:tc>
      </w:tr>
      <w:tr w:rsidR="00ED3DCD" w:rsidRPr="00ED3DCD" w14:paraId="010DBA1C"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319435C0"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Prepayments</w:t>
            </w:r>
          </w:p>
        </w:tc>
        <w:tc>
          <w:tcPr>
            <w:tcW w:w="904" w:type="dxa"/>
            <w:tcBorders>
              <w:top w:val="nil"/>
              <w:left w:val="nil"/>
              <w:bottom w:val="nil"/>
              <w:right w:val="nil"/>
            </w:tcBorders>
            <w:shd w:val="clear" w:color="auto" w:fill="auto"/>
            <w:noWrap/>
            <w:vAlign w:val="bottom"/>
            <w:hideMark/>
          </w:tcPr>
          <w:p w14:paraId="1DDEC5E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514,623</w:t>
            </w:r>
          </w:p>
        </w:tc>
        <w:tc>
          <w:tcPr>
            <w:tcW w:w="904" w:type="dxa"/>
            <w:tcBorders>
              <w:top w:val="nil"/>
              <w:left w:val="nil"/>
              <w:bottom w:val="nil"/>
              <w:right w:val="nil"/>
            </w:tcBorders>
            <w:shd w:val="clear" w:color="000000" w:fill="D9D9D9"/>
            <w:noWrap/>
            <w:vAlign w:val="bottom"/>
            <w:hideMark/>
          </w:tcPr>
          <w:p w14:paraId="065B8092"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514,623</w:t>
            </w:r>
          </w:p>
        </w:tc>
        <w:tc>
          <w:tcPr>
            <w:tcW w:w="905" w:type="dxa"/>
            <w:tcBorders>
              <w:top w:val="nil"/>
              <w:left w:val="nil"/>
              <w:bottom w:val="nil"/>
              <w:right w:val="nil"/>
            </w:tcBorders>
            <w:shd w:val="clear" w:color="auto" w:fill="auto"/>
            <w:noWrap/>
            <w:vAlign w:val="bottom"/>
            <w:hideMark/>
          </w:tcPr>
          <w:p w14:paraId="7F601D5A"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514,623</w:t>
            </w:r>
          </w:p>
        </w:tc>
        <w:tc>
          <w:tcPr>
            <w:tcW w:w="905" w:type="dxa"/>
            <w:tcBorders>
              <w:top w:val="nil"/>
              <w:left w:val="nil"/>
              <w:bottom w:val="nil"/>
              <w:right w:val="nil"/>
            </w:tcBorders>
            <w:shd w:val="clear" w:color="auto" w:fill="auto"/>
            <w:noWrap/>
            <w:vAlign w:val="bottom"/>
            <w:hideMark/>
          </w:tcPr>
          <w:p w14:paraId="25530E5E"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514,623</w:t>
            </w:r>
          </w:p>
        </w:tc>
        <w:tc>
          <w:tcPr>
            <w:tcW w:w="905" w:type="dxa"/>
            <w:tcBorders>
              <w:top w:val="nil"/>
              <w:left w:val="nil"/>
              <w:bottom w:val="nil"/>
              <w:right w:val="nil"/>
            </w:tcBorders>
            <w:shd w:val="clear" w:color="auto" w:fill="auto"/>
            <w:noWrap/>
            <w:vAlign w:val="bottom"/>
            <w:hideMark/>
          </w:tcPr>
          <w:p w14:paraId="7E5AEB9C"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514,623</w:t>
            </w:r>
          </w:p>
        </w:tc>
      </w:tr>
      <w:tr w:rsidR="00ED3DCD" w:rsidRPr="00ED3DCD" w14:paraId="71269E75"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06A97029" w14:textId="77777777" w:rsidR="00ED3DCD" w:rsidRPr="00ED3DCD" w:rsidRDefault="00ED3DCD" w:rsidP="0048588C">
            <w:pPr>
              <w:spacing w:before="0" w:after="0" w:line="240" w:lineRule="auto"/>
              <w:ind w:leftChars="150" w:left="285"/>
              <w:rPr>
                <w:rFonts w:ascii="Arial" w:hAnsi="Arial" w:cs="Arial"/>
                <w:b/>
                <w:bCs/>
                <w:color w:val="000000"/>
                <w:sz w:val="16"/>
                <w:szCs w:val="16"/>
              </w:rPr>
            </w:pPr>
            <w:r w:rsidRPr="00ED3DCD">
              <w:rPr>
                <w:rFonts w:ascii="Arial" w:hAnsi="Arial" w:cs="Arial"/>
                <w:b/>
                <w:bCs/>
                <w:color w:val="000000"/>
                <w:sz w:val="16"/>
                <w:szCs w:val="16"/>
              </w:rPr>
              <w:t>Total non-financial assets</w:t>
            </w:r>
          </w:p>
        </w:tc>
        <w:tc>
          <w:tcPr>
            <w:tcW w:w="904" w:type="dxa"/>
            <w:tcBorders>
              <w:top w:val="nil"/>
              <w:left w:val="nil"/>
              <w:bottom w:val="single" w:sz="4" w:space="0" w:color="auto"/>
              <w:right w:val="nil"/>
            </w:tcBorders>
            <w:shd w:val="clear" w:color="auto" w:fill="auto"/>
            <w:noWrap/>
            <w:tcMar>
              <w:left w:w="0" w:type="dxa"/>
            </w:tcMar>
            <w:vAlign w:val="bottom"/>
            <w:hideMark/>
          </w:tcPr>
          <w:p w14:paraId="2D4079E9"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3,597,787</w:t>
            </w:r>
          </w:p>
        </w:tc>
        <w:tc>
          <w:tcPr>
            <w:tcW w:w="904" w:type="dxa"/>
            <w:tcBorders>
              <w:top w:val="nil"/>
              <w:left w:val="nil"/>
              <w:bottom w:val="single" w:sz="4" w:space="0" w:color="auto"/>
              <w:right w:val="nil"/>
            </w:tcBorders>
            <w:shd w:val="clear" w:color="000000" w:fill="D9D9D9"/>
            <w:noWrap/>
            <w:tcMar>
              <w:left w:w="0" w:type="dxa"/>
            </w:tcMar>
            <w:vAlign w:val="bottom"/>
            <w:hideMark/>
          </w:tcPr>
          <w:p w14:paraId="1D91BAA5"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2,516,787</w:t>
            </w:r>
          </w:p>
        </w:tc>
        <w:tc>
          <w:tcPr>
            <w:tcW w:w="905" w:type="dxa"/>
            <w:tcBorders>
              <w:top w:val="nil"/>
              <w:left w:val="nil"/>
              <w:bottom w:val="single" w:sz="4" w:space="0" w:color="auto"/>
              <w:right w:val="nil"/>
            </w:tcBorders>
            <w:shd w:val="clear" w:color="auto" w:fill="auto"/>
            <w:noWrap/>
            <w:tcMar>
              <w:left w:w="0" w:type="dxa"/>
            </w:tcMar>
            <w:vAlign w:val="bottom"/>
            <w:hideMark/>
          </w:tcPr>
          <w:p w14:paraId="7AB1FBB4"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2,504,991</w:t>
            </w:r>
          </w:p>
        </w:tc>
        <w:tc>
          <w:tcPr>
            <w:tcW w:w="905" w:type="dxa"/>
            <w:tcBorders>
              <w:top w:val="nil"/>
              <w:left w:val="nil"/>
              <w:bottom w:val="single" w:sz="4" w:space="0" w:color="auto"/>
              <w:right w:val="nil"/>
            </w:tcBorders>
            <w:shd w:val="clear" w:color="auto" w:fill="auto"/>
            <w:noWrap/>
            <w:tcMar>
              <w:left w:w="0" w:type="dxa"/>
            </w:tcMar>
            <w:vAlign w:val="bottom"/>
            <w:hideMark/>
          </w:tcPr>
          <w:p w14:paraId="191233F3"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2,491,550</w:t>
            </w:r>
          </w:p>
        </w:tc>
        <w:tc>
          <w:tcPr>
            <w:tcW w:w="905" w:type="dxa"/>
            <w:tcBorders>
              <w:top w:val="nil"/>
              <w:left w:val="nil"/>
              <w:bottom w:val="single" w:sz="4" w:space="0" w:color="auto"/>
              <w:right w:val="nil"/>
            </w:tcBorders>
            <w:shd w:val="clear" w:color="auto" w:fill="auto"/>
            <w:noWrap/>
            <w:tcMar>
              <w:left w:w="0" w:type="dxa"/>
            </w:tcMar>
            <w:vAlign w:val="bottom"/>
            <w:hideMark/>
          </w:tcPr>
          <w:p w14:paraId="6A5F9D68"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2,475,021</w:t>
            </w:r>
          </w:p>
        </w:tc>
      </w:tr>
      <w:tr w:rsidR="00ED3DCD" w:rsidRPr="00ED3DCD" w14:paraId="05512FD4" w14:textId="77777777" w:rsidTr="004A09A2">
        <w:trPr>
          <w:trHeight w:val="454"/>
          <w:jc w:val="center"/>
        </w:trPr>
        <w:tc>
          <w:tcPr>
            <w:tcW w:w="3177" w:type="dxa"/>
            <w:tcBorders>
              <w:top w:val="nil"/>
              <w:left w:val="nil"/>
              <w:bottom w:val="nil"/>
              <w:right w:val="nil"/>
            </w:tcBorders>
            <w:shd w:val="clear" w:color="auto" w:fill="auto"/>
            <w:vAlign w:val="bottom"/>
            <w:hideMark/>
          </w:tcPr>
          <w:p w14:paraId="7199DC1F"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Total assets administered on behalf of Government</w:t>
            </w:r>
          </w:p>
        </w:tc>
        <w:tc>
          <w:tcPr>
            <w:tcW w:w="904" w:type="dxa"/>
            <w:tcBorders>
              <w:top w:val="nil"/>
              <w:left w:val="nil"/>
              <w:bottom w:val="single" w:sz="4" w:space="0" w:color="auto"/>
              <w:right w:val="nil"/>
            </w:tcBorders>
            <w:shd w:val="clear" w:color="auto" w:fill="auto"/>
            <w:noWrap/>
            <w:tcMar>
              <w:left w:w="0" w:type="dxa"/>
              <w:right w:w="85" w:type="dxa"/>
            </w:tcMar>
            <w:vAlign w:val="bottom"/>
            <w:hideMark/>
          </w:tcPr>
          <w:p w14:paraId="369E8793"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11,758,240</w:t>
            </w:r>
          </w:p>
        </w:tc>
        <w:tc>
          <w:tcPr>
            <w:tcW w:w="904" w:type="dxa"/>
            <w:tcBorders>
              <w:top w:val="nil"/>
              <w:left w:val="nil"/>
              <w:bottom w:val="single" w:sz="4" w:space="0" w:color="auto"/>
              <w:right w:val="nil"/>
            </w:tcBorders>
            <w:shd w:val="clear" w:color="000000" w:fill="D9D9D9"/>
            <w:noWrap/>
            <w:tcMar>
              <w:left w:w="0" w:type="dxa"/>
              <w:right w:w="85" w:type="dxa"/>
            </w:tcMar>
            <w:vAlign w:val="bottom"/>
            <w:hideMark/>
          </w:tcPr>
          <w:p w14:paraId="7AC3E50C"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10,698,367</w:t>
            </w:r>
          </w:p>
        </w:tc>
        <w:tc>
          <w:tcPr>
            <w:tcW w:w="905" w:type="dxa"/>
            <w:tcBorders>
              <w:top w:val="nil"/>
              <w:left w:val="nil"/>
              <w:bottom w:val="single" w:sz="4" w:space="0" w:color="auto"/>
              <w:right w:val="nil"/>
            </w:tcBorders>
            <w:shd w:val="clear" w:color="auto" w:fill="auto"/>
            <w:noWrap/>
            <w:tcMar>
              <w:left w:w="0" w:type="dxa"/>
              <w:right w:w="85" w:type="dxa"/>
            </w:tcMar>
            <w:vAlign w:val="bottom"/>
            <w:hideMark/>
          </w:tcPr>
          <w:p w14:paraId="4836E49C"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10,690,721</w:t>
            </w:r>
          </w:p>
        </w:tc>
        <w:tc>
          <w:tcPr>
            <w:tcW w:w="905" w:type="dxa"/>
            <w:tcBorders>
              <w:top w:val="nil"/>
              <w:left w:val="nil"/>
              <w:bottom w:val="single" w:sz="4" w:space="0" w:color="auto"/>
              <w:right w:val="nil"/>
            </w:tcBorders>
            <w:shd w:val="clear" w:color="auto" w:fill="auto"/>
            <w:noWrap/>
            <w:tcMar>
              <w:left w:w="0" w:type="dxa"/>
              <w:right w:w="85" w:type="dxa"/>
            </w:tcMar>
            <w:vAlign w:val="bottom"/>
            <w:hideMark/>
          </w:tcPr>
          <w:p w14:paraId="7CED1A32"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10,663,235</w:t>
            </w:r>
          </w:p>
        </w:tc>
        <w:tc>
          <w:tcPr>
            <w:tcW w:w="905" w:type="dxa"/>
            <w:tcBorders>
              <w:top w:val="nil"/>
              <w:left w:val="nil"/>
              <w:bottom w:val="single" w:sz="4" w:space="0" w:color="auto"/>
              <w:right w:val="nil"/>
            </w:tcBorders>
            <w:shd w:val="clear" w:color="auto" w:fill="auto"/>
            <w:noWrap/>
            <w:tcMar>
              <w:left w:w="0" w:type="dxa"/>
              <w:right w:w="85" w:type="dxa"/>
            </w:tcMar>
            <w:vAlign w:val="bottom"/>
            <w:hideMark/>
          </w:tcPr>
          <w:p w14:paraId="2F12F517"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10,632,573</w:t>
            </w:r>
          </w:p>
        </w:tc>
      </w:tr>
      <w:tr w:rsidR="00ED3DCD" w:rsidRPr="00ED3DCD" w14:paraId="0B72E665" w14:textId="77777777" w:rsidTr="000911F8">
        <w:trPr>
          <w:trHeight w:val="454"/>
          <w:jc w:val="center"/>
        </w:trPr>
        <w:tc>
          <w:tcPr>
            <w:tcW w:w="3177" w:type="dxa"/>
            <w:tcBorders>
              <w:top w:val="nil"/>
              <w:left w:val="nil"/>
              <w:bottom w:val="nil"/>
              <w:right w:val="nil"/>
            </w:tcBorders>
            <w:shd w:val="clear" w:color="auto" w:fill="auto"/>
            <w:vAlign w:val="bottom"/>
            <w:hideMark/>
          </w:tcPr>
          <w:p w14:paraId="16A47B89" w14:textId="77777777" w:rsidR="00ED3DCD" w:rsidRPr="00ED3DCD" w:rsidRDefault="00ED3DCD" w:rsidP="00ED3DCD">
            <w:pPr>
              <w:spacing w:before="0" w:after="0" w:line="240" w:lineRule="auto"/>
              <w:rPr>
                <w:rFonts w:ascii="Arial" w:hAnsi="Arial" w:cs="Arial"/>
                <w:b/>
                <w:bCs/>
                <w:color w:val="000000"/>
                <w:sz w:val="16"/>
                <w:szCs w:val="16"/>
              </w:rPr>
            </w:pPr>
            <w:r w:rsidRPr="00ED3DCD">
              <w:rPr>
                <w:rFonts w:ascii="Arial" w:hAnsi="Arial" w:cs="Arial"/>
                <w:b/>
                <w:bCs/>
                <w:color w:val="000000"/>
                <w:sz w:val="16"/>
                <w:szCs w:val="16"/>
              </w:rPr>
              <w:t>LIABILITIES ADMINISTERED ON BEHALF OF GOVERNMENT</w:t>
            </w:r>
          </w:p>
        </w:tc>
        <w:tc>
          <w:tcPr>
            <w:tcW w:w="904" w:type="dxa"/>
            <w:tcBorders>
              <w:top w:val="nil"/>
              <w:left w:val="nil"/>
              <w:bottom w:val="nil"/>
              <w:right w:val="nil"/>
            </w:tcBorders>
            <w:shd w:val="clear" w:color="auto" w:fill="auto"/>
            <w:noWrap/>
            <w:vAlign w:val="bottom"/>
            <w:hideMark/>
          </w:tcPr>
          <w:p w14:paraId="3F23EDFE" w14:textId="77777777" w:rsidR="00ED3DCD" w:rsidRPr="00ED3DCD" w:rsidRDefault="00ED3DCD" w:rsidP="00ED3DCD">
            <w:pPr>
              <w:spacing w:before="0" w:after="0" w:line="240" w:lineRule="auto"/>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606DFE17"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76B9A9DE"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4BB6B0F8"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3AAFF5BB"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12C25D51"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51FD73E7"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Payables</w:t>
            </w:r>
          </w:p>
        </w:tc>
        <w:tc>
          <w:tcPr>
            <w:tcW w:w="904" w:type="dxa"/>
            <w:tcBorders>
              <w:top w:val="nil"/>
              <w:left w:val="nil"/>
              <w:bottom w:val="nil"/>
              <w:right w:val="nil"/>
            </w:tcBorders>
            <w:shd w:val="clear" w:color="auto" w:fill="auto"/>
            <w:noWrap/>
            <w:vAlign w:val="bottom"/>
            <w:hideMark/>
          </w:tcPr>
          <w:p w14:paraId="03543C23" w14:textId="77777777" w:rsidR="00ED3DCD" w:rsidRPr="00ED3DCD" w:rsidRDefault="00ED3DCD" w:rsidP="00ED3DCD">
            <w:pPr>
              <w:spacing w:before="0" w:after="0" w:line="240" w:lineRule="auto"/>
              <w:ind w:firstLineChars="100" w:firstLine="161"/>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5193CEAD"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2E6C9306"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1651254C"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42109F77"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1823DB0E"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4582B209"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Suppliers</w:t>
            </w:r>
          </w:p>
        </w:tc>
        <w:tc>
          <w:tcPr>
            <w:tcW w:w="904" w:type="dxa"/>
            <w:tcBorders>
              <w:top w:val="nil"/>
              <w:left w:val="nil"/>
              <w:bottom w:val="nil"/>
              <w:right w:val="nil"/>
            </w:tcBorders>
            <w:shd w:val="clear" w:color="auto" w:fill="auto"/>
            <w:noWrap/>
            <w:vAlign w:val="bottom"/>
            <w:hideMark/>
          </w:tcPr>
          <w:p w14:paraId="41F4D34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212,175</w:t>
            </w:r>
          </w:p>
        </w:tc>
        <w:tc>
          <w:tcPr>
            <w:tcW w:w="904" w:type="dxa"/>
            <w:tcBorders>
              <w:top w:val="nil"/>
              <w:left w:val="nil"/>
              <w:bottom w:val="nil"/>
              <w:right w:val="nil"/>
            </w:tcBorders>
            <w:shd w:val="clear" w:color="000000" w:fill="D9D9D9"/>
            <w:noWrap/>
            <w:vAlign w:val="bottom"/>
            <w:hideMark/>
          </w:tcPr>
          <w:p w14:paraId="685ABDC9"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233,631</w:t>
            </w:r>
          </w:p>
        </w:tc>
        <w:tc>
          <w:tcPr>
            <w:tcW w:w="905" w:type="dxa"/>
            <w:tcBorders>
              <w:top w:val="nil"/>
              <w:left w:val="nil"/>
              <w:bottom w:val="nil"/>
              <w:right w:val="nil"/>
            </w:tcBorders>
            <w:shd w:val="clear" w:color="auto" w:fill="auto"/>
            <w:noWrap/>
            <w:vAlign w:val="bottom"/>
            <w:hideMark/>
          </w:tcPr>
          <w:p w14:paraId="7C2FA42E"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235,275</w:t>
            </w:r>
          </w:p>
        </w:tc>
        <w:tc>
          <w:tcPr>
            <w:tcW w:w="905" w:type="dxa"/>
            <w:tcBorders>
              <w:top w:val="nil"/>
              <w:left w:val="nil"/>
              <w:bottom w:val="nil"/>
              <w:right w:val="nil"/>
            </w:tcBorders>
            <w:shd w:val="clear" w:color="auto" w:fill="auto"/>
            <w:noWrap/>
            <w:vAlign w:val="bottom"/>
            <w:hideMark/>
          </w:tcPr>
          <w:p w14:paraId="4ABA6296"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236,955</w:t>
            </w:r>
          </w:p>
        </w:tc>
        <w:tc>
          <w:tcPr>
            <w:tcW w:w="905" w:type="dxa"/>
            <w:tcBorders>
              <w:top w:val="nil"/>
              <w:left w:val="nil"/>
              <w:bottom w:val="nil"/>
              <w:right w:val="nil"/>
            </w:tcBorders>
            <w:shd w:val="clear" w:color="auto" w:fill="auto"/>
            <w:noWrap/>
            <w:vAlign w:val="bottom"/>
            <w:hideMark/>
          </w:tcPr>
          <w:p w14:paraId="6B64E14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238,635</w:t>
            </w:r>
          </w:p>
        </w:tc>
      </w:tr>
      <w:tr w:rsidR="00ED3DCD" w:rsidRPr="00ED3DCD" w14:paraId="3C517F43"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329775A3"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Subsidies</w:t>
            </w:r>
          </w:p>
        </w:tc>
        <w:tc>
          <w:tcPr>
            <w:tcW w:w="904" w:type="dxa"/>
            <w:tcBorders>
              <w:top w:val="nil"/>
              <w:left w:val="nil"/>
              <w:bottom w:val="nil"/>
              <w:right w:val="nil"/>
            </w:tcBorders>
            <w:shd w:val="clear" w:color="auto" w:fill="auto"/>
            <w:noWrap/>
            <w:vAlign w:val="bottom"/>
            <w:hideMark/>
          </w:tcPr>
          <w:p w14:paraId="7788C7FA"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97,824</w:t>
            </w:r>
          </w:p>
        </w:tc>
        <w:tc>
          <w:tcPr>
            <w:tcW w:w="904" w:type="dxa"/>
            <w:tcBorders>
              <w:top w:val="nil"/>
              <w:left w:val="nil"/>
              <w:bottom w:val="nil"/>
              <w:right w:val="nil"/>
            </w:tcBorders>
            <w:shd w:val="clear" w:color="000000" w:fill="D9D9D9"/>
            <w:noWrap/>
            <w:vAlign w:val="bottom"/>
            <w:hideMark/>
          </w:tcPr>
          <w:p w14:paraId="556CB2E3"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97,824</w:t>
            </w:r>
          </w:p>
        </w:tc>
        <w:tc>
          <w:tcPr>
            <w:tcW w:w="905" w:type="dxa"/>
            <w:tcBorders>
              <w:top w:val="nil"/>
              <w:left w:val="nil"/>
              <w:bottom w:val="nil"/>
              <w:right w:val="nil"/>
            </w:tcBorders>
            <w:shd w:val="clear" w:color="auto" w:fill="auto"/>
            <w:noWrap/>
            <w:vAlign w:val="bottom"/>
            <w:hideMark/>
          </w:tcPr>
          <w:p w14:paraId="46178C0D"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97,824</w:t>
            </w:r>
          </w:p>
        </w:tc>
        <w:tc>
          <w:tcPr>
            <w:tcW w:w="905" w:type="dxa"/>
            <w:tcBorders>
              <w:top w:val="nil"/>
              <w:left w:val="nil"/>
              <w:bottom w:val="nil"/>
              <w:right w:val="nil"/>
            </w:tcBorders>
            <w:shd w:val="clear" w:color="auto" w:fill="auto"/>
            <w:noWrap/>
            <w:vAlign w:val="bottom"/>
            <w:hideMark/>
          </w:tcPr>
          <w:p w14:paraId="1064A38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97,824</w:t>
            </w:r>
          </w:p>
        </w:tc>
        <w:tc>
          <w:tcPr>
            <w:tcW w:w="905" w:type="dxa"/>
            <w:tcBorders>
              <w:top w:val="nil"/>
              <w:left w:val="nil"/>
              <w:bottom w:val="nil"/>
              <w:right w:val="nil"/>
            </w:tcBorders>
            <w:shd w:val="clear" w:color="auto" w:fill="auto"/>
            <w:noWrap/>
            <w:vAlign w:val="bottom"/>
            <w:hideMark/>
          </w:tcPr>
          <w:p w14:paraId="7FE2D6A5"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97,824</w:t>
            </w:r>
          </w:p>
        </w:tc>
      </w:tr>
      <w:tr w:rsidR="00ED3DCD" w:rsidRPr="00ED3DCD" w14:paraId="449F97BE"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1D8C08FB"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Personal benefits</w:t>
            </w:r>
          </w:p>
        </w:tc>
        <w:tc>
          <w:tcPr>
            <w:tcW w:w="904" w:type="dxa"/>
            <w:tcBorders>
              <w:top w:val="nil"/>
              <w:left w:val="nil"/>
              <w:bottom w:val="nil"/>
              <w:right w:val="nil"/>
            </w:tcBorders>
            <w:shd w:val="clear" w:color="auto" w:fill="auto"/>
            <w:noWrap/>
            <w:tcMar>
              <w:left w:w="0" w:type="dxa"/>
            </w:tcMar>
            <w:vAlign w:val="bottom"/>
            <w:hideMark/>
          </w:tcPr>
          <w:p w14:paraId="20413E48"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1,822,374</w:t>
            </w:r>
          </w:p>
        </w:tc>
        <w:tc>
          <w:tcPr>
            <w:tcW w:w="904" w:type="dxa"/>
            <w:tcBorders>
              <w:top w:val="nil"/>
              <w:left w:val="nil"/>
              <w:bottom w:val="nil"/>
              <w:right w:val="nil"/>
            </w:tcBorders>
            <w:shd w:val="clear" w:color="000000" w:fill="D9D9D9"/>
            <w:noWrap/>
            <w:tcMar>
              <w:left w:w="0" w:type="dxa"/>
            </w:tcMar>
            <w:vAlign w:val="bottom"/>
            <w:hideMark/>
          </w:tcPr>
          <w:p w14:paraId="01FF135F"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1,884,824</w:t>
            </w:r>
          </w:p>
        </w:tc>
        <w:tc>
          <w:tcPr>
            <w:tcW w:w="905" w:type="dxa"/>
            <w:tcBorders>
              <w:top w:val="nil"/>
              <w:left w:val="nil"/>
              <w:bottom w:val="nil"/>
              <w:right w:val="nil"/>
            </w:tcBorders>
            <w:shd w:val="clear" w:color="auto" w:fill="auto"/>
            <w:noWrap/>
            <w:tcMar>
              <w:left w:w="0" w:type="dxa"/>
            </w:tcMar>
            <w:vAlign w:val="bottom"/>
            <w:hideMark/>
          </w:tcPr>
          <w:p w14:paraId="3196D45E"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1,920,617</w:t>
            </w:r>
          </w:p>
        </w:tc>
        <w:tc>
          <w:tcPr>
            <w:tcW w:w="905" w:type="dxa"/>
            <w:tcBorders>
              <w:top w:val="nil"/>
              <w:left w:val="nil"/>
              <w:bottom w:val="nil"/>
              <w:right w:val="nil"/>
            </w:tcBorders>
            <w:shd w:val="clear" w:color="auto" w:fill="auto"/>
            <w:noWrap/>
            <w:tcMar>
              <w:left w:w="0" w:type="dxa"/>
            </w:tcMar>
            <w:vAlign w:val="bottom"/>
            <w:hideMark/>
          </w:tcPr>
          <w:p w14:paraId="025DDE1D"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1,950,529</w:t>
            </w:r>
          </w:p>
        </w:tc>
        <w:tc>
          <w:tcPr>
            <w:tcW w:w="905" w:type="dxa"/>
            <w:tcBorders>
              <w:top w:val="nil"/>
              <w:left w:val="nil"/>
              <w:bottom w:val="nil"/>
              <w:right w:val="nil"/>
            </w:tcBorders>
            <w:shd w:val="clear" w:color="auto" w:fill="auto"/>
            <w:noWrap/>
            <w:tcMar>
              <w:left w:w="0" w:type="dxa"/>
            </w:tcMar>
            <w:vAlign w:val="bottom"/>
            <w:hideMark/>
          </w:tcPr>
          <w:p w14:paraId="661EBF59"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1,993,421</w:t>
            </w:r>
          </w:p>
        </w:tc>
      </w:tr>
      <w:tr w:rsidR="00ED3DCD" w:rsidRPr="00ED3DCD" w14:paraId="5816378F"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398D3FC5" w14:textId="77777777" w:rsidR="00ED3DCD" w:rsidRPr="00ED3DCD" w:rsidRDefault="00ED3DCD" w:rsidP="0048588C">
            <w:pPr>
              <w:spacing w:before="0" w:after="0" w:line="240" w:lineRule="auto"/>
              <w:ind w:leftChars="150" w:left="285"/>
              <w:rPr>
                <w:rFonts w:ascii="Arial" w:hAnsi="Arial" w:cs="Arial"/>
                <w:sz w:val="16"/>
                <w:szCs w:val="16"/>
              </w:rPr>
            </w:pPr>
            <w:r w:rsidRPr="00ED3DCD">
              <w:rPr>
                <w:rFonts w:ascii="Arial" w:hAnsi="Arial" w:cs="Arial"/>
                <w:sz w:val="16"/>
                <w:szCs w:val="16"/>
              </w:rPr>
              <w:t>Grants</w:t>
            </w:r>
          </w:p>
        </w:tc>
        <w:tc>
          <w:tcPr>
            <w:tcW w:w="904" w:type="dxa"/>
            <w:tcBorders>
              <w:top w:val="nil"/>
              <w:left w:val="nil"/>
              <w:bottom w:val="nil"/>
              <w:right w:val="nil"/>
            </w:tcBorders>
            <w:shd w:val="clear" w:color="auto" w:fill="auto"/>
            <w:noWrap/>
            <w:vAlign w:val="bottom"/>
            <w:hideMark/>
          </w:tcPr>
          <w:p w14:paraId="7AD44A0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632,066</w:t>
            </w:r>
          </w:p>
        </w:tc>
        <w:tc>
          <w:tcPr>
            <w:tcW w:w="904" w:type="dxa"/>
            <w:tcBorders>
              <w:top w:val="nil"/>
              <w:left w:val="nil"/>
              <w:bottom w:val="nil"/>
              <w:right w:val="nil"/>
            </w:tcBorders>
            <w:shd w:val="clear" w:color="000000" w:fill="D9D9D9"/>
            <w:noWrap/>
            <w:vAlign w:val="bottom"/>
            <w:hideMark/>
          </w:tcPr>
          <w:p w14:paraId="3D299443"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632,067</w:t>
            </w:r>
          </w:p>
        </w:tc>
        <w:tc>
          <w:tcPr>
            <w:tcW w:w="905" w:type="dxa"/>
            <w:tcBorders>
              <w:top w:val="nil"/>
              <w:left w:val="nil"/>
              <w:bottom w:val="nil"/>
              <w:right w:val="nil"/>
            </w:tcBorders>
            <w:shd w:val="clear" w:color="auto" w:fill="auto"/>
            <w:noWrap/>
            <w:vAlign w:val="bottom"/>
            <w:hideMark/>
          </w:tcPr>
          <w:p w14:paraId="7F29A960"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632,067</w:t>
            </w:r>
          </w:p>
        </w:tc>
        <w:tc>
          <w:tcPr>
            <w:tcW w:w="905" w:type="dxa"/>
            <w:tcBorders>
              <w:top w:val="nil"/>
              <w:left w:val="nil"/>
              <w:bottom w:val="nil"/>
              <w:right w:val="nil"/>
            </w:tcBorders>
            <w:shd w:val="clear" w:color="auto" w:fill="auto"/>
            <w:noWrap/>
            <w:vAlign w:val="bottom"/>
            <w:hideMark/>
          </w:tcPr>
          <w:p w14:paraId="7C53BC4F"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632,068</w:t>
            </w:r>
          </w:p>
        </w:tc>
        <w:tc>
          <w:tcPr>
            <w:tcW w:w="905" w:type="dxa"/>
            <w:tcBorders>
              <w:top w:val="nil"/>
              <w:left w:val="nil"/>
              <w:bottom w:val="nil"/>
              <w:right w:val="nil"/>
            </w:tcBorders>
            <w:shd w:val="clear" w:color="auto" w:fill="auto"/>
            <w:noWrap/>
            <w:vAlign w:val="bottom"/>
            <w:hideMark/>
          </w:tcPr>
          <w:p w14:paraId="336C2D65"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632,069</w:t>
            </w:r>
          </w:p>
        </w:tc>
      </w:tr>
      <w:tr w:rsidR="00ED3DCD" w:rsidRPr="00ED3DCD" w14:paraId="3BABF852"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675E47CE" w14:textId="77777777" w:rsidR="00ED3DCD" w:rsidRPr="00ED3DCD" w:rsidRDefault="00ED3DCD" w:rsidP="0048588C">
            <w:pPr>
              <w:spacing w:before="0" w:after="0" w:line="240" w:lineRule="auto"/>
              <w:ind w:leftChars="150" w:left="285"/>
              <w:rPr>
                <w:rFonts w:ascii="Arial" w:hAnsi="Arial" w:cs="Arial"/>
                <w:b/>
                <w:bCs/>
                <w:color w:val="000000"/>
                <w:sz w:val="16"/>
                <w:szCs w:val="16"/>
              </w:rPr>
            </w:pPr>
            <w:r w:rsidRPr="00ED3DCD">
              <w:rPr>
                <w:rFonts w:ascii="Arial" w:hAnsi="Arial" w:cs="Arial"/>
                <w:b/>
                <w:bCs/>
                <w:color w:val="000000"/>
                <w:sz w:val="16"/>
                <w:szCs w:val="16"/>
              </w:rPr>
              <w:t>Total payables</w:t>
            </w:r>
          </w:p>
        </w:tc>
        <w:tc>
          <w:tcPr>
            <w:tcW w:w="904" w:type="dxa"/>
            <w:tcBorders>
              <w:top w:val="nil"/>
              <w:left w:val="nil"/>
              <w:bottom w:val="single" w:sz="4" w:space="0" w:color="auto"/>
              <w:right w:val="nil"/>
            </w:tcBorders>
            <w:shd w:val="clear" w:color="auto" w:fill="auto"/>
            <w:noWrap/>
            <w:tcMar>
              <w:left w:w="0" w:type="dxa"/>
            </w:tcMar>
            <w:vAlign w:val="bottom"/>
            <w:hideMark/>
          </w:tcPr>
          <w:p w14:paraId="26F5A864"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2,764,439</w:t>
            </w:r>
          </w:p>
        </w:tc>
        <w:tc>
          <w:tcPr>
            <w:tcW w:w="904" w:type="dxa"/>
            <w:tcBorders>
              <w:top w:val="nil"/>
              <w:left w:val="nil"/>
              <w:bottom w:val="single" w:sz="4" w:space="0" w:color="auto"/>
              <w:right w:val="nil"/>
            </w:tcBorders>
            <w:shd w:val="clear" w:color="000000" w:fill="D9D9D9"/>
            <w:noWrap/>
            <w:tcMar>
              <w:left w:w="0" w:type="dxa"/>
            </w:tcMar>
            <w:vAlign w:val="bottom"/>
            <w:hideMark/>
          </w:tcPr>
          <w:p w14:paraId="3949D627"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2,848,346</w:t>
            </w:r>
          </w:p>
        </w:tc>
        <w:tc>
          <w:tcPr>
            <w:tcW w:w="905" w:type="dxa"/>
            <w:tcBorders>
              <w:top w:val="nil"/>
              <w:left w:val="nil"/>
              <w:bottom w:val="single" w:sz="4" w:space="0" w:color="auto"/>
              <w:right w:val="nil"/>
            </w:tcBorders>
            <w:shd w:val="clear" w:color="auto" w:fill="auto"/>
            <w:noWrap/>
            <w:tcMar>
              <w:left w:w="0" w:type="dxa"/>
            </w:tcMar>
            <w:vAlign w:val="bottom"/>
            <w:hideMark/>
          </w:tcPr>
          <w:p w14:paraId="60A95721"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2,885,783</w:t>
            </w:r>
          </w:p>
        </w:tc>
        <w:tc>
          <w:tcPr>
            <w:tcW w:w="905" w:type="dxa"/>
            <w:tcBorders>
              <w:top w:val="nil"/>
              <w:left w:val="nil"/>
              <w:bottom w:val="single" w:sz="4" w:space="0" w:color="auto"/>
              <w:right w:val="nil"/>
            </w:tcBorders>
            <w:shd w:val="clear" w:color="auto" w:fill="auto"/>
            <w:noWrap/>
            <w:tcMar>
              <w:left w:w="0" w:type="dxa"/>
            </w:tcMar>
            <w:vAlign w:val="bottom"/>
            <w:hideMark/>
          </w:tcPr>
          <w:p w14:paraId="5B807955"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2,917,376</w:t>
            </w:r>
          </w:p>
        </w:tc>
        <w:tc>
          <w:tcPr>
            <w:tcW w:w="905" w:type="dxa"/>
            <w:tcBorders>
              <w:top w:val="nil"/>
              <w:left w:val="nil"/>
              <w:bottom w:val="single" w:sz="4" w:space="0" w:color="auto"/>
              <w:right w:val="nil"/>
            </w:tcBorders>
            <w:shd w:val="clear" w:color="auto" w:fill="auto"/>
            <w:noWrap/>
            <w:tcMar>
              <w:left w:w="0" w:type="dxa"/>
            </w:tcMar>
            <w:vAlign w:val="bottom"/>
            <w:hideMark/>
          </w:tcPr>
          <w:p w14:paraId="6ABBA4BE"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2,961,949</w:t>
            </w:r>
          </w:p>
        </w:tc>
      </w:tr>
      <w:tr w:rsidR="00ED3DCD" w:rsidRPr="00ED3DCD" w14:paraId="700CB39D" w14:textId="77777777" w:rsidTr="00ED3DCD">
        <w:trPr>
          <w:trHeight w:val="283"/>
          <w:jc w:val="center"/>
        </w:trPr>
        <w:tc>
          <w:tcPr>
            <w:tcW w:w="3177" w:type="dxa"/>
            <w:tcBorders>
              <w:top w:val="nil"/>
              <w:left w:val="nil"/>
              <w:bottom w:val="nil"/>
              <w:right w:val="nil"/>
            </w:tcBorders>
            <w:shd w:val="clear" w:color="auto" w:fill="auto"/>
            <w:noWrap/>
            <w:vAlign w:val="bottom"/>
            <w:hideMark/>
          </w:tcPr>
          <w:p w14:paraId="4F623FD3"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Provisions</w:t>
            </w:r>
          </w:p>
        </w:tc>
        <w:tc>
          <w:tcPr>
            <w:tcW w:w="904" w:type="dxa"/>
            <w:tcBorders>
              <w:top w:val="nil"/>
              <w:left w:val="nil"/>
              <w:bottom w:val="nil"/>
              <w:right w:val="nil"/>
            </w:tcBorders>
            <w:shd w:val="clear" w:color="auto" w:fill="auto"/>
            <w:noWrap/>
            <w:vAlign w:val="bottom"/>
            <w:hideMark/>
          </w:tcPr>
          <w:p w14:paraId="073759EC" w14:textId="77777777" w:rsidR="00ED3DCD" w:rsidRPr="00ED3DCD" w:rsidRDefault="00ED3DCD" w:rsidP="00ED3DCD">
            <w:pPr>
              <w:spacing w:before="0" w:after="0" w:line="240" w:lineRule="auto"/>
              <w:ind w:firstLineChars="100" w:firstLine="161"/>
              <w:rPr>
                <w:rFonts w:ascii="Arial" w:hAnsi="Arial" w:cs="Arial"/>
                <w:b/>
                <w:bCs/>
                <w:color w:val="000000"/>
                <w:sz w:val="16"/>
                <w:szCs w:val="16"/>
              </w:rPr>
            </w:pPr>
          </w:p>
        </w:tc>
        <w:tc>
          <w:tcPr>
            <w:tcW w:w="904" w:type="dxa"/>
            <w:tcBorders>
              <w:top w:val="nil"/>
              <w:left w:val="nil"/>
              <w:bottom w:val="nil"/>
              <w:right w:val="nil"/>
            </w:tcBorders>
            <w:shd w:val="clear" w:color="000000" w:fill="D9D9D9"/>
            <w:noWrap/>
            <w:vAlign w:val="bottom"/>
            <w:hideMark/>
          </w:tcPr>
          <w:p w14:paraId="71816529"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 </w:t>
            </w:r>
          </w:p>
        </w:tc>
        <w:tc>
          <w:tcPr>
            <w:tcW w:w="905" w:type="dxa"/>
            <w:tcBorders>
              <w:top w:val="nil"/>
              <w:left w:val="nil"/>
              <w:bottom w:val="nil"/>
              <w:right w:val="nil"/>
            </w:tcBorders>
            <w:shd w:val="clear" w:color="auto" w:fill="auto"/>
            <w:noWrap/>
            <w:vAlign w:val="bottom"/>
            <w:hideMark/>
          </w:tcPr>
          <w:p w14:paraId="0C12B91A" w14:textId="77777777" w:rsidR="00ED3DCD" w:rsidRPr="00ED3DCD" w:rsidRDefault="00ED3DCD" w:rsidP="00ED3DCD">
            <w:pPr>
              <w:spacing w:before="0" w:after="0" w:line="240" w:lineRule="auto"/>
              <w:jc w:val="right"/>
              <w:rPr>
                <w:rFonts w:ascii="Arial" w:hAnsi="Arial" w:cs="Arial"/>
                <w:sz w:val="16"/>
                <w:szCs w:val="16"/>
              </w:rPr>
            </w:pPr>
          </w:p>
        </w:tc>
        <w:tc>
          <w:tcPr>
            <w:tcW w:w="905" w:type="dxa"/>
            <w:tcBorders>
              <w:top w:val="nil"/>
              <w:left w:val="nil"/>
              <w:bottom w:val="nil"/>
              <w:right w:val="nil"/>
            </w:tcBorders>
            <w:shd w:val="clear" w:color="auto" w:fill="auto"/>
            <w:noWrap/>
            <w:vAlign w:val="bottom"/>
            <w:hideMark/>
          </w:tcPr>
          <w:p w14:paraId="4553E0CE" w14:textId="77777777" w:rsidR="00ED3DCD" w:rsidRPr="00ED3DCD" w:rsidRDefault="00ED3DCD" w:rsidP="00ED3DCD">
            <w:pPr>
              <w:spacing w:before="0" w:after="0" w:line="240" w:lineRule="auto"/>
              <w:jc w:val="right"/>
              <w:rPr>
                <w:rFonts w:ascii="Times New Roman" w:hAnsi="Times New Roman"/>
                <w:sz w:val="20"/>
              </w:rPr>
            </w:pPr>
          </w:p>
        </w:tc>
        <w:tc>
          <w:tcPr>
            <w:tcW w:w="905" w:type="dxa"/>
            <w:tcBorders>
              <w:top w:val="nil"/>
              <w:left w:val="nil"/>
              <w:bottom w:val="nil"/>
              <w:right w:val="nil"/>
            </w:tcBorders>
            <w:shd w:val="clear" w:color="auto" w:fill="auto"/>
            <w:noWrap/>
            <w:vAlign w:val="bottom"/>
            <w:hideMark/>
          </w:tcPr>
          <w:p w14:paraId="3DE407D1" w14:textId="77777777" w:rsidR="00ED3DCD" w:rsidRPr="00ED3DCD" w:rsidRDefault="00ED3DCD" w:rsidP="00ED3DCD">
            <w:pPr>
              <w:spacing w:before="0" w:after="0" w:line="240" w:lineRule="auto"/>
              <w:jc w:val="right"/>
              <w:rPr>
                <w:rFonts w:ascii="Times New Roman" w:hAnsi="Times New Roman"/>
                <w:sz w:val="20"/>
              </w:rPr>
            </w:pPr>
          </w:p>
        </w:tc>
      </w:tr>
      <w:tr w:rsidR="00ED3DCD" w:rsidRPr="00ED3DCD" w14:paraId="6CCF48B6"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3253944F" w14:textId="77777777" w:rsidR="00ED3DCD" w:rsidRPr="00ED3DCD" w:rsidRDefault="00ED3DCD" w:rsidP="0048588C">
            <w:pPr>
              <w:spacing w:before="0" w:after="0" w:line="240" w:lineRule="auto"/>
              <w:ind w:leftChars="150" w:left="285"/>
              <w:rPr>
                <w:rFonts w:ascii="Arial" w:hAnsi="Arial" w:cs="Arial"/>
                <w:color w:val="000000"/>
                <w:sz w:val="16"/>
                <w:szCs w:val="16"/>
              </w:rPr>
            </w:pPr>
            <w:r w:rsidRPr="00ED3DCD">
              <w:rPr>
                <w:rFonts w:ascii="Arial" w:hAnsi="Arial" w:cs="Arial"/>
                <w:color w:val="000000"/>
                <w:sz w:val="16"/>
                <w:szCs w:val="16"/>
              </w:rPr>
              <w:t>Personal benefits</w:t>
            </w:r>
          </w:p>
        </w:tc>
        <w:tc>
          <w:tcPr>
            <w:tcW w:w="904" w:type="dxa"/>
            <w:tcBorders>
              <w:top w:val="nil"/>
              <w:left w:val="nil"/>
              <w:bottom w:val="nil"/>
              <w:right w:val="nil"/>
            </w:tcBorders>
            <w:shd w:val="clear" w:color="auto" w:fill="auto"/>
            <w:noWrap/>
            <w:tcMar>
              <w:left w:w="0" w:type="dxa"/>
            </w:tcMar>
            <w:vAlign w:val="bottom"/>
            <w:hideMark/>
          </w:tcPr>
          <w:p w14:paraId="4B6D615B"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1,123,106</w:t>
            </w:r>
          </w:p>
        </w:tc>
        <w:tc>
          <w:tcPr>
            <w:tcW w:w="904" w:type="dxa"/>
            <w:tcBorders>
              <w:top w:val="nil"/>
              <w:left w:val="nil"/>
              <w:bottom w:val="nil"/>
              <w:right w:val="nil"/>
            </w:tcBorders>
            <w:shd w:val="clear" w:color="000000" w:fill="D9D9D9"/>
            <w:noWrap/>
            <w:tcMar>
              <w:left w:w="0" w:type="dxa"/>
            </w:tcMar>
            <w:vAlign w:val="bottom"/>
            <w:hideMark/>
          </w:tcPr>
          <w:p w14:paraId="3E3CC4EA"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1,123,107</w:t>
            </w:r>
          </w:p>
        </w:tc>
        <w:tc>
          <w:tcPr>
            <w:tcW w:w="905" w:type="dxa"/>
            <w:tcBorders>
              <w:top w:val="nil"/>
              <w:left w:val="nil"/>
              <w:bottom w:val="nil"/>
              <w:right w:val="nil"/>
            </w:tcBorders>
            <w:shd w:val="clear" w:color="auto" w:fill="auto"/>
            <w:noWrap/>
            <w:tcMar>
              <w:left w:w="0" w:type="dxa"/>
            </w:tcMar>
            <w:vAlign w:val="bottom"/>
            <w:hideMark/>
          </w:tcPr>
          <w:p w14:paraId="3C5B0B37"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1,123,107</w:t>
            </w:r>
          </w:p>
        </w:tc>
        <w:tc>
          <w:tcPr>
            <w:tcW w:w="905" w:type="dxa"/>
            <w:tcBorders>
              <w:top w:val="nil"/>
              <w:left w:val="nil"/>
              <w:bottom w:val="nil"/>
              <w:right w:val="nil"/>
            </w:tcBorders>
            <w:shd w:val="clear" w:color="auto" w:fill="auto"/>
            <w:noWrap/>
            <w:tcMar>
              <w:left w:w="0" w:type="dxa"/>
            </w:tcMar>
            <w:vAlign w:val="bottom"/>
            <w:hideMark/>
          </w:tcPr>
          <w:p w14:paraId="0BCA1E64"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1,123,107</w:t>
            </w:r>
          </w:p>
        </w:tc>
        <w:tc>
          <w:tcPr>
            <w:tcW w:w="905" w:type="dxa"/>
            <w:tcBorders>
              <w:top w:val="nil"/>
              <w:left w:val="nil"/>
              <w:bottom w:val="nil"/>
              <w:right w:val="nil"/>
            </w:tcBorders>
            <w:shd w:val="clear" w:color="auto" w:fill="auto"/>
            <w:noWrap/>
            <w:tcMar>
              <w:left w:w="0" w:type="dxa"/>
            </w:tcMar>
            <w:vAlign w:val="bottom"/>
            <w:hideMark/>
          </w:tcPr>
          <w:p w14:paraId="63FC9AE6"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1,123,107</w:t>
            </w:r>
          </w:p>
        </w:tc>
      </w:tr>
      <w:tr w:rsidR="00ED3DCD" w:rsidRPr="00ED3DCD" w14:paraId="35FC1824"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6725622E" w14:textId="77777777" w:rsidR="00ED3DCD" w:rsidRPr="00ED3DCD" w:rsidRDefault="00ED3DCD" w:rsidP="0048588C">
            <w:pPr>
              <w:spacing w:before="0" w:after="0" w:line="240" w:lineRule="auto"/>
              <w:ind w:leftChars="150" w:left="285"/>
              <w:rPr>
                <w:rFonts w:ascii="Arial" w:hAnsi="Arial" w:cs="Arial"/>
                <w:sz w:val="16"/>
                <w:szCs w:val="16"/>
              </w:rPr>
            </w:pPr>
            <w:r w:rsidRPr="00ED3DCD">
              <w:rPr>
                <w:rFonts w:ascii="Arial" w:hAnsi="Arial" w:cs="Arial"/>
                <w:sz w:val="16"/>
                <w:szCs w:val="16"/>
              </w:rPr>
              <w:t>Subsidies</w:t>
            </w:r>
          </w:p>
        </w:tc>
        <w:tc>
          <w:tcPr>
            <w:tcW w:w="904" w:type="dxa"/>
            <w:tcBorders>
              <w:top w:val="nil"/>
              <w:left w:val="nil"/>
              <w:bottom w:val="nil"/>
              <w:right w:val="nil"/>
            </w:tcBorders>
            <w:shd w:val="clear" w:color="auto" w:fill="auto"/>
            <w:noWrap/>
            <w:vAlign w:val="bottom"/>
            <w:hideMark/>
          </w:tcPr>
          <w:p w14:paraId="2034667D"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603,900</w:t>
            </w:r>
          </w:p>
        </w:tc>
        <w:tc>
          <w:tcPr>
            <w:tcW w:w="904" w:type="dxa"/>
            <w:tcBorders>
              <w:top w:val="nil"/>
              <w:left w:val="nil"/>
              <w:bottom w:val="nil"/>
              <w:right w:val="nil"/>
            </w:tcBorders>
            <w:shd w:val="clear" w:color="000000" w:fill="D9D9D9"/>
            <w:noWrap/>
            <w:vAlign w:val="bottom"/>
            <w:hideMark/>
          </w:tcPr>
          <w:p w14:paraId="154C92D8"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570,997</w:t>
            </w:r>
          </w:p>
        </w:tc>
        <w:tc>
          <w:tcPr>
            <w:tcW w:w="905" w:type="dxa"/>
            <w:tcBorders>
              <w:top w:val="nil"/>
              <w:left w:val="nil"/>
              <w:bottom w:val="nil"/>
              <w:right w:val="nil"/>
            </w:tcBorders>
            <w:shd w:val="clear" w:color="auto" w:fill="auto"/>
            <w:noWrap/>
            <w:vAlign w:val="bottom"/>
            <w:hideMark/>
          </w:tcPr>
          <w:p w14:paraId="35AA1C3F"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528,114</w:t>
            </w:r>
          </w:p>
        </w:tc>
        <w:tc>
          <w:tcPr>
            <w:tcW w:w="905" w:type="dxa"/>
            <w:tcBorders>
              <w:top w:val="nil"/>
              <w:left w:val="nil"/>
              <w:bottom w:val="nil"/>
              <w:right w:val="nil"/>
            </w:tcBorders>
            <w:shd w:val="clear" w:color="auto" w:fill="auto"/>
            <w:noWrap/>
            <w:vAlign w:val="bottom"/>
            <w:hideMark/>
          </w:tcPr>
          <w:p w14:paraId="5A0A6411"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565,194</w:t>
            </w:r>
          </w:p>
        </w:tc>
        <w:tc>
          <w:tcPr>
            <w:tcW w:w="905" w:type="dxa"/>
            <w:tcBorders>
              <w:top w:val="nil"/>
              <w:left w:val="nil"/>
              <w:bottom w:val="nil"/>
              <w:right w:val="nil"/>
            </w:tcBorders>
            <w:shd w:val="clear" w:color="auto" w:fill="auto"/>
            <w:noWrap/>
            <w:vAlign w:val="bottom"/>
            <w:hideMark/>
          </w:tcPr>
          <w:p w14:paraId="5BADCF71" w14:textId="77777777" w:rsidR="00ED3DCD" w:rsidRPr="00ED3DCD" w:rsidRDefault="00ED3DCD" w:rsidP="00ED3DCD">
            <w:pPr>
              <w:spacing w:before="0" w:after="0" w:line="240" w:lineRule="auto"/>
              <w:jc w:val="right"/>
              <w:rPr>
                <w:rFonts w:ascii="Arial" w:hAnsi="Arial" w:cs="Arial"/>
                <w:sz w:val="16"/>
                <w:szCs w:val="16"/>
              </w:rPr>
            </w:pPr>
            <w:r w:rsidRPr="00ED3DCD">
              <w:rPr>
                <w:rFonts w:ascii="Arial" w:hAnsi="Arial" w:cs="Arial"/>
                <w:sz w:val="16"/>
                <w:szCs w:val="16"/>
              </w:rPr>
              <w:t>605,820</w:t>
            </w:r>
          </w:p>
        </w:tc>
      </w:tr>
      <w:tr w:rsidR="00ED3DCD" w:rsidRPr="00ED3DCD" w14:paraId="0A6CDB1F" w14:textId="77777777" w:rsidTr="00ED3DCD">
        <w:trPr>
          <w:trHeight w:val="225"/>
          <w:jc w:val="center"/>
        </w:trPr>
        <w:tc>
          <w:tcPr>
            <w:tcW w:w="3177" w:type="dxa"/>
            <w:tcBorders>
              <w:top w:val="nil"/>
              <w:left w:val="nil"/>
              <w:bottom w:val="nil"/>
              <w:right w:val="nil"/>
            </w:tcBorders>
            <w:shd w:val="clear" w:color="auto" w:fill="auto"/>
            <w:noWrap/>
            <w:vAlign w:val="bottom"/>
            <w:hideMark/>
          </w:tcPr>
          <w:p w14:paraId="2336DABF" w14:textId="77777777" w:rsidR="00ED3DCD" w:rsidRPr="00ED3DCD" w:rsidRDefault="00ED3DCD" w:rsidP="0048588C">
            <w:pPr>
              <w:spacing w:before="0" w:after="0" w:line="240" w:lineRule="auto"/>
              <w:ind w:leftChars="150" w:left="285"/>
              <w:rPr>
                <w:rFonts w:ascii="Arial" w:hAnsi="Arial" w:cs="Arial"/>
                <w:b/>
                <w:bCs/>
                <w:color w:val="000000"/>
                <w:sz w:val="16"/>
                <w:szCs w:val="16"/>
              </w:rPr>
            </w:pPr>
            <w:r w:rsidRPr="00ED3DCD">
              <w:rPr>
                <w:rFonts w:ascii="Arial" w:hAnsi="Arial" w:cs="Arial"/>
                <w:b/>
                <w:bCs/>
                <w:color w:val="000000"/>
                <w:sz w:val="16"/>
                <w:szCs w:val="16"/>
              </w:rPr>
              <w:t>Total provisions</w:t>
            </w:r>
          </w:p>
        </w:tc>
        <w:tc>
          <w:tcPr>
            <w:tcW w:w="904" w:type="dxa"/>
            <w:tcBorders>
              <w:top w:val="nil"/>
              <w:left w:val="nil"/>
              <w:bottom w:val="single" w:sz="4" w:space="0" w:color="auto"/>
              <w:right w:val="nil"/>
            </w:tcBorders>
            <w:shd w:val="clear" w:color="auto" w:fill="auto"/>
            <w:noWrap/>
            <w:tcMar>
              <w:left w:w="0" w:type="dxa"/>
            </w:tcMar>
            <w:vAlign w:val="bottom"/>
            <w:hideMark/>
          </w:tcPr>
          <w:p w14:paraId="0A7297AC"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1,727,006</w:t>
            </w:r>
          </w:p>
        </w:tc>
        <w:tc>
          <w:tcPr>
            <w:tcW w:w="904" w:type="dxa"/>
            <w:tcBorders>
              <w:top w:val="nil"/>
              <w:left w:val="nil"/>
              <w:bottom w:val="single" w:sz="4" w:space="0" w:color="auto"/>
              <w:right w:val="nil"/>
            </w:tcBorders>
            <w:shd w:val="clear" w:color="000000" w:fill="D9D9D9"/>
            <w:noWrap/>
            <w:tcMar>
              <w:left w:w="0" w:type="dxa"/>
            </w:tcMar>
            <w:vAlign w:val="bottom"/>
            <w:hideMark/>
          </w:tcPr>
          <w:p w14:paraId="6931637E"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1,694,104</w:t>
            </w:r>
          </w:p>
        </w:tc>
        <w:tc>
          <w:tcPr>
            <w:tcW w:w="905" w:type="dxa"/>
            <w:tcBorders>
              <w:top w:val="nil"/>
              <w:left w:val="nil"/>
              <w:bottom w:val="single" w:sz="4" w:space="0" w:color="auto"/>
              <w:right w:val="nil"/>
            </w:tcBorders>
            <w:shd w:val="clear" w:color="auto" w:fill="auto"/>
            <w:noWrap/>
            <w:tcMar>
              <w:left w:w="0" w:type="dxa"/>
            </w:tcMar>
            <w:vAlign w:val="bottom"/>
            <w:hideMark/>
          </w:tcPr>
          <w:p w14:paraId="26C2D9F4"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1,651,221</w:t>
            </w:r>
          </w:p>
        </w:tc>
        <w:tc>
          <w:tcPr>
            <w:tcW w:w="905" w:type="dxa"/>
            <w:tcBorders>
              <w:top w:val="nil"/>
              <w:left w:val="nil"/>
              <w:bottom w:val="single" w:sz="4" w:space="0" w:color="auto"/>
              <w:right w:val="nil"/>
            </w:tcBorders>
            <w:shd w:val="clear" w:color="auto" w:fill="auto"/>
            <w:noWrap/>
            <w:tcMar>
              <w:left w:w="0" w:type="dxa"/>
            </w:tcMar>
            <w:vAlign w:val="bottom"/>
            <w:hideMark/>
          </w:tcPr>
          <w:p w14:paraId="1C301ED0"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1,688,301</w:t>
            </w:r>
          </w:p>
        </w:tc>
        <w:tc>
          <w:tcPr>
            <w:tcW w:w="905" w:type="dxa"/>
            <w:tcBorders>
              <w:top w:val="nil"/>
              <w:left w:val="nil"/>
              <w:bottom w:val="single" w:sz="4" w:space="0" w:color="auto"/>
              <w:right w:val="nil"/>
            </w:tcBorders>
            <w:shd w:val="clear" w:color="auto" w:fill="auto"/>
            <w:noWrap/>
            <w:tcMar>
              <w:left w:w="0" w:type="dxa"/>
            </w:tcMar>
            <w:vAlign w:val="bottom"/>
            <w:hideMark/>
          </w:tcPr>
          <w:p w14:paraId="7D1ADBBD"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1,728,927</w:t>
            </w:r>
          </w:p>
        </w:tc>
      </w:tr>
      <w:tr w:rsidR="00ED3DCD" w:rsidRPr="00ED3DCD" w14:paraId="3CF043D1" w14:textId="77777777" w:rsidTr="000911F8">
        <w:trPr>
          <w:trHeight w:val="454"/>
          <w:jc w:val="center"/>
        </w:trPr>
        <w:tc>
          <w:tcPr>
            <w:tcW w:w="3177" w:type="dxa"/>
            <w:tcBorders>
              <w:top w:val="nil"/>
              <w:left w:val="nil"/>
              <w:bottom w:val="single" w:sz="4" w:space="0" w:color="auto"/>
              <w:right w:val="nil"/>
            </w:tcBorders>
            <w:shd w:val="clear" w:color="auto" w:fill="auto"/>
            <w:vAlign w:val="bottom"/>
            <w:hideMark/>
          </w:tcPr>
          <w:p w14:paraId="0D1EF8AD" w14:textId="77777777" w:rsidR="00ED3DCD" w:rsidRPr="00ED3DCD" w:rsidRDefault="00ED3DCD" w:rsidP="00ED3DCD">
            <w:pPr>
              <w:spacing w:before="0" w:after="0" w:line="240" w:lineRule="auto"/>
              <w:ind w:leftChars="75" w:left="143"/>
              <w:rPr>
                <w:rFonts w:ascii="Arial" w:hAnsi="Arial" w:cs="Arial"/>
                <w:b/>
                <w:bCs/>
                <w:color w:val="000000"/>
                <w:sz w:val="16"/>
                <w:szCs w:val="16"/>
              </w:rPr>
            </w:pPr>
            <w:r w:rsidRPr="00ED3DCD">
              <w:rPr>
                <w:rFonts w:ascii="Arial" w:hAnsi="Arial" w:cs="Arial"/>
                <w:b/>
                <w:bCs/>
                <w:color w:val="000000"/>
                <w:sz w:val="16"/>
                <w:szCs w:val="16"/>
              </w:rPr>
              <w:t>Total liabilities administered on behalf of Government</w:t>
            </w:r>
          </w:p>
        </w:tc>
        <w:tc>
          <w:tcPr>
            <w:tcW w:w="904" w:type="dxa"/>
            <w:tcBorders>
              <w:top w:val="nil"/>
              <w:left w:val="nil"/>
              <w:bottom w:val="single" w:sz="4" w:space="0" w:color="auto"/>
              <w:right w:val="nil"/>
            </w:tcBorders>
            <w:shd w:val="clear" w:color="auto" w:fill="auto"/>
            <w:noWrap/>
            <w:tcMar>
              <w:left w:w="0" w:type="dxa"/>
            </w:tcMar>
            <w:vAlign w:val="bottom"/>
            <w:hideMark/>
          </w:tcPr>
          <w:p w14:paraId="7836B21A"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4,491,445</w:t>
            </w:r>
          </w:p>
        </w:tc>
        <w:tc>
          <w:tcPr>
            <w:tcW w:w="904" w:type="dxa"/>
            <w:tcBorders>
              <w:top w:val="nil"/>
              <w:left w:val="nil"/>
              <w:bottom w:val="single" w:sz="4" w:space="0" w:color="auto"/>
              <w:right w:val="nil"/>
            </w:tcBorders>
            <w:shd w:val="clear" w:color="000000" w:fill="D9D9D9"/>
            <w:noWrap/>
            <w:tcMar>
              <w:left w:w="0" w:type="dxa"/>
            </w:tcMar>
            <w:vAlign w:val="bottom"/>
            <w:hideMark/>
          </w:tcPr>
          <w:p w14:paraId="655B848E"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4,542,450</w:t>
            </w:r>
          </w:p>
        </w:tc>
        <w:tc>
          <w:tcPr>
            <w:tcW w:w="905" w:type="dxa"/>
            <w:tcBorders>
              <w:top w:val="nil"/>
              <w:left w:val="nil"/>
              <w:bottom w:val="single" w:sz="4" w:space="0" w:color="auto"/>
              <w:right w:val="nil"/>
            </w:tcBorders>
            <w:shd w:val="clear" w:color="auto" w:fill="auto"/>
            <w:noWrap/>
            <w:tcMar>
              <w:left w:w="0" w:type="dxa"/>
            </w:tcMar>
            <w:vAlign w:val="bottom"/>
            <w:hideMark/>
          </w:tcPr>
          <w:p w14:paraId="02F93832"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4,537,004</w:t>
            </w:r>
          </w:p>
        </w:tc>
        <w:tc>
          <w:tcPr>
            <w:tcW w:w="905" w:type="dxa"/>
            <w:tcBorders>
              <w:top w:val="nil"/>
              <w:left w:val="nil"/>
              <w:bottom w:val="single" w:sz="4" w:space="0" w:color="auto"/>
              <w:right w:val="nil"/>
            </w:tcBorders>
            <w:shd w:val="clear" w:color="auto" w:fill="auto"/>
            <w:noWrap/>
            <w:tcMar>
              <w:left w:w="0" w:type="dxa"/>
            </w:tcMar>
            <w:vAlign w:val="bottom"/>
            <w:hideMark/>
          </w:tcPr>
          <w:p w14:paraId="2DED8C44"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4,605,677</w:t>
            </w:r>
          </w:p>
        </w:tc>
        <w:tc>
          <w:tcPr>
            <w:tcW w:w="905" w:type="dxa"/>
            <w:tcBorders>
              <w:top w:val="nil"/>
              <w:left w:val="nil"/>
              <w:bottom w:val="single" w:sz="4" w:space="0" w:color="auto"/>
              <w:right w:val="nil"/>
            </w:tcBorders>
            <w:shd w:val="clear" w:color="auto" w:fill="auto"/>
            <w:noWrap/>
            <w:tcMar>
              <w:left w:w="0" w:type="dxa"/>
            </w:tcMar>
            <w:vAlign w:val="bottom"/>
            <w:hideMark/>
          </w:tcPr>
          <w:p w14:paraId="0D2AC5BB" w14:textId="77777777" w:rsidR="00ED3DCD" w:rsidRPr="00ED3DCD" w:rsidRDefault="00ED3DCD" w:rsidP="00ED3DCD">
            <w:pPr>
              <w:spacing w:before="0" w:after="0" w:line="240" w:lineRule="auto"/>
              <w:jc w:val="right"/>
              <w:rPr>
                <w:rFonts w:ascii="Arial" w:hAnsi="Arial" w:cs="Arial"/>
                <w:b/>
                <w:bCs/>
                <w:sz w:val="16"/>
                <w:szCs w:val="16"/>
              </w:rPr>
            </w:pPr>
            <w:r w:rsidRPr="00ED3DCD">
              <w:rPr>
                <w:rFonts w:ascii="Arial" w:hAnsi="Arial" w:cs="Arial"/>
                <w:b/>
                <w:bCs/>
                <w:sz w:val="16"/>
                <w:szCs w:val="16"/>
              </w:rPr>
              <w:t>4,690,876</w:t>
            </w:r>
          </w:p>
        </w:tc>
      </w:tr>
    </w:tbl>
    <w:p w14:paraId="04A45159" w14:textId="77777777" w:rsidR="00736DD8" w:rsidRPr="005B0398" w:rsidRDefault="00736DD8" w:rsidP="00736DD8">
      <w:pPr>
        <w:pStyle w:val="TableGraphic"/>
        <w:rPr>
          <w:b/>
        </w:rPr>
      </w:pPr>
    </w:p>
    <w:p w14:paraId="6B68AD66" w14:textId="483698B6" w:rsidR="00736DD8" w:rsidRPr="00D8662A" w:rsidRDefault="00D8662A" w:rsidP="00D8662A">
      <w:pPr>
        <w:spacing w:before="0" w:after="0" w:line="240" w:lineRule="auto"/>
        <w:rPr>
          <w:rFonts w:ascii="Arial" w:hAnsi="Arial"/>
          <w:b/>
          <w:snapToGrid w:val="0"/>
          <w:sz w:val="20"/>
        </w:rPr>
      </w:pPr>
      <w:r>
        <w:rPr>
          <w:snapToGrid w:val="0"/>
        </w:rPr>
        <w:br w:type="page"/>
      </w:r>
    </w:p>
    <w:p w14:paraId="4689D395" w14:textId="77777777" w:rsidR="00736DD8" w:rsidRDefault="00736DD8" w:rsidP="00736DD8">
      <w:pPr>
        <w:pStyle w:val="TableHeading"/>
        <w:spacing w:before="0"/>
        <w:rPr>
          <w:snapToGrid w:val="0"/>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7660" w:type="dxa"/>
        <w:jc w:val="center"/>
        <w:tblLayout w:type="fixed"/>
        <w:tblLook w:val="04A0" w:firstRow="1" w:lastRow="0" w:firstColumn="1" w:lastColumn="0" w:noHBand="0" w:noVBand="1"/>
      </w:tblPr>
      <w:tblGrid>
        <w:gridCol w:w="2447"/>
        <w:gridCol w:w="1042"/>
        <w:gridCol w:w="1042"/>
        <w:gridCol w:w="1043"/>
        <w:gridCol w:w="1043"/>
        <w:gridCol w:w="1043"/>
      </w:tblGrid>
      <w:tr w:rsidR="00D8662A" w:rsidRPr="00D8662A" w14:paraId="0E1860E3" w14:textId="77777777" w:rsidTr="00D8662A">
        <w:trPr>
          <w:trHeight w:val="737"/>
          <w:jc w:val="center"/>
        </w:trPr>
        <w:tc>
          <w:tcPr>
            <w:tcW w:w="2447" w:type="dxa"/>
            <w:tcBorders>
              <w:top w:val="single" w:sz="4" w:space="0" w:color="auto"/>
              <w:left w:val="nil"/>
              <w:bottom w:val="nil"/>
              <w:right w:val="nil"/>
            </w:tcBorders>
            <w:shd w:val="clear" w:color="auto" w:fill="auto"/>
            <w:hideMark/>
          </w:tcPr>
          <w:p w14:paraId="639AD60B" w14:textId="77777777" w:rsidR="00D8662A" w:rsidRPr="00D8662A" w:rsidRDefault="00D8662A" w:rsidP="00D8662A">
            <w:pPr>
              <w:spacing w:before="24" w:after="0" w:line="240" w:lineRule="auto"/>
              <w:jc w:val="right"/>
              <w:rPr>
                <w:rFonts w:ascii="Arial" w:hAnsi="Arial" w:cs="Arial"/>
                <w:sz w:val="16"/>
                <w:szCs w:val="16"/>
              </w:rPr>
            </w:pPr>
            <w:r w:rsidRPr="00D8662A">
              <w:rPr>
                <w:rFonts w:ascii="Arial" w:hAnsi="Arial" w:cs="Arial"/>
                <w:sz w:val="16"/>
                <w:szCs w:val="16"/>
              </w:rPr>
              <w:t> </w:t>
            </w:r>
          </w:p>
        </w:tc>
        <w:tc>
          <w:tcPr>
            <w:tcW w:w="1042" w:type="dxa"/>
            <w:tcBorders>
              <w:top w:val="single" w:sz="4" w:space="0" w:color="auto"/>
              <w:left w:val="nil"/>
              <w:bottom w:val="single" w:sz="4" w:space="0" w:color="auto"/>
              <w:right w:val="nil"/>
            </w:tcBorders>
            <w:shd w:val="clear" w:color="auto" w:fill="auto"/>
            <w:hideMark/>
          </w:tcPr>
          <w:p w14:paraId="46125BA8" w14:textId="3F5B1F51" w:rsidR="00D8662A" w:rsidRPr="00D8662A" w:rsidRDefault="00D8662A" w:rsidP="00D8662A">
            <w:pPr>
              <w:spacing w:before="24" w:after="0" w:line="240" w:lineRule="auto"/>
              <w:jc w:val="right"/>
              <w:rPr>
                <w:rFonts w:ascii="Arial" w:hAnsi="Arial" w:cs="Arial"/>
                <w:b/>
                <w:bCs/>
                <w:sz w:val="16"/>
                <w:szCs w:val="16"/>
              </w:rPr>
            </w:pPr>
            <w:r>
              <w:rPr>
                <w:rFonts w:ascii="Arial" w:hAnsi="Arial" w:cs="Arial"/>
                <w:b/>
                <w:bCs/>
                <w:sz w:val="16"/>
                <w:szCs w:val="16"/>
              </w:rPr>
              <w:t>2022–</w:t>
            </w:r>
            <w:r w:rsidRPr="00D8662A">
              <w:rPr>
                <w:rFonts w:ascii="Arial" w:hAnsi="Arial" w:cs="Arial"/>
                <w:b/>
                <w:bCs/>
                <w:sz w:val="16"/>
                <w:szCs w:val="16"/>
              </w:rPr>
              <w:t>23</w:t>
            </w:r>
            <w:r w:rsidRPr="00D8662A">
              <w:rPr>
                <w:rFonts w:ascii="Arial" w:hAnsi="Arial" w:cs="Arial"/>
                <w:b/>
                <w:bCs/>
                <w:sz w:val="16"/>
                <w:szCs w:val="16"/>
              </w:rPr>
              <w:br/>
              <w:t>Actual</w:t>
            </w:r>
            <w:r w:rsidRPr="00D8662A">
              <w:rPr>
                <w:rFonts w:ascii="Arial" w:hAnsi="Arial" w:cs="Arial"/>
                <w:b/>
                <w:bCs/>
                <w:sz w:val="16"/>
                <w:szCs w:val="16"/>
              </w:rPr>
              <w:br/>
            </w:r>
            <w:r w:rsidRPr="00D8662A">
              <w:rPr>
                <w:rFonts w:ascii="Arial" w:hAnsi="Arial" w:cs="Arial"/>
                <w:b/>
                <w:bCs/>
                <w:sz w:val="16"/>
                <w:szCs w:val="16"/>
              </w:rPr>
              <w:br/>
            </w:r>
            <w:r w:rsidRPr="00D8662A">
              <w:rPr>
                <w:rFonts w:ascii="Arial" w:hAnsi="Arial" w:cs="Arial"/>
                <w:sz w:val="16"/>
                <w:szCs w:val="16"/>
              </w:rPr>
              <w:t>$'000</w:t>
            </w:r>
          </w:p>
        </w:tc>
        <w:tc>
          <w:tcPr>
            <w:tcW w:w="1042" w:type="dxa"/>
            <w:tcBorders>
              <w:top w:val="single" w:sz="4" w:space="0" w:color="auto"/>
              <w:left w:val="nil"/>
              <w:bottom w:val="single" w:sz="4" w:space="0" w:color="auto"/>
              <w:right w:val="nil"/>
            </w:tcBorders>
            <w:shd w:val="clear" w:color="000000" w:fill="D9D9D9"/>
            <w:hideMark/>
          </w:tcPr>
          <w:p w14:paraId="495318F1" w14:textId="3FA7ABC2" w:rsidR="00D8662A" w:rsidRPr="00D8662A" w:rsidRDefault="00D8662A" w:rsidP="00D8662A">
            <w:pPr>
              <w:spacing w:before="24" w:after="0" w:line="240" w:lineRule="auto"/>
              <w:jc w:val="right"/>
              <w:rPr>
                <w:rFonts w:ascii="Arial" w:hAnsi="Arial" w:cs="Arial"/>
                <w:b/>
                <w:bCs/>
                <w:sz w:val="16"/>
                <w:szCs w:val="16"/>
              </w:rPr>
            </w:pPr>
            <w:r>
              <w:rPr>
                <w:rFonts w:ascii="Arial" w:hAnsi="Arial" w:cs="Arial"/>
                <w:b/>
                <w:bCs/>
                <w:sz w:val="16"/>
                <w:szCs w:val="16"/>
              </w:rPr>
              <w:t>2023–</w:t>
            </w:r>
            <w:r w:rsidRPr="00D8662A">
              <w:rPr>
                <w:rFonts w:ascii="Arial" w:hAnsi="Arial" w:cs="Arial"/>
                <w:b/>
                <w:bCs/>
                <w:sz w:val="16"/>
                <w:szCs w:val="16"/>
              </w:rPr>
              <w:t>24</w:t>
            </w:r>
            <w:r w:rsidRPr="00D8662A">
              <w:rPr>
                <w:rFonts w:ascii="Arial" w:hAnsi="Arial" w:cs="Arial"/>
                <w:b/>
                <w:bCs/>
                <w:sz w:val="16"/>
                <w:szCs w:val="16"/>
              </w:rPr>
              <w:br/>
              <w:t xml:space="preserve">Revised Budget </w:t>
            </w:r>
            <w:r w:rsidRPr="00D8662A">
              <w:rPr>
                <w:rFonts w:ascii="Arial" w:hAnsi="Arial" w:cs="Arial"/>
                <w:sz w:val="16"/>
                <w:szCs w:val="16"/>
              </w:rPr>
              <w:t xml:space="preserve"> </w:t>
            </w:r>
            <w:r w:rsidRPr="00D8662A">
              <w:rPr>
                <w:rFonts w:ascii="Arial" w:hAnsi="Arial" w:cs="Arial"/>
                <w:sz w:val="16"/>
                <w:szCs w:val="16"/>
              </w:rPr>
              <w:br/>
              <w:t>$'000</w:t>
            </w:r>
          </w:p>
        </w:tc>
        <w:tc>
          <w:tcPr>
            <w:tcW w:w="1043" w:type="dxa"/>
            <w:tcBorders>
              <w:top w:val="single" w:sz="4" w:space="0" w:color="auto"/>
              <w:left w:val="nil"/>
              <w:bottom w:val="single" w:sz="4" w:space="0" w:color="auto"/>
              <w:right w:val="nil"/>
            </w:tcBorders>
            <w:shd w:val="clear" w:color="auto" w:fill="auto"/>
            <w:hideMark/>
          </w:tcPr>
          <w:p w14:paraId="13F0B862" w14:textId="34E7827B" w:rsidR="00D8662A" w:rsidRPr="00D8662A" w:rsidRDefault="00D8662A" w:rsidP="00D8662A">
            <w:pPr>
              <w:spacing w:before="24" w:after="0" w:line="240" w:lineRule="auto"/>
              <w:jc w:val="right"/>
              <w:rPr>
                <w:rFonts w:ascii="Arial" w:hAnsi="Arial" w:cs="Arial"/>
                <w:b/>
                <w:bCs/>
                <w:sz w:val="16"/>
                <w:szCs w:val="16"/>
              </w:rPr>
            </w:pPr>
            <w:r>
              <w:rPr>
                <w:rFonts w:ascii="Arial" w:hAnsi="Arial" w:cs="Arial"/>
                <w:b/>
                <w:bCs/>
                <w:sz w:val="16"/>
                <w:szCs w:val="16"/>
              </w:rPr>
              <w:t>2024–</w:t>
            </w:r>
            <w:r w:rsidRPr="00D8662A">
              <w:rPr>
                <w:rFonts w:ascii="Arial" w:hAnsi="Arial" w:cs="Arial"/>
                <w:b/>
                <w:bCs/>
                <w:sz w:val="16"/>
                <w:szCs w:val="16"/>
              </w:rPr>
              <w:t>25</w:t>
            </w:r>
            <w:r w:rsidRPr="00D8662A">
              <w:rPr>
                <w:rFonts w:ascii="Arial" w:hAnsi="Arial" w:cs="Arial"/>
                <w:b/>
                <w:bCs/>
                <w:sz w:val="16"/>
                <w:szCs w:val="16"/>
              </w:rPr>
              <w:br/>
              <w:t xml:space="preserve">Forward </w:t>
            </w:r>
            <w:r w:rsidRPr="00D8662A">
              <w:rPr>
                <w:rFonts w:ascii="Arial" w:hAnsi="Arial" w:cs="Arial"/>
                <w:b/>
                <w:bCs/>
                <w:sz w:val="16"/>
                <w:szCs w:val="16"/>
              </w:rPr>
              <w:br/>
              <w:t xml:space="preserve">Estimate </w:t>
            </w:r>
            <w:r w:rsidRPr="00D8662A">
              <w:rPr>
                <w:rFonts w:ascii="Arial" w:hAnsi="Arial" w:cs="Arial"/>
                <w:b/>
                <w:bCs/>
                <w:sz w:val="16"/>
                <w:szCs w:val="16"/>
              </w:rPr>
              <w:br/>
            </w:r>
            <w:r w:rsidRPr="00D8662A">
              <w:rPr>
                <w:rFonts w:ascii="Arial" w:hAnsi="Arial" w:cs="Arial"/>
                <w:sz w:val="16"/>
                <w:szCs w:val="16"/>
              </w:rPr>
              <w:t>$'000</w:t>
            </w:r>
          </w:p>
        </w:tc>
        <w:tc>
          <w:tcPr>
            <w:tcW w:w="1043" w:type="dxa"/>
            <w:tcBorders>
              <w:top w:val="single" w:sz="4" w:space="0" w:color="auto"/>
              <w:left w:val="nil"/>
              <w:bottom w:val="single" w:sz="4" w:space="0" w:color="auto"/>
              <w:right w:val="nil"/>
            </w:tcBorders>
            <w:shd w:val="clear" w:color="auto" w:fill="auto"/>
            <w:hideMark/>
          </w:tcPr>
          <w:p w14:paraId="14DE517C" w14:textId="2ED50054" w:rsidR="00D8662A" w:rsidRPr="00D8662A" w:rsidRDefault="00D8662A" w:rsidP="00D8662A">
            <w:pPr>
              <w:spacing w:before="24" w:after="0" w:line="240" w:lineRule="auto"/>
              <w:jc w:val="right"/>
              <w:rPr>
                <w:rFonts w:ascii="Arial" w:hAnsi="Arial" w:cs="Arial"/>
                <w:b/>
                <w:bCs/>
                <w:sz w:val="16"/>
                <w:szCs w:val="16"/>
              </w:rPr>
            </w:pPr>
            <w:r>
              <w:rPr>
                <w:rFonts w:ascii="Arial" w:hAnsi="Arial" w:cs="Arial"/>
                <w:b/>
                <w:bCs/>
                <w:sz w:val="16"/>
                <w:szCs w:val="16"/>
              </w:rPr>
              <w:t>2025–</w:t>
            </w:r>
            <w:r w:rsidRPr="00D8662A">
              <w:rPr>
                <w:rFonts w:ascii="Arial" w:hAnsi="Arial" w:cs="Arial"/>
                <w:b/>
                <w:bCs/>
                <w:sz w:val="16"/>
                <w:szCs w:val="16"/>
              </w:rPr>
              <w:t>26</w:t>
            </w:r>
            <w:r w:rsidRPr="00D8662A">
              <w:rPr>
                <w:rFonts w:ascii="Arial" w:hAnsi="Arial" w:cs="Arial"/>
                <w:b/>
                <w:bCs/>
                <w:sz w:val="16"/>
                <w:szCs w:val="16"/>
              </w:rPr>
              <w:br/>
              <w:t xml:space="preserve">Forward </w:t>
            </w:r>
            <w:r w:rsidRPr="00D8662A">
              <w:rPr>
                <w:rFonts w:ascii="Arial" w:hAnsi="Arial" w:cs="Arial"/>
                <w:b/>
                <w:bCs/>
                <w:sz w:val="16"/>
                <w:szCs w:val="16"/>
              </w:rPr>
              <w:br/>
              <w:t xml:space="preserve">Estimate </w:t>
            </w:r>
            <w:r w:rsidRPr="00D8662A">
              <w:rPr>
                <w:rFonts w:ascii="Arial" w:hAnsi="Arial" w:cs="Arial"/>
                <w:b/>
                <w:bCs/>
                <w:sz w:val="16"/>
                <w:szCs w:val="16"/>
              </w:rPr>
              <w:br/>
            </w:r>
            <w:r w:rsidRPr="00D8662A">
              <w:rPr>
                <w:rFonts w:ascii="Arial" w:hAnsi="Arial" w:cs="Arial"/>
                <w:sz w:val="16"/>
                <w:szCs w:val="16"/>
              </w:rPr>
              <w:t>$'000</w:t>
            </w:r>
          </w:p>
        </w:tc>
        <w:tc>
          <w:tcPr>
            <w:tcW w:w="1043" w:type="dxa"/>
            <w:tcBorders>
              <w:top w:val="single" w:sz="4" w:space="0" w:color="auto"/>
              <w:left w:val="nil"/>
              <w:bottom w:val="single" w:sz="4" w:space="0" w:color="auto"/>
              <w:right w:val="nil"/>
            </w:tcBorders>
            <w:shd w:val="clear" w:color="auto" w:fill="auto"/>
            <w:hideMark/>
          </w:tcPr>
          <w:p w14:paraId="2FE8B945" w14:textId="3290E6E3" w:rsidR="00D8662A" w:rsidRPr="00D8662A" w:rsidRDefault="00D8662A" w:rsidP="00D8662A">
            <w:pPr>
              <w:spacing w:before="24" w:after="0" w:line="240" w:lineRule="auto"/>
              <w:jc w:val="right"/>
              <w:rPr>
                <w:rFonts w:ascii="Arial" w:hAnsi="Arial" w:cs="Arial"/>
                <w:b/>
                <w:bCs/>
                <w:sz w:val="16"/>
                <w:szCs w:val="16"/>
              </w:rPr>
            </w:pPr>
            <w:r>
              <w:rPr>
                <w:rFonts w:ascii="Arial" w:hAnsi="Arial" w:cs="Arial"/>
                <w:b/>
                <w:bCs/>
                <w:sz w:val="16"/>
                <w:szCs w:val="16"/>
              </w:rPr>
              <w:t>2026–</w:t>
            </w:r>
            <w:r w:rsidRPr="00D8662A">
              <w:rPr>
                <w:rFonts w:ascii="Arial" w:hAnsi="Arial" w:cs="Arial"/>
                <w:b/>
                <w:bCs/>
                <w:sz w:val="16"/>
                <w:szCs w:val="16"/>
              </w:rPr>
              <w:t>27</w:t>
            </w:r>
            <w:r w:rsidRPr="00D8662A">
              <w:rPr>
                <w:rFonts w:ascii="Arial" w:hAnsi="Arial" w:cs="Arial"/>
                <w:b/>
                <w:bCs/>
                <w:sz w:val="16"/>
                <w:szCs w:val="16"/>
              </w:rPr>
              <w:br/>
              <w:t xml:space="preserve">Forward </w:t>
            </w:r>
            <w:r w:rsidRPr="00D8662A">
              <w:rPr>
                <w:rFonts w:ascii="Arial" w:hAnsi="Arial" w:cs="Arial"/>
                <w:b/>
                <w:bCs/>
                <w:sz w:val="16"/>
                <w:szCs w:val="16"/>
              </w:rPr>
              <w:br/>
              <w:t xml:space="preserve">Estimate </w:t>
            </w:r>
            <w:r w:rsidRPr="00D8662A">
              <w:rPr>
                <w:rFonts w:ascii="Arial" w:hAnsi="Arial" w:cs="Arial"/>
                <w:b/>
                <w:bCs/>
                <w:sz w:val="16"/>
                <w:szCs w:val="16"/>
              </w:rPr>
              <w:br/>
            </w:r>
            <w:r w:rsidRPr="00D8662A">
              <w:rPr>
                <w:rFonts w:ascii="Arial" w:hAnsi="Arial" w:cs="Arial"/>
                <w:sz w:val="16"/>
                <w:szCs w:val="16"/>
              </w:rPr>
              <w:t>$'000</w:t>
            </w:r>
          </w:p>
        </w:tc>
      </w:tr>
      <w:tr w:rsidR="00D8662A" w:rsidRPr="00D8662A" w14:paraId="0048DF98" w14:textId="77777777" w:rsidTr="00D8662A">
        <w:trPr>
          <w:trHeight w:val="283"/>
          <w:jc w:val="center"/>
        </w:trPr>
        <w:tc>
          <w:tcPr>
            <w:tcW w:w="2447" w:type="dxa"/>
            <w:tcBorders>
              <w:top w:val="nil"/>
              <w:left w:val="nil"/>
              <w:bottom w:val="nil"/>
              <w:right w:val="nil"/>
            </w:tcBorders>
            <w:shd w:val="clear" w:color="auto" w:fill="auto"/>
            <w:noWrap/>
            <w:vAlign w:val="bottom"/>
            <w:hideMark/>
          </w:tcPr>
          <w:p w14:paraId="5849AF9E" w14:textId="77777777" w:rsidR="00D8662A" w:rsidRPr="00D8662A" w:rsidRDefault="00D8662A" w:rsidP="00D8662A">
            <w:pPr>
              <w:spacing w:before="0" w:after="0" w:line="240" w:lineRule="auto"/>
              <w:rPr>
                <w:rFonts w:ascii="Arial" w:hAnsi="Arial" w:cs="Arial"/>
                <w:b/>
                <w:bCs/>
                <w:sz w:val="16"/>
                <w:szCs w:val="16"/>
              </w:rPr>
            </w:pPr>
            <w:r w:rsidRPr="00D8662A">
              <w:rPr>
                <w:rFonts w:ascii="Arial" w:hAnsi="Arial" w:cs="Arial"/>
                <w:b/>
                <w:bCs/>
                <w:sz w:val="16"/>
                <w:szCs w:val="16"/>
              </w:rPr>
              <w:t>OPERATING ACTIVITIES</w:t>
            </w:r>
          </w:p>
        </w:tc>
        <w:tc>
          <w:tcPr>
            <w:tcW w:w="1042" w:type="dxa"/>
            <w:tcBorders>
              <w:top w:val="nil"/>
              <w:left w:val="nil"/>
              <w:bottom w:val="nil"/>
              <w:right w:val="nil"/>
            </w:tcBorders>
            <w:shd w:val="clear" w:color="auto" w:fill="auto"/>
            <w:noWrap/>
            <w:vAlign w:val="bottom"/>
            <w:hideMark/>
          </w:tcPr>
          <w:p w14:paraId="1DE3215C" w14:textId="77777777" w:rsidR="00D8662A" w:rsidRPr="00D8662A" w:rsidRDefault="00D8662A" w:rsidP="00D8662A">
            <w:pPr>
              <w:spacing w:before="0" w:after="0" w:line="240" w:lineRule="auto"/>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2D837B8C"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28277B62"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0DB52A0F"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7A1B318D"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194E8BA0"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06B676F4" w14:textId="77777777" w:rsidR="00D8662A" w:rsidRPr="00D8662A" w:rsidRDefault="00D8662A" w:rsidP="004B3DA6">
            <w:pPr>
              <w:spacing w:before="0" w:after="0" w:line="240" w:lineRule="auto"/>
              <w:ind w:leftChars="75" w:left="143"/>
              <w:rPr>
                <w:rFonts w:ascii="Arial" w:hAnsi="Arial" w:cs="Arial"/>
                <w:b/>
                <w:bCs/>
                <w:sz w:val="16"/>
                <w:szCs w:val="16"/>
              </w:rPr>
            </w:pPr>
            <w:r w:rsidRPr="00D8662A">
              <w:rPr>
                <w:rFonts w:ascii="Arial" w:hAnsi="Arial" w:cs="Arial"/>
                <w:b/>
                <w:bCs/>
                <w:sz w:val="16"/>
                <w:szCs w:val="16"/>
              </w:rPr>
              <w:t>Cash received</w:t>
            </w:r>
          </w:p>
        </w:tc>
        <w:tc>
          <w:tcPr>
            <w:tcW w:w="1042" w:type="dxa"/>
            <w:tcBorders>
              <w:top w:val="nil"/>
              <w:left w:val="nil"/>
              <w:bottom w:val="nil"/>
              <w:right w:val="nil"/>
            </w:tcBorders>
            <w:shd w:val="clear" w:color="auto" w:fill="auto"/>
            <w:noWrap/>
            <w:vAlign w:val="bottom"/>
            <w:hideMark/>
          </w:tcPr>
          <w:p w14:paraId="20FE32FB" w14:textId="77777777" w:rsidR="00D8662A" w:rsidRPr="00D8662A" w:rsidRDefault="00D8662A" w:rsidP="00D8662A">
            <w:pPr>
              <w:spacing w:before="0" w:after="0" w:line="240" w:lineRule="auto"/>
              <w:ind w:firstLineChars="100" w:firstLine="161"/>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52F67BD9"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54FA1906"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199ECD9A"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7C425F4A"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2FD5BC4D"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754F48C5"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Interest</w:t>
            </w:r>
          </w:p>
        </w:tc>
        <w:tc>
          <w:tcPr>
            <w:tcW w:w="1042" w:type="dxa"/>
            <w:tcBorders>
              <w:top w:val="nil"/>
              <w:left w:val="nil"/>
              <w:bottom w:val="nil"/>
              <w:right w:val="nil"/>
            </w:tcBorders>
            <w:shd w:val="clear" w:color="auto" w:fill="auto"/>
            <w:noWrap/>
            <w:vAlign w:val="bottom"/>
            <w:hideMark/>
          </w:tcPr>
          <w:p w14:paraId="7DA7B0FD"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2" w:type="dxa"/>
            <w:tcBorders>
              <w:top w:val="nil"/>
              <w:left w:val="nil"/>
              <w:bottom w:val="nil"/>
              <w:right w:val="nil"/>
            </w:tcBorders>
            <w:shd w:val="clear" w:color="000000" w:fill="D9D9D9"/>
            <w:noWrap/>
            <w:vAlign w:val="bottom"/>
            <w:hideMark/>
          </w:tcPr>
          <w:p w14:paraId="253DCAD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4,847</w:t>
            </w:r>
          </w:p>
        </w:tc>
        <w:tc>
          <w:tcPr>
            <w:tcW w:w="1043" w:type="dxa"/>
            <w:tcBorders>
              <w:top w:val="nil"/>
              <w:left w:val="nil"/>
              <w:bottom w:val="nil"/>
              <w:right w:val="nil"/>
            </w:tcBorders>
            <w:shd w:val="clear" w:color="auto" w:fill="auto"/>
            <w:noWrap/>
            <w:vAlign w:val="bottom"/>
            <w:hideMark/>
          </w:tcPr>
          <w:p w14:paraId="4E9AF6A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7,333</w:t>
            </w:r>
          </w:p>
        </w:tc>
        <w:tc>
          <w:tcPr>
            <w:tcW w:w="1043" w:type="dxa"/>
            <w:tcBorders>
              <w:top w:val="nil"/>
              <w:left w:val="nil"/>
              <w:bottom w:val="nil"/>
              <w:right w:val="nil"/>
            </w:tcBorders>
            <w:shd w:val="clear" w:color="auto" w:fill="auto"/>
            <w:noWrap/>
            <w:vAlign w:val="bottom"/>
            <w:hideMark/>
          </w:tcPr>
          <w:p w14:paraId="29F5B4D2"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7,333</w:t>
            </w:r>
          </w:p>
        </w:tc>
        <w:tc>
          <w:tcPr>
            <w:tcW w:w="1043" w:type="dxa"/>
            <w:tcBorders>
              <w:top w:val="nil"/>
              <w:left w:val="nil"/>
              <w:bottom w:val="nil"/>
              <w:right w:val="nil"/>
            </w:tcBorders>
            <w:shd w:val="clear" w:color="auto" w:fill="auto"/>
            <w:noWrap/>
            <w:vAlign w:val="bottom"/>
            <w:hideMark/>
          </w:tcPr>
          <w:p w14:paraId="5226A6B1"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7,333</w:t>
            </w:r>
          </w:p>
        </w:tc>
      </w:tr>
      <w:tr w:rsidR="00D8662A" w:rsidRPr="00D8662A" w14:paraId="77C73CD3"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35A5B44F"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Taxes</w:t>
            </w:r>
          </w:p>
        </w:tc>
        <w:tc>
          <w:tcPr>
            <w:tcW w:w="1042" w:type="dxa"/>
            <w:tcBorders>
              <w:top w:val="nil"/>
              <w:left w:val="nil"/>
              <w:bottom w:val="nil"/>
              <w:right w:val="nil"/>
            </w:tcBorders>
            <w:shd w:val="clear" w:color="auto" w:fill="auto"/>
            <w:noWrap/>
            <w:vAlign w:val="bottom"/>
            <w:hideMark/>
          </w:tcPr>
          <w:p w14:paraId="3103087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2" w:type="dxa"/>
            <w:tcBorders>
              <w:top w:val="nil"/>
              <w:left w:val="nil"/>
              <w:bottom w:val="nil"/>
              <w:right w:val="nil"/>
            </w:tcBorders>
            <w:shd w:val="clear" w:color="000000" w:fill="D9D9D9"/>
            <w:noWrap/>
            <w:vAlign w:val="bottom"/>
            <w:hideMark/>
          </w:tcPr>
          <w:p w14:paraId="5C68F8A0"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28,146</w:t>
            </w:r>
          </w:p>
        </w:tc>
        <w:tc>
          <w:tcPr>
            <w:tcW w:w="1043" w:type="dxa"/>
            <w:tcBorders>
              <w:top w:val="nil"/>
              <w:left w:val="nil"/>
              <w:bottom w:val="nil"/>
              <w:right w:val="nil"/>
            </w:tcBorders>
            <w:shd w:val="clear" w:color="auto" w:fill="auto"/>
            <w:noWrap/>
            <w:vAlign w:val="bottom"/>
            <w:hideMark/>
          </w:tcPr>
          <w:p w14:paraId="4216F6D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29,408</w:t>
            </w:r>
          </w:p>
        </w:tc>
        <w:tc>
          <w:tcPr>
            <w:tcW w:w="1043" w:type="dxa"/>
            <w:tcBorders>
              <w:top w:val="nil"/>
              <w:left w:val="nil"/>
              <w:bottom w:val="nil"/>
              <w:right w:val="nil"/>
            </w:tcBorders>
            <w:shd w:val="clear" w:color="auto" w:fill="auto"/>
            <w:noWrap/>
            <w:vAlign w:val="bottom"/>
            <w:hideMark/>
          </w:tcPr>
          <w:p w14:paraId="060801A7"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30,778</w:t>
            </w:r>
          </w:p>
        </w:tc>
        <w:tc>
          <w:tcPr>
            <w:tcW w:w="1043" w:type="dxa"/>
            <w:tcBorders>
              <w:top w:val="nil"/>
              <w:left w:val="nil"/>
              <w:bottom w:val="nil"/>
              <w:right w:val="nil"/>
            </w:tcBorders>
            <w:shd w:val="clear" w:color="auto" w:fill="auto"/>
            <w:noWrap/>
            <w:vAlign w:val="bottom"/>
            <w:hideMark/>
          </w:tcPr>
          <w:p w14:paraId="7C3426F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32,349</w:t>
            </w:r>
          </w:p>
        </w:tc>
      </w:tr>
      <w:tr w:rsidR="00D8662A" w:rsidRPr="00D8662A" w14:paraId="5D3DF518"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317550EE"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GST received</w:t>
            </w:r>
          </w:p>
        </w:tc>
        <w:tc>
          <w:tcPr>
            <w:tcW w:w="1042" w:type="dxa"/>
            <w:tcBorders>
              <w:top w:val="nil"/>
              <w:left w:val="nil"/>
              <w:bottom w:val="nil"/>
              <w:right w:val="nil"/>
            </w:tcBorders>
            <w:shd w:val="clear" w:color="auto" w:fill="auto"/>
            <w:noWrap/>
            <w:vAlign w:val="bottom"/>
            <w:hideMark/>
          </w:tcPr>
          <w:p w14:paraId="7CAE920C"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1,226,391</w:t>
            </w:r>
          </w:p>
        </w:tc>
        <w:tc>
          <w:tcPr>
            <w:tcW w:w="1042" w:type="dxa"/>
            <w:tcBorders>
              <w:top w:val="nil"/>
              <w:left w:val="nil"/>
              <w:bottom w:val="nil"/>
              <w:right w:val="nil"/>
            </w:tcBorders>
            <w:shd w:val="clear" w:color="000000" w:fill="D9D9D9"/>
            <w:noWrap/>
            <w:vAlign w:val="bottom"/>
            <w:hideMark/>
          </w:tcPr>
          <w:p w14:paraId="5025E38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863,594</w:t>
            </w:r>
          </w:p>
        </w:tc>
        <w:tc>
          <w:tcPr>
            <w:tcW w:w="1043" w:type="dxa"/>
            <w:tcBorders>
              <w:top w:val="nil"/>
              <w:left w:val="nil"/>
              <w:bottom w:val="nil"/>
              <w:right w:val="nil"/>
            </w:tcBorders>
            <w:shd w:val="clear" w:color="auto" w:fill="auto"/>
            <w:noWrap/>
            <w:vAlign w:val="bottom"/>
            <w:hideMark/>
          </w:tcPr>
          <w:p w14:paraId="58966D9C"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923,881</w:t>
            </w:r>
          </w:p>
        </w:tc>
        <w:tc>
          <w:tcPr>
            <w:tcW w:w="1043" w:type="dxa"/>
            <w:tcBorders>
              <w:top w:val="nil"/>
              <w:left w:val="nil"/>
              <w:bottom w:val="nil"/>
              <w:right w:val="nil"/>
            </w:tcBorders>
            <w:shd w:val="clear" w:color="auto" w:fill="auto"/>
            <w:noWrap/>
            <w:vAlign w:val="bottom"/>
            <w:hideMark/>
          </w:tcPr>
          <w:p w14:paraId="1DF7E30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977,069</w:t>
            </w:r>
          </w:p>
        </w:tc>
        <w:tc>
          <w:tcPr>
            <w:tcW w:w="1043" w:type="dxa"/>
            <w:tcBorders>
              <w:top w:val="nil"/>
              <w:left w:val="nil"/>
              <w:bottom w:val="nil"/>
              <w:right w:val="nil"/>
            </w:tcBorders>
            <w:shd w:val="clear" w:color="auto" w:fill="auto"/>
            <w:noWrap/>
            <w:vAlign w:val="bottom"/>
            <w:hideMark/>
          </w:tcPr>
          <w:p w14:paraId="49CD1F7E"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989,374</w:t>
            </w:r>
          </w:p>
        </w:tc>
      </w:tr>
      <w:tr w:rsidR="00D8662A" w:rsidRPr="00D8662A" w14:paraId="5851BA0D"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2CF08F22"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Special account receipts</w:t>
            </w:r>
          </w:p>
        </w:tc>
        <w:tc>
          <w:tcPr>
            <w:tcW w:w="1042" w:type="dxa"/>
            <w:tcBorders>
              <w:top w:val="nil"/>
              <w:left w:val="nil"/>
              <w:bottom w:val="nil"/>
              <w:right w:val="nil"/>
            </w:tcBorders>
            <w:shd w:val="clear" w:color="auto" w:fill="auto"/>
            <w:noWrap/>
            <w:vAlign w:val="bottom"/>
            <w:hideMark/>
          </w:tcPr>
          <w:p w14:paraId="23AFD708"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47,382,364</w:t>
            </w:r>
          </w:p>
        </w:tc>
        <w:tc>
          <w:tcPr>
            <w:tcW w:w="1042" w:type="dxa"/>
            <w:tcBorders>
              <w:top w:val="nil"/>
              <w:left w:val="nil"/>
              <w:bottom w:val="nil"/>
              <w:right w:val="nil"/>
            </w:tcBorders>
            <w:shd w:val="clear" w:color="000000" w:fill="D9D9D9"/>
            <w:noWrap/>
            <w:vAlign w:val="bottom"/>
            <w:hideMark/>
          </w:tcPr>
          <w:p w14:paraId="2BD912EB"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48,261,917</w:t>
            </w:r>
          </w:p>
        </w:tc>
        <w:tc>
          <w:tcPr>
            <w:tcW w:w="1043" w:type="dxa"/>
            <w:tcBorders>
              <w:top w:val="nil"/>
              <w:left w:val="nil"/>
              <w:bottom w:val="nil"/>
              <w:right w:val="nil"/>
            </w:tcBorders>
            <w:shd w:val="clear" w:color="auto" w:fill="auto"/>
            <w:noWrap/>
            <w:vAlign w:val="bottom"/>
            <w:hideMark/>
          </w:tcPr>
          <w:p w14:paraId="41B7800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50,226,208</w:t>
            </w:r>
          </w:p>
        </w:tc>
        <w:tc>
          <w:tcPr>
            <w:tcW w:w="1043" w:type="dxa"/>
            <w:tcBorders>
              <w:top w:val="nil"/>
              <w:left w:val="nil"/>
              <w:bottom w:val="nil"/>
              <w:right w:val="nil"/>
            </w:tcBorders>
            <w:shd w:val="clear" w:color="auto" w:fill="auto"/>
            <w:noWrap/>
            <w:vAlign w:val="bottom"/>
            <w:hideMark/>
          </w:tcPr>
          <w:p w14:paraId="37B6C73C"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52,270,993</w:t>
            </w:r>
          </w:p>
        </w:tc>
        <w:tc>
          <w:tcPr>
            <w:tcW w:w="1043" w:type="dxa"/>
            <w:tcBorders>
              <w:top w:val="nil"/>
              <w:left w:val="nil"/>
              <w:bottom w:val="nil"/>
              <w:right w:val="nil"/>
            </w:tcBorders>
            <w:shd w:val="clear" w:color="auto" w:fill="auto"/>
            <w:noWrap/>
            <w:vAlign w:val="bottom"/>
            <w:hideMark/>
          </w:tcPr>
          <w:p w14:paraId="7A0621F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53,920,644</w:t>
            </w:r>
          </w:p>
        </w:tc>
      </w:tr>
      <w:tr w:rsidR="00D8662A" w:rsidRPr="00D8662A" w14:paraId="409BC0E9"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525B5CEA"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Other receipts</w:t>
            </w:r>
          </w:p>
        </w:tc>
        <w:tc>
          <w:tcPr>
            <w:tcW w:w="1042" w:type="dxa"/>
            <w:tcBorders>
              <w:top w:val="nil"/>
              <w:left w:val="nil"/>
              <w:bottom w:val="nil"/>
              <w:right w:val="nil"/>
            </w:tcBorders>
            <w:shd w:val="clear" w:color="auto" w:fill="auto"/>
            <w:noWrap/>
            <w:vAlign w:val="bottom"/>
            <w:hideMark/>
          </w:tcPr>
          <w:p w14:paraId="16084ED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5,536,217</w:t>
            </w:r>
          </w:p>
        </w:tc>
        <w:tc>
          <w:tcPr>
            <w:tcW w:w="1042" w:type="dxa"/>
            <w:tcBorders>
              <w:top w:val="nil"/>
              <w:left w:val="nil"/>
              <w:bottom w:val="nil"/>
              <w:right w:val="nil"/>
            </w:tcBorders>
            <w:shd w:val="clear" w:color="000000" w:fill="D9D9D9"/>
            <w:noWrap/>
            <w:vAlign w:val="bottom"/>
            <w:hideMark/>
          </w:tcPr>
          <w:p w14:paraId="57C50257"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6,119,604</w:t>
            </w:r>
          </w:p>
        </w:tc>
        <w:tc>
          <w:tcPr>
            <w:tcW w:w="1043" w:type="dxa"/>
            <w:tcBorders>
              <w:top w:val="nil"/>
              <w:left w:val="nil"/>
              <w:bottom w:val="nil"/>
              <w:right w:val="nil"/>
            </w:tcBorders>
            <w:shd w:val="clear" w:color="auto" w:fill="auto"/>
            <w:noWrap/>
            <w:vAlign w:val="bottom"/>
            <w:hideMark/>
          </w:tcPr>
          <w:p w14:paraId="3BF7AFF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6,519,692</w:t>
            </w:r>
          </w:p>
        </w:tc>
        <w:tc>
          <w:tcPr>
            <w:tcW w:w="1043" w:type="dxa"/>
            <w:tcBorders>
              <w:top w:val="nil"/>
              <w:left w:val="nil"/>
              <w:bottom w:val="nil"/>
              <w:right w:val="nil"/>
            </w:tcBorders>
            <w:shd w:val="clear" w:color="auto" w:fill="auto"/>
            <w:noWrap/>
            <w:vAlign w:val="bottom"/>
            <w:hideMark/>
          </w:tcPr>
          <w:p w14:paraId="2825F02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6,675,961</w:t>
            </w:r>
          </w:p>
        </w:tc>
        <w:tc>
          <w:tcPr>
            <w:tcW w:w="1043" w:type="dxa"/>
            <w:tcBorders>
              <w:top w:val="nil"/>
              <w:left w:val="nil"/>
              <w:bottom w:val="nil"/>
              <w:right w:val="nil"/>
            </w:tcBorders>
            <w:shd w:val="clear" w:color="auto" w:fill="auto"/>
            <w:noWrap/>
            <w:vAlign w:val="bottom"/>
            <w:hideMark/>
          </w:tcPr>
          <w:p w14:paraId="527A8060"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6,735,115</w:t>
            </w:r>
          </w:p>
        </w:tc>
      </w:tr>
      <w:tr w:rsidR="00D8662A" w:rsidRPr="00D8662A" w14:paraId="4BE0F51C"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324482E9" w14:textId="77777777" w:rsidR="00D8662A" w:rsidRPr="00D8662A" w:rsidRDefault="00D8662A" w:rsidP="004B3DA6">
            <w:pPr>
              <w:spacing w:before="0" w:after="0" w:line="240" w:lineRule="auto"/>
              <w:ind w:leftChars="150" w:left="285"/>
              <w:rPr>
                <w:rFonts w:ascii="Arial" w:hAnsi="Arial" w:cs="Arial"/>
                <w:b/>
                <w:bCs/>
                <w:sz w:val="16"/>
                <w:szCs w:val="16"/>
              </w:rPr>
            </w:pPr>
            <w:r w:rsidRPr="00D8662A">
              <w:rPr>
                <w:rFonts w:ascii="Arial" w:hAnsi="Arial" w:cs="Arial"/>
                <w:b/>
                <w:bCs/>
                <w:sz w:val="16"/>
                <w:szCs w:val="16"/>
              </w:rPr>
              <w:t>Total cash received</w:t>
            </w:r>
          </w:p>
        </w:tc>
        <w:tc>
          <w:tcPr>
            <w:tcW w:w="1042" w:type="dxa"/>
            <w:tcBorders>
              <w:top w:val="nil"/>
              <w:left w:val="nil"/>
              <w:bottom w:val="single" w:sz="4" w:space="0" w:color="auto"/>
              <w:right w:val="nil"/>
            </w:tcBorders>
            <w:shd w:val="clear" w:color="auto" w:fill="auto"/>
            <w:noWrap/>
            <w:vAlign w:val="bottom"/>
            <w:hideMark/>
          </w:tcPr>
          <w:p w14:paraId="095EFD70"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54,144,972</w:t>
            </w:r>
          </w:p>
        </w:tc>
        <w:tc>
          <w:tcPr>
            <w:tcW w:w="1042" w:type="dxa"/>
            <w:tcBorders>
              <w:top w:val="nil"/>
              <w:left w:val="nil"/>
              <w:bottom w:val="single" w:sz="4" w:space="0" w:color="auto"/>
              <w:right w:val="nil"/>
            </w:tcBorders>
            <w:shd w:val="clear" w:color="000000" w:fill="D9D9D9"/>
            <w:noWrap/>
            <w:vAlign w:val="bottom"/>
            <w:hideMark/>
          </w:tcPr>
          <w:p w14:paraId="1C2D6E88"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55,278,108</w:t>
            </w:r>
          </w:p>
        </w:tc>
        <w:tc>
          <w:tcPr>
            <w:tcW w:w="1043" w:type="dxa"/>
            <w:tcBorders>
              <w:top w:val="nil"/>
              <w:left w:val="nil"/>
              <w:bottom w:val="single" w:sz="4" w:space="0" w:color="auto"/>
              <w:right w:val="nil"/>
            </w:tcBorders>
            <w:shd w:val="clear" w:color="auto" w:fill="auto"/>
            <w:noWrap/>
            <w:vAlign w:val="bottom"/>
            <w:hideMark/>
          </w:tcPr>
          <w:p w14:paraId="15F61DC4"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57,706,522</w:t>
            </w:r>
          </w:p>
        </w:tc>
        <w:tc>
          <w:tcPr>
            <w:tcW w:w="1043" w:type="dxa"/>
            <w:tcBorders>
              <w:top w:val="nil"/>
              <w:left w:val="nil"/>
              <w:bottom w:val="single" w:sz="4" w:space="0" w:color="auto"/>
              <w:right w:val="nil"/>
            </w:tcBorders>
            <w:shd w:val="clear" w:color="auto" w:fill="auto"/>
            <w:noWrap/>
            <w:vAlign w:val="bottom"/>
            <w:hideMark/>
          </w:tcPr>
          <w:p w14:paraId="1DE0B130"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59,962,134</w:t>
            </w:r>
          </w:p>
        </w:tc>
        <w:tc>
          <w:tcPr>
            <w:tcW w:w="1043" w:type="dxa"/>
            <w:tcBorders>
              <w:top w:val="nil"/>
              <w:left w:val="nil"/>
              <w:bottom w:val="single" w:sz="4" w:space="0" w:color="auto"/>
              <w:right w:val="nil"/>
            </w:tcBorders>
            <w:shd w:val="clear" w:color="auto" w:fill="auto"/>
            <w:noWrap/>
            <w:vAlign w:val="bottom"/>
            <w:hideMark/>
          </w:tcPr>
          <w:p w14:paraId="4FFA2EC4"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61,684,815</w:t>
            </w:r>
          </w:p>
        </w:tc>
      </w:tr>
      <w:tr w:rsidR="00D8662A" w:rsidRPr="00D8662A" w14:paraId="08EA355C" w14:textId="77777777" w:rsidTr="00D8662A">
        <w:trPr>
          <w:trHeight w:val="283"/>
          <w:jc w:val="center"/>
        </w:trPr>
        <w:tc>
          <w:tcPr>
            <w:tcW w:w="2447" w:type="dxa"/>
            <w:tcBorders>
              <w:top w:val="nil"/>
              <w:left w:val="nil"/>
              <w:bottom w:val="nil"/>
              <w:right w:val="nil"/>
            </w:tcBorders>
            <w:shd w:val="clear" w:color="auto" w:fill="auto"/>
            <w:noWrap/>
            <w:vAlign w:val="bottom"/>
            <w:hideMark/>
          </w:tcPr>
          <w:p w14:paraId="10282032" w14:textId="77777777" w:rsidR="00D8662A" w:rsidRPr="00D8662A" w:rsidRDefault="00D8662A" w:rsidP="004B3DA6">
            <w:pPr>
              <w:spacing w:before="0" w:after="0" w:line="240" w:lineRule="auto"/>
              <w:ind w:leftChars="75" w:left="143"/>
              <w:rPr>
                <w:rFonts w:ascii="Arial" w:hAnsi="Arial" w:cs="Arial"/>
                <w:b/>
                <w:bCs/>
                <w:sz w:val="16"/>
                <w:szCs w:val="16"/>
              </w:rPr>
            </w:pPr>
            <w:r w:rsidRPr="00D8662A">
              <w:rPr>
                <w:rFonts w:ascii="Arial" w:hAnsi="Arial" w:cs="Arial"/>
                <w:b/>
                <w:bCs/>
                <w:sz w:val="16"/>
                <w:szCs w:val="16"/>
              </w:rPr>
              <w:t>Cash used</w:t>
            </w:r>
          </w:p>
        </w:tc>
        <w:tc>
          <w:tcPr>
            <w:tcW w:w="1042" w:type="dxa"/>
            <w:tcBorders>
              <w:top w:val="nil"/>
              <w:left w:val="nil"/>
              <w:bottom w:val="nil"/>
              <w:right w:val="nil"/>
            </w:tcBorders>
            <w:shd w:val="clear" w:color="auto" w:fill="auto"/>
            <w:noWrap/>
            <w:vAlign w:val="bottom"/>
            <w:hideMark/>
          </w:tcPr>
          <w:p w14:paraId="6E67DCA7" w14:textId="77777777" w:rsidR="00D8662A" w:rsidRPr="00D8662A" w:rsidRDefault="00D8662A" w:rsidP="00D8662A">
            <w:pPr>
              <w:spacing w:before="0" w:after="0" w:line="240" w:lineRule="auto"/>
              <w:ind w:firstLineChars="100" w:firstLine="161"/>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2188DF3E"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1AE908A5"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78FD617A"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2B9186B9"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13ACD764"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1C0DCF35"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Grants</w:t>
            </w:r>
          </w:p>
        </w:tc>
        <w:tc>
          <w:tcPr>
            <w:tcW w:w="1042" w:type="dxa"/>
            <w:tcBorders>
              <w:top w:val="nil"/>
              <w:left w:val="nil"/>
              <w:bottom w:val="nil"/>
              <w:right w:val="nil"/>
            </w:tcBorders>
            <w:shd w:val="clear" w:color="auto" w:fill="auto"/>
            <w:noWrap/>
            <w:vAlign w:val="bottom"/>
            <w:hideMark/>
          </w:tcPr>
          <w:p w14:paraId="58D2F45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13,468,163</w:t>
            </w:r>
          </w:p>
        </w:tc>
        <w:tc>
          <w:tcPr>
            <w:tcW w:w="1042" w:type="dxa"/>
            <w:tcBorders>
              <w:top w:val="nil"/>
              <w:left w:val="nil"/>
              <w:bottom w:val="nil"/>
              <w:right w:val="nil"/>
            </w:tcBorders>
            <w:shd w:val="clear" w:color="000000" w:fill="D9D9D9"/>
            <w:noWrap/>
            <w:vAlign w:val="bottom"/>
            <w:hideMark/>
          </w:tcPr>
          <w:p w14:paraId="2FF5013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15,426,627</w:t>
            </w:r>
          </w:p>
        </w:tc>
        <w:tc>
          <w:tcPr>
            <w:tcW w:w="1043" w:type="dxa"/>
            <w:tcBorders>
              <w:top w:val="nil"/>
              <w:left w:val="nil"/>
              <w:bottom w:val="nil"/>
              <w:right w:val="nil"/>
            </w:tcBorders>
            <w:shd w:val="clear" w:color="auto" w:fill="auto"/>
            <w:noWrap/>
            <w:vAlign w:val="bottom"/>
            <w:hideMark/>
          </w:tcPr>
          <w:p w14:paraId="653BFFEE"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14,322,675</w:t>
            </w:r>
          </w:p>
        </w:tc>
        <w:tc>
          <w:tcPr>
            <w:tcW w:w="1043" w:type="dxa"/>
            <w:tcBorders>
              <w:top w:val="nil"/>
              <w:left w:val="nil"/>
              <w:bottom w:val="nil"/>
              <w:right w:val="nil"/>
            </w:tcBorders>
            <w:shd w:val="clear" w:color="auto" w:fill="auto"/>
            <w:noWrap/>
            <w:vAlign w:val="bottom"/>
            <w:hideMark/>
          </w:tcPr>
          <w:p w14:paraId="49D637B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14,365,336</w:t>
            </w:r>
          </w:p>
        </w:tc>
        <w:tc>
          <w:tcPr>
            <w:tcW w:w="1043" w:type="dxa"/>
            <w:tcBorders>
              <w:top w:val="nil"/>
              <w:left w:val="nil"/>
              <w:bottom w:val="nil"/>
              <w:right w:val="nil"/>
            </w:tcBorders>
            <w:shd w:val="clear" w:color="auto" w:fill="auto"/>
            <w:noWrap/>
            <w:vAlign w:val="bottom"/>
            <w:hideMark/>
          </w:tcPr>
          <w:p w14:paraId="3A240A5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14,430,158</w:t>
            </w:r>
          </w:p>
        </w:tc>
      </w:tr>
      <w:tr w:rsidR="00D8662A" w:rsidRPr="00D8662A" w14:paraId="5F1F0942"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68CFC482"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Subsidies</w:t>
            </w:r>
          </w:p>
        </w:tc>
        <w:tc>
          <w:tcPr>
            <w:tcW w:w="1042" w:type="dxa"/>
            <w:tcBorders>
              <w:top w:val="nil"/>
              <w:left w:val="nil"/>
              <w:bottom w:val="nil"/>
              <w:right w:val="nil"/>
            </w:tcBorders>
            <w:shd w:val="clear" w:color="auto" w:fill="auto"/>
            <w:noWrap/>
            <w:vAlign w:val="bottom"/>
            <w:hideMark/>
          </w:tcPr>
          <w:p w14:paraId="05B29D60"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16,328,129</w:t>
            </w:r>
          </w:p>
        </w:tc>
        <w:tc>
          <w:tcPr>
            <w:tcW w:w="1042" w:type="dxa"/>
            <w:tcBorders>
              <w:top w:val="nil"/>
              <w:left w:val="nil"/>
              <w:bottom w:val="nil"/>
              <w:right w:val="nil"/>
            </w:tcBorders>
            <w:shd w:val="clear" w:color="000000" w:fill="D9D9D9"/>
            <w:noWrap/>
            <w:vAlign w:val="bottom"/>
            <w:hideMark/>
          </w:tcPr>
          <w:p w14:paraId="304C1FCD"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21,306,285</w:t>
            </w:r>
          </w:p>
        </w:tc>
        <w:tc>
          <w:tcPr>
            <w:tcW w:w="1043" w:type="dxa"/>
            <w:tcBorders>
              <w:top w:val="nil"/>
              <w:left w:val="nil"/>
              <w:bottom w:val="nil"/>
              <w:right w:val="nil"/>
            </w:tcBorders>
            <w:shd w:val="clear" w:color="auto" w:fill="auto"/>
            <w:noWrap/>
            <w:vAlign w:val="bottom"/>
            <w:hideMark/>
          </w:tcPr>
          <w:p w14:paraId="736CD097"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24,180,170</w:t>
            </w:r>
          </w:p>
        </w:tc>
        <w:tc>
          <w:tcPr>
            <w:tcW w:w="1043" w:type="dxa"/>
            <w:tcBorders>
              <w:top w:val="nil"/>
              <w:left w:val="nil"/>
              <w:bottom w:val="nil"/>
              <w:right w:val="nil"/>
            </w:tcBorders>
            <w:shd w:val="clear" w:color="auto" w:fill="auto"/>
            <w:noWrap/>
            <w:vAlign w:val="bottom"/>
            <w:hideMark/>
          </w:tcPr>
          <w:p w14:paraId="308B17E2"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25,759,688</w:t>
            </w:r>
          </w:p>
        </w:tc>
        <w:tc>
          <w:tcPr>
            <w:tcW w:w="1043" w:type="dxa"/>
            <w:tcBorders>
              <w:top w:val="nil"/>
              <w:left w:val="nil"/>
              <w:bottom w:val="nil"/>
              <w:right w:val="nil"/>
            </w:tcBorders>
            <w:shd w:val="clear" w:color="auto" w:fill="auto"/>
            <w:noWrap/>
            <w:vAlign w:val="bottom"/>
            <w:hideMark/>
          </w:tcPr>
          <w:p w14:paraId="632009A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27,279,356</w:t>
            </w:r>
          </w:p>
        </w:tc>
      </w:tr>
      <w:tr w:rsidR="00D8662A" w:rsidRPr="00D8662A" w14:paraId="4CFBB70F"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44B30EA7"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Personal benefits</w:t>
            </w:r>
          </w:p>
        </w:tc>
        <w:tc>
          <w:tcPr>
            <w:tcW w:w="1042" w:type="dxa"/>
            <w:tcBorders>
              <w:top w:val="nil"/>
              <w:left w:val="nil"/>
              <w:bottom w:val="nil"/>
              <w:right w:val="nil"/>
            </w:tcBorders>
            <w:shd w:val="clear" w:color="auto" w:fill="auto"/>
            <w:noWrap/>
            <w:vAlign w:val="bottom"/>
            <w:hideMark/>
          </w:tcPr>
          <w:p w14:paraId="2446092B"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59,457,202</w:t>
            </w:r>
          </w:p>
        </w:tc>
        <w:tc>
          <w:tcPr>
            <w:tcW w:w="1042" w:type="dxa"/>
            <w:tcBorders>
              <w:top w:val="nil"/>
              <w:left w:val="nil"/>
              <w:bottom w:val="nil"/>
              <w:right w:val="nil"/>
            </w:tcBorders>
            <w:shd w:val="clear" w:color="000000" w:fill="D9D9D9"/>
            <w:noWrap/>
            <w:vAlign w:val="bottom"/>
            <w:hideMark/>
          </w:tcPr>
          <w:p w14:paraId="2DDA6AB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63,920,977</w:t>
            </w:r>
          </w:p>
        </w:tc>
        <w:tc>
          <w:tcPr>
            <w:tcW w:w="1043" w:type="dxa"/>
            <w:tcBorders>
              <w:top w:val="nil"/>
              <w:left w:val="nil"/>
              <w:bottom w:val="nil"/>
              <w:right w:val="nil"/>
            </w:tcBorders>
            <w:shd w:val="clear" w:color="auto" w:fill="auto"/>
            <w:noWrap/>
            <w:vAlign w:val="bottom"/>
            <w:hideMark/>
          </w:tcPr>
          <w:p w14:paraId="2F3C11B8"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65,904,308</w:t>
            </w:r>
          </w:p>
        </w:tc>
        <w:tc>
          <w:tcPr>
            <w:tcW w:w="1043" w:type="dxa"/>
            <w:tcBorders>
              <w:top w:val="nil"/>
              <w:left w:val="nil"/>
              <w:bottom w:val="nil"/>
              <w:right w:val="nil"/>
            </w:tcBorders>
            <w:shd w:val="clear" w:color="auto" w:fill="auto"/>
            <w:noWrap/>
            <w:vAlign w:val="bottom"/>
            <w:hideMark/>
          </w:tcPr>
          <w:p w14:paraId="2E809EA1"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68,605,342</w:t>
            </w:r>
          </w:p>
        </w:tc>
        <w:tc>
          <w:tcPr>
            <w:tcW w:w="1043" w:type="dxa"/>
            <w:tcBorders>
              <w:top w:val="nil"/>
              <w:left w:val="nil"/>
              <w:bottom w:val="nil"/>
              <w:right w:val="nil"/>
            </w:tcBorders>
            <w:shd w:val="clear" w:color="auto" w:fill="auto"/>
            <w:noWrap/>
            <w:vAlign w:val="bottom"/>
            <w:hideMark/>
          </w:tcPr>
          <w:p w14:paraId="175257B7"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70,805,138</w:t>
            </w:r>
          </w:p>
        </w:tc>
      </w:tr>
      <w:tr w:rsidR="00D8662A" w:rsidRPr="00D8662A" w14:paraId="5B862613"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6FAAA166"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Suppliers</w:t>
            </w:r>
          </w:p>
        </w:tc>
        <w:tc>
          <w:tcPr>
            <w:tcW w:w="1042" w:type="dxa"/>
            <w:tcBorders>
              <w:top w:val="nil"/>
              <w:left w:val="nil"/>
              <w:bottom w:val="nil"/>
              <w:right w:val="nil"/>
            </w:tcBorders>
            <w:shd w:val="clear" w:color="auto" w:fill="auto"/>
            <w:noWrap/>
            <w:vAlign w:val="bottom"/>
            <w:hideMark/>
          </w:tcPr>
          <w:p w14:paraId="7FFEB5EB"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5,051,240</w:t>
            </w:r>
          </w:p>
        </w:tc>
        <w:tc>
          <w:tcPr>
            <w:tcW w:w="1042" w:type="dxa"/>
            <w:tcBorders>
              <w:top w:val="nil"/>
              <w:left w:val="nil"/>
              <w:bottom w:val="nil"/>
              <w:right w:val="nil"/>
            </w:tcBorders>
            <w:shd w:val="clear" w:color="000000" w:fill="D9D9D9"/>
            <w:noWrap/>
            <w:vAlign w:val="bottom"/>
            <w:hideMark/>
          </w:tcPr>
          <w:p w14:paraId="6995FFE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2,904,913</w:t>
            </w:r>
          </w:p>
        </w:tc>
        <w:tc>
          <w:tcPr>
            <w:tcW w:w="1043" w:type="dxa"/>
            <w:tcBorders>
              <w:top w:val="nil"/>
              <w:left w:val="nil"/>
              <w:bottom w:val="nil"/>
              <w:right w:val="nil"/>
            </w:tcBorders>
            <w:shd w:val="clear" w:color="auto" w:fill="auto"/>
            <w:noWrap/>
            <w:vAlign w:val="bottom"/>
            <w:hideMark/>
          </w:tcPr>
          <w:p w14:paraId="3A87A47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2,131,065</w:t>
            </w:r>
          </w:p>
        </w:tc>
        <w:tc>
          <w:tcPr>
            <w:tcW w:w="1043" w:type="dxa"/>
            <w:tcBorders>
              <w:top w:val="nil"/>
              <w:left w:val="nil"/>
              <w:bottom w:val="nil"/>
              <w:right w:val="nil"/>
            </w:tcBorders>
            <w:shd w:val="clear" w:color="auto" w:fill="auto"/>
            <w:noWrap/>
            <w:vAlign w:val="bottom"/>
            <w:hideMark/>
          </w:tcPr>
          <w:p w14:paraId="00BDA87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2,070,940</w:t>
            </w:r>
          </w:p>
        </w:tc>
        <w:tc>
          <w:tcPr>
            <w:tcW w:w="1043" w:type="dxa"/>
            <w:tcBorders>
              <w:top w:val="nil"/>
              <w:left w:val="nil"/>
              <w:bottom w:val="nil"/>
              <w:right w:val="nil"/>
            </w:tcBorders>
            <w:shd w:val="clear" w:color="auto" w:fill="auto"/>
            <w:noWrap/>
            <w:vAlign w:val="bottom"/>
            <w:hideMark/>
          </w:tcPr>
          <w:p w14:paraId="06F40C3D"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2,039,116</w:t>
            </w:r>
          </w:p>
        </w:tc>
      </w:tr>
      <w:tr w:rsidR="00D8662A" w:rsidRPr="00D8662A" w14:paraId="6DFDA0A3" w14:textId="77777777" w:rsidTr="00D8662A">
        <w:trPr>
          <w:trHeight w:val="225"/>
          <w:jc w:val="center"/>
        </w:trPr>
        <w:tc>
          <w:tcPr>
            <w:tcW w:w="2447" w:type="dxa"/>
            <w:tcBorders>
              <w:top w:val="nil"/>
              <w:left w:val="nil"/>
              <w:bottom w:val="nil"/>
              <w:right w:val="nil"/>
            </w:tcBorders>
            <w:shd w:val="clear" w:color="000000" w:fill="FFFFFF"/>
            <w:vAlign w:val="bottom"/>
            <w:hideMark/>
          </w:tcPr>
          <w:p w14:paraId="446F88CC"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Corporate entities</w:t>
            </w:r>
          </w:p>
        </w:tc>
        <w:tc>
          <w:tcPr>
            <w:tcW w:w="1042" w:type="dxa"/>
            <w:tcBorders>
              <w:top w:val="nil"/>
              <w:left w:val="nil"/>
              <w:bottom w:val="nil"/>
              <w:right w:val="nil"/>
            </w:tcBorders>
            <w:shd w:val="clear" w:color="auto" w:fill="auto"/>
            <w:noWrap/>
            <w:vAlign w:val="bottom"/>
            <w:hideMark/>
          </w:tcPr>
          <w:p w14:paraId="05DFCCD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601,516</w:t>
            </w:r>
          </w:p>
        </w:tc>
        <w:tc>
          <w:tcPr>
            <w:tcW w:w="1042" w:type="dxa"/>
            <w:tcBorders>
              <w:top w:val="nil"/>
              <w:left w:val="nil"/>
              <w:bottom w:val="nil"/>
              <w:right w:val="nil"/>
            </w:tcBorders>
            <w:shd w:val="clear" w:color="000000" w:fill="D9D9D9"/>
            <w:noWrap/>
            <w:vAlign w:val="bottom"/>
            <w:hideMark/>
          </w:tcPr>
          <w:p w14:paraId="75C1CF3B"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665,326</w:t>
            </w:r>
          </w:p>
        </w:tc>
        <w:tc>
          <w:tcPr>
            <w:tcW w:w="1043" w:type="dxa"/>
            <w:tcBorders>
              <w:top w:val="nil"/>
              <w:left w:val="nil"/>
              <w:bottom w:val="nil"/>
              <w:right w:val="nil"/>
            </w:tcBorders>
            <w:shd w:val="clear" w:color="auto" w:fill="auto"/>
            <w:noWrap/>
            <w:vAlign w:val="bottom"/>
            <w:hideMark/>
          </w:tcPr>
          <w:p w14:paraId="2738120E"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599,011</w:t>
            </w:r>
          </w:p>
        </w:tc>
        <w:tc>
          <w:tcPr>
            <w:tcW w:w="1043" w:type="dxa"/>
            <w:tcBorders>
              <w:top w:val="nil"/>
              <w:left w:val="nil"/>
              <w:bottom w:val="nil"/>
              <w:right w:val="nil"/>
            </w:tcBorders>
            <w:shd w:val="clear" w:color="auto" w:fill="auto"/>
            <w:noWrap/>
            <w:vAlign w:val="bottom"/>
            <w:hideMark/>
          </w:tcPr>
          <w:p w14:paraId="2D19743C"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385,431</w:t>
            </w:r>
          </w:p>
        </w:tc>
        <w:tc>
          <w:tcPr>
            <w:tcW w:w="1043" w:type="dxa"/>
            <w:tcBorders>
              <w:top w:val="nil"/>
              <w:left w:val="nil"/>
              <w:bottom w:val="nil"/>
              <w:right w:val="nil"/>
            </w:tcBorders>
            <w:shd w:val="clear" w:color="auto" w:fill="auto"/>
            <w:noWrap/>
            <w:vAlign w:val="bottom"/>
            <w:hideMark/>
          </w:tcPr>
          <w:p w14:paraId="448CF0C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387,719</w:t>
            </w:r>
          </w:p>
        </w:tc>
      </w:tr>
      <w:tr w:rsidR="00D8662A" w:rsidRPr="00D8662A" w14:paraId="71AC05A7"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36087CB6" w14:textId="77777777" w:rsidR="00D8662A" w:rsidRPr="00D8662A" w:rsidRDefault="00D8662A" w:rsidP="004B3DA6">
            <w:pPr>
              <w:spacing w:before="0" w:after="0" w:line="240" w:lineRule="auto"/>
              <w:ind w:leftChars="150" w:left="285"/>
              <w:rPr>
                <w:rFonts w:ascii="Arial" w:hAnsi="Arial" w:cs="Arial"/>
                <w:b/>
                <w:bCs/>
                <w:sz w:val="16"/>
                <w:szCs w:val="16"/>
              </w:rPr>
            </w:pPr>
            <w:r w:rsidRPr="00D8662A">
              <w:rPr>
                <w:rFonts w:ascii="Arial" w:hAnsi="Arial" w:cs="Arial"/>
                <w:b/>
                <w:bCs/>
                <w:sz w:val="16"/>
                <w:szCs w:val="16"/>
              </w:rPr>
              <w:t>Total cash used</w:t>
            </w:r>
          </w:p>
        </w:tc>
        <w:tc>
          <w:tcPr>
            <w:tcW w:w="1042" w:type="dxa"/>
            <w:tcBorders>
              <w:top w:val="nil"/>
              <w:left w:val="nil"/>
              <w:bottom w:val="single" w:sz="4" w:space="0" w:color="auto"/>
              <w:right w:val="nil"/>
            </w:tcBorders>
            <w:shd w:val="clear" w:color="auto" w:fill="auto"/>
            <w:noWrap/>
            <w:vAlign w:val="bottom"/>
            <w:hideMark/>
          </w:tcPr>
          <w:p w14:paraId="7EA51061"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94,906,251</w:t>
            </w:r>
          </w:p>
        </w:tc>
        <w:tc>
          <w:tcPr>
            <w:tcW w:w="1042" w:type="dxa"/>
            <w:tcBorders>
              <w:top w:val="nil"/>
              <w:left w:val="nil"/>
              <w:bottom w:val="single" w:sz="4" w:space="0" w:color="auto"/>
              <w:right w:val="nil"/>
            </w:tcBorders>
            <w:shd w:val="clear" w:color="000000" w:fill="D9D9D9"/>
            <w:noWrap/>
            <w:tcMar>
              <w:left w:w="0" w:type="dxa"/>
            </w:tcMar>
            <w:vAlign w:val="bottom"/>
            <w:hideMark/>
          </w:tcPr>
          <w:p w14:paraId="1D72574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104,224,128</w:t>
            </w:r>
          </w:p>
        </w:tc>
        <w:tc>
          <w:tcPr>
            <w:tcW w:w="1043" w:type="dxa"/>
            <w:tcBorders>
              <w:top w:val="nil"/>
              <w:left w:val="nil"/>
              <w:bottom w:val="single" w:sz="4" w:space="0" w:color="auto"/>
              <w:right w:val="nil"/>
            </w:tcBorders>
            <w:shd w:val="clear" w:color="auto" w:fill="auto"/>
            <w:noWrap/>
            <w:tcMar>
              <w:left w:w="0" w:type="dxa"/>
            </w:tcMar>
            <w:vAlign w:val="bottom"/>
            <w:hideMark/>
          </w:tcPr>
          <w:p w14:paraId="468AB99F"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107,137,229</w:t>
            </w:r>
          </w:p>
        </w:tc>
        <w:tc>
          <w:tcPr>
            <w:tcW w:w="1043" w:type="dxa"/>
            <w:tcBorders>
              <w:top w:val="nil"/>
              <w:left w:val="nil"/>
              <w:bottom w:val="single" w:sz="4" w:space="0" w:color="auto"/>
              <w:right w:val="nil"/>
            </w:tcBorders>
            <w:shd w:val="clear" w:color="auto" w:fill="auto"/>
            <w:noWrap/>
            <w:tcMar>
              <w:left w:w="0" w:type="dxa"/>
            </w:tcMar>
            <w:vAlign w:val="bottom"/>
            <w:hideMark/>
          </w:tcPr>
          <w:p w14:paraId="52FFF482"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111,186,737</w:t>
            </w:r>
          </w:p>
        </w:tc>
        <w:tc>
          <w:tcPr>
            <w:tcW w:w="1043" w:type="dxa"/>
            <w:tcBorders>
              <w:top w:val="nil"/>
              <w:left w:val="nil"/>
              <w:bottom w:val="single" w:sz="4" w:space="0" w:color="auto"/>
              <w:right w:val="nil"/>
            </w:tcBorders>
            <w:shd w:val="clear" w:color="auto" w:fill="auto"/>
            <w:noWrap/>
            <w:tcMar>
              <w:left w:w="0" w:type="dxa"/>
            </w:tcMar>
            <w:vAlign w:val="bottom"/>
            <w:hideMark/>
          </w:tcPr>
          <w:p w14:paraId="405400B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114,941,487</w:t>
            </w:r>
          </w:p>
        </w:tc>
      </w:tr>
      <w:tr w:rsidR="00D8662A" w:rsidRPr="00D8662A" w14:paraId="66F749A3" w14:textId="77777777" w:rsidTr="000911F8">
        <w:trPr>
          <w:trHeight w:val="454"/>
          <w:jc w:val="center"/>
        </w:trPr>
        <w:tc>
          <w:tcPr>
            <w:tcW w:w="2447" w:type="dxa"/>
            <w:tcBorders>
              <w:top w:val="nil"/>
              <w:left w:val="nil"/>
              <w:bottom w:val="nil"/>
              <w:right w:val="nil"/>
            </w:tcBorders>
            <w:shd w:val="clear" w:color="auto" w:fill="auto"/>
            <w:vAlign w:val="bottom"/>
            <w:hideMark/>
          </w:tcPr>
          <w:p w14:paraId="6F61D911" w14:textId="77777777" w:rsidR="00D8662A" w:rsidRPr="00D8662A" w:rsidRDefault="00D8662A" w:rsidP="00D8662A">
            <w:pPr>
              <w:spacing w:before="0" w:after="0" w:line="240" w:lineRule="auto"/>
              <w:rPr>
                <w:rFonts w:ascii="Arial" w:hAnsi="Arial" w:cs="Arial"/>
                <w:b/>
                <w:bCs/>
                <w:sz w:val="16"/>
                <w:szCs w:val="16"/>
              </w:rPr>
            </w:pPr>
            <w:r w:rsidRPr="00D8662A">
              <w:rPr>
                <w:rFonts w:ascii="Arial" w:hAnsi="Arial" w:cs="Arial"/>
                <w:b/>
                <w:bCs/>
                <w:sz w:val="16"/>
                <w:szCs w:val="16"/>
              </w:rPr>
              <w:t>Net cash from (or used by) operating activities</w:t>
            </w:r>
          </w:p>
        </w:tc>
        <w:tc>
          <w:tcPr>
            <w:tcW w:w="1042" w:type="dxa"/>
            <w:tcBorders>
              <w:top w:val="nil"/>
              <w:left w:val="nil"/>
              <w:bottom w:val="single" w:sz="4" w:space="0" w:color="auto"/>
              <w:right w:val="nil"/>
            </w:tcBorders>
            <w:shd w:val="clear" w:color="auto" w:fill="auto"/>
            <w:noWrap/>
            <w:tcMar>
              <w:left w:w="0" w:type="dxa"/>
            </w:tcMar>
            <w:vAlign w:val="bottom"/>
            <w:hideMark/>
          </w:tcPr>
          <w:p w14:paraId="17D155B1"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(40,761,279)</w:t>
            </w:r>
          </w:p>
        </w:tc>
        <w:tc>
          <w:tcPr>
            <w:tcW w:w="1042" w:type="dxa"/>
            <w:tcBorders>
              <w:top w:val="nil"/>
              <w:left w:val="nil"/>
              <w:bottom w:val="single" w:sz="4" w:space="0" w:color="auto"/>
              <w:right w:val="nil"/>
            </w:tcBorders>
            <w:shd w:val="clear" w:color="000000" w:fill="D9D9D9"/>
            <w:noWrap/>
            <w:tcMar>
              <w:left w:w="0" w:type="dxa"/>
            </w:tcMar>
            <w:vAlign w:val="bottom"/>
            <w:hideMark/>
          </w:tcPr>
          <w:p w14:paraId="54D12C29"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(48,946,020)</w:t>
            </w:r>
          </w:p>
        </w:tc>
        <w:tc>
          <w:tcPr>
            <w:tcW w:w="1043" w:type="dxa"/>
            <w:tcBorders>
              <w:top w:val="nil"/>
              <w:left w:val="nil"/>
              <w:bottom w:val="single" w:sz="4" w:space="0" w:color="auto"/>
              <w:right w:val="nil"/>
            </w:tcBorders>
            <w:shd w:val="clear" w:color="auto" w:fill="auto"/>
            <w:noWrap/>
            <w:tcMar>
              <w:left w:w="0" w:type="dxa"/>
            </w:tcMar>
            <w:vAlign w:val="bottom"/>
            <w:hideMark/>
          </w:tcPr>
          <w:p w14:paraId="7797F7F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(49,430,707)</w:t>
            </w:r>
          </w:p>
        </w:tc>
        <w:tc>
          <w:tcPr>
            <w:tcW w:w="1043" w:type="dxa"/>
            <w:tcBorders>
              <w:top w:val="nil"/>
              <w:left w:val="nil"/>
              <w:bottom w:val="single" w:sz="4" w:space="0" w:color="auto"/>
              <w:right w:val="nil"/>
            </w:tcBorders>
            <w:shd w:val="clear" w:color="auto" w:fill="auto"/>
            <w:noWrap/>
            <w:tcMar>
              <w:left w:w="0" w:type="dxa"/>
            </w:tcMar>
            <w:vAlign w:val="bottom"/>
            <w:hideMark/>
          </w:tcPr>
          <w:p w14:paraId="1C1074C2"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(51,224,603)</w:t>
            </w:r>
          </w:p>
        </w:tc>
        <w:tc>
          <w:tcPr>
            <w:tcW w:w="1043" w:type="dxa"/>
            <w:tcBorders>
              <w:top w:val="nil"/>
              <w:left w:val="nil"/>
              <w:bottom w:val="single" w:sz="4" w:space="0" w:color="auto"/>
              <w:right w:val="nil"/>
            </w:tcBorders>
            <w:shd w:val="clear" w:color="auto" w:fill="auto"/>
            <w:noWrap/>
            <w:tcMar>
              <w:left w:w="0" w:type="dxa"/>
            </w:tcMar>
            <w:vAlign w:val="bottom"/>
            <w:hideMark/>
          </w:tcPr>
          <w:p w14:paraId="3E5BE89B"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(53,256,672)</w:t>
            </w:r>
          </w:p>
        </w:tc>
      </w:tr>
      <w:tr w:rsidR="00D8662A" w:rsidRPr="00D8662A" w14:paraId="5E8D7E63" w14:textId="77777777" w:rsidTr="00D8662A">
        <w:trPr>
          <w:trHeight w:val="283"/>
          <w:jc w:val="center"/>
        </w:trPr>
        <w:tc>
          <w:tcPr>
            <w:tcW w:w="2447" w:type="dxa"/>
            <w:tcBorders>
              <w:top w:val="nil"/>
              <w:left w:val="nil"/>
              <w:bottom w:val="nil"/>
              <w:right w:val="nil"/>
            </w:tcBorders>
            <w:shd w:val="clear" w:color="auto" w:fill="auto"/>
            <w:noWrap/>
            <w:vAlign w:val="bottom"/>
            <w:hideMark/>
          </w:tcPr>
          <w:p w14:paraId="37D0EF6C" w14:textId="77777777" w:rsidR="00D8662A" w:rsidRPr="00D8662A" w:rsidRDefault="00D8662A" w:rsidP="00D8662A">
            <w:pPr>
              <w:spacing w:before="0" w:after="0" w:line="240" w:lineRule="auto"/>
              <w:rPr>
                <w:rFonts w:ascii="Arial" w:hAnsi="Arial" w:cs="Arial"/>
                <w:b/>
                <w:bCs/>
                <w:sz w:val="16"/>
                <w:szCs w:val="16"/>
              </w:rPr>
            </w:pPr>
            <w:r w:rsidRPr="00D8662A">
              <w:rPr>
                <w:rFonts w:ascii="Arial" w:hAnsi="Arial" w:cs="Arial"/>
                <w:b/>
                <w:bCs/>
                <w:sz w:val="16"/>
                <w:szCs w:val="16"/>
              </w:rPr>
              <w:t>INVESTING ACTIVITIES</w:t>
            </w:r>
          </w:p>
        </w:tc>
        <w:tc>
          <w:tcPr>
            <w:tcW w:w="1042" w:type="dxa"/>
            <w:tcBorders>
              <w:top w:val="nil"/>
              <w:left w:val="nil"/>
              <w:bottom w:val="nil"/>
              <w:right w:val="nil"/>
            </w:tcBorders>
            <w:shd w:val="clear" w:color="auto" w:fill="auto"/>
            <w:noWrap/>
            <w:vAlign w:val="bottom"/>
            <w:hideMark/>
          </w:tcPr>
          <w:p w14:paraId="657DC9B7" w14:textId="77777777" w:rsidR="00D8662A" w:rsidRPr="00D8662A" w:rsidRDefault="00D8662A" w:rsidP="00D8662A">
            <w:pPr>
              <w:spacing w:before="0" w:after="0" w:line="240" w:lineRule="auto"/>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25B05643"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78EA0794"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45319E4B"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1B9281E2"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79224619"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75367A26" w14:textId="77777777" w:rsidR="00D8662A" w:rsidRPr="00D8662A" w:rsidRDefault="00D8662A" w:rsidP="004B3DA6">
            <w:pPr>
              <w:spacing w:before="0" w:after="0" w:line="240" w:lineRule="auto"/>
              <w:ind w:leftChars="75" w:left="143"/>
              <w:rPr>
                <w:rFonts w:ascii="Arial" w:hAnsi="Arial" w:cs="Arial"/>
                <w:b/>
                <w:bCs/>
                <w:sz w:val="16"/>
                <w:szCs w:val="16"/>
              </w:rPr>
            </w:pPr>
            <w:r w:rsidRPr="00D8662A">
              <w:rPr>
                <w:rFonts w:ascii="Arial" w:hAnsi="Arial" w:cs="Arial"/>
                <w:b/>
                <w:bCs/>
                <w:sz w:val="16"/>
                <w:szCs w:val="16"/>
              </w:rPr>
              <w:t>Cash received</w:t>
            </w:r>
          </w:p>
        </w:tc>
        <w:tc>
          <w:tcPr>
            <w:tcW w:w="1042" w:type="dxa"/>
            <w:tcBorders>
              <w:top w:val="nil"/>
              <w:left w:val="nil"/>
              <w:bottom w:val="nil"/>
              <w:right w:val="nil"/>
            </w:tcBorders>
            <w:shd w:val="clear" w:color="auto" w:fill="auto"/>
            <w:noWrap/>
            <w:vAlign w:val="bottom"/>
            <w:hideMark/>
          </w:tcPr>
          <w:p w14:paraId="45F8EA02" w14:textId="77777777" w:rsidR="00D8662A" w:rsidRPr="00D8662A" w:rsidRDefault="00D8662A" w:rsidP="00D8662A">
            <w:pPr>
              <w:spacing w:before="0" w:after="0" w:line="240" w:lineRule="auto"/>
              <w:ind w:firstLineChars="100" w:firstLine="161"/>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79361F45"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2C5AA463"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2C61296E"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267F3508"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6DFF98EA"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32E83740"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Repayment of advances</w:t>
            </w:r>
          </w:p>
        </w:tc>
        <w:tc>
          <w:tcPr>
            <w:tcW w:w="1042" w:type="dxa"/>
            <w:tcBorders>
              <w:top w:val="nil"/>
              <w:left w:val="nil"/>
              <w:bottom w:val="nil"/>
              <w:right w:val="nil"/>
            </w:tcBorders>
            <w:shd w:val="clear" w:color="auto" w:fill="auto"/>
            <w:noWrap/>
            <w:vAlign w:val="bottom"/>
            <w:hideMark/>
          </w:tcPr>
          <w:p w14:paraId="119C69FF"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31,009</w:t>
            </w:r>
          </w:p>
        </w:tc>
        <w:tc>
          <w:tcPr>
            <w:tcW w:w="1042" w:type="dxa"/>
            <w:tcBorders>
              <w:top w:val="nil"/>
              <w:left w:val="nil"/>
              <w:bottom w:val="nil"/>
              <w:right w:val="nil"/>
            </w:tcBorders>
            <w:shd w:val="clear" w:color="000000" w:fill="D9D9D9"/>
            <w:noWrap/>
            <w:vAlign w:val="bottom"/>
            <w:hideMark/>
          </w:tcPr>
          <w:p w14:paraId="389B03A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87,965</w:t>
            </w:r>
          </w:p>
        </w:tc>
        <w:tc>
          <w:tcPr>
            <w:tcW w:w="1043" w:type="dxa"/>
            <w:tcBorders>
              <w:top w:val="nil"/>
              <w:left w:val="nil"/>
              <w:bottom w:val="nil"/>
              <w:right w:val="nil"/>
            </w:tcBorders>
            <w:shd w:val="clear" w:color="auto" w:fill="auto"/>
            <w:noWrap/>
            <w:vAlign w:val="bottom"/>
            <w:hideMark/>
          </w:tcPr>
          <w:p w14:paraId="2DE7D0FF"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42,182</w:t>
            </w:r>
          </w:p>
        </w:tc>
        <w:tc>
          <w:tcPr>
            <w:tcW w:w="1043" w:type="dxa"/>
            <w:tcBorders>
              <w:top w:val="nil"/>
              <w:left w:val="nil"/>
              <w:bottom w:val="nil"/>
              <w:right w:val="nil"/>
            </w:tcBorders>
            <w:shd w:val="clear" w:color="auto" w:fill="auto"/>
            <w:noWrap/>
            <w:vAlign w:val="bottom"/>
            <w:hideMark/>
          </w:tcPr>
          <w:p w14:paraId="31498A60"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26,989</w:t>
            </w:r>
          </w:p>
        </w:tc>
        <w:tc>
          <w:tcPr>
            <w:tcW w:w="1043" w:type="dxa"/>
            <w:tcBorders>
              <w:top w:val="nil"/>
              <w:left w:val="nil"/>
              <w:bottom w:val="nil"/>
              <w:right w:val="nil"/>
            </w:tcBorders>
            <w:shd w:val="clear" w:color="auto" w:fill="auto"/>
            <w:noWrap/>
            <w:vAlign w:val="bottom"/>
            <w:hideMark/>
          </w:tcPr>
          <w:p w14:paraId="6D4E4024"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26,989</w:t>
            </w:r>
          </w:p>
        </w:tc>
      </w:tr>
      <w:tr w:rsidR="00D8662A" w:rsidRPr="00D8662A" w14:paraId="07A15A75"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019A4252" w14:textId="77777777" w:rsidR="00D8662A" w:rsidRPr="00D8662A" w:rsidRDefault="00D8662A" w:rsidP="004B3DA6">
            <w:pPr>
              <w:spacing w:before="0" w:after="0" w:line="240" w:lineRule="auto"/>
              <w:ind w:leftChars="150" w:left="285"/>
              <w:rPr>
                <w:rFonts w:ascii="Arial" w:hAnsi="Arial" w:cs="Arial"/>
                <w:b/>
                <w:bCs/>
                <w:sz w:val="16"/>
                <w:szCs w:val="16"/>
              </w:rPr>
            </w:pPr>
            <w:r w:rsidRPr="00D8662A">
              <w:rPr>
                <w:rFonts w:ascii="Arial" w:hAnsi="Arial" w:cs="Arial"/>
                <w:b/>
                <w:bCs/>
                <w:sz w:val="16"/>
                <w:szCs w:val="16"/>
              </w:rPr>
              <w:t>Total cash received</w:t>
            </w:r>
          </w:p>
        </w:tc>
        <w:tc>
          <w:tcPr>
            <w:tcW w:w="1042" w:type="dxa"/>
            <w:tcBorders>
              <w:top w:val="nil"/>
              <w:left w:val="nil"/>
              <w:bottom w:val="single" w:sz="4" w:space="0" w:color="auto"/>
              <w:right w:val="nil"/>
            </w:tcBorders>
            <w:shd w:val="clear" w:color="auto" w:fill="auto"/>
            <w:noWrap/>
            <w:vAlign w:val="bottom"/>
            <w:hideMark/>
          </w:tcPr>
          <w:p w14:paraId="15EEFA44"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31,009</w:t>
            </w:r>
          </w:p>
        </w:tc>
        <w:tc>
          <w:tcPr>
            <w:tcW w:w="1042" w:type="dxa"/>
            <w:tcBorders>
              <w:top w:val="nil"/>
              <w:left w:val="nil"/>
              <w:bottom w:val="single" w:sz="4" w:space="0" w:color="auto"/>
              <w:right w:val="nil"/>
            </w:tcBorders>
            <w:shd w:val="clear" w:color="000000" w:fill="D9D9D9"/>
            <w:noWrap/>
            <w:vAlign w:val="bottom"/>
            <w:hideMark/>
          </w:tcPr>
          <w:p w14:paraId="0C03B83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87,965</w:t>
            </w:r>
          </w:p>
        </w:tc>
        <w:tc>
          <w:tcPr>
            <w:tcW w:w="1043" w:type="dxa"/>
            <w:tcBorders>
              <w:top w:val="nil"/>
              <w:left w:val="nil"/>
              <w:bottom w:val="single" w:sz="4" w:space="0" w:color="auto"/>
              <w:right w:val="nil"/>
            </w:tcBorders>
            <w:shd w:val="clear" w:color="auto" w:fill="auto"/>
            <w:noWrap/>
            <w:vAlign w:val="bottom"/>
            <w:hideMark/>
          </w:tcPr>
          <w:p w14:paraId="05BE7C6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42,182</w:t>
            </w:r>
          </w:p>
        </w:tc>
        <w:tc>
          <w:tcPr>
            <w:tcW w:w="1043" w:type="dxa"/>
            <w:tcBorders>
              <w:top w:val="nil"/>
              <w:left w:val="nil"/>
              <w:bottom w:val="single" w:sz="4" w:space="0" w:color="auto"/>
              <w:right w:val="nil"/>
            </w:tcBorders>
            <w:shd w:val="clear" w:color="auto" w:fill="auto"/>
            <w:noWrap/>
            <w:vAlign w:val="bottom"/>
            <w:hideMark/>
          </w:tcPr>
          <w:p w14:paraId="77B6F42F"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26,989</w:t>
            </w:r>
          </w:p>
        </w:tc>
        <w:tc>
          <w:tcPr>
            <w:tcW w:w="1043" w:type="dxa"/>
            <w:tcBorders>
              <w:top w:val="nil"/>
              <w:left w:val="nil"/>
              <w:bottom w:val="single" w:sz="4" w:space="0" w:color="auto"/>
              <w:right w:val="nil"/>
            </w:tcBorders>
            <w:shd w:val="clear" w:color="auto" w:fill="auto"/>
            <w:noWrap/>
            <w:vAlign w:val="bottom"/>
            <w:hideMark/>
          </w:tcPr>
          <w:p w14:paraId="40C2AE31"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26,989</w:t>
            </w:r>
          </w:p>
        </w:tc>
      </w:tr>
      <w:tr w:rsidR="00D8662A" w:rsidRPr="00D8662A" w14:paraId="32A8D149" w14:textId="77777777" w:rsidTr="00D8662A">
        <w:trPr>
          <w:trHeight w:val="283"/>
          <w:jc w:val="center"/>
        </w:trPr>
        <w:tc>
          <w:tcPr>
            <w:tcW w:w="2447" w:type="dxa"/>
            <w:tcBorders>
              <w:top w:val="nil"/>
              <w:left w:val="nil"/>
              <w:bottom w:val="nil"/>
              <w:right w:val="nil"/>
            </w:tcBorders>
            <w:shd w:val="clear" w:color="auto" w:fill="auto"/>
            <w:noWrap/>
            <w:vAlign w:val="bottom"/>
            <w:hideMark/>
          </w:tcPr>
          <w:p w14:paraId="5417E703" w14:textId="77777777" w:rsidR="00D8662A" w:rsidRPr="00D8662A" w:rsidRDefault="00D8662A" w:rsidP="004B3DA6">
            <w:pPr>
              <w:spacing w:before="0" w:after="0" w:line="240" w:lineRule="auto"/>
              <w:ind w:leftChars="75" w:left="143"/>
              <w:rPr>
                <w:rFonts w:ascii="Arial" w:hAnsi="Arial" w:cs="Arial"/>
                <w:b/>
                <w:bCs/>
                <w:sz w:val="16"/>
                <w:szCs w:val="16"/>
              </w:rPr>
            </w:pPr>
            <w:r w:rsidRPr="00D8662A">
              <w:rPr>
                <w:rFonts w:ascii="Arial" w:hAnsi="Arial" w:cs="Arial"/>
                <w:b/>
                <w:bCs/>
                <w:sz w:val="16"/>
                <w:szCs w:val="16"/>
              </w:rPr>
              <w:t>Cash used</w:t>
            </w:r>
          </w:p>
        </w:tc>
        <w:tc>
          <w:tcPr>
            <w:tcW w:w="1042" w:type="dxa"/>
            <w:tcBorders>
              <w:top w:val="nil"/>
              <w:left w:val="nil"/>
              <w:bottom w:val="nil"/>
              <w:right w:val="nil"/>
            </w:tcBorders>
            <w:shd w:val="clear" w:color="auto" w:fill="auto"/>
            <w:noWrap/>
            <w:vAlign w:val="bottom"/>
            <w:hideMark/>
          </w:tcPr>
          <w:p w14:paraId="340633E2" w14:textId="77777777" w:rsidR="00D8662A" w:rsidRPr="00D8662A" w:rsidRDefault="00D8662A" w:rsidP="00D8662A">
            <w:pPr>
              <w:spacing w:before="0" w:after="0" w:line="240" w:lineRule="auto"/>
              <w:ind w:firstLineChars="100" w:firstLine="161"/>
              <w:rPr>
                <w:rFonts w:ascii="Arial" w:hAnsi="Arial" w:cs="Arial"/>
                <w:b/>
                <w:bCs/>
                <w:sz w:val="16"/>
                <w:szCs w:val="16"/>
              </w:rPr>
            </w:pPr>
          </w:p>
        </w:tc>
        <w:tc>
          <w:tcPr>
            <w:tcW w:w="1042" w:type="dxa"/>
            <w:tcBorders>
              <w:top w:val="nil"/>
              <w:left w:val="nil"/>
              <w:bottom w:val="nil"/>
              <w:right w:val="nil"/>
            </w:tcBorders>
            <w:shd w:val="clear" w:color="000000" w:fill="D9D9D9"/>
            <w:noWrap/>
            <w:vAlign w:val="bottom"/>
            <w:hideMark/>
          </w:tcPr>
          <w:p w14:paraId="6D013E1D" w14:textId="77777777" w:rsidR="00D8662A" w:rsidRPr="00D8662A" w:rsidRDefault="00D8662A" w:rsidP="00D8662A">
            <w:pPr>
              <w:spacing w:before="0" w:after="0" w:line="240" w:lineRule="auto"/>
              <w:jc w:val="right"/>
              <w:rPr>
                <w:rFonts w:ascii="Arial" w:hAnsi="Arial" w:cs="Arial"/>
                <w:color w:val="808000"/>
                <w:sz w:val="16"/>
                <w:szCs w:val="16"/>
              </w:rPr>
            </w:pPr>
            <w:r w:rsidRPr="00D8662A">
              <w:rPr>
                <w:rFonts w:ascii="Arial" w:hAnsi="Arial" w:cs="Arial"/>
                <w:color w:val="808000"/>
                <w:sz w:val="16"/>
                <w:szCs w:val="16"/>
              </w:rPr>
              <w:t> </w:t>
            </w:r>
          </w:p>
        </w:tc>
        <w:tc>
          <w:tcPr>
            <w:tcW w:w="1043" w:type="dxa"/>
            <w:tcBorders>
              <w:top w:val="nil"/>
              <w:left w:val="nil"/>
              <w:bottom w:val="nil"/>
              <w:right w:val="nil"/>
            </w:tcBorders>
            <w:shd w:val="clear" w:color="auto" w:fill="auto"/>
            <w:noWrap/>
            <w:vAlign w:val="bottom"/>
            <w:hideMark/>
          </w:tcPr>
          <w:p w14:paraId="63B8D6A5" w14:textId="77777777" w:rsidR="00D8662A" w:rsidRPr="00D8662A" w:rsidRDefault="00D8662A" w:rsidP="00D8662A">
            <w:pPr>
              <w:spacing w:before="0" w:after="0" w:line="240" w:lineRule="auto"/>
              <w:jc w:val="right"/>
              <w:rPr>
                <w:rFonts w:ascii="Arial" w:hAnsi="Arial" w:cs="Arial"/>
                <w:color w:val="808000"/>
                <w:sz w:val="16"/>
                <w:szCs w:val="16"/>
              </w:rPr>
            </w:pPr>
          </w:p>
        </w:tc>
        <w:tc>
          <w:tcPr>
            <w:tcW w:w="1043" w:type="dxa"/>
            <w:tcBorders>
              <w:top w:val="nil"/>
              <w:left w:val="nil"/>
              <w:bottom w:val="nil"/>
              <w:right w:val="nil"/>
            </w:tcBorders>
            <w:shd w:val="clear" w:color="auto" w:fill="auto"/>
            <w:noWrap/>
            <w:vAlign w:val="bottom"/>
            <w:hideMark/>
          </w:tcPr>
          <w:p w14:paraId="450F5860" w14:textId="77777777" w:rsidR="00D8662A" w:rsidRPr="00D8662A" w:rsidRDefault="00D8662A" w:rsidP="00D8662A">
            <w:pPr>
              <w:spacing w:before="0" w:after="0" w:line="240" w:lineRule="auto"/>
              <w:jc w:val="right"/>
              <w:rPr>
                <w:rFonts w:ascii="Times New Roman" w:hAnsi="Times New Roman"/>
                <w:sz w:val="20"/>
              </w:rPr>
            </w:pPr>
          </w:p>
        </w:tc>
        <w:tc>
          <w:tcPr>
            <w:tcW w:w="1043" w:type="dxa"/>
            <w:tcBorders>
              <w:top w:val="nil"/>
              <w:left w:val="nil"/>
              <w:bottom w:val="nil"/>
              <w:right w:val="nil"/>
            </w:tcBorders>
            <w:shd w:val="clear" w:color="auto" w:fill="auto"/>
            <w:noWrap/>
            <w:vAlign w:val="bottom"/>
            <w:hideMark/>
          </w:tcPr>
          <w:p w14:paraId="78BE2BF2" w14:textId="77777777" w:rsidR="00D8662A" w:rsidRPr="00D8662A" w:rsidRDefault="00D8662A" w:rsidP="00D8662A">
            <w:pPr>
              <w:spacing w:before="0" w:after="0" w:line="240" w:lineRule="auto"/>
              <w:jc w:val="right"/>
              <w:rPr>
                <w:rFonts w:ascii="Times New Roman" w:hAnsi="Times New Roman"/>
                <w:sz w:val="20"/>
              </w:rPr>
            </w:pPr>
          </w:p>
        </w:tc>
      </w:tr>
      <w:tr w:rsidR="00D8662A" w:rsidRPr="00D8662A" w14:paraId="2F630D53"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1171A66E"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Advances made</w:t>
            </w:r>
          </w:p>
        </w:tc>
        <w:tc>
          <w:tcPr>
            <w:tcW w:w="1042" w:type="dxa"/>
            <w:tcBorders>
              <w:top w:val="nil"/>
              <w:left w:val="nil"/>
              <w:bottom w:val="nil"/>
              <w:right w:val="nil"/>
            </w:tcBorders>
            <w:shd w:val="clear" w:color="auto" w:fill="auto"/>
            <w:noWrap/>
            <w:vAlign w:val="bottom"/>
            <w:hideMark/>
          </w:tcPr>
          <w:p w14:paraId="500A7352"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2" w:type="dxa"/>
            <w:tcBorders>
              <w:top w:val="nil"/>
              <w:left w:val="nil"/>
              <w:bottom w:val="nil"/>
              <w:right w:val="nil"/>
            </w:tcBorders>
            <w:shd w:val="clear" w:color="000000" w:fill="D9D9D9"/>
            <w:noWrap/>
            <w:vAlign w:val="bottom"/>
            <w:hideMark/>
          </w:tcPr>
          <w:p w14:paraId="3BF6F4D2"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2,942</w:t>
            </w:r>
          </w:p>
        </w:tc>
        <w:tc>
          <w:tcPr>
            <w:tcW w:w="1043" w:type="dxa"/>
            <w:tcBorders>
              <w:top w:val="nil"/>
              <w:left w:val="nil"/>
              <w:bottom w:val="nil"/>
              <w:right w:val="nil"/>
            </w:tcBorders>
            <w:shd w:val="clear" w:color="auto" w:fill="auto"/>
            <w:noWrap/>
            <w:vAlign w:val="bottom"/>
            <w:hideMark/>
          </w:tcPr>
          <w:p w14:paraId="0C1AE29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3" w:type="dxa"/>
            <w:tcBorders>
              <w:top w:val="nil"/>
              <w:left w:val="nil"/>
              <w:bottom w:val="nil"/>
              <w:right w:val="nil"/>
            </w:tcBorders>
            <w:shd w:val="clear" w:color="auto" w:fill="auto"/>
            <w:noWrap/>
            <w:vAlign w:val="bottom"/>
            <w:hideMark/>
          </w:tcPr>
          <w:p w14:paraId="7E72E369"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3" w:type="dxa"/>
            <w:tcBorders>
              <w:top w:val="nil"/>
              <w:left w:val="nil"/>
              <w:bottom w:val="nil"/>
              <w:right w:val="nil"/>
            </w:tcBorders>
            <w:shd w:val="clear" w:color="auto" w:fill="auto"/>
            <w:noWrap/>
            <w:vAlign w:val="bottom"/>
            <w:hideMark/>
          </w:tcPr>
          <w:p w14:paraId="188B3453"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r>
      <w:tr w:rsidR="00D8662A" w:rsidRPr="00D8662A" w14:paraId="1CDB1C88"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0602F356"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Corporate entities</w:t>
            </w:r>
          </w:p>
        </w:tc>
        <w:tc>
          <w:tcPr>
            <w:tcW w:w="1042" w:type="dxa"/>
            <w:tcBorders>
              <w:top w:val="nil"/>
              <w:left w:val="nil"/>
              <w:bottom w:val="nil"/>
              <w:right w:val="nil"/>
            </w:tcBorders>
            <w:shd w:val="clear" w:color="auto" w:fill="auto"/>
            <w:noWrap/>
            <w:vAlign w:val="bottom"/>
            <w:hideMark/>
          </w:tcPr>
          <w:p w14:paraId="3A3DD6FA"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28,740</w:t>
            </w:r>
          </w:p>
        </w:tc>
        <w:tc>
          <w:tcPr>
            <w:tcW w:w="1042" w:type="dxa"/>
            <w:tcBorders>
              <w:top w:val="nil"/>
              <w:left w:val="nil"/>
              <w:bottom w:val="nil"/>
              <w:right w:val="nil"/>
            </w:tcBorders>
            <w:shd w:val="clear" w:color="000000" w:fill="D9D9D9"/>
            <w:noWrap/>
            <w:vAlign w:val="bottom"/>
            <w:hideMark/>
          </w:tcPr>
          <w:p w14:paraId="716CF927"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33,321</w:t>
            </w:r>
          </w:p>
        </w:tc>
        <w:tc>
          <w:tcPr>
            <w:tcW w:w="1043" w:type="dxa"/>
            <w:tcBorders>
              <w:top w:val="nil"/>
              <w:left w:val="nil"/>
              <w:bottom w:val="nil"/>
              <w:right w:val="nil"/>
            </w:tcBorders>
            <w:shd w:val="clear" w:color="auto" w:fill="auto"/>
            <w:noWrap/>
            <w:vAlign w:val="bottom"/>
            <w:hideMark/>
          </w:tcPr>
          <w:p w14:paraId="7C9F402E"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40,432</w:t>
            </w:r>
          </w:p>
        </w:tc>
        <w:tc>
          <w:tcPr>
            <w:tcW w:w="1043" w:type="dxa"/>
            <w:tcBorders>
              <w:top w:val="nil"/>
              <w:left w:val="nil"/>
              <w:bottom w:val="nil"/>
              <w:right w:val="nil"/>
            </w:tcBorders>
            <w:shd w:val="clear" w:color="auto" w:fill="auto"/>
            <w:noWrap/>
            <w:vAlign w:val="bottom"/>
            <w:hideMark/>
          </w:tcPr>
          <w:p w14:paraId="046E1E06"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6,297</w:t>
            </w:r>
          </w:p>
        </w:tc>
        <w:tc>
          <w:tcPr>
            <w:tcW w:w="1043" w:type="dxa"/>
            <w:tcBorders>
              <w:top w:val="nil"/>
              <w:left w:val="nil"/>
              <w:bottom w:val="nil"/>
              <w:right w:val="nil"/>
            </w:tcBorders>
            <w:shd w:val="clear" w:color="auto" w:fill="auto"/>
            <w:noWrap/>
            <w:vAlign w:val="bottom"/>
            <w:hideMark/>
          </w:tcPr>
          <w:p w14:paraId="0F8282A8"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5,645</w:t>
            </w:r>
          </w:p>
        </w:tc>
      </w:tr>
      <w:tr w:rsidR="00D8662A" w:rsidRPr="00D8662A" w14:paraId="52BEB4FE"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1CE25B69" w14:textId="77777777" w:rsidR="00D8662A" w:rsidRPr="00D8662A" w:rsidRDefault="00D8662A" w:rsidP="004B3DA6">
            <w:pPr>
              <w:spacing w:before="0" w:after="0" w:line="240" w:lineRule="auto"/>
              <w:ind w:leftChars="150" w:left="285"/>
              <w:rPr>
                <w:rFonts w:ascii="Arial" w:hAnsi="Arial" w:cs="Arial"/>
                <w:sz w:val="16"/>
                <w:szCs w:val="16"/>
              </w:rPr>
            </w:pPr>
            <w:r w:rsidRPr="00D8662A">
              <w:rPr>
                <w:rFonts w:ascii="Arial" w:hAnsi="Arial" w:cs="Arial"/>
                <w:sz w:val="16"/>
                <w:szCs w:val="16"/>
              </w:rPr>
              <w:t>Purchase of investments</w:t>
            </w:r>
          </w:p>
        </w:tc>
        <w:tc>
          <w:tcPr>
            <w:tcW w:w="1042" w:type="dxa"/>
            <w:tcBorders>
              <w:top w:val="nil"/>
              <w:left w:val="nil"/>
              <w:bottom w:val="nil"/>
              <w:right w:val="nil"/>
            </w:tcBorders>
            <w:shd w:val="clear" w:color="auto" w:fill="auto"/>
            <w:noWrap/>
            <w:vAlign w:val="bottom"/>
            <w:hideMark/>
          </w:tcPr>
          <w:p w14:paraId="32D981FE"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29,580</w:t>
            </w:r>
          </w:p>
        </w:tc>
        <w:tc>
          <w:tcPr>
            <w:tcW w:w="1042" w:type="dxa"/>
            <w:tcBorders>
              <w:top w:val="nil"/>
              <w:left w:val="nil"/>
              <w:bottom w:val="nil"/>
              <w:right w:val="nil"/>
            </w:tcBorders>
            <w:shd w:val="clear" w:color="000000" w:fill="D9D9D9"/>
            <w:noWrap/>
            <w:vAlign w:val="bottom"/>
            <w:hideMark/>
          </w:tcPr>
          <w:p w14:paraId="5D5CC59D"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3" w:type="dxa"/>
            <w:tcBorders>
              <w:top w:val="nil"/>
              <w:left w:val="nil"/>
              <w:bottom w:val="nil"/>
              <w:right w:val="nil"/>
            </w:tcBorders>
            <w:shd w:val="clear" w:color="auto" w:fill="auto"/>
            <w:noWrap/>
            <w:vAlign w:val="bottom"/>
            <w:hideMark/>
          </w:tcPr>
          <w:p w14:paraId="4B15F7CB"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3" w:type="dxa"/>
            <w:tcBorders>
              <w:top w:val="nil"/>
              <w:left w:val="nil"/>
              <w:bottom w:val="nil"/>
              <w:right w:val="nil"/>
            </w:tcBorders>
            <w:shd w:val="clear" w:color="auto" w:fill="auto"/>
            <w:noWrap/>
            <w:vAlign w:val="bottom"/>
            <w:hideMark/>
          </w:tcPr>
          <w:p w14:paraId="24D005D5"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c>
          <w:tcPr>
            <w:tcW w:w="1043" w:type="dxa"/>
            <w:tcBorders>
              <w:top w:val="nil"/>
              <w:left w:val="nil"/>
              <w:bottom w:val="nil"/>
              <w:right w:val="nil"/>
            </w:tcBorders>
            <w:shd w:val="clear" w:color="auto" w:fill="auto"/>
            <w:noWrap/>
            <w:vAlign w:val="bottom"/>
            <w:hideMark/>
          </w:tcPr>
          <w:p w14:paraId="5B7C831C" w14:textId="77777777" w:rsidR="00D8662A" w:rsidRPr="00D8662A" w:rsidRDefault="00D8662A" w:rsidP="00D8662A">
            <w:pPr>
              <w:spacing w:before="0" w:after="0" w:line="240" w:lineRule="auto"/>
              <w:jc w:val="right"/>
              <w:rPr>
                <w:rFonts w:ascii="Arial" w:hAnsi="Arial" w:cs="Arial"/>
                <w:sz w:val="16"/>
                <w:szCs w:val="16"/>
              </w:rPr>
            </w:pPr>
            <w:r w:rsidRPr="00D8662A">
              <w:rPr>
                <w:rFonts w:ascii="Arial" w:hAnsi="Arial" w:cs="Arial"/>
                <w:sz w:val="16"/>
                <w:szCs w:val="16"/>
              </w:rPr>
              <w:t>-</w:t>
            </w:r>
          </w:p>
        </w:tc>
      </w:tr>
      <w:tr w:rsidR="00D8662A" w:rsidRPr="00D8662A" w14:paraId="59B46E91" w14:textId="77777777" w:rsidTr="00D8662A">
        <w:trPr>
          <w:trHeight w:val="225"/>
          <w:jc w:val="center"/>
        </w:trPr>
        <w:tc>
          <w:tcPr>
            <w:tcW w:w="2447" w:type="dxa"/>
            <w:tcBorders>
              <w:top w:val="nil"/>
              <w:left w:val="nil"/>
              <w:bottom w:val="nil"/>
              <w:right w:val="nil"/>
            </w:tcBorders>
            <w:shd w:val="clear" w:color="auto" w:fill="auto"/>
            <w:noWrap/>
            <w:vAlign w:val="bottom"/>
            <w:hideMark/>
          </w:tcPr>
          <w:p w14:paraId="79325CB8" w14:textId="77777777" w:rsidR="00D8662A" w:rsidRPr="00D8662A" w:rsidRDefault="00D8662A" w:rsidP="004B3DA6">
            <w:pPr>
              <w:spacing w:before="0" w:after="0" w:line="240" w:lineRule="auto"/>
              <w:ind w:leftChars="150" w:left="285"/>
              <w:rPr>
                <w:rFonts w:ascii="Arial" w:hAnsi="Arial" w:cs="Arial"/>
                <w:b/>
                <w:bCs/>
                <w:sz w:val="16"/>
                <w:szCs w:val="16"/>
              </w:rPr>
            </w:pPr>
            <w:r w:rsidRPr="00D8662A">
              <w:rPr>
                <w:rFonts w:ascii="Arial" w:hAnsi="Arial" w:cs="Arial"/>
                <w:b/>
                <w:bCs/>
                <w:sz w:val="16"/>
                <w:szCs w:val="16"/>
              </w:rPr>
              <w:t>Total cash used</w:t>
            </w:r>
          </w:p>
        </w:tc>
        <w:tc>
          <w:tcPr>
            <w:tcW w:w="1042" w:type="dxa"/>
            <w:tcBorders>
              <w:top w:val="nil"/>
              <w:left w:val="nil"/>
              <w:bottom w:val="single" w:sz="4" w:space="0" w:color="auto"/>
              <w:right w:val="nil"/>
            </w:tcBorders>
            <w:shd w:val="clear" w:color="auto" w:fill="auto"/>
            <w:noWrap/>
            <w:vAlign w:val="bottom"/>
            <w:hideMark/>
          </w:tcPr>
          <w:p w14:paraId="1C1C06FE"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58,320</w:t>
            </w:r>
          </w:p>
        </w:tc>
        <w:tc>
          <w:tcPr>
            <w:tcW w:w="1042" w:type="dxa"/>
            <w:tcBorders>
              <w:top w:val="nil"/>
              <w:left w:val="nil"/>
              <w:bottom w:val="single" w:sz="4" w:space="0" w:color="auto"/>
              <w:right w:val="nil"/>
            </w:tcBorders>
            <w:shd w:val="clear" w:color="000000" w:fill="D9D9D9"/>
            <w:noWrap/>
            <w:vAlign w:val="bottom"/>
            <w:hideMark/>
          </w:tcPr>
          <w:p w14:paraId="7A44F36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36,263</w:t>
            </w:r>
          </w:p>
        </w:tc>
        <w:tc>
          <w:tcPr>
            <w:tcW w:w="1043" w:type="dxa"/>
            <w:tcBorders>
              <w:top w:val="nil"/>
              <w:left w:val="nil"/>
              <w:bottom w:val="single" w:sz="4" w:space="0" w:color="auto"/>
              <w:right w:val="nil"/>
            </w:tcBorders>
            <w:shd w:val="clear" w:color="auto" w:fill="auto"/>
            <w:noWrap/>
            <w:vAlign w:val="bottom"/>
            <w:hideMark/>
          </w:tcPr>
          <w:p w14:paraId="423A6194"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40,432</w:t>
            </w:r>
          </w:p>
        </w:tc>
        <w:tc>
          <w:tcPr>
            <w:tcW w:w="1043" w:type="dxa"/>
            <w:tcBorders>
              <w:top w:val="nil"/>
              <w:left w:val="nil"/>
              <w:bottom w:val="single" w:sz="4" w:space="0" w:color="auto"/>
              <w:right w:val="nil"/>
            </w:tcBorders>
            <w:shd w:val="clear" w:color="auto" w:fill="auto"/>
            <w:noWrap/>
            <w:vAlign w:val="bottom"/>
            <w:hideMark/>
          </w:tcPr>
          <w:p w14:paraId="54BE3638"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6,297</w:t>
            </w:r>
          </w:p>
        </w:tc>
        <w:tc>
          <w:tcPr>
            <w:tcW w:w="1043" w:type="dxa"/>
            <w:tcBorders>
              <w:top w:val="nil"/>
              <w:left w:val="nil"/>
              <w:bottom w:val="single" w:sz="4" w:space="0" w:color="auto"/>
              <w:right w:val="nil"/>
            </w:tcBorders>
            <w:shd w:val="clear" w:color="auto" w:fill="auto"/>
            <w:noWrap/>
            <w:vAlign w:val="bottom"/>
            <w:hideMark/>
          </w:tcPr>
          <w:p w14:paraId="2032D8D0"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5,645</w:t>
            </w:r>
          </w:p>
        </w:tc>
      </w:tr>
      <w:tr w:rsidR="00D8662A" w:rsidRPr="00D8662A" w14:paraId="13725874" w14:textId="77777777" w:rsidTr="00D8662A">
        <w:trPr>
          <w:trHeight w:val="454"/>
          <w:jc w:val="center"/>
        </w:trPr>
        <w:tc>
          <w:tcPr>
            <w:tcW w:w="2447" w:type="dxa"/>
            <w:tcBorders>
              <w:top w:val="nil"/>
              <w:left w:val="nil"/>
              <w:bottom w:val="nil"/>
              <w:right w:val="nil"/>
            </w:tcBorders>
            <w:shd w:val="clear" w:color="auto" w:fill="auto"/>
            <w:vAlign w:val="bottom"/>
            <w:hideMark/>
          </w:tcPr>
          <w:p w14:paraId="7A0283B1" w14:textId="77777777" w:rsidR="00D8662A" w:rsidRPr="00D8662A" w:rsidRDefault="00D8662A" w:rsidP="00D8662A">
            <w:pPr>
              <w:spacing w:before="0" w:after="0" w:line="240" w:lineRule="auto"/>
              <w:rPr>
                <w:rFonts w:ascii="Arial" w:hAnsi="Arial" w:cs="Arial"/>
                <w:b/>
                <w:bCs/>
                <w:sz w:val="16"/>
                <w:szCs w:val="16"/>
              </w:rPr>
            </w:pPr>
            <w:r w:rsidRPr="00D8662A">
              <w:rPr>
                <w:rFonts w:ascii="Arial" w:hAnsi="Arial" w:cs="Arial"/>
                <w:b/>
                <w:bCs/>
                <w:sz w:val="16"/>
                <w:szCs w:val="16"/>
              </w:rPr>
              <w:t>Net cash from (or used by) investing activities</w:t>
            </w:r>
          </w:p>
        </w:tc>
        <w:tc>
          <w:tcPr>
            <w:tcW w:w="1042" w:type="dxa"/>
            <w:tcBorders>
              <w:top w:val="nil"/>
              <w:left w:val="nil"/>
              <w:bottom w:val="single" w:sz="4" w:space="0" w:color="auto"/>
              <w:right w:val="nil"/>
            </w:tcBorders>
            <w:shd w:val="clear" w:color="auto" w:fill="auto"/>
            <w:noWrap/>
            <w:vAlign w:val="bottom"/>
            <w:hideMark/>
          </w:tcPr>
          <w:p w14:paraId="4D832765"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(27,311)</w:t>
            </w:r>
          </w:p>
        </w:tc>
        <w:tc>
          <w:tcPr>
            <w:tcW w:w="1042" w:type="dxa"/>
            <w:tcBorders>
              <w:top w:val="nil"/>
              <w:left w:val="nil"/>
              <w:bottom w:val="single" w:sz="4" w:space="0" w:color="auto"/>
              <w:right w:val="nil"/>
            </w:tcBorders>
            <w:shd w:val="clear" w:color="000000" w:fill="D9D9D9"/>
            <w:noWrap/>
            <w:vAlign w:val="bottom"/>
            <w:hideMark/>
          </w:tcPr>
          <w:p w14:paraId="3B8B1E8A"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51,702</w:t>
            </w:r>
          </w:p>
        </w:tc>
        <w:tc>
          <w:tcPr>
            <w:tcW w:w="1043" w:type="dxa"/>
            <w:tcBorders>
              <w:top w:val="nil"/>
              <w:left w:val="nil"/>
              <w:bottom w:val="single" w:sz="4" w:space="0" w:color="auto"/>
              <w:right w:val="nil"/>
            </w:tcBorders>
            <w:shd w:val="clear" w:color="auto" w:fill="auto"/>
            <w:noWrap/>
            <w:vAlign w:val="bottom"/>
            <w:hideMark/>
          </w:tcPr>
          <w:p w14:paraId="631F6D98"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1,750</w:t>
            </w:r>
          </w:p>
        </w:tc>
        <w:tc>
          <w:tcPr>
            <w:tcW w:w="1043" w:type="dxa"/>
            <w:tcBorders>
              <w:top w:val="nil"/>
              <w:left w:val="nil"/>
              <w:bottom w:val="single" w:sz="4" w:space="0" w:color="auto"/>
              <w:right w:val="nil"/>
            </w:tcBorders>
            <w:shd w:val="clear" w:color="auto" w:fill="auto"/>
            <w:noWrap/>
            <w:vAlign w:val="bottom"/>
            <w:hideMark/>
          </w:tcPr>
          <w:p w14:paraId="47BC5BC6"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20,692</w:t>
            </w:r>
          </w:p>
        </w:tc>
        <w:tc>
          <w:tcPr>
            <w:tcW w:w="1043" w:type="dxa"/>
            <w:tcBorders>
              <w:top w:val="nil"/>
              <w:left w:val="nil"/>
              <w:bottom w:val="single" w:sz="4" w:space="0" w:color="auto"/>
              <w:right w:val="nil"/>
            </w:tcBorders>
            <w:shd w:val="clear" w:color="auto" w:fill="auto"/>
            <w:noWrap/>
            <w:vAlign w:val="bottom"/>
            <w:hideMark/>
          </w:tcPr>
          <w:p w14:paraId="2019A8ED" w14:textId="77777777" w:rsidR="00D8662A" w:rsidRPr="00D8662A" w:rsidRDefault="00D8662A" w:rsidP="00D8662A">
            <w:pPr>
              <w:spacing w:before="0" w:after="0" w:line="240" w:lineRule="auto"/>
              <w:jc w:val="right"/>
              <w:rPr>
                <w:rFonts w:ascii="Arial" w:hAnsi="Arial" w:cs="Arial"/>
                <w:b/>
                <w:bCs/>
                <w:sz w:val="16"/>
                <w:szCs w:val="16"/>
              </w:rPr>
            </w:pPr>
            <w:r w:rsidRPr="00D8662A">
              <w:rPr>
                <w:rFonts w:ascii="Arial" w:hAnsi="Arial" w:cs="Arial"/>
                <w:b/>
                <w:bCs/>
                <w:sz w:val="16"/>
                <w:szCs w:val="16"/>
              </w:rPr>
              <w:t>21,344</w:t>
            </w:r>
          </w:p>
        </w:tc>
      </w:tr>
    </w:tbl>
    <w:p w14:paraId="222F4325" w14:textId="7FF79359" w:rsidR="00102212" w:rsidRDefault="00102212" w:rsidP="00736DD8">
      <w:pPr>
        <w:pStyle w:val="Source"/>
        <w:ind w:left="0" w:firstLine="0"/>
      </w:pPr>
    </w:p>
    <w:p w14:paraId="79926347" w14:textId="535A895C" w:rsidR="00736DD8" w:rsidRPr="00102212" w:rsidRDefault="00102212" w:rsidP="00102212">
      <w:pPr>
        <w:spacing w:before="0" w:after="0" w:line="240" w:lineRule="auto"/>
        <w:rPr>
          <w:rFonts w:ascii="Arial" w:hAnsi="Arial"/>
          <w:sz w:val="16"/>
        </w:rPr>
      </w:pPr>
      <w:r>
        <w:br w:type="page"/>
      </w:r>
    </w:p>
    <w:p w14:paraId="0A2FA069" w14:textId="77777777" w:rsidR="00736DD8" w:rsidRDefault="00736DD8" w:rsidP="00736DD8">
      <w:pPr>
        <w:pStyle w:val="TableHeading"/>
        <w:spacing w:before="0"/>
        <w:rPr>
          <w:snapToGrid w:val="0"/>
        </w:rPr>
      </w:pPr>
      <w:bookmarkStart w:id="370" w:name="OLE_LINK1"/>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lows (for the period ended 30 June)</w:t>
      </w:r>
      <w:r>
        <w:rPr>
          <w:snapToGrid w:val="0"/>
        </w:rPr>
        <w:t xml:space="preserve"> (continued)</w:t>
      </w:r>
    </w:p>
    <w:bookmarkEnd w:id="370"/>
    <w:tbl>
      <w:tblPr>
        <w:tblW w:w="7660" w:type="dxa"/>
        <w:jc w:val="center"/>
        <w:tblLayout w:type="fixed"/>
        <w:tblLook w:val="04A0" w:firstRow="1" w:lastRow="0" w:firstColumn="1" w:lastColumn="0" w:noHBand="0" w:noVBand="1"/>
      </w:tblPr>
      <w:tblGrid>
        <w:gridCol w:w="2440"/>
        <w:gridCol w:w="1044"/>
        <w:gridCol w:w="1044"/>
        <w:gridCol w:w="1044"/>
        <w:gridCol w:w="1044"/>
        <w:gridCol w:w="1044"/>
      </w:tblGrid>
      <w:tr w:rsidR="00102212" w:rsidRPr="00102212" w14:paraId="3026F1B5" w14:textId="77777777" w:rsidTr="009D17A5">
        <w:trPr>
          <w:trHeight w:val="680"/>
          <w:jc w:val="center"/>
        </w:trPr>
        <w:tc>
          <w:tcPr>
            <w:tcW w:w="2440" w:type="dxa"/>
            <w:tcBorders>
              <w:top w:val="single" w:sz="4" w:space="0" w:color="auto"/>
              <w:left w:val="nil"/>
              <w:bottom w:val="nil"/>
              <w:right w:val="nil"/>
            </w:tcBorders>
            <w:shd w:val="clear" w:color="auto" w:fill="auto"/>
            <w:hideMark/>
          </w:tcPr>
          <w:p w14:paraId="1A2C4592" w14:textId="77777777" w:rsidR="00102212" w:rsidRPr="00102212" w:rsidRDefault="00102212" w:rsidP="00102212">
            <w:pPr>
              <w:spacing w:before="24" w:after="0" w:line="240" w:lineRule="auto"/>
              <w:jc w:val="right"/>
              <w:rPr>
                <w:rFonts w:ascii="Times New Roman" w:hAnsi="Times New Roman"/>
                <w:sz w:val="20"/>
                <w:szCs w:val="24"/>
              </w:rPr>
            </w:pPr>
          </w:p>
        </w:tc>
        <w:tc>
          <w:tcPr>
            <w:tcW w:w="1044" w:type="dxa"/>
            <w:tcBorders>
              <w:top w:val="single" w:sz="4" w:space="0" w:color="auto"/>
              <w:left w:val="nil"/>
              <w:bottom w:val="single" w:sz="4" w:space="0" w:color="auto"/>
              <w:right w:val="nil"/>
            </w:tcBorders>
            <w:shd w:val="clear" w:color="auto" w:fill="auto"/>
            <w:hideMark/>
          </w:tcPr>
          <w:p w14:paraId="2F75A451" w14:textId="3E8E925C" w:rsidR="00102212" w:rsidRPr="00102212" w:rsidRDefault="00102212" w:rsidP="00102212">
            <w:pPr>
              <w:spacing w:before="24" w:after="0" w:line="240" w:lineRule="auto"/>
              <w:jc w:val="right"/>
              <w:rPr>
                <w:rFonts w:ascii="Arial" w:hAnsi="Arial" w:cs="Arial"/>
                <w:b/>
                <w:bCs/>
                <w:sz w:val="16"/>
                <w:szCs w:val="16"/>
              </w:rPr>
            </w:pPr>
            <w:r>
              <w:rPr>
                <w:rFonts w:ascii="Arial" w:hAnsi="Arial" w:cs="Arial"/>
                <w:b/>
                <w:bCs/>
                <w:sz w:val="16"/>
                <w:szCs w:val="16"/>
              </w:rPr>
              <w:t>2022–</w:t>
            </w:r>
            <w:r w:rsidRPr="00102212">
              <w:rPr>
                <w:rFonts w:ascii="Arial" w:hAnsi="Arial" w:cs="Arial"/>
                <w:b/>
                <w:bCs/>
                <w:sz w:val="16"/>
                <w:szCs w:val="16"/>
              </w:rPr>
              <w:t>23</w:t>
            </w:r>
            <w:r w:rsidRPr="00102212">
              <w:rPr>
                <w:rFonts w:ascii="Arial" w:hAnsi="Arial" w:cs="Arial"/>
                <w:b/>
                <w:bCs/>
                <w:sz w:val="16"/>
                <w:szCs w:val="16"/>
              </w:rPr>
              <w:br/>
              <w:t>Actual</w:t>
            </w:r>
            <w:r w:rsidRPr="00102212">
              <w:rPr>
                <w:rFonts w:ascii="Arial" w:hAnsi="Arial" w:cs="Arial"/>
                <w:b/>
                <w:bCs/>
                <w:sz w:val="16"/>
                <w:szCs w:val="16"/>
              </w:rPr>
              <w:br/>
            </w:r>
            <w:r w:rsidRPr="00102212">
              <w:rPr>
                <w:rFonts w:ascii="Arial" w:hAnsi="Arial" w:cs="Arial"/>
                <w:b/>
                <w:bCs/>
                <w:sz w:val="16"/>
                <w:szCs w:val="16"/>
              </w:rPr>
              <w:br/>
            </w:r>
            <w:r w:rsidRPr="00102212">
              <w:rPr>
                <w:rFonts w:ascii="Arial" w:hAnsi="Arial" w:cs="Arial"/>
                <w:sz w:val="16"/>
                <w:szCs w:val="16"/>
              </w:rPr>
              <w:t>$'000</w:t>
            </w:r>
          </w:p>
        </w:tc>
        <w:tc>
          <w:tcPr>
            <w:tcW w:w="1044" w:type="dxa"/>
            <w:tcBorders>
              <w:top w:val="single" w:sz="4" w:space="0" w:color="auto"/>
              <w:left w:val="nil"/>
              <w:bottom w:val="single" w:sz="4" w:space="0" w:color="auto"/>
              <w:right w:val="nil"/>
            </w:tcBorders>
            <w:shd w:val="clear" w:color="000000" w:fill="D9D9D9"/>
            <w:hideMark/>
          </w:tcPr>
          <w:p w14:paraId="4F2D8CB2" w14:textId="38A47A5C" w:rsidR="00102212" w:rsidRPr="00102212" w:rsidRDefault="00102212" w:rsidP="00102212">
            <w:pPr>
              <w:spacing w:before="24" w:after="0" w:line="240" w:lineRule="auto"/>
              <w:jc w:val="right"/>
              <w:rPr>
                <w:rFonts w:ascii="Arial" w:hAnsi="Arial" w:cs="Arial"/>
                <w:b/>
                <w:bCs/>
                <w:sz w:val="16"/>
                <w:szCs w:val="16"/>
              </w:rPr>
            </w:pPr>
            <w:r>
              <w:rPr>
                <w:rFonts w:ascii="Arial" w:hAnsi="Arial" w:cs="Arial"/>
                <w:b/>
                <w:bCs/>
                <w:sz w:val="16"/>
                <w:szCs w:val="16"/>
              </w:rPr>
              <w:t>2023–</w:t>
            </w:r>
            <w:r w:rsidRPr="00102212">
              <w:rPr>
                <w:rFonts w:ascii="Arial" w:hAnsi="Arial" w:cs="Arial"/>
                <w:b/>
                <w:bCs/>
                <w:sz w:val="16"/>
                <w:szCs w:val="16"/>
              </w:rPr>
              <w:t>24</w:t>
            </w:r>
            <w:r w:rsidRPr="00102212">
              <w:rPr>
                <w:rFonts w:ascii="Arial" w:hAnsi="Arial" w:cs="Arial"/>
                <w:b/>
                <w:bCs/>
                <w:sz w:val="16"/>
                <w:szCs w:val="16"/>
              </w:rPr>
              <w:br/>
              <w:t xml:space="preserve">Revised Budget </w:t>
            </w:r>
            <w:r w:rsidRPr="00102212">
              <w:rPr>
                <w:rFonts w:ascii="Arial" w:hAnsi="Arial" w:cs="Arial"/>
                <w:sz w:val="16"/>
                <w:szCs w:val="16"/>
              </w:rPr>
              <w:t xml:space="preserve"> </w:t>
            </w:r>
            <w:r w:rsidRPr="00102212">
              <w:rPr>
                <w:rFonts w:ascii="Arial" w:hAnsi="Arial" w:cs="Arial"/>
                <w:sz w:val="16"/>
                <w:szCs w:val="16"/>
              </w:rPr>
              <w:br/>
              <w:t>$'000</w:t>
            </w:r>
          </w:p>
        </w:tc>
        <w:tc>
          <w:tcPr>
            <w:tcW w:w="1044" w:type="dxa"/>
            <w:tcBorders>
              <w:top w:val="single" w:sz="4" w:space="0" w:color="auto"/>
              <w:left w:val="nil"/>
              <w:bottom w:val="single" w:sz="4" w:space="0" w:color="auto"/>
              <w:right w:val="nil"/>
            </w:tcBorders>
            <w:shd w:val="clear" w:color="auto" w:fill="auto"/>
            <w:hideMark/>
          </w:tcPr>
          <w:p w14:paraId="217B5744" w14:textId="45FBCA22" w:rsidR="00102212" w:rsidRPr="00102212" w:rsidRDefault="00102212" w:rsidP="00102212">
            <w:pPr>
              <w:spacing w:before="24" w:after="0" w:line="240" w:lineRule="auto"/>
              <w:jc w:val="right"/>
              <w:rPr>
                <w:rFonts w:ascii="Arial" w:hAnsi="Arial" w:cs="Arial"/>
                <w:b/>
                <w:bCs/>
                <w:sz w:val="16"/>
                <w:szCs w:val="16"/>
              </w:rPr>
            </w:pPr>
            <w:r>
              <w:rPr>
                <w:rFonts w:ascii="Arial" w:hAnsi="Arial" w:cs="Arial"/>
                <w:b/>
                <w:bCs/>
                <w:sz w:val="16"/>
                <w:szCs w:val="16"/>
              </w:rPr>
              <w:t>2024–</w:t>
            </w:r>
            <w:r w:rsidRPr="00102212">
              <w:rPr>
                <w:rFonts w:ascii="Arial" w:hAnsi="Arial" w:cs="Arial"/>
                <w:b/>
                <w:bCs/>
                <w:sz w:val="16"/>
                <w:szCs w:val="16"/>
              </w:rPr>
              <w:t>25</w:t>
            </w:r>
            <w:r w:rsidRPr="00102212">
              <w:rPr>
                <w:rFonts w:ascii="Arial" w:hAnsi="Arial" w:cs="Arial"/>
                <w:b/>
                <w:bCs/>
                <w:sz w:val="16"/>
                <w:szCs w:val="16"/>
              </w:rPr>
              <w:br/>
              <w:t xml:space="preserve">Forward </w:t>
            </w:r>
            <w:r w:rsidRPr="00102212">
              <w:rPr>
                <w:rFonts w:ascii="Arial" w:hAnsi="Arial" w:cs="Arial"/>
                <w:b/>
                <w:bCs/>
                <w:sz w:val="16"/>
                <w:szCs w:val="16"/>
              </w:rPr>
              <w:br/>
              <w:t xml:space="preserve">Estimate </w:t>
            </w:r>
            <w:r w:rsidRPr="00102212">
              <w:rPr>
                <w:rFonts w:ascii="Arial" w:hAnsi="Arial" w:cs="Arial"/>
                <w:b/>
                <w:bCs/>
                <w:sz w:val="16"/>
                <w:szCs w:val="16"/>
              </w:rPr>
              <w:br/>
            </w:r>
            <w:r w:rsidRPr="00102212">
              <w:rPr>
                <w:rFonts w:ascii="Arial" w:hAnsi="Arial" w:cs="Arial"/>
                <w:sz w:val="16"/>
                <w:szCs w:val="16"/>
              </w:rPr>
              <w:t>$'000</w:t>
            </w:r>
          </w:p>
        </w:tc>
        <w:tc>
          <w:tcPr>
            <w:tcW w:w="1044" w:type="dxa"/>
            <w:tcBorders>
              <w:top w:val="single" w:sz="4" w:space="0" w:color="auto"/>
              <w:left w:val="nil"/>
              <w:bottom w:val="single" w:sz="4" w:space="0" w:color="auto"/>
              <w:right w:val="nil"/>
            </w:tcBorders>
            <w:shd w:val="clear" w:color="auto" w:fill="auto"/>
            <w:hideMark/>
          </w:tcPr>
          <w:p w14:paraId="13CF93F0" w14:textId="1AA37736" w:rsidR="00102212" w:rsidRPr="00102212" w:rsidRDefault="00102212" w:rsidP="00102212">
            <w:pPr>
              <w:spacing w:before="24" w:after="0" w:line="240" w:lineRule="auto"/>
              <w:jc w:val="right"/>
              <w:rPr>
                <w:rFonts w:ascii="Arial" w:hAnsi="Arial" w:cs="Arial"/>
                <w:b/>
                <w:bCs/>
                <w:sz w:val="16"/>
                <w:szCs w:val="16"/>
              </w:rPr>
            </w:pPr>
            <w:r>
              <w:rPr>
                <w:rFonts w:ascii="Arial" w:hAnsi="Arial" w:cs="Arial"/>
                <w:b/>
                <w:bCs/>
                <w:sz w:val="16"/>
                <w:szCs w:val="16"/>
              </w:rPr>
              <w:t>2025–</w:t>
            </w:r>
            <w:r w:rsidRPr="00102212">
              <w:rPr>
                <w:rFonts w:ascii="Arial" w:hAnsi="Arial" w:cs="Arial"/>
                <w:b/>
                <w:bCs/>
                <w:sz w:val="16"/>
                <w:szCs w:val="16"/>
              </w:rPr>
              <w:t>26</w:t>
            </w:r>
            <w:r w:rsidRPr="00102212">
              <w:rPr>
                <w:rFonts w:ascii="Arial" w:hAnsi="Arial" w:cs="Arial"/>
                <w:b/>
                <w:bCs/>
                <w:sz w:val="16"/>
                <w:szCs w:val="16"/>
              </w:rPr>
              <w:br/>
              <w:t xml:space="preserve">Forward </w:t>
            </w:r>
            <w:r w:rsidRPr="00102212">
              <w:rPr>
                <w:rFonts w:ascii="Arial" w:hAnsi="Arial" w:cs="Arial"/>
                <w:b/>
                <w:bCs/>
                <w:sz w:val="16"/>
                <w:szCs w:val="16"/>
              </w:rPr>
              <w:br/>
              <w:t xml:space="preserve">Estimate </w:t>
            </w:r>
            <w:r w:rsidRPr="00102212">
              <w:rPr>
                <w:rFonts w:ascii="Arial" w:hAnsi="Arial" w:cs="Arial"/>
                <w:b/>
                <w:bCs/>
                <w:sz w:val="16"/>
                <w:szCs w:val="16"/>
              </w:rPr>
              <w:br/>
            </w:r>
            <w:r w:rsidRPr="00102212">
              <w:rPr>
                <w:rFonts w:ascii="Arial" w:hAnsi="Arial" w:cs="Arial"/>
                <w:sz w:val="16"/>
                <w:szCs w:val="16"/>
              </w:rPr>
              <w:t>$'000</w:t>
            </w:r>
          </w:p>
        </w:tc>
        <w:tc>
          <w:tcPr>
            <w:tcW w:w="1044" w:type="dxa"/>
            <w:tcBorders>
              <w:top w:val="single" w:sz="4" w:space="0" w:color="auto"/>
              <w:left w:val="nil"/>
              <w:bottom w:val="single" w:sz="4" w:space="0" w:color="auto"/>
              <w:right w:val="nil"/>
            </w:tcBorders>
            <w:shd w:val="clear" w:color="auto" w:fill="auto"/>
            <w:hideMark/>
          </w:tcPr>
          <w:p w14:paraId="1D6B1590" w14:textId="4F4C7F75" w:rsidR="00102212" w:rsidRPr="00102212" w:rsidRDefault="00102212" w:rsidP="00102212">
            <w:pPr>
              <w:spacing w:before="24" w:after="0" w:line="240" w:lineRule="auto"/>
              <w:jc w:val="right"/>
              <w:rPr>
                <w:rFonts w:ascii="Arial" w:hAnsi="Arial" w:cs="Arial"/>
                <w:b/>
                <w:bCs/>
                <w:sz w:val="16"/>
                <w:szCs w:val="16"/>
              </w:rPr>
            </w:pPr>
            <w:r>
              <w:rPr>
                <w:rFonts w:ascii="Arial" w:hAnsi="Arial" w:cs="Arial"/>
                <w:b/>
                <w:bCs/>
                <w:sz w:val="16"/>
                <w:szCs w:val="16"/>
              </w:rPr>
              <w:t>2026–</w:t>
            </w:r>
            <w:r w:rsidRPr="00102212">
              <w:rPr>
                <w:rFonts w:ascii="Arial" w:hAnsi="Arial" w:cs="Arial"/>
                <w:b/>
                <w:bCs/>
                <w:sz w:val="16"/>
                <w:szCs w:val="16"/>
              </w:rPr>
              <w:t>27</w:t>
            </w:r>
            <w:r w:rsidRPr="00102212">
              <w:rPr>
                <w:rFonts w:ascii="Arial" w:hAnsi="Arial" w:cs="Arial"/>
                <w:b/>
                <w:bCs/>
                <w:sz w:val="16"/>
                <w:szCs w:val="16"/>
              </w:rPr>
              <w:br/>
              <w:t xml:space="preserve">Forward </w:t>
            </w:r>
            <w:r w:rsidRPr="00102212">
              <w:rPr>
                <w:rFonts w:ascii="Arial" w:hAnsi="Arial" w:cs="Arial"/>
                <w:b/>
                <w:bCs/>
                <w:sz w:val="16"/>
                <w:szCs w:val="16"/>
              </w:rPr>
              <w:br/>
              <w:t xml:space="preserve">Estimate </w:t>
            </w:r>
            <w:r w:rsidRPr="00102212">
              <w:rPr>
                <w:rFonts w:ascii="Arial" w:hAnsi="Arial" w:cs="Arial"/>
                <w:b/>
                <w:bCs/>
                <w:sz w:val="16"/>
                <w:szCs w:val="16"/>
              </w:rPr>
              <w:br/>
            </w:r>
            <w:r w:rsidRPr="00102212">
              <w:rPr>
                <w:rFonts w:ascii="Arial" w:hAnsi="Arial" w:cs="Arial"/>
                <w:sz w:val="16"/>
                <w:szCs w:val="16"/>
              </w:rPr>
              <w:t>$'000</w:t>
            </w:r>
          </w:p>
        </w:tc>
      </w:tr>
      <w:tr w:rsidR="00102212" w:rsidRPr="00102212" w14:paraId="7240FDD3" w14:textId="77777777" w:rsidTr="00102212">
        <w:trPr>
          <w:trHeight w:val="283"/>
          <w:jc w:val="center"/>
        </w:trPr>
        <w:tc>
          <w:tcPr>
            <w:tcW w:w="2440" w:type="dxa"/>
            <w:tcBorders>
              <w:top w:val="nil"/>
              <w:left w:val="nil"/>
              <w:bottom w:val="nil"/>
              <w:right w:val="nil"/>
            </w:tcBorders>
            <w:shd w:val="clear" w:color="auto" w:fill="auto"/>
            <w:noWrap/>
            <w:vAlign w:val="bottom"/>
            <w:hideMark/>
          </w:tcPr>
          <w:p w14:paraId="61136FAA" w14:textId="77777777" w:rsidR="00102212" w:rsidRPr="00102212" w:rsidRDefault="00102212" w:rsidP="00102212">
            <w:pPr>
              <w:spacing w:before="0" w:after="0" w:line="240" w:lineRule="auto"/>
              <w:rPr>
                <w:rFonts w:ascii="Arial" w:hAnsi="Arial" w:cs="Arial"/>
                <w:b/>
                <w:bCs/>
                <w:sz w:val="16"/>
                <w:szCs w:val="16"/>
              </w:rPr>
            </w:pPr>
            <w:r w:rsidRPr="00102212">
              <w:rPr>
                <w:rFonts w:ascii="Arial" w:hAnsi="Arial" w:cs="Arial"/>
                <w:b/>
                <w:bCs/>
                <w:sz w:val="16"/>
                <w:szCs w:val="16"/>
              </w:rPr>
              <w:t>FINANCING ACTIVITIES</w:t>
            </w:r>
          </w:p>
        </w:tc>
        <w:tc>
          <w:tcPr>
            <w:tcW w:w="1044" w:type="dxa"/>
            <w:tcBorders>
              <w:top w:val="nil"/>
              <w:left w:val="nil"/>
              <w:bottom w:val="nil"/>
              <w:right w:val="nil"/>
            </w:tcBorders>
            <w:shd w:val="clear" w:color="auto" w:fill="auto"/>
            <w:noWrap/>
            <w:vAlign w:val="bottom"/>
            <w:hideMark/>
          </w:tcPr>
          <w:p w14:paraId="41AFAE77" w14:textId="77777777" w:rsidR="00102212" w:rsidRPr="00102212" w:rsidRDefault="00102212" w:rsidP="00102212">
            <w:pPr>
              <w:spacing w:before="0" w:after="0" w:line="240" w:lineRule="auto"/>
              <w:rPr>
                <w:rFonts w:ascii="Arial" w:hAnsi="Arial" w:cs="Arial"/>
                <w:b/>
                <w:bCs/>
                <w:sz w:val="16"/>
                <w:szCs w:val="16"/>
              </w:rPr>
            </w:pPr>
          </w:p>
        </w:tc>
        <w:tc>
          <w:tcPr>
            <w:tcW w:w="1044" w:type="dxa"/>
            <w:tcBorders>
              <w:top w:val="nil"/>
              <w:left w:val="nil"/>
              <w:bottom w:val="nil"/>
              <w:right w:val="nil"/>
            </w:tcBorders>
            <w:shd w:val="clear" w:color="000000" w:fill="D9D9D9"/>
            <w:noWrap/>
            <w:vAlign w:val="bottom"/>
            <w:hideMark/>
          </w:tcPr>
          <w:p w14:paraId="0BC4DFAE" w14:textId="77777777" w:rsidR="00102212" w:rsidRPr="00102212" w:rsidRDefault="00102212" w:rsidP="00102212">
            <w:pPr>
              <w:spacing w:before="0" w:after="0" w:line="240" w:lineRule="auto"/>
              <w:jc w:val="right"/>
              <w:rPr>
                <w:rFonts w:ascii="Arial" w:hAnsi="Arial" w:cs="Arial"/>
                <w:color w:val="808000"/>
                <w:sz w:val="16"/>
                <w:szCs w:val="16"/>
              </w:rPr>
            </w:pPr>
            <w:r w:rsidRPr="00102212">
              <w:rPr>
                <w:rFonts w:ascii="Arial" w:hAnsi="Arial" w:cs="Arial"/>
                <w:color w:val="808000"/>
                <w:sz w:val="16"/>
                <w:szCs w:val="16"/>
              </w:rPr>
              <w:t> </w:t>
            </w:r>
          </w:p>
        </w:tc>
        <w:tc>
          <w:tcPr>
            <w:tcW w:w="1044" w:type="dxa"/>
            <w:tcBorders>
              <w:top w:val="nil"/>
              <w:left w:val="nil"/>
              <w:bottom w:val="nil"/>
              <w:right w:val="nil"/>
            </w:tcBorders>
            <w:shd w:val="clear" w:color="auto" w:fill="auto"/>
            <w:noWrap/>
            <w:vAlign w:val="bottom"/>
            <w:hideMark/>
          </w:tcPr>
          <w:p w14:paraId="1AC5BE86" w14:textId="77777777" w:rsidR="00102212" w:rsidRPr="00102212" w:rsidRDefault="00102212" w:rsidP="00102212">
            <w:pPr>
              <w:spacing w:before="0" w:after="0" w:line="240" w:lineRule="auto"/>
              <w:jc w:val="right"/>
              <w:rPr>
                <w:rFonts w:ascii="Arial" w:hAnsi="Arial" w:cs="Arial"/>
                <w:color w:val="808000"/>
                <w:sz w:val="16"/>
                <w:szCs w:val="16"/>
              </w:rPr>
            </w:pPr>
          </w:p>
        </w:tc>
        <w:tc>
          <w:tcPr>
            <w:tcW w:w="1044" w:type="dxa"/>
            <w:tcBorders>
              <w:top w:val="nil"/>
              <w:left w:val="nil"/>
              <w:bottom w:val="nil"/>
              <w:right w:val="nil"/>
            </w:tcBorders>
            <w:shd w:val="clear" w:color="auto" w:fill="auto"/>
            <w:noWrap/>
            <w:vAlign w:val="bottom"/>
            <w:hideMark/>
          </w:tcPr>
          <w:p w14:paraId="2F2AE9E1" w14:textId="77777777" w:rsidR="00102212" w:rsidRPr="00102212" w:rsidRDefault="00102212" w:rsidP="00102212">
            <w:pPr>
              <w:spacing w:before="0" w:after="0" w:line="240" w:lineRule="auto"/>
              <w:jc w:val="right"/>
              <w:rPr>
                <w:rFonts w:ascii="Times New Roman" w:hAnsi="Times New Roman"/>
                <w:sz w:val="20"/>
              </w:rPr>
            </w:pPr>
          </w:p>
        </w:tc>
        <w:tc>
          <w:tcPr>
            <w:tcW w:w="1044" w:type="dxa"/>
            <w:tcBorders>
              <w:top w:val="nil"/>
              <w:left w:val="nil"/>
              <w:bottom w:val="nil"/>
              <w:right w:val="nil"/>
            </w:tcBorders>
            <w:shd w:val="clear" w:color="auto" w:fill="auto"/>
            <w:noWrap/>
            <w:vAlign w:val="bottom"/>
            <w:hideMark/>
          </w:tcPr>
          <w:p w14:paraId="1C5B365B" w14:textId="77777777" w:rsidR="00102212" w:rsidRPr="00102212" w:rsidRDefault="00102212" w:rsidP="00102212">
            <w:pPr>
              <w:spacing w:before="0" w:after="0" w:line="240" w:lineRule="auto"/>
              <w:jc w:val="right"/>
              <w:rPr>
                <w:rFonts w:ascii="Times New Roman" w:hAnsi="Times New Roman"/>
                <w:sz w:val="20"/>
              </w:rPr>
            </w:pPr>
          </w:p>
        </w:tc>
      </w:tr>
      <w:tr w:rsidR="00102212" w:rsidRPr="00102212" w14:paraId="669ECBFF"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42566D68" w14:textId="77777777" w:rsidR="00102212" w:rsidRPr="00102212" w:rsidRDefault="00102212" w:rsidP="00255C54">
            <w:pPr>
              <w:spacing w:before="0" w:after="0" w:line="240" w:lineRule="auto"/>
              <w:ind w:leftChars="75" w:left="143"/>
              <w:rPr>
                <w:rFonts w:ascii="Arial" w:hAnsi="Arial" w:cs="Arial"/>
                <w:b/>
                <w:bCs/>
                <w:sz w:val="16"/>
                <w:szCs w:val="16"/>
              </w:rPr>
            </w:pPr>
            <w:r w:rsidRPr="00102212">
              <w:rPr>
                <w:rFonts w:ascii="Arial" w:hAnsi="Arial" w:cs="Arial"/>
                <w:b/>
                <w:bCs/>
                <w:sz w:val="16"/>
                <w:szCs w:val="16"/>
              </w:rPr>
              <w:t>Cash received</w:t>
            </w:r>
          </w:p>
        </w:tc>
        <w:tc>
          <w:tcPr>
            <w:tcW w:w="1044" w:type="dxa"/>
            <w:tcBorders>
              <w:top w:val="nil"/>
              <w:left w:val="nil"/>
              <w:bottom w:val="nil"/>
              <w:right w:val="nil"/>
            </w:tcBorders>
            <w:shd w:val="clear" w:color="auto" w:fill="auto"/>
            <w:noWrap/>
            <w:vAlign w:val="bottom"/>
            <w:hideMark/>
          </w:tcPr>
          <w:p w14:paraId="08AFFC09" w14:textId="77777777" w:rsidR="00102212" w:rsidRPr="00102212" w:rsidRDefault="00102212" w:rsidP="00102212">
            <w:pPr>
              <w:spacing w:before="0" w:after="0" w:line="240" w:lineRule="auto"/>
              <w:ind w:firstLineChars="100" w:firstLine="161"/>
              <w:rPr>
                <w:rFonts w:ascii="Arial" w:hAnsi="Arial" w:cs="Arial"/>
                <w:b/>
                <w:bCs/>
                <w:sz w:val="16"/>
                <w:szCs w:val="16"/>
              </w:rPr>
            </w:pPr>
          </w:p>
        </w:tc>
        <w:tc>
          <w:tcPr>
            <w:tcW w:w="1044" w:type="dxa"/>
            <w:tcBorders>
              <w:top w:val="nil"/>
              <w:left w:val="nil"/>
              <w:bottom w:val="nil"/>
              <w:right w:val="nil"/>
            </w:tcBorders>
            <w:shd w:val="clear" w:color="000000" w:fill="D9D9D9"/>
            <w:noWrap/>
            <w:vAlign w:val="bottom"/>
            <w:hideMark/>
          </w:tcPr>
          <w:p w14:paraId="6264A329" w14:textId="77777777" w:rsidR="00102212" w:rsidRPr="00102212" w:rsidRDefault="00102212" w:rsidP="00102212">
            <w:pPr>
              <w:spacing w:before="0" w:after="0" w:line="240" w:lineRule="auto"/>
              <w:jc w:val="right"/>
              <w:rPr>
                <w:rFonts w:ascii="Arial" w:hAnsi="Arial" w:cs="Arial"/>
                <w:color w:val="808000"/>
                <w:sz w:val="16"/>
                <w:szCs w:val="16"/>
              </w:rPr>
            </w:pPr>
            <w:r w:rsidRPr="00102212">
              <w:rPr>
                <w:rFonts w:ascii="Arial" w:hAnsi="Arial" w:cs="Arial"/>
                <w:color w:val="808000"/>
                <w:sz w:val="16"/>
                <w:szCs w:val="16"/>
              </w:rPr>
              <w:t> </w:t>
            </w:r>
          </w:p>
        </w:tc>
        <w:tc>
          <w:tcPr>
            <w:tcW w:w="1044" w:type="dxa"/>
            <w:tcBorders>
              <w:top w:val="nil"/>
              <w:left w:val="nil"/>
              <w:bottom w:val="nil"/>
              <w:right w:val="nil"/>
            </w:tcBorders>
            <w:shd w:val="clear" w:color="auto" w:fill="auto"/>
            <w:noWrap/>
            <w:vAlign w:val="bottom"/>
            <w:hideMark/>
          </w:tcPr>
          <w:p w14:paraId="49D43715" w14:textId="77777777" w:rsidR="00102212" w:rsidRPr="00102212" w:rsidRDefault="00102212" w:rsidP="00102212">
            <w:pPr>
              <w:spacing w:before="0" w:after="0" w:line="240" w:lineRule="auto"/>
              <w:jc w:val="right"/>
              <w:rPr>
                <w:rFonts w:ascii="Arial" w:hAnsi="Arial" w:cs="Arial"/>
                <w:color w:val="808000"/>
                <w:sz w:val="16"/>
                <w:szCs w:val="16"/>
              </w:rPr>
            </w:pPr>
          </w:p>
        </w:tc>
        <w:tc>
          <w:tcPr>
            <w:tcW w:w="1044" w:type="dxa"/>
            <w:tcBorders>
              <w:top w:val="nil"/>
              <w:left w:val="nil"/>
              <w:bottom w:val="nil"/>
              <w:right w:val="nil"/>
            </w:tcBorders>
            <w:shd w:val="clear" w:color="auto" w:fill="auto"/>
            <w:noWrap/>
            <w:vAlign w:val="bottom"/>
            <w:hideMark/>
          </w:tcPr>
          <w:p w14:paraId="6D51FCA3" w14:textId="77777777" w:rsidR="00102212" w:rsidRPr="00102212" w:rsidRDefault="00102212" w:rsidP="00102212">
            <w:pPr>
              <w:spacing w:before="0" w:after="0" w:line="240" w:lineRule="auto"/>
              <w:jc w:val="right"/>
              <w:rPr>
                <w:rFonts w:ascii="Times New Roman" w:hAnsi="Times New Roman"/>
                <w:sz w:val="20"/>
              </w:rPr>
            </w:pPr>
          </w:p>
        </w:tc>
        <w:tc>
          <w:tcPr>
            <w:tcW w:w="1044" w:type="dxa"/>
            <w:tcBorders>
              <w:top w:val="nil"/>
              <w:left w:val="nil"/>
              <w:bottom w:val="nil"/>
              <w:right w:val="nil"/>
            </w:tcBorders>
            <w:shd w:val="clear" w:color="auto" w:fill="auto"/>
            <w:noWrap/>
            <w:vAlign w:val="bottom"/>
            <w:hideMark/>
          </w:tcPr>
          <w:p w14:paraId="7D55FB83" w14:textId="77777777" w:rsidR="00102212" w:rsidRPr="00102212" w:rsidRDefault="00102212" w:rsidP="00102212">
            <w:pPr>
              <w:spacing w:before="0" w:after="0" w:line="240" w:lineRule="auto"/>
              <w:jc w:val="right"/>
              <w:rPr>
                <w:rFonts w:ascii="Times New Roman" w:hAnsi="Times New Roman"/>
                <w:sz w:val="20"/>
              </w:rPr>
            </w:pPr>
          </w:p>
        </w:tc>
      </w:tr>
      <w:tr w:rsidR="00102212" w:rsidRPr="00102212" w14:paraId="745126DF"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7504D5C4"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Other receipts</w:t>
            </w:r>
          </w:p>
        </w:tc>
        <w:tc>
          <w:tcPr>
            <w:tcW w:w="1044" w:type="dxa"/>
            <w:tcBorders>
              <w:top w:val="nil"/>
              <w:left w:val="nil"/>
              <w:bottom w:val="nil"/>
              <w:right w:val="nil"/>
            </w:tcBorders>
            <w:shd w:val="clear" w:color="auto" w:fill="auto"/>
            <w:noWrap/>
            <w:vAlign w:val="bottom"/>
            <w:hideMark/>
          </w:tcPr>
          <w:p w14:paraId="5589C221"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000000" w:fill="D9D9D9"/>
            <w:noWrap/>
            <w:vAlign w:val="bottom"/>
            <w:hideMark/>
          </w:tcPr>
          <w:p w14:paraId="20E944A1"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60,636</w:t>
            </w:r>
          </w:p>
        </w:tc>
        <w:tc>
          <w:tcPr>
            <w:tcW w:w="1044" w:type="dxa"/>
            <w:tcBorders>
              <w:top w:val="nil"/>
              <w:left w:val="nil"/>
              <w:bottom w:val="nil"/>
              <w:right w:val="nil"/>
            </w:tcBorders>
            <w:shd w:val="clear" w:color="auto" w:fill="auto"/>
            <w:noWrap/>
            <w:vAlign w:val="bottom"/>
            <w:hideMark/>
          </w:tcPr>
          <w:p w14:paraId="2FFAA9C2"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14,628</w:t>
            </w:r>
          </w:p>
        </w:tc>
        <w:tc>
          <w:tcPr>
            <w:tcW w:w="1044" w:type="dxa"/>
            <w:tcBorders>
              <w:top w:val="nil"/>
              <w:left w:val="nil"/>
              <w:bottom w:val="nil"/>
              <w:right w:val="nil"/>
            </w:tcBorders>
            <w:shd w:val="clear" w:color="auto" w:fill="auto"/>
            <w:noWrap/>
            <w:vAlign w:val="bottom"/>
            <w:hideMark/>
          </w:tcPr>
          <w:p w14:paraId="3E4F4614"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02403580"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r>
      <w:tr w:rsidR="00102212" w:rsidRPr="00102212" w14:paraId="4F9AD119"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684D1BC4" w14:textId="77777777" w:rsidR="00102212" w:rsidRPr="00102212" w:rsidRDefault="00102212" w:rsidP="004B3DA6">
            <w:pPr>
              <w:spacing w:before="0" w:after="0" w:line="240" w:lineRule="auto"/>
              <w:ind w:leftChars="150" w:left="285"/>
              <w:rPr>
                <w:rFonts w:ascii="Arial" w:hAnsi="Arial" w:cs="Arial"/>
                <w:b/>
                <w:bCs/>
                <w:sz w:val="16"/>
                <w:szCs w:val="16"/>
              </w:rPr>
            </w:pPr>
            <w:r w:rsidRPr="00102212">
              <w:rPr>
                <w:rFonts w:ascii="Arial" w:hAnsi="Arial" w:cs="Arial"/>
                <w:b/>
                <w:bCs/>
                <w:sz w:val="16"/>
                <w:szCs w:val="16"/>
              </w:rPr>
              <w:t>Total cash received</w:t>
            </w:r>
          </w:p>
        </w:tc>
        <w:tc>
          <w:tcPr>
            <w:tcW w:w="1044" w:type="dxa"/>
            <w:tcBorders>
              <w:top w:val="nil"/>
              <w:left w:val="nil"/>
              <w:bottom w:val="single" w:sz="4" w:space="0" w:color="auto"/>
              <w:right w:val="nil"/>
            </w:tcBorders>
            <w:shd w:val="clear" w:color="auto" w:fill="auto"/>
            <w:noWrap/>
            <w:vAlign w:val="bottom"/>
            <w:hideMark/>
          </w:tcPr>
          <w:p w14:paraId="712F2E8D"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c>
          <w:tcPr>
            <w:tcW w:w="1044" w:type="dxa"/>
            <w:tcBorders>
              <w:top w:val="nil"/>
              <w:left w:val="nil"/>
              <w:bottom w:val="single" w:sz="4" w:space="0" w:color="auto"/>
              <w:right w:val="nil"/>
            </w:tcBorders>
            <w:shd w:val="clear" w:color="000000" w:fill="D9D9D9"/>
            <w:noWrap/>
            <w:vAlign w:val="bottom"/>
            <w:hideMark/>
          </w:tcPr>
          <w:p w14:paraId="3A19DD32"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60,636</w:t>
            </w:r>
          </w:p>
        </w:tc>
        <w:tc>
          <w:tcPr>
            <w:tcW w:w="1044" w:type="dxa"/>
            <w:tcBorders>
              <w:top w:val="nil"/>
              <w:left w:val="nil"/>
              <w:bottom w:val="single" w:sz="4" w:space="0" w:color="auto"/>
              <w:right w:val="nil"/>
            </w:tcBorders>
            <w:shd w:val="clear" w:color="auto" w:fill="auto"/>
            <w:noWrap/>
            <w:vAlign w:val="bottom"/>
            <w:hideMark/>
          </w:tcPr>
          <w:p w14:paraId="0D479851"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14,628</w:t>
            </w:r>
          </w:p>
        </w:tc>
        <w:tc>
          <w:tcPr>
            <w:tcW w:w="1044" w:type="dxa"/>
            <w:tcBorders>
              <w:top w:val="nil"/>
              <w:left w:val="nil"/>
              <w:bottom w:val="single" w:sz="4" w:space="0" w:color="auto"/>
              <w:right w:val="nil"/>
            </w:tcBorders>
            <w:shd w:val="clear" w:color="auto" w:fill="auto"/>
            <w:noWrap/>
            <w:vAlign w:val="bottom"/>
            <w:hideMark/>
          </w:tcPr>
          <w:p w14:paraId="0EAB040A"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c>
          <w:tcPr>
            <w:tcW w:w="1044" w:type="dxa"/>
            <w:tcBorders>
              <w:top w:val="nil"/>
              <w:left w:val="nil"/>
              <w:bottom w:val="single" w:sz="4" w:space="0" w:color="auto"/>
              <w:right w:val="nil"/>
            </w:tcBorders>
            <w:shd w:val="clear" w:color="auto" w:fill="auto"/>
            <w:noWrap/>
            <w:vAlign w:val="bottom"/>
            <w:hideMark/>
          </w:tcPr>
          <w:p w14:paraId="51C6B857"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r>
      <w:tr w:rsidR="00102212" w:rsidRPr="00102212" w14:paraId="5C4AD4B6" w14:textId="77777777" w:rsidTr="00102212">
        <w:trPr>
          <w:trHeight w:val="454"/>
          <w:jc w:val="center"/>
        </w:trPr>
        <w:tc>
          <w:tcPr>
            <w:tcW w:w="2440" w:type="dxa"/>
            <w:tcBorders>
              <w:top w:val="nil"/>
              <w:left w:val="nil"/>
              <w:bottom w:val="nil"/>
              <w:right w:val="nil"/>
            </w:tcBorders>
            <w:shd w:val="clear" w:color="auto" w:fill="auto"/>
            <w:vAlign w:val="bottom"/>
            <w:hideMark/>
          </w:tcPr>
          <w:p w14:paraId="015490B7" w14:textId="77777777" w:rsidR="00102212" w:rsidRPr="00102212" w:rsidRDefault="00102212" w:rsidP="00102212">
            <w:pPr>
              <w:spacing w:before="0" w:after="0" w:line="240" w:lineRule="auto"/>
              <w:rPr>
                <w:rFonts w:ascii="Arial" w:hAnsi="Arial" w:cs="Arial"/>
                <w:b/>
                <w:bCs/>
                <w:sz w:val="16"/>
                <w:szCs w:val="16"/>
              </w:rPr>
            </w:pPr>
            <w:r w:rsidRPr="00102212">
              <w:rPr>
                <w:rFonts w:ascii="Arial" w:hAnsi="Arial" w:cs="Arial"/>
                <w:b/>
                <w:bCs/>
                <w:sz w:val="16"/>
                <w:szCs w:val="16"/>
              </w:rPr>
              <w:t>Net cash from (or used by) financing activities</w:t>
            </w:r>
          </w:p>
        </w:tc>
        <w:tc>
          <w:tcPr>
            <w:tcW w:w="1044" w:type="dxa"/>
            <w:tcBorders>
              <w:top w:val="nil"/>
              <w:left w:val="nil"/>
              <w:bottom w:val="nil"/>
              <w:right w:val="nil"/>
            </w:tcBorders>
            <w:shd w:val="clear" w:color="auto" w:fill="auto"/>
            <w:noWrap/>
            <w:vAlign w:val="bottom"/>
            <w:hideMark/>
          </w:tcPr>
          <w:p w14:paraId="24406DC9"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c>
          <w:tcPr>
            <w:tcW w:w="1044" w:type="dxa"/>
            <w:tcBorders>
              <w:top w:val="nil"/>
              <w:left w:val="nil"/>
              <w:bottom w:val="nil"/>
              <w:right w:val="nil"/>
            </w:tcBorders>
            <w:shd w:val="clear" w:color="000000" w:fill="D9D9D9"/>
            <w:noWrap/>
            <w:vAlign w:val="bottom"/>
            <w:hideMark/>
          </w:tcPr>
          <w:p w14:paraId="56C07F6D"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(60,636)</w:t>
            </w:r>
          </w:p>
        </w:tc>
        <w:tc>
          <w:tcPr>
            <w:tcW w:w="1044" w:type="dxa"/>
            <w:tcBorders>
              <w:top w:val="nil"/>
              <w:left w:val="nil"/>
              <w:bottom w:val="nil"/>
              <w:right w:val="nil"/>
            </w:tcBorders>
            <w:shd w:val="clear" w:color="auto" w:fill="auto"/>
            <w:noWrap/>
            <w:vAlign w:val="bottom"/>
            <w:hideMark/>
          </w:tcPr>
          <w:p w14:paraId="31E561E9"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(14,628)</w:t>
            </w:r>
          </w:p>
        </w:tc>
        <w:tc>
          <w:tcPr>
            <w:tcW w:w="1044" w:type="dxa"/>
            <w:tcBorders>
              <w:top w:val="nil"/>
              <w:left w:val="nil"/>
              <w:bottom w:val="nil"/>
              <w:right w:val="nil"/>
            </w:tcBorders>
            <w:shd w:val="clear" w:color="auto" w:fill="auto"/>
            <w:noWrap/>
            <w:vAlign w:val="bottom"/>
            <w:hideMark/>
          </w:tcPr>
          <w:p w14:paraId="47E9F99E"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c>
          <w:tcPr>
            <w:tcW w:w="1044" w:type="dxa"/>
            <w:tcBorders>
              <w:top w:val="nil"/>
              <w:left w:val="nil"/>
              <w:bottom w:val="nil"/>
              <w:right w:val="nil"/>
            </w:tcBorders>
            <w:shd w:val="clear" w:color="auto" w:fill="auto"/>
            <w:noWrap/>
            <w:vAlign w:val="bottom"/>
            <w:hideMark/>
          </w:tcPr>
          <w:p w14:paraId="7619F14C"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w:t>
            </w:r>
          </w:p>
        </w:tc>
      </w:tr>
      <w:tr w:rsidR="00102212" w:rsidRPr="00102212" w14:paraId="5072B02D" w14:textId="77777777" w:rsidTr="000911F8">
        <w:trPr>
          <w:trHeight w:val="454"/>
          <w:jc w:val="center"/>
        </w:trPr>
        <w:tc>
          <w:tcPr>
            <w:tcW w:w="2440" w:type="dxa"/>
            <w:tcBorders>
              <w:top w:val="nil"/>
              <w:left w:val="nil"/>
              <w:bottom w:val="nil"/>
              <w:right w:val="nil"/>
            </w:tcBorders>
            <w:shd w:val="clear" w:color="auto" w:fill="auto"/>
            <w:vAlign w:val="bottom"/>
            <w:hideMark/>
          </w:tcPr>
          <w:p w14:paraId="3DCF3DBB" w14:textId="77777777" w:rsidR="00102212" w:rsidRPr="00102212" w:rsidRDefault="00102212" w:rsidP="00102212">
            <w:pPr>
              <w:spacing w:before="0" w:after="0" w:line="240" w:lineRule="auto"/>
              <w:rPr>
                <w:rFonts w:ascii="Arial" w:hAnsi="Arial" w:cs="Arial"/>
                <w:b/>
                <w:bCs/>
                <w:sz w:val="16"/>
                <w:szCs w:val="16"/>
              </w:rPr>
            </w:pPr>
            <w:r w:rsidRPr="00102212">
              <w:rPr>
                <w:rFonts w:ascii="Arial" w:hAnsi="Arial" w:cs="Arial"/>
                <w:b/>
                <w:bCs/>
                <w:sz w:val="16"/>
                <w:szCs w:val="16"/>
              </w:rPr>
              <w:t>Net increase (or decrease) in cash held</w:t>
            </w:r>
          </w:p>
        </w:tc>
        <w:tc>
          <w:tcPr>
            <w:tcW w:w="1044" w:type="dxa"/>
            <w:tcBorders>
              <w:top w:val="nil"/>
              <w:left w:val="nil"/>
              <w:bottom w:val="single" w:sz="4" w:space="0" w:color="auto"/>
              <w:right w:val="nil"/>
            </w:tcBorders>
            <w:shd w:val="clear" w:color="auto" w:fill="auto"/>
            <w:noWrap/>
            <w:tcMar>
              <w:left w:w="0" w:type="dxa"/>
            </w:tcMar>
            <w:vAlign w:val="bottom"/>
            <w:hideMark/>
          </w:tcPr>
          <w:p w14:paraId="52801330"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(40,788,590)</w:t>
            </w:r>
          </w:p>
        </w:tc>
        <w:tc>
          <w:tcPr>
            <w:tcW w:w="1044" w:type="dxa"/>
            <w:tcBorders>
              <w:top w:val="nil"/>
              <w:left w:val="nil"/>
              <w:bottom w:val="single" w:sz="4" w:space="0" w:color="auto"/>
              <w:right w:val="nil"/>
            </w:tcBorders>
            <w:shd w:val="clear" w:color="000000" w:fill="D9D9D9"/>
            <w:noWrap/>
            <w:tcMar>
              <w:left w:w="0" w:type="dxa"/>
            </w:tcMar>
            <w:vAlign w:val="bottom"/>
            <w:hideMark/>
          </w:tcPr>
          <w:p w14:paraId="166CF3A1"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(48,954,954)</w:t>
            </w:r>
          </w:p>
        </w:tc>
        <w:tc>
          <w:tcPr>
            <w:tcW w:w="1044" w:type="dxa"/>
            <w:tcBorders>
              <w:top w:val="nil"/>
              <w:left w:val="nil"/>
              <w:bottom w:val="single" w:sz="4" w:space="0" w:color="auto"/>
              <w:right w:val="nil"/>
            </w:tcBorders>
            <w:shd w:val="clear" w:color="auto" w:fill="auto"/>
            <w:noWrap/>
            <w:tcMar>
              <w:left w:w="0" w:type="dxa"/>
            </w:tcMar>
            <w:vAlign w:val="bottom"/>
            <w:hideMark/>
          </w:tcPr>
          <w:p w14:paraId="6CCB1D22"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(49,443,585)</w:t>
            </w:r>
          </w:p>
        </w:tc>
        <w:tc>
          <w:tcPr>
            <w:tcW w:w="1044" w:type="dxa"/>
            <w:tcBorders>
              <w:top w:val="nil"/>
              <w:left w:val="nil"/>
              <w:bottom w:val="single" w:sz="4" w:space="0" w:color="auto"/>
              <w:right w:val="nil"/>
            </w:tcBorders>
            <w:shd w:val="clear" w:color="auto" w:fill="auto"/>
            <w:noWrap/>
            <w:tcMar>
              <w:left w:w="0" w:type="dxa"/>
            </w:tcMar>
            <w:vAlign w:val="bottom"/>
            <w:hideMark/>
          </w:tcPr>
          <w:p w14:paraId="4729A3A7"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(51,203,911)</w:t>
            </w:r>
          </w:p>
        </w:tc>
        <w:tc>
          <w:tcPr>
            <w:tcW w:w="1044" w:type="dxa"/>
            <w:tcBorders>
              <w:top w:val="nil"/>
              <w:left w:val="nil"/>
              <w:bottom w:val="single" w:sz="4" w:space="0" w:color="auto"/>
              <w:right w:val="nil"/>
            </w:tcBorders>
            <w:shd w:val="clear" w:color="auto" w:fill="auto"/>
            <w:noWrap/>
            <w:tcMar>
              <w:left w:w="0" w:type="dxa"/>
            </w:tcMar>
            <w:vAlign w:val="bottom"/>
            <w:hideMark/>
          </w:tcPr>
          <w:p w14:paraId="237812B7"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(53,235,328)</w:t>
            </w:r>
          </w:p>
        </w:tc>
      </w:tr>
      <w:tr w:rsidR="00102212" w:rsidRPr="00102212" w14:paraId="66AC1A52" w14:textId="77777777" w:rsidTr="00102212">
        <w:trPr>
          <w:trHeight w:val="425"/>
          <w:jc w:val="center"/>
        </w:trPr>
        <w:tc>
          <w:tcPr>
            <w:tcW w:w="2440" w:type="dxa"/>
            <w:tcBorders>
              <w:top w:val="nil"/>
              <w:left w:val="nil"/>
              <w:bottom w:val="nil"/>
              <w:right w:val="nil"/>
            </w:tcBorders>
            <w:shd w:val="clear" w:color="auto" w:fill="auto"/>
            <w:vAlign w:val="bottom"/>
            <w:hideMark/>
          </w:tcPr>
          <w:p w14:paraId="5ADD82F1" w14:textId="77777777" w:rsidR="00102212" w:rsidRPr="00102212" w:rsidRDefault="00102212" w:rsidP="00255C54">
            <w:pPr>
              <w:spacing w:before="0" w:after="0" w:line="240" w:lineRule="auto"/>
              <w:ind w:leftChars="75" w:left="143"/>
              <w:rPr>
                <w:rFonts w:ascii="Arial" w:hAnsi="Arial" w:cs="Arial"/>
                <w:sz w:val="16"/>
                <w:szCs w:val="16"/>
              </w:rPr>
            </w:pPr>
            <w:r w:rsidRPr="00102212">
              <w:rPr>
                <w:rFonts w:ascii="Arial" w:hAnsi="Arial" w:cs="Arial"/>
                <w:sz w:val="16"/>
                <w:szCs w:val="16"/>
              </w:rPr>
              <w:t>Cash at beginning of reporting period</w:t>
            </w:r>
          </w:p>
        </w:tc>
        <w:tc>
          <w:tcPr>
            <w:tcW w:w="1044" w:type="dxa"/>
            <w:tcBorders>
              <w:top w:val="nil"/>
              <w:left w:val="nil"/>
              <w:bottom w:val="nil"/>
              <w:right w:val="nil"/>
            </w:tcBorders>
            <w:shd w:val="clear" w:color="auto" w:fill="auto"/>
            <w:noWrap/>
            <w:vAlign w:val="bottom"/>
            <w:hideMark/>
          </w:tcPr>
          <w:p w14:paraId="7EF53429"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3,404,758</w:t>
            </w:r>
          </w:p>
        </w:tc>
        <w:tc>
          <w:tcPr>
            <w:tcW w:w="1044" w:type="dxa"/>
            <w:tcBorders>
              <w:top w:val="nil"/>
              <w:left w:val="nil"/>
              <w:bottom w:val="nil"/>
              <w:right w:val="nil"/>
            </w:tcBorders>
            <w:shd w:val="clear" w:color="000000" w:fill="D9D9D9"/>
            <w:noWrap/>
            <w:vAlign w:val="bottom"/>
            <w:hideMark/>
          </w:tcPr>
          <w:p w14:paraId="1FDEF638"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5,771,377</w:t>
            </w:r>
          </w:p>
        </w:tc>
        <w:tc>
          <w:tcPr>
            <w:tcW w:w="1044" w:type="dxa"/>
            <w:tcBorders>
              <w:top w:val="nil"/>
              <w:left w:val="nil"/>
              <w:bottom w:val="nil"/>
              <w:right w:val="nil"/>
            </w:tcBorders>
            <w:shd w:val="clear" w:color="auto" w:fill="auto"/>
            <w:noWrap/>
            <w:vAlign w:val="bottom"/>
            <w:hideMark/>
          </w:tcPr>
          <w:p w14:paraId="4798766B"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5,833,497</w:t>
            </w:r>
          </w:p>
        </w:tc>
        <w:tc>
          <w:tcPr>
            <w:tcW w:w="1044" w:type="dxa"/>
            <w:tcBorders>
              <w:top w:val="nil"/>
              <w:left w:val="nil"/>
              <w:bottom w:val="nil"/>
              <w:right w:val="nil"/>
            </w:tcBorders>
            <w:shd w:val="clear" w:color="auto" w:fill="auto"/>
            <w:noWrap/>
            <w:vAlign w:val="bottom"/>
            <w:hideMark/>
          </w:tcPr>
          <w:p w14:paraId="3F03C9ED"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5,833,497</w:t>
            </w:r>
          </w:p>
        </w:tc>
        <w:tc>
          <w:tcPr>
            <w:tcW w:w="1044" w:type="dxa"/>
            <w:tcBorders>
              <w:top w:val="nil"/>
              <w:left w:val="nil"/>
              <w:bottom w:val="nil"/>
              <w:right w:val="nil"/>
            </w:tcBorders>
            <w:shd w:val="clear" w:color="auto" w:fill="auto"/>
            <w:noWrap/>
            <w:vAlign w:val="bottom"/>
            <w:hideMark/>
          </w:tcPr>
          <w:p w14:paraId="0F6667E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5,833,497</w:t>
            </w:r>
          </w:p>
        </w:tc>
      </w:tr>
      <w:tr w:rsidR="00102212" w:rsidRPr="00102212" w14:paraId="281B3E8A" w14:textId="77777777" w:rsidTr="00102212">
        <w:trPr>
          <w:trHeight w:val="283"/>
          <w:jc w:val="center"/>
        </w:trPr>
        <w:tc>
          <w:tcPr>
            <w:tcW w:w="2440" w:type="dxa"/>
            <w:tcBorders>
              <w:top w:val="nil"/>
              <w:left w:val="nil"/>
              <w:bottom w:val="nil"/>
              <w:right w:val="nil"/>
            </w:tcBorders>
            <w:shd w:val="clear" w:color="auto" w:fill="auto"/>
            <w:vAlign w:val="bottom"/>
            <w:hideMark/>
          </w:tcPr>
          <w:p w14:paraId="737AB818" w14:textId="77777777" w:rsidR="00102212" w:rsidRPr="00102212" w:rsidRDefault="00102212" w:rsidP="00255C54">
            <w:pPr>
              <w:spacing w:before="0" w:after="0" w:line="240" w:lineRule="auto"/>
              <w:ind w:leftChars="75" w:left="143"/>
              <w:rPr>
                <w:rFonts w:ascii="Arial" w:hAnsi="Arial" w:cs="Arial"/>
                <w:sz w:val="16"/>
                <w:szCs w:val="16"/>
              </w:rPr>
            </w:pPr>
            <w:r w:rsidRPr="00102212">
              <w:rPr>
                <w:rFonts w:ascii="Arial" w:hAnsi="Arial" w:cs="Arial"/>
                <w:sz w:val="16"/>
                <w:szCs w:val="16"/>
              </w:rPr>
              <w:t>Cash from the OPA for:</w:t>
            </w:r>
          </w:p>
        </w:tc>
        <w:tc>
          <w:tcPr>
            <w:tcW w:w="1044" w:type="dxa"/>
            <w:tcBorders>
              <w:top w:val="nil"/>
              <w:left w:val="nil"/>
              <w:bottom w:val="nil"/>
              <w:right w:val="nil"/>
            </w:tcBorders>
            <w:shd w:val="clear" w:color="auto" w:fill="auto"/>
            <w:noWrap/>
            <w:vAlign w:val="bottom"/>
            <w:hideMark/>
          </w:tcPr>
          <w:p w14:paraId="45F557AC" w14:textId="77777777" w:rsidR="00102212" w:rsidRPr="00102212" w:rsidRDefault="00102212" w:rsidP="00102212">
            <w:pPr>
              <w:spacing w:before="0" w:after="0" w:line="240" w:lineRule="auto"/>
              <w:ind w:firstLineChars="100" w:firstLine="160"/>
              <w:rPr>
                <w:rFonts w:ascii="Arial" w:hAnsi="Arial" w:cs="Arial"/>
                <w:sz w:val="16"/>
                <w:szCs w:val="16"/>
              </w:rPr>
            </w:pPr>
          </w:p>
        </w:tc>
        <w:tc>
          <w:tcPr>
            <w:tcW w:w="1044" w:type="dxa"/>
            <w:tcBorders>
              <w:top w:val="nil"/>
              <w:left w:val="nil"/>
              <w:bottom w:val="nil"/>
              <w:right w:val="nil"/>
            </w:tcBorders>
            <w:shd w:val="clear" w:color="000000" w:fill="D9D9D9"/>
            <w:noWrap/>
            <w:vAlign w:val="bottom"/>
            <w:hideMark/>
          </w:tcPr>
          <w:p w14:paraId="70312B2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 </w:t>
            </w:r>
          </w:p>
        </w:tc>
        <w:tc>
          <w:tcPr>
            <w:tcW w:w="1044" w:type="dxa"/>
            <w:tcBorders>
              <w:top w:val="nil"/>
              <w:left w:val="nil"/>
              <w:bottom w:val="nil"/>
              <w:right w:val="nil"/>
            </w:tcBorders>
            <w:shd w:val="clear" w:color="auto" w:fill="auto"/>
            <w:noWrap/>
            <w:vAlign w:val="bottom"/>
            <w:hideMark/>
          </w:tcPr>
          <w:p w14:paraId="2950CCC3" w14:textId="77777777" w:rsidR="00102212" w:rsidRPr="00102212" w:rsidRDefault="00102212" w:rsidP="00102212">
            <w:pPr>
              <w:spacing w:before="0"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1BCC0FD0" w14:textId="77777777" w:rsidR="00102212" w:rsidRPr="00102212" w:rsidRDefault="00102212" w:rsidP="00102212">
            <w:pPr>
              <w:spacing w:before="0" w:after="0" w:line="240" w:lineRule="auto"/>
              <w:jc w:val="right"/>
              <w:rPr>
                <w:rFonts w:ascii="Times New Roman" w:hAnsi="Times New Roman"/>
                <w:sz w:val="20"/>
              </w:rPr>
            </w:pPr>
          </w:p>
        </w:tc>
        <w:tc>
          <w:tcPr>
            <w:tcW w:w="1044" w:type="dxa"/>
            <w:tcBorders>
              <w:top w:val="nil"/>
              <w:left w:val="nil"/>
              <w:bottom w:val="nil"/>
              <w:right w:val="nil"/>
            </w:tcBorders>
            <w:shd w:val="clear" w:color="auto" w:fill="auto"/>
            <w:noWrap/>
            <w:vAlign w:val="bottom"/>
            <w:hideMark/>
          </w:tcPr>
          <w:p w14:paraId="7E875029" w14:textId="77777777" w:rsidR="00102212" w:rsidRPr="00102212" w:rsidRDefault="00102212" w:rsidP="00102212">
            <w:pPr>
              <w:spacing w:before="0" w:after="0" w:line="240" w:lineRule="auto"/>
              <w:jc w:val="right"/>
              <w:rPr>
                <w:rFonts w:ascii="Times New Roman" w:hAnsi="Times New Roman"/>
                <w:sz w:val="20"/>
              </w:rPr>
            </w:pPr>
          </w:p>
        </w:tc>
      </w:tr>
      <w:tr w:rsidR="00102212" w:rsidRPr="00102212" w14:paraId="03DA1BED"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383B0189"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appropriations</w:t>
            </w:r>
          </w:p>
        </w:tc>
        <w:tc>
          <w:tcPr>
            <w:tcW w:w="1044" w:type="dxa"/>
            <w:tcBorders>
              <w:top w:val="nil"/>
              <w:left w:val="nil"/>
              <w:bottom w:val="nil"/>
              <w:right w:val="nil"/>
            </w:tcBorders>
            <w:shd w:val="clear" w:color="auto" w:fill="auto"/>
            <w:noWrap/>
            <w:vAlign w:val="bottom"/>
            <w:hideMark/>
          </w:tcPr>
          <w:p w14:paraId="4AB6B099"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47,695,317</w:t>
            </w:r>
          </w:p>
        </w:tc>
        <w:tc>
          <w:tcPr>
            <w:tcW w:w="1044" w:type="dxa"/>
            <w:tcBorders>
              <w:top w:val="nil"/>
              <w:left w:val="nil"/>
              <w:bottom w:val="nil"/>
              <w:right w:val="nil"/>
            </w:tcBorders>
            <w:shd w:val="clear" w:color="000000" w:fill="D9D9D9"/>
            <w:noWrap/>
            <w:vAlign w:val="bottom"/>
            <w:hideMark/>
          </w:tcPr>
          <w:p w14:paraId="5DA1B087"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55,965,292</w:t>
            </w:r>
          </w:p>
        </w:tc>
        <w:tc>
          <w:tcPr>
            <w:tcW w:w="1044" w:type="dxa"/>
            <w:tcBorders>
              <w:top w:val="nil"/>
              <w:left w:val="nil"/>
              <w:bottom w:val="nil"/>
              <w:right w:val="nil"/>
            </w:tcBorders>
            <w:shd w:val="clear" w:color="auto" w:fill="auto"/>
            <w:noWrap/>
            <w:vAlign w:val="bottom"/>
            <w:hideMark/>
          </w:tcPr>
          <w:p w14:paraId="1EFE07CE"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56,942,546</w:t>
            </w:r>
          </w:p>
        </w:tc>
        <w:tc>
          <w:tcPr>
            <w:tcW w:w="1044" w:type="dxa"/>
            <w:tcBorders>
              <w:top w:val="nil"/>
              <w:left w:val="nil"/>
              <w:bottom w:val="nil"/>
              <w:right w:val="nil"/>
            </w:tcBorders>
            <w:shd w:val="clear" w:color="auto" w:fill="auto"/>
            <w:noWrap/>
            <w:vAlign w:val="bottom"/>
            <w:hideMark/>
          </w:tcPr>
          <w:p w14:paraId="127E3EBC"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58,916,405</w:t>
            </w:r>
          </w:p>
        </w:tc>
        <w:tc>
          <w:tcPr>
            <w:tcW w:w="1044" w:type="dxa"/>
            <w:tcBorders>
              <w:top w:val="nil"/>
              <w:left w:val="nil"/>
              <w:bottom w:val="nil"/>
              <w:right w:val="nil"/>
            </w:tcBorders>
            <w:shd w:val="clear" w:color="auto" w:fill="auto"/>
            <w:noWrap/>
            <w:vAlign w:val="bottom"/>
            <w:hideMark/>
          </w:tcPr>
          <w:p w14:paraId="10395E0F"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61,023,940</w:t>
            </w:r>
          </w:p>
        </w:tc>
      </w:tr>
      <w:tr w:rsidR="00102212" w:rsidRPr="00102212" w14:paraId="0CBECAAA"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616E0898"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special accounts</w:t>
            </w:r>
          </w:p>
        </w:tc>
        <w:tc>
          <w:tcPr>
            <w:tcW w:w="1044" w:type="dxa"/>
            <w:tcBorders>
              <w:top w:val="nil"/>
              <w:left w:val="nil"/>
              <w:bottom w:val="nil"/>
              <w:right w:val="nil"/>
            </w:tcBorders>
            <w:shd w:val="clear" w:color="auto" w:fill="auto"/>
            <w:noWrap/>
            <w:vAlign w:val="bottom"/>
            <w:hideMark/>
          </w:tcPr>
          <w:p w14:paraId="554CA395"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000000" w:fill="D9D9D9"/>
            <w:noWrap/>
            <w:vAlign w:val="bottom"/>
            <w:hideMark/>
          </w:tcPr>
          <w:p w14:paraId="782C6856"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5AABA9F2"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06A388C0"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4AC1ED70"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r>
      <w:tr w:rsidR="00102212" w:rsidRPr="00102212" w14:paraId="5E52AAF2"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0E71A198"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capital injections</w:t>
            </w:r>
          </w:p>
        </w:tc>
        <w:tc>
          <w:tcPr>
            <w:tcW w:w="1044" w:type="dxa"/>
            <w:tcBorders>
              <w:top w:val="nil"/>
              <w:left w:val="nil"/>
              <w:bottom w:val="nil"/>
              <w:right w:val="nil"/>
            </w:tcBorders>
            <w:shd w:val="clear" w:color="auto" w:fill="auto"/>
            <w:noWrap/>
            <w:vAlign w:val="bottom"/>
            <w:hideMark/>
          </w:tcPr>
          <w:p w14:paraId="385102C9"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466,853</w:t>
            </w:r>
          </w:p>
        </w:tc>
        <w:tc>
          <w:tcPr>
            <w:tcW w:w="1044" w:type="dxa"/>
            <w:tcBorders>
              <w:top w:val="nil"/>
              <w:left w:val="nil"/>
              <w:bottom w:val="nil"/>
              <w:right w:val="nil"/>
            </w:tcBorders>
            <w:shd w:val="clear" w:color="000000" w:fill="D9D9D9"/>
            <w:noWrap/>
            <w:vAlign w:val="bottom"/>
            <w:hideMark/>
          </w:tcPr>
          <w:p w14:paraId="16E4A63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59,766</w:t>
            </w:r>
          </w:p>
        </w:tc>
        <w:tc>
          <w:tcPr>
            <w:tcW w:w="1044" w:type="dxa"/>
            <w:tcBorders>
              <w:top w:val="nil"/>
              <w:left w:val="nil"/>
              <w:bottom w:val="nil"/>
              <w:right w:val="nil"/>
            </w:tcBorders>
            <w:shd w:val="clear" w:color="auto" w:fill="auto"/>
            <w:noWrap/>
            <w:vAlign w:val="bottom"/>
            <w:hideMark/>
          </w:tcPr>
          <w:p w14:paraId="5CC8A97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(34,257)</w:t>
            </w:r>
          </w:p>
        </w:tc>
        <w:tc>
          <w:tcPr>
            <w:tcW w:w="1044" w:type="dxa"/>
            <w:tcBorders>
              <w:top w:val="nil"/>
              <w:left w:val="nil"/>
              <w:bottom w:val="nil"/>
              <w:right w:val="nil"/>
            </w:tcBorders>
            <w:shd w:val="clear" w:color="auto" w:fill="auto"/>
            <w:noWrap/>
            <w:vAlign w:val="bottom"/>
            <w:hideMark/>
          </w:tcPr>
          <w:p w14:paraId="19198017"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(3,209)</w:t>
            </w:r>
          </w:p>
        </w:tc>
        <w:tc>
          <w:tcPr>
            <w:tcW w:w="1044" w:type="dxa"/>
            <w:tcBorders>
              <w:top w:val="nil"/>
              <w:left w:val="nil"/>
              <w:bottom w:val="nil"/>
              <w:right w:val="nil"/>
            </w:tcBorders>
            <w:shd w:val="clear" w:color="auto" w:fill="auto"/>
            <w:noWrap/>
            <w:vAlign w:val="bottom"/>
            <w:hideMark/>
          </w:tcPr>
          <w:p w14:paraId="0253A7A2"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(5,645)</w:t>
            </w:r>
          </w:p>
        </w:tc>
      </w:tr>
      <w:tr w:rsidR="00102212" w:rsidRPr="00102212" w14:paraId="743CF8B2"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2474EF7E"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Corporate entity capital</w:t>
            </w:r>
          </w:p>
        </w:tc>
        <w:tc>
          <w:tcPr>
            <w:tcW w:w="1044" w:type="dxa"/>
            <w:tcBorders>
              <w:top w:val="nil"/>
              <w:left w:val="nil"/>
              <w:bottom w:val="nil"/>
              <w:right w:val="nil"/>
            </w:tcBorders>
            <w:shd w:val="clear" w:color="auto" w:fill="auto"/>
            <w:noWrap/>
            <w:vAlign w:val="bottom"/>
            <w:hideMark/>
          </w:tcPr>
          <w:p w14:paraId="35147CA1"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w:t>
            </w:r>
          </w:p>
        </w:tc>
        <w:tc>
          <w:tcPr>
            <w:tcW w:w="1044" w:type="dxa"/>
            <w:tcBorders>
              <w:top w:val="nil"/>
              <w:left w:val="nil"/>
              <w:bottom w:val="nil"/>
              <w:right w:val="nil"/>
            </w:tcBorders>
            <w:shd w:val="clear" w:color="000000" w:fill="D9D9D9"/>
            <w:noWrap/>
            <w:vAlign w:val="bottom"/>
            <w:hideMark/>
          </w:tcPr>
          <w:p w14:paraId="6DFE0DBE"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33,321</w:t>
            </w:r>
          </w:p>
        </w:tc>
        <w:tc>
          <w:tcPr>
            <w:tcW w:w="1044" w:type="dxa"/>
            <w:tcBorders>
              <w:top w:val="nil"/>
              <w:left w:val="nil"/>
              <w:bottom w:val="nil"/>
              <w:right w:val="nil"/>
            </w:tcBorders>
            <w:shd w:val="clear" w:color="auto" w:fill="auto"/>
            <w:noWrap/>
            <w:vAlign w:val="bottom"/>
            <w:hideMark/>
          </w:tcPr>
          <w:p w14:paraId="46622962"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40,432</w:t>
            </w:r>
          </w:p>
        </w:tc>
        <w:tc>
          <w:tcPr>
            <w:tcW w:w="1044" w:type="dxa"/>
            <w:tcBorders>
              <w:top w:val="nil"/>
              <w:left w:val="nil"/>
              <w:bottom w:val="nil"/>
              <w:right w:val="nil"/>
            </w:tcBorders>
            <w:shd w:val="clear" w:color="auto" w:fill="auto"/>
            <w:noWrap/>
            <w:vAlign w:val="bottom"/>
            <w:hideMark/>
          </w:tcPr>
          <w:p w14:paraId="3EDA7C14"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6,297</w:t>
            </w:r>
          </w:p>
        </w:tc>
        <w:tc>
          <w:tcPr>
            <w:tcW w:w="1044" w:type="dxa"/>
            <w:tcBorders>
              <w:top w:val="nil"/>
              <w:left w:val="nil"/>
              <w:bottom w:val="nil"/>
              <w:right w:val="nil"/>
            </w:tcBorders>
            <w:shd w:val="clear" w:color="auto" w:fill="auto"/>
            <w:noWrap/>
            <w:vAlign w:val="bottom"/>
            <w:hideMark/>
          </w:tcPr>
          <w:p w14:paraId="5ED6DF2F"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5,645</w:t>
            </w:r>
          </w:p>
        </w:tc>
      </w:tr>
      <w:tr w:rsidR="00102212" w:rsidRPr="00102212" w14:paraId="5C043E30"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621DB0B5"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GST appropriations</w:t>
            </w:r>
          </w:p>
        </w:tc>
        <w:tc>
          <w:tcPr>
            <w:tcW w:w="1044" w:type="dxa"/>
            <w:tcBorders>
              <w:top w:val="nil"/>
              <w:left w:val="nil"/>
              <w:bottom w:val="nil"/>
              <w:right w:val="nil"/>
            </w:tcBorders>
            <w:shd w:val="clear" w:color="auto" w:fill="auto"/>
            <w:noWrap/>
            <w:vAlign w:val="bottom"/>
            <w:hideMark/>
          </w:tcPr>
          <w:p w14:paraId="28110D4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1,224,028</w:t>
            </w:r>
          </w:p>
        </w:tc>
        <w:tc>
          <w:tcPr>
            <w:tcW w:w="1044" w:type="dxa"/>
            <w:tcBorders>
              <w:top w:val="nil"/>
              <w:left w:val="nil"/>
              <w:bottom w:val="nil"/>
              <w:right w:val="nil"/>
            </w:tcBorders>
            <w:shd w:val="clear" w:color="000000" w:fill="D9D9D9"/>
            <w:noWrap/>
            <w:vAlign w:val="bottom"/>
            <w:hideMark/>
          </w:tcPr>
          <w:p w14:paraId="31368055"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863,594</w:t>
            </w:r>
          </w:p>
        </w:tc>
        <w:tc>
          <w:tcPr>
            <w:tcW w:w="1044" w:type="dxa"/>
            <w:tcBorders>
              <w:top w:val="nil"/>
              <w:left w:val="nil"/>
              <w:bottom w:val="nil"/>
              <w:right w:val="nil"/>
            </w:tcBorders>
            <w:shd w:val="clear" w:color="auto" w:fill="auto"/>
            <w:noWrap/>
            <w:vAlign w:val="bottom"/>
            <w:hideMark/>
          </w:tcPr>
          <w:p w14:paraId="12E6112D"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923,881</w:t>
            </w:r>
          </w:p>
        </w:tc>
        <w:tc>
          <w:tcPr>
            <w:tcW w:w="1044" w:type="dxa"/>
            <w:tcBorders>
              <w:top w:val="nil"/>
              <w:left w:val="nil"/>
              <w:bottom w:val="nil"/>
              <w:right w:val="nil"/>
            </w:tcBorders>
            <w:shd w:val="clear" w:color="auto" w:fill="auto"/>
            <w:noWrap/>
            <w:vAlign w:val="bottom"/>
            <w:hideMark/>
          </w:tcPr>
          <w:p w14:paraId="1F2DAC17"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977,069</w:t>
            </w:r>
          </w:p>
        </w:tc>
        <w:tc>
          <w:tcPr>
            <w:tcW w:w="1044" w:type="dxa"/>
            <w:tcBorders>
              <w:top w:val="nil"/>
              <w:left w:val="nil"/>
              <w:bottom w:val="nil"/>
              <w:right w:val="nil"/>
            </w:tcBorders>
            <w:shd w:val="clear" w:color="auto" w:fill="auto"/>
            <w:noWrap/>
            <w:vAlign w:val="bottom"/>
            <w:hideMark/>
          </w:tcPr>
          <w:p w14:paraId="362F9F6F"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989,374</w:t>
            </w:r>
          </w:p>
        </w:tc>
      </w:tr>
      <w:tr w:rsidR="00102212" w:rsidRPr="00102212" w14:paraId="34FB89DA" w14:textId="77777777" w:rsidTr="00102212">
        <w:trPr>
          <w:trHeight w:val="283"/>
          <w:jc w:val="center"/>
        </w:trPr>
        <w:tc>
          <w:tcPr>
            <w:tcW w:w="2440" w:type="dxa"/>
            <w:tcBorders>
              <w:top w:val="nil"/>
              <w:left w:val="nil"/>
              <w:bottom w:val="nil"/>
              <w:right w:val="nil"/>
            </w:tcBorders>
            <w:shd w:val="clear" w:color="auto" w:fill="auto"/>
            <w:vAlign w:val="bottom"/>
            <w:hideMark/>
          </w:tcPr>
          <w:p w14:paraId="29D2A19D" w14:textId="77777777" w:rsidR="00102212" w:rsidRPr="00102212" w:rsidRDefault="00102212" w:rsidP="00255C54">
            <w:pPr>
              <w:spacing w:before="0" w:after="0" w:line="240" w:lineRule="auto"/>
              <w:ind w:leftChars="75" w:left="143"/>
              <w:rPr>
                <w:rFonts w:ascii="Arial" w:hAnsi="Arial" w:cs="Arial"/>
                <w:sz w:val="16"/>
                <w:szCs w:val="16"/>
              </w:rPr>
            </w:pPr>
            <w:r w:rsidRPr="00102212">
              <w:rPr>
                <w:rFonts w:ascii="Arial" w:hAnsi="Arial" w:cs="Arial"/>
                <w:sz w:val="16"/>
                <w:szCs w:val="16"/>
              </w:rPr>
              <w:t>Cash to the OPA for:</w:t>
            </w:r>
          </w:p>
        </w:tc>
        <w:tc>
          <w:tcPr>
            <w:tcW w:w="1044" w:type="dxa"/>
            <w:tcBorders>
              <w:top w:val="nil"/>
              <w:left w:val="nil"/>
              <w:bottom w:val="nil"/>
              <w:right w:val="nil"/>
            </w:tcBorders>
            <w:shd w:val="clear" w:color="auto" w:fill="auto"/>
            <w:noWrap/>
            <w:vAlign w:val="bottom"/>
            <w:hideMark/>
          </w:tcPr>
          <w:p w14:paraId="108EC646" w14:textId="77777777" w:rsidR="00102212" w:rsidRPr="00102212" w:rsidRDefault="00102212" w:rsidP="00102212">
            <w:pPr>
              <w:spacing w:before="0" w:after="0" w:line="240" w:lineRule="auto"/>
              <w:ind w:firstLineChars="100" w:firstLine="160"/>
              <w:rPr>
                <w:rFonts w:ascii="Arial" w:hAnsi="Arial" w:cs="Arial"/>
                <w:sz w:val="16"/>
                <w:szCs w:val="16"/>
              </w:rPr>
            </w:pPr>
          </w:p>
        </w:tc>
        <w:tc>
          <w:tcPr>
            <w:tcW w:w="1044" w:type="dxa"/>
            <w:tcBorders>
              <w:top w:val="nil"/>
              <w:left w:val="nil"/>
              <w:bottom w:val="nil"/>
              <w:right w:val="nil"/>
            </w:tcBorders>
            <w:shd w:val="clear" w:color="000000" w:fill="D9D9D9"/>
            <w:noWrap/>
            <w:vAlign w:val="bottom"/>
            <w:hideMark/>
          </w:tcPr>
          <w:p w14:paraId="505934C9"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 </w:t>
            </w:r>
          </w:p>
        </w:tc>
        <w:tc>
          <w:tcPr>
            <w:tcW w:w="1044" w:type="dxa"/>
            <w:tcBorders>
              <w:top w:val="nil"/>
              <w:left w:val="nil"/>
              <w:bottom w:val="nil"/>
              <w:right w:val="nil"/>
            </w:tcBorders>
            <w:shd w:val="clear" w:color="auto" w:fill="auto"/>
            <w:noWrap/>
            <w:vAlign w:val="bottom"/>
            <w:hideMark/>
          </w:tcPr>
          <w:p w14:paraId="094AD632" w14:textId="77777777" w:rsidR="00102212" w:rsidRPr="00102212" w:rsidRDefault="00102212" w:rsidP="00102212">
            <w:pPr>
              <w:spacing w:before="0"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1707E11B" w14:textId="77777777" w:rsidR="00102212" w:rsidRPr="00102212" w:rsidRDefault="00102212" w:rsidP="00102212">
            <w:pPr>
              <w:spacing w:before="0" w:after="0" w:line="240" w:lineRule="auto"/>
              <w:jc w:val="right"/>
              <w:rPr>
                <w:rFonts w:ascii="Times New Roman" w:hAnsi="Times New Roman"/>
                <w:sz w:val="20"/>
              </w:rPr>
            </w:pPr>
          </w:p>
        </w:tc>
        <w:tc>
          <w:tcPr>
            <w:tcW w:w="1044" w:type="dxa"/>
            <w:tcBorders>
              <w:top w:val="nil"/>
              <w:left w:val="nil"/>
              <w:bottom w:val="nil"/>
              <w:right w:val="nil"/>
            </w:tcBorders>
            <w:shd w:val="clear" w:color="auto" w:fill="auto"/>
            <w:noWrap/>
            <w:vAlign w:val="bottom"/>
            <w:hideMark/>
          </w:tcPr>
          <w:p w14:paraId="24539157" w14:textId="77777777" w:rsidR="00102212" w:rsidRPr="00102212" w:rsidRDefault="00102212" w:rsidP="00102212">
            <w:pPr>
              <w:spacing w:before="0" w:after="0" w:line="240" w:lineRule="auto"/>
              <w:jc w:val="right"/>
              <w:rPr>
                <w:rFonts w:ascii="Times New Roman" w:hAnsi="Times New Roman"/>
                <w:sz w:val="20"/>
              </w:rPr>
            </w:pPr>
          </w:p>
        </w:tc>
      </w:tr>
      <w:tr w:rsidR="00102212" w:rsidRPr="00102212" w14:paraId="01C2C387"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30E44278"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return of GST</w:t>
            </w:r>
          </w:p>
        </w:tc>
        <w:tc>
          <w:tcPr>
            <w:tcW w:w="1044" w:type="dxa"/>
            <w:tcBorders>
              <w:top w:val="nil"/>
              <w:left w:val="nil"/>
              <w:bottom w:val="nil"/>
              <w:right w:val="nil"/>
            </w:tcBorders>
            <w:shd w:val="clear" w:color="auto" w:fill="auto"/>
            <w:noWrap/>
            <w:vAlign w:val="bottom"/>
            <w:hideMark/>
          </w:tcPr>
          <w:p w14:paraId="3FD6BA01"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(1,182,482)</w:t>
            </w:r>
          </w:p>
        </w:tc>
        <w:tc>
          <w:tcPr>
            <w:tcW w:w="1044" w:type="dxa"/>
            <w:tcBorders>
              <w:top w:val="nil"/>
              <w:left w:val="nil"/>
              <w:bottom w:val="nil"/>
              <w:right w:val="nil"/>
            </w:tcBorders>
            <w:shd w:val="clear" w:color="000000" w:fill="D9D9D9"/>
            <w:noWrap/>
            <w:vAlign w:val="bottom"/>
            <w:hideMark/>
          </w:tcPr>
          <w:p w14:paraId="2BAA8BFC"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(863,594)</w:t>
            </w:r>
          </w:p>
        </w:tc>
        <w:tc>
          <w:tcPr>
            <w:tcW w:w="1044" w:type="dxa"/>
            <w:tcBorders>
              <w:top w:val="nil"/>
              <w:left w:val="nil"/>
              <w:bottom w:val="nil"/>
              <w:right w:val="nil"/>
            </w:tcBorders>
            <w:shd w:val="clear" w:color="auto" w:fill="auto"/>
            <w:noWrap/>
            <w:vAlign w:val="bottom"/>
            <w:hideMark/>
          </w:tcPr>
          <w:p w14:paraId="48C9114C"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(923,881)</w:t>
            </w:r>
          </w:p>
        </w:tc>
        <w:tc>
          <w:tcPr>
            <w:tcW w:w="1044" w:type="dxa"/>
            <w:tcBorders>
              <w:top w:val="nil"/>
              <w:left w:val="nil"/>
              <w:bottom w:val="nil"/>
              <w:right w:val="nil"/>
            </w:tcBorders>
            <w:shd w:val="clear" w:color="auto" w:fill="auto"/>
            <w:noWrap/>
            <w:vAlign w:val="bottom"/>
            <w:hideMark/>
          </w:tcPr>
          <w:p w14:paraId="64A966C6"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(977,069)</w:t>
            </w:r>
          </w:p>
        </w:tc>
        <w:tc>
          <w:tcPr>
            <w:tcW w:w="1044" w:type="dxa"/>
            <w:tcBorders>
              <w:top w:val="nil"/>
              <w:left w:val="nil"/>
              <w:bottom w:val="nil"/>
              <w:right w:val="nil"/>
            </w:tcBorders>
            <w:shd w:val="clear" w:color="auto" w:fill="auto"/>
            <w:noWrap/>
            <w:vAlign w:val="bottom"/>
            <w:hideMark/>
          </w:tcPr>
          <w:p w14:paraId="51D8B5C9"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(989,374)</w:t>
            </w:r>
          </w:p>
        </w:tc>
      </w:tr>
      <w:tr w:rsidR="00102212" w:rsidRPr="00102212" w14:paraId="060CB9D2" w14:textId="77777777" w:rsidTr="00102212">
        <w:trPr>
          <w:trHeight w:val="225"/>
          <w:jc w:val="center"/>
        </w:trPr>
        <w:tc>
          <w:tcPr>
            <w:tcW w:w="2440" w:type="dxa"/>
            <w:tcBorders>
              <w:top w:val="nil"/>
              <w:left w:val="nil"/>
              <w:bottom w:val="nil"/>
              <w:right w:val="nil"/>
            </w:tcBorders>
            <w:shd w:val="clear" w:color="auto" w:fill="auto"/>
            <w:noWrap/>
            <w:vAlign w:val="bottom"/>
            <w:hideMark/>
          </w:tcPr>
          <w:p w14:paraId="27D3CDEA" w14:textId="77777777" w:rsidR="00102212" w:rsidRPr="00102212" w:rsidRDefault="00102212" w:rsidP="004B3DA6">
            <w:pPr>
              <w:spacing w:before="0" w:after="0" w:line="240" w:lineRule="auto"/>
              <w:ind w:leftChars="150" w:left="285"/>
              <w:rPr>
                <w:rFonts w:ascii="Arial" w:hAnsi="Arial" w:cs="Arial"/>
                <w:sz w:val="16"/>
                <w:szCs w:val="16"/>
              </w:rPr>
            </w:pPr>
            <w:r w:rsidRPr="00102212">
              <w:rPr>
                <w:rFonts w:ascii="Arial" w:hAnsi="Arial" w:cs="Arial"/>
                <w:sz w:val="16"/>
                <w:szCs w:val="16"/>
              </w:rPr>
              <w:t>- other</w:t>
            </w:r>
          </w:p>
        </w:tc>
        <w:tc>
          <w:tcPr>
            <w:tcW w:w="1044" w:type="dxa"/>
            <w:tcBorders>
              <w:top w:val="nil"/>
              <w:left w:val="nil"/>
              <w:bottom w:val="nil"/>
              <w:right w:val="nil"/>
            </w:tcBorders>
            <w:shd w:val="clear" w:color="auto" w:fill="auto"/>
            <w:noWrap/>
            <w:vAlign w:val="bottom"/>
            <w:hideMark/>
          </w:tcPr>
          <w:p w14:paraId="038F4283"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(5,048,507)</w:t>
            </w:r>
          </w:p>
        </w:tc>
        <w:tc>
          <w:tcPr>
            <w:tcW w:w="1044" w:type="dxa"/>
            <w:tcBorders>
              <w:top w:val="nil"/>
              <w:left w:val="nil"/>
              <w:bottom w:val="nil"/>
              <w:right w:val="nil"/>
            </w:tcBorders>
            <w:shd w:val="clear" w:color="000000" w:fill="D9D9D9"/>
            <w:noWrap/>
            <w:vAlign w:val="bottom"/>
            <w:hideMark/>
          </w:tcPr>
          <w:p w14:paraId="29F73E0F"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(7,041,305)</w:t>
            </w:r>
          </w:p>
        </w:tc>
        <w:tc>
          <w:tcPr>
            <w:tcW w:w="1044" w:type="dxa"/>
            <w:tcBorders>
              <w:top w:val="nil"/>
              <w:left w:val="nil"/>
              <w:bottom w:val="nil"/>
              <w:right w:val="nil"/>
            </w:tcBorders>
            <w:shd w:val="clear" w:color="auto" w:fill="auto"/>
            <w:noWrap/>
            <w:vAlign w:val="bottom"/>
            <w:hideMark/>
          </w:tcPr>
          <w:p w14:paraId="0D148E35"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(7,505,136)</w:t>
            </w:r>
          </w:p>
        </w:tc>
        <w:tc>
          <w:tcPr>
            <w:tcW w:w="1044" w:type="dxa"/>
            <w:tcBorders>
              <w:top w:val="nil"/>
              <w:left w:val="nil"/>
              <w:bottom w:val="nil"/>
              <w:right w:val="nil"/>
            </w:tcBorders>
            <w:shd w:val="clear" w:color="auto" w:fill="auto"/>
            <w:noWrap/>
            <w:vAlign w:val="bottom"/>
            <w:hideMark/>
          </w:tcPr>
          <w:p w14:paraId="68A0490A"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(7,715,582)</w:t>
            </w:r>
          </w:p>
        </w:tc>
        <w:tc>
          <w:tcPr>
            <w:tcW w:w="1044" w:type="dxa"/>
            <w:tcBorders>
              <w:top w:val="nil"/>
              <w:left w:val="nil"/>
              <w:bottom w:val="nil"/>
              <w:right w:val="nil"/>
            </w:tcBorders>
            <w:shd w:val="clear" w:color="auto" w:fill="auto"/>
            <w:noWrap/>
            <w:vAlign w:val="bottom"/>
            <w:hideMark/>
          </w:tcPr>
          <w:p w14:paraId="681EF0E7" w14:textId="77777777" w:rsidR="00102212" w:rsidRPr="00102212" w:rsidRDefault="00102212" w:rsidP="00102212">
            <w:pPr>
              <w:spacing w:before="0" w:after="0" w:line="240" w:lineRule="auto"/>
              <w:jc w:val="right"/>
              <w:rPr>
                <w:rFonts w:ascii="Arial" w:hAnsi="Arial" w:cs="Arial"/>
                <w:sz w:val="16"/>
                <w:szCs w:val="16"/>
              </w:rPr>
            </w:pPr>
            <w:r w:rsidRPr="00102212">
              <w:rPr>
                <w:rFonts w:ascii="Arial" w:hAnsi="Arial" w:cs="Arial"/>
                <w:sz w:val="16"/>
                <w:szCs w:val="16"/>
              </w:rPr>
              <w:t>(7,788,612)</w:t>
            </w:r>
          </w:p>
        </w:tc>
      </w:tr>
      <w:tr w:rsidR="00102212" w:rsidRPr="00102212" w14:paraId="5D8378A8" w14:textId="77777777" w:rsidTr="000911F8">
        <w:trPr>
          <w:trHeight w:val="454"/>
          <w:jc w:val="center"/>
        </w:trPr>
        <w:tc>
          <w:tcPr>
            <w:tcW w:w="2440" w:type="dxa"/>
            <w:tcBorders>
              <w:top w:val="nil"/>
              <w:left w:val="nil"/>
              <w:bottom w:val="single" w:sz="4" w:space="0" w:color="auto"/>
              <w:right w:val="nil"/>
            </w:tcBorders>
            <w:shd w:val="clear" w:color="auto" w:fill="auto"/>
            <w:vAlign w:val="bottom"/>
            <w:hideMark/>
          </w:tcPr>
          <w:p w14:paraId="31414FFB" w14:textId="77777777" w:rsidR="00102212" w:rsidRPr="00102212" w:rsidRDefault="00102212" w:rsidP="00102212">
            <w:pPr>
              <w:spacing w:before="0" w:after="0" w:line="240" w:lineRule="auto"/>
              <w:rPr>
                <w:rFonts w:ascii="Arial" w:hAnsi="Arial" w:cs="Arial"/>
                <w:b/>
                <w:bCs/>
                <w:sz w:val="16"/>
                <w:szCs w:val="16"/>
              </w:rPr>
            </w:pPr>
            <w:r w:rsidRPr="00102212">
              <w:rPr>
                <w:rFonts w:ascii="Arial" w:hAnsi="Arial" w:cs="Arial"/>
                <w:b/>
                <w:bCs/>
                <w:sz w:val="16"/>
                <w:szCs w:val="16"/>
              </w:rPr>
              <w:t>Cash at end of reporting period</w:t>
            </w:r>
          </w:p>
        </w:tc>
        <w:tc>
          <w:tcPr>
            <w:tcW w:w="1044" w:type="dxa"/>
            <w:tcBorders>
              <w:top w:val="nil"/>
              <w:left w:val="nil"/>
              <w:bottom w:val="single" w:sz="4" w:space="0" w:color="auto"/>
              <w:right w:val="nil"/>
            </w:tcBorders>
            <w:shd w:val="clear" w:color="auto" w:fill="auto"/>
            <w:noWrap/>
            <w:vAlign w:val="bottom"/>
            <w:hideMark/>
          </w:tcPr>
          <w:p w14:paraId="31A62DD8"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5,771,377</w:t>
            </w:r>
          </w:p>
        </w:tc>
        <w:tc>
          <w:tcPr>
            <w:tcW w:w="1044" w:type="dxa"/>
            <w:tcBorders>
              <w:top w:val="nil"/>
              <w:left w:val="nil"/>
              <w:bottom w:val="single" w:sz="4" w:space="0" w:color="auto"/>
              <w:right w:val="nil"/>
            </w:tcBorders>
            <w:shd w:val="clear" w:color="000000" w:fill="D9D9D9"/>
            <w:noWrap/>
            <w:vAlign w:val="bottom"/>
            <w:hideMark/>
          </w:tcPr>
          <w:p w14:paraId="4F399341"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5,833,497</w:t>
            </w:r>
          </w:p>
        </w:tc>
        <w:tc>
          <w:tcPr>
            <w:tcW w:w="1044" w:type="dxa"/>
            <w:tcBorders>
              <w:top w:val="nil"/>
              <w:left w:val="nil"/>
              <w:bottom w:val="single" w:sz="4" w:space="0" w:color="auto"/>
              <w:right w:val="nil"/>
            </w:tcBorders>
            <w:shd w:val="clear" w:color="auto" w:fill="auto"/>
            <w:noWrap/>
            <w:vAlign w:val="bottom"/>
            <w:hideMark/>
          </w:tcPr>
          <w:p w14:paraId="6ED31202"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5,833,497</w:t>
            </w:r>
          </w:p>
        </w:tc>
        <w:tc>
          <w:tcPr>
            <w:tcW w:w="1044" w:type="dxa"/>
            <w:tcBorders>
              <w:top w:val="nil"/>
              <w:left w:val="nil"/>
              <w:bottom w:val="single" w:sz="4" w:space="0" w:color="auto"/>
              <w:right w:val="nil"/>
            </w:tcBorders>
            <w:shd w:val="clear" w:color="auto" w:fill="auto"/>
            <w:noWrap/>
            <w:vAlign w:val="bottom"/>
            <w:hideMark/>
          </w:tcPr>
          <w:p w14:paraId="3266B80F"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5,833,497</w:t>
            </w:r>
          </w:p>
        </w:tc>
        <w:tc>
          <w:tcPr>
            <w:tcW w:w="1044" w:type="dxa"/>
            <w:tcBorders>
              <w:top w:val="nil"/>
              <w:left w:val="nil"/>
              <w:bottom w:val="single" w:sz="4" w:space="0" w:color="auto"/>
              <w:right w:val="nil"/>
            </w:tcBorders>
            <w:shd w:val="clear" w:color="auto" w:fill="auto"/>
            <w:noWrap/>
            <w:vAlign w:val="bottom"/>
            <w:hideMark/>
          </w:tcPr>
          <w:p w14:paraId="29AFEF7E" w14:textId="77777777" w:rsidR="00102212" w:rsidRPr="00102212" w:rsidRDefault="00102212" w:rsidP="00102212">
            <w:pPr>
              <w:spacing w:before="0" w:after="0" w:line="240" w:lineRule="auto"/>
              <w:jc w:val="right"/>
              <w:rPr>
                <w:rFonts w:ascii="Arial" w:hAnsi="Arial" w:cs="Arial"/>
                <w:b/>
                <w:bCs/>
                <w:sz w:val="16"/>
                <w:szCs w:val="16"/>
              </w:rPr>
            </w:pPr>
            <w:r w:rsidRPr="00102212">
              <w:rPr>
                <w:rFonts w:ascii="Arial" w:hAnsi="Arial" w:cs="Arial"/>
                <w:b/>
                <w:bCs/>
                <w:sz w:val="16"/>
                <w:szCs w:val="16"/>
              </w:rPr>
              <w:t>5,833,497</w:t>
            </w:r>
          </w:p>
        </w:tc>
      </w:tr>
    </w:tbl>
    <w:p w14:paraId="18A79D94" w14:textId="6D383F2A" w:rsidR="00736DD8" w:rsidRPr="00A54A0D" w:rsidRDefault="00A54A0D" w:rsidP="00A54A0D">
      <w:pPr>
        <w:spacing w:before="120" w:after="0" w:line="240" w:lineRule="auto"/>
        <w:rPr>
          <w:rFonts w:ascii="Arial" w:hAnsi="Arial" w:cs="Arial"/>
          <w:sz w:val="16"/>
          <w:szCs w:val="16"/>
        </w:rPr>
      </w:pPr>
      <w:r w:rsidRPr="00A54A0D">
        <w:rPr>
          <w:rFonts w:ascii="Arial" w:hAnsi="Arial" w:cs="Arial"/>
          <w:sz w:val="16"/>
          <w:szCs w:val="16"/>
        </w:rPr>
        <w:t>OPA = Official Public Account</w:t>
      </w:r>
      <w:r w:rsidR="00736DD8" w:rsidRPr="00A54A0D">
        <w:rPr>
          <w:rFonts w:ascii="Arial" w:hAnsi="Arial" w:cs="Arial"/>
          <w:sz w:val="16"/>
          <w:szCs w:val="16"/>
        </w:rPr>
        <w:br w:type="page"/>
      </w:r>
    </w:p>
    <w:p w14:paraId="04334FAA" w14:textId="77777777" w:rsidR="00736DD8" w:rsidRDefault="00736DD8" w:rsidP="00736DD8">
      <w:pPr>
        <w:pStyle w:val="TableHeading"/>
        <w:spacing w:before="0"/>
        <w:rPr>
          <w:snapToGrid w:val="0"/>
        </w:rPr>
      </w:pPr>
      <w:r>
        <w:rPr>
          <w:snapToGrid w:val="0"/>
        </w:rPr>
        <w:t>Table 3.11</w:t>
      </w:r>
      <w:r w:rsidRPr="00014438">
        <w:rPr>
          <w:snapToGrid w:val="0"/>
        </w:rPr>
        <w:t>: Schedule of administered capital budget</w:t>
      </w:r>
      <w:r>
        <w:rPr>
          <w:snapToGrid w:val="0"/>
        </w:rPr>
        <w:t xml:space="preserve"> (for the period ended 30 June)</w:t>
      </w:r>
    </w:p>
    <w:tbl>
      <w:tblPr>
        <w:tblW w:w="7700" w:type="dxa"/>
        <w:jc w:val="center"/>
        <w:tblLayout w:type="fixed"/>
        <w:tblLook w:val="04A0" w:firstRow="1" w:lastRow="0" w:firstColumn="1" w:lastColumn="0" w:noHBand="0" w:noVBand="1"/>
      </w:tblPr>
      <w:tblGrid>
        <w:gridCol w:w="3009"/>
        <w:gridCol w:w="939"/>
        <w:gridCol w:w="938"/>
        <w:gridCol w:w="938"/>
        <w:gridCol w:w="938"/>
        <w:gridCol w:w="938"/>
      </w:tblGrid>
      <w:tr w:rsidR="004B20B6" w:rsidRPr="004B20B6" w14:paraId="7DA74730" w14:textId="77777777" w:rsidTr="004B20B6">
        <w:trPr>
          <w:trHeight w:val="737"/>
          <w:jc w:val="center"/>
        </w:trPr>
        <w:tc>
          <w:tcPr>
            <w:tcW w:w="3009" w:type="dxa"/>
            <w:tcBorders>
              <w:top w:val="single" w:sz="4" w:space="0" w:color="auto"/>
              <w:left w:val="nil"/>
              <w:bottom w:val="nil"/>
              <w:right w:val="nil"/>
            </w:tcBorders>
            <w:shd w:val="clear" w:color="auto" w:fill="auto"/>
            <w:hideMark/>
          </w:tcPr>
          <w:p w14:paraId="0F7FF7B3" w14:textId="77777777" w:rsidR="004B20B6" w:rsidRPr="004B20B6" w:rsidRDefault="004B20B6" w:rsidP="004B20B6">
            <w:pPr>
              <w:spacing w:before="24" w:after="0" w:line="240" w:lineRule="auto"/>
              <w:jc w:val="right"/>
              <w:rPr>
                <w:rFonts w:ascii="Arial" w:hAnsi="Arial" w:cs="Arial"/>
                <w:sz w:val="16"/>
                <w:szCs w:val="16"/>
              </w:rPr>
            </w:pPr>
            <w:r w:rsidRPr="004B20B6">
              <w:rPr>
                <w:rFonts w:ascii="Arial" w:hAnsi="Arial" w:cs="Arial"/>
                <w:sz w:val="16"/>
                <w:szCs w:val="16"/>
              </w:rPr>
              <w:t> </w:t>
            </w:r>
          </w:p>
        </w:tc>
        <w:tc>
          <w:tcPr>
            <w:tcW w:w="939" w:type="dxa"/>
            <w:tcBorders>
              <w:top w:val="single" w:sz="4" w:space="0" w:color="auto"/>
              <w:left w:val="nil"/>
              <w:bottom w:val="single" w:sz="4" w:space="0" w:color="auto"/>
              <w:right w:val="nil"/>
            </w:tcBorders>
            <w:shd w:val="clear" w:color="auto" w:fill="auto"/>
            <w:hideMark/>
          </w:tcPr>
          <w:p w14:paraId="3B4E38E3" w14:textId="62686241" w:rsidR="004B20B6" w:rsidRPr="004B20B6" w:rsidRDefault="004B20B6" w:rsidP="004B20B6">
            <w:pPr>
              <w:spacing w:before="24" w:after="0" w:line="240" w:lineRule="auto"/>
              <w:jc w:val="right"/>
              <w:rPr>
                <w:rFonts w:ascii="Arial" w:hAnsi="Arial" w:cs="Arial"/>
                <w:b/>
                <w:bCs/>
                <w:sz w:val="16"/>
                <w:szCs w:val="16"/>
              </w:rPr>
            </w:pPr>
            <w:r>
              <w:rPr>
                <w:rFonts w:ascii="Arial" w:hAnsi="Arial" w:cs="Arial"/>
                <w:b/>
                <w:bCs/>
                <w:sz w:val="16"/>
                <w:szCs w:val="16"/>
              </w:rPr>
              <w:t>2022–</w:t>
            </w:r>
            <w:r w:rsidRPr="004B20B6">
              <w:rPr>
                <w:rFonts w:ascii="Arial" w:hAnsi="Arial" w:cs="Arial"/>
                <w:b/>
                <w:bCs/>
                <w:sz w:val="16"/>
                <w:szCs w:val="16"/>
              </w:rPr>
              <w:t>23</w:t>
            </w:r>
            <w:r w:rsidRPr="004B20B6">
              <w:rPr>
                <w:rFonts w:ascii="Arial" w:hAnsi="Arial" w:cs="Arial"/>
                <w:b/>
                <w:bCs/>
                <w:sz w:val="16"/>
                <w:szCs w:val="16"/>
              </w:rPr>
              <w:br/>
              <w:t>Actual</w:t>
            </w:r>
            <w:r w:rsidRPr="004B20B6">
              <w:rPr>
                <w:rFonts w:ascii="Arial" w:hAnsi="Arial" w:cs="Arial"/>
                <w:b/>
                <w:bCs/>
                <w:sz w:val="16"/>
                <w:szCs w:val="16"/>
              </w:rPr>
              <w:br/>
            </w:r>
            <w:r w:rsidRPr="004B20B6">
              <w:rPr>
                <w:rFonts w:ascii="Arial" w:hAnsi="Arial" w:cs="Arial"/>
                <w:b/>
                <w:bCs/>
                <w:sz w:val="16"/>
                <w:szCs w:val="16"/>
              </w:rPr>
              <w:br/>
            </w:r>
            <w:r w:rsidRPr="004B20B6">
              <w:rPr>
                <w:rFonts w:ascii="Arial" w:hAnsi="Arial" w:cs="Arial"/>
                <w:sz w:val="16"/>
                <w:szCs w:val="16"/>
              </w:rPr>
              <w:t>$'000</w:t>
            </w:r>
          </w:p>
        </w:tc>
        <w:tc>
          <w:tcPr>
            <w:tcW w:w="938" w:type="dxa"/>
            <w:tcBorders>
              <w:top w:val="single" w:sz="4" w:space="0" w:color="auto"/>
              <w:left w:val="nil"/>
              <w:bottom w:val="single" w:sz="4" w:space="0" w:color="auto"/>
              <w:right w:val="nil"/>
            </w:tcBorders>
            <w:shd w:val="clear" w:color="000000" w:fill="D9D9D9"/>
            <w:hideMark/>
          </w:tcPr>
          <w:p w14:paraId="42E93268" w14:textId="54532D2B" w:rsidR="004B20B6" w:rsidRPr="004B20B6" w:rsidRDefault="004B20B6" w:rsidP="004B20B6">
            <w:pPr>
              <w:spacing w:before="24" w:after="0" w:line="240" w:lineRule="auto"/>
              <w:jc w:val="right"/>
              <w:rPr>
                <w:rFonts w:ascii="Arial" w:hAnsi="Arial" w:cs="Arial"/>
                <w:b/>
                <w:bCs/>
                <w:sz w:val="16"/>
                <w:szCs w:val="16"/>
              </w:rPr>
            </w:pPr>
            <w:r>
              <w:rPr>
                <w:rFonts w:ascii="Arial" w:hAnsi="Arial" w:cs="Arial"/>
                <w:b/>
                <w:bCs/>
                <w:sz w:val="16"/>
                <w:szCs w:val="16"/>
              </w:rPr>
              <w:t>2023–</w:t>
            </w:r>
            <w:r w:rsidRPr="004B20B6">
              <w:rPr>
                <w:rFonts w:ascii="Arial" w:hAnsi="Arial" w:cs="Arial"/>
                <w:b/>
                <w:bCs/>
                <w:sz w:val="16"/>
                <w:szCs w:val="16"/>
              </w:rPr>
              <w:t>24</w:t>
            </w:r>
            <w:r w:rsidRPr="004B20B6">
              <w:rPr>
                <w:rFonts w:ascii="Arial" w:hAnsi="Arial" w:cs="Arial"/>
                <w:b/>
                <w:bCs/>
                <w:sz w:val="16"/>
                <w:szCs w:val="16"/>
              </w:rPr>
              <w:br/>
              <w:t xml:space="preserve">Revised Budget </w:t>
            </w:r>
            <w:r w:rsidRPr="004B20B6">
              <w:rPr>
                <w:rFonts w:ascii="Arial" w:hAnsi="Arial" w:cs="Arial"/>
                <w:sz w:val="16"/>
                <w:szCs w:val="16"/>
              </w:rPr>
              <w:t xml:space="preserve"> </w:t>
            </w:r>
            <w:r w:rsidRPr="004B20B6">
              <w:rPr>
                <w:rFonts w:ascii="Arial" w:hAnsi="Arial" w:cs="Arial"/>
                <w:sz w:val="16"/>
                <w:szCs w:val="16"/>
              </w:rPr>
              <w:br/>
              <w:t>$'000</w:t>
            </w:r>
          </w:p>
        </w:tc>
        <w:tc>
          <w:tcPr>
            <w:tcW w:w="938" w:type="dxa"/>
            <w:tcBorders>
              <w:top w:val="single" w:sz="4" w:space="0" w:color="auto"/>
              <w:left w:val="nil"/>
              <w:bottom w:val="single" w:sz="4" w:space="0" w:color="auto"/>
              <w:right w:val="nil"/>
            </w:tcBorders>
            <w:shd w:val="clear" w:color="auto" w:fill="auto"/>
            <w:hideMark/>
          </w:tcPr>
          <w:p w14:paraId="073FA6BD" w14:textId="22815D18" w:rsidR="004B20B6" w:rsidRPr="004B20B6" w:rsidRDefault="004B20B6" w:rsidP="004B20B6">
            <w:pPr>
              <w:spacing w:before="24" w:after="0" w:line="240" w:lineRule="auto"/>
              <w:jc w:val="right"/>
              <w:rPr>
                <w:rFonts w:ascii="Arial" w:hAnsi="Arial" w:cs="Arial"/>
                <w:b/>
                <w:bCs/>
                <w:sz w:val="16"/>
                <w:szCs w:val="16"/>
              </w:rPr>
            </w:pPr>
            <w:r>
              <w:rPr>
                <w:rFonts w:ascii="Arial" w:hAnsi="Arial" w:cs="Arial"/>
                <w:b/>
                <w:bCs/>
                <w:sz w:val="16"/>
                <w:szCs w:val="16"/>
              </w:rPr>
              <w:t>2024–</w:t>
            </w:r>
            <w:r w:rsidRPr="004B20B6">
              <w:rPr>
                <w:rFonts w:ascii="Arial" w:hAnsi="Arial" w:cs="Arial"/>
                <w:b/>
                <w:bCs/>
                <w:sz w:val="16"/>
                <w:szCs w:val="16"/>
              </w:rPr>
              <w:t>25</w:t>
            </w:r>
            <w:r w:rsidRPr="004B20B6">
              <w:rPr>
                <w:rFonts w:ascii="Arial" w:hAnsi="Arial" w:cs="Arial"/>
                <w:b/>
                <w:bCs/>
                <w:sz w:val="16"/>
                <w:szCs w:val="16"/>
              </w:rPr>
              <w:br/>
              <w:t xml:space="preserve">Forward </w:t>
            </w:r>
            <w:r w:rsidRPr="004B20B6">
              <w:rPr>
                <w:rFonts w:ascii="Arial" w:hAnsi="Arial" w:cs="Arial"/>
                <w:b/>
                <w:bCs/>
                <w:sz w:val="16"/>
                <w:szCs w:val="16"/>
              </w:rPr>
              <w:br/>
              <w:t xml:space="preserve">Estimate </w:t>
            </w:r>
            <w:r w:rsidRPr="004B20B6">
              <w:rPr>
                <w:rFonts w:ascii="Arial" w:hAnsi="Arial" w:cs="Arial"/>
                <w:b/>
                <w:bCs/>
                <w:sz w:val="16"/>
                <w:szCs w:val="16"/>
              </w:rPr>
              <w:br/>
            </w:r>
            <w:r w:rsidRPr="004B20B6">
              <w:rPr>
                <w:rFonts w:ascii="Arial" w:hAnsi="Arial" w:cs="Arial"/>
                <w:sz w:val="16"/>
                <w:szCs w:val="16"/>
              </w:rPr>
              <w:t>$'000</w:t>
            </w:r>
          </w:p>
        </w:tc>
        <w:tc>
          <w:tcPr>
            <w:tcW w:w="938" w:type="dxa"/>
            <w:tcBorders>
              <w:top w:val="single" w:sz="4" w:space="0" w:color="auto"/>
              <w:left w:val="nil"/>
              <w:bottom w:val="single" w:sz="4" w:space="0" w:color="auto"/>
              <w:right w:val="nil"/>
            </w:tcBorders>
            <w:shd w:val="clear" w:color="auto" w:fill="auto"/>
            <w:hideMark/>
          </w:tcPr>
          <w:p w14:paraId="2FEC43CE" w14:textId="6807E938" w:rsidR="004B20B6" w:rsidRPr="004B20B6" w:rsidRDefault="004B20B6" w:rsidP="004B20B6">
            <w:pPr>
              <w:spacing w:before="24" w:after="0" w:line="240" w:lineRule="auto"/>
              <w:jc w:val="right"/>
              <w:rPr>
                <w:rFonts w:ascii="Arial" w:hAnsi="Arial" w:cs="Arial"/>
                <w:b/>
                <w:bCs/>
                <w:sz w:val="16"/>
                <w:szCs w:val="16"/>
              </w:rPr>
            </w:pPr>
            <w:r>
              <w:rPr>
                <w:rFonts w:ascii="Arial" w:hAnsi="Arial" w:cs="Arial"/>
                <w:b/>
                <w:bCs/>
                <w:sz w:val="16"/>
                <w:szCs w:val="16"/>
              </w:rPr>
              <w:t>2025–</w:t>
            </w:r>
            <w:r w:rsidRPr="004B20B6">
              <w:rPr>
                <w:rFonts w:ascii="Arial" w:hAnsi="Arial" w:cs="Arial"/>
                <w:b/>
                <w:bCs/>
                <w:sz w:val="16"/>
                <w:szCs w:val="16"/>
              </w:rPr>
              <w:t>26</w:t>
            </w:r>
            <w:r w:rsidRPr="004B20B6">
              <w:rPr>
                <w:rFonts w:ascii="Arial" w:hAnsi="Arial" w:cs="Arial"/>
                <w:b/>
                <w:bCs/>
                <w:sz w:val="16"/>
                <w:szCs w:val="16"/>
              </w:rPr>
              <w:br/>
              <w:t xml:space="preserve">Forward </w:t>
            </w:r>
            <w:r w:rsidRPr="004B20B6">
              <w:rPr>
                <w:rFonts w:ascii="Arial" w:hAnsi="Arial" w:cs="Arial"/>
                <w:b/>
                <w:bCs/>
                <w:sz w:val="16"/>
                <w:szCs w:val="16"/>
              </w:rPr>
              <w:br/>
              <w:t xml:space="preserve">Estimate </w:t>
            </w:r>
            <w:r w:rsidRPr="004B20B6">
              <w:rPr>
                <w:rFonts w:ascii="Arial" w:hAnsi="Arial" w:cs="Arial"/>
                <w:b/>
                <w:bCs/>
                <w:sz w:val="16"/>
                <w:szCs w:val="16"/>
              </w:rPr>
              <w:br/>
            </w:r>
            <w:r w:rsidRPr="004B20B6">
              <w:rPr>
                <w:rFonts w:ascii="Arial" w:hAnsi="Arial" w:cs="Arial"/>
                <w:sz w:val="16"/>
                <w:szCs w:val="16"/>
              </w:rPr>
              <w:t>$'000</w:t>
            </w:r>
          </w:p>
        </w:tc>
        <w:tc>
          <w:tcPr>
            <w:tcW w:w="938" w:type="dxa"/>
            <w:tcBorders>
              <w:top w:val="single" w:sz="4" w:space="0" w:color="auto"/>
              <w:left w:val="nil"/>
              <w:bottom w:val="single" w:sz="4" w:space="0" w:color="auto"/>
              <w:right w:val="nil"/>
            </w:tcBorders>
            <w:shd w:val="clear" w:color="auto" w:fill="auto"/>
            <w:hideMark/>
          </w:tcPr>
          <w:p w14:paraId="15F1F095" w14:textId="3A29BBA2" w:rsidR="004B20B6" w:rsidRPr="004B20B6" w:rsidRDefault="004B20B6" w:rsidP="004B20B6">
            <w:pPr>
              <w:spacing w:before="24" w:after="0" w:line="240" w:lineRule="auto"/>
              <w:jc w:val="right"/>
              <w:rPr>
                <w:rFonts w:ascii="Arial" w:hAnsi="Arial" w:cs="Arial"/>
                <w:b/>
                <w:bCs/>
                <w:sz w:val="16"/>
                <w:szCs w:val="16"/>
              </w:rPr>
            </w:pPr>
            <w:r>
              <w:rPr>
                <w:rFonts w:ascii="Arial" w:hAnsi="Arial" w:cs="Arial"/>
                <w:b/>
                <w:bCs/>
                <w:sz w:val="16"/>
                <w:szCs w:val="16"/>
              </w:rPr>
              <w:t>2026–</w:t>
            </w:r>
            <w:r w:rsidRPr="004B20B6">
              <w:rPr>
                <w:rFonts w:ascii="Arial" w:hAnsi="Arial" w:cs="Arial"/>
                <w:b/>
                <w:bCs/>
                <w:sz w:val="16"/>
                <w:szCs w:val="16"/>
              </w:rPr>
              <w:t>27</w:t>
            </w:r>
            <w:r w:rsidRPr="004B20B6">
              <w:rPr>
                <w:rFonts w:ascii="Arial" w:hAnsi="Arial" w:cs="Arial"/>
                <w:b/>
                <w:bCs/>
                <w:sz w:val="16"/>
                <w:szCs w:val="16"/>
              </w:rPr>
              <w:br/>
              <w:t xml:space="preserve">Forward </w:t>
            </w:r>
            <w:r w:rsidRPr="004B20B6">
              <w:rPr>
                <w:rFonts w:ascii="Arial" w:hAnsi="Arial" w:cs="Arial"/>
                <w:b/>
                <w:bCs/>
                <w:sz w:val="16"/>
                <w:szCs w:val="16"/>
              </w:rPr>
              <w:br/>
              <w:t xml:space="preserve">Estimate </w:t>
            </w:r>
            <w:r w:rsidRPr="004B20B6">
              <w:rPr>
                <w:rFonts w:ascii="Arial" w:hAnsi="Arial" w:cs="Arial"/>
                <w:b/>
                <w:bCs/>
                <w:sz w:val="16"/>
                <w:szCs w:val="16"/>
              </w:rPr>
              <w:br/>
            </w:r>
            <w:r w:rsidRPr="004B20B6">
              <w:rPr>
                <w:rFonts w:ascii="Arial" w:hAnsi="Arial" w:cs="Arial"/>
                <w:sz w:val="16"/>
                <w:szCs w:val="16"/>
              </w:rPr>
              <w:t>$'000</w:t>
            </w:r>
          </w:p>
        </w:tc>
      </w:tr>
      <w:tr w:rsidR="004B20B6" w:rsidRPr="004B20B6" w14:paraId="70D99803" w14:textId="77777777" w:rsidTr="004B20B6">
        <w:trPr>
          <w:trHeight w:val="283"/>
          <w:jc w:val="center"/>
        </w:trPr>
        <w:tc>
          <w:tcPr>
            <w:tcW w:w="3009" w:type="dxa"/>
            <w:tcBorders>
              <w:top w:val="nil"/>
              <w:left w:val="nil"/>
              <w:bottom w:val="nil"/>
              <w:right w:val="nil"/>
            </w:tcBorders>
            <w:shd w:val="clear" w:color="auto" w:fill="auto"/>
            <w:noWrap/>
            <w:vAlign w:val="bottom"/>
            <w:hideMark/>
          </w:tcPr>
          <w:p w14:paraId="1562EC15" w14:textId="77777777" w:rsidR="004B20B6" w:rsidRPr="004B20B6" w:rsidRDefault="004B20B6" w:rsidP="004B20B6">
            <w:pPr>
              <w:spacing w:before="0" w:after="0" w:line="240" w:lineRule="auto"/>
              <w:rPr>
                <w:rFonts w:ascii="Arial" w:hAnsi="Arial" w:cs="Arial"/>
                <w:b/>
                <w:bCs/>
                <w:sz w:val="16"/>
                <w:szCs w:val="16"/>
              </w:rPr>
            </w:pPr>
            <w:r w:rsidRPr="004B20B6">
              <w:rPr>
                <w:rFonts w:ascii="Arial" w:hAnsi="Arial" w:cs="Arial"/>
                <w:b/>
                <w:bCs/>
                <w:sz w:val="16"/>
                <w:szCs w:val="16"/>
              </w:rPr>
              <w:t>CAPITAL APPROPRIATIONS</w:t>
            </w:r>
          </w:p>
        </w:tc>
        <w:tc>
          <w:tcPr>
            <w:tcW w:w="939" w:type="dxa"/>
            <w:tcBorders>
              <w:top w:val="nil"/>
              <w:left w:val="nil"/>
              <w:bottom w:val="nil"/>
              <w:right w:val="nil"/>
            </w:tcBorders>
            <w:shd w:val="clear" w:color="auto" w:fill="auto"/>
            <w:noWrap/>
            <w:vAlign w:val="bottom"/>
            <w:hideMark/>
          </w:tcPr>
          <w:p w14:paraId="0F07ADFC" w14:textId="77777777" w:rsidR="004B20B6" w:rsidRPr="004B20B6" w:rsidRDefault="004B20B6" w:rsidP="004B20B6">
            <w:pPr>
              <w:spacing w:before="0" w:after="0" w:line="240" w:lineRule="auto"/>
              <w:rPr>
                <w:rFonts w:ascii="Arial" w:hAnsi="Arial" w:cs="Arial"/>
                <w:b/>
                <w:bCs/>
                <w:sz w:val="16"/>
                <w:szCs w:val="16"/>
              </w:rPr>
            </w:pPr>
          </w:p>
        </w:tc>
        <w:tc>
          <w:tcPr>
            <w:tcW w:w="938" w:type="dxa"/>
            <w:tcBorders>
              <w:top w:val="nil"/>
              <w:left w:val="nil"/>
              <w:bottom w:val="nil"/>
              <w:right w:val="nil"/>
            </w:tcBorders>
            <w:shd w:val="clear" w:color="000000" w:fill="D9D9D9"/>
            <w:noWrap/>
            <w:vAlign w:val="bottom"/>
            <w:hideMark/>
          </w:tcPr>
          <w:p w14:paraId="34AA538C" w14:textId="77777777" w:rsidR="004B20B6" w:rsidRPr="004B20B6" w:rsidRDefault="004B20B6" w:rsidP="004B20B6">
            <w:pPr>
              <w:spacing w:before="0" w:after="0" w:line="240" w:lineRule="auto"/>
              <w:jc w:val="right"/>
              <w:rPr>
                <w:rFonts w:ascii="Arial" w:hAnsi="Arial" w:cs="Arial"/>
                <w:sz w:val="16"/>
                <w:szCs w:val="16"/>
              </w:rPr>
            </w:pPr>
            <w:r w:rsidRPr="004B20B6">
              <w:rPr>
                <w:rFonts w:ascii="Arial" w:hAnsi="Arial" w:cs="Arial"/>
                <w:sz w:val="16"/>
                <w:szCs w:val="16"/>
              </w:rPr>
              <w:t> </w:t>
            </w:r>
          </w:p>
        </w:tc>
        <w:tc>
          <w:tcPr>
            <w:tcW w:w="938" w:type="dxa"/>
            <w:tcBorders>
              <w:top w:val="nil"/>
              <w:left w:val="nil"/>
              <w:bottom w:val="nil"/>
              <w:right w:val="nil"/>
            </w:tcBorders>
            <w:shd w:val="clear" w:color="auto" w:fill="auto"/>
            <w:noWrap/>
            <w:vAlign w:val="bottom"/>
            <w:hideMark/>
          </w:tcPr>
          <w:p w14:paraId="0553E1C7" w14:textId="77777777" w:rsidR="004B20B6" w:rsidRPr="004B20B6" w:rsidRDefault="004B20B6" w:rsidP="004B20B6">
            <w:pPr>
              <w:spacing w:before="0" w:after="0" w:line="240" w:lineRule="auto"/>
              <w:jc w:val="right"/>
              <w:rPr>
                <w:rFonts w:ascii="Arial" w:hAnsi="Arial" w:cs="Arial"/>
                <w:sz w:val="16"/>
                <w:szCs w:val="16"/>
              </w:rPr>
            </w:pPr>
          </w:p>
        </w:tc>
        <w:tc>
          <w:tcPr>
            <w:tcW w:w="938" w:type="dxa"/>
            <w:tcBorders>
              <w:top w:val="nil"/>
              <w:left w:val="nil"/>
              <w:bottom w:val="nil"/>
              <w:right w:val="nil"/>
            </w:tcBorders>
            <w:shd w:val="clear" w:color="auto" w:fill="auto"/>
            <w:noWrap/>
            <w:vAlign w:val="bottom"/>
            <w:hideMark/>
          </w:tcPr>
          <w:p w14:paraId="7E094071" w14:textId="77777777" w:rsidR="004B20B6" w:rsidRPr="004B20B6" w:rsidRDefault="004B20B6" w:rsidP="004B20B6">
            <w:pPr>
              <w:spacing w:before="0" w:after="0" w:line="240" w:lineRule="auto"/>
              <w:jc w:val="right"/>
              <w:rPr>
                <w:rFonts w:ascii="Times New Roman" w:hAnsi="Times New Roman"/>
                <w:sz w:val="20"/>
              </w:rPr>
            </w:pPr>
          </w:p>
        </w:tc>
        <w:tc>
          <w:tcPr>
            <w:tcW w:w="938" w:type="dxa"/>
            <w:tcBorders>
              <w:top w:val="nil"/>
              <w:left w:val="nil"/>
              <w:bottom w:val="nil"/>
              <w:right w:val="nil"/>
            </w:tcBorders>
            <w:shd w:val="clear" w:color="auto" w:fill="auto"/>
            <w:noWrap/>
            <w:vAlign w:val="bottom"/>
            <w:hideMark/>
          </w:tcPr>
          <w:p w14:paraId="43FA353F" w14:textId="77777777" w:rsidR="004B20B6" w:rsidRPr="004B20B6" w:rsidRDefault="004B20B6" w:rsidP="004B20B6">
            <w:pPr>
              <w:spacing w:before="0" w:after="0" w:line="240" w:lineRule="auto"/>
              <w:jc w:val="right"/>
              <w:rPr>
                <w:rFonts w:ascii="Times New Roman" w:hAnsi="Times New Roman"/>
                <w:sz w:val="20"/>
              </w:rPr>
            </w:pPr>
          </w:p>
        </w:tc>
      </w:tr>
      <w:tr w:rsidR="004B20B6" w:rsidRPr="004B20B6" w14:paraId="7A04C0C1"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66A99B08" w14:textId="77777777" w:rsidR="004B20B6" w:rsidRPr="004B20B6" w:rsidRDefault="004B20B6" w:rsidP="004B3DA6">
            <w:pPr>
              <w:spacing w:before="0" w:after="0" w:line="240" w:lineRule="auto"/>
              <w:ind w:leftChars="75" w:left="143"/>
              <w:rPr>
                <w:rFonts w:ascii="Arial" w:hAnsi="Arial" w:cs="Arial"/>
                <w:sz w:val="16"/>
                <w:szCs w:val="16"/>
              </w:rPr>
            </w:pPr>
            <w:r w:rsidRPr="004B20B6">
              <w:rPr>
                <w:rFonts w:ascii="Arial" w:hAnsi="Arial" w:cs="Arial"/>
                <w:sz w:val="16"/>
                <w:szCs w:val="16"/>
              </w:rPr>
              <w:t>Administered assets</w:t>
            </w:r>
          </w:p>
        </w:tc>
        <w:tc>
          <w:tcPr>
            <w:tcW w:w="939" w:type="dxa"/>
            <w:tcBorders>
              <w:top w:val="nil"/>
              <w:left w:val="nil"/>
              <w:bottom w:val="nil"/>
              <w:right w:val="nil"/>
            </w:tcBorders>
            <w:shd w:val="clear" w:color="auto" w:fill="auto"/>
            <w:noWrap/>
            <w:vAlign w:val="bottom"/>
            <w:hideMark/>
          </w:tcPr>
          <w:p w14:paraId="13AD6A22"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1,006,408</w:t>
            </w:r>
          </w:p>
        </w:tc>
        <w:tc>
          <w:tcPr>
            <w:tcW w:w="938" w:type="dxa"/>
            <w:tcBorders>
              <w:top w:val="nil"/>
              <w:left w:val="nil"/>
              <w:bottom w:val="nil"/>
              <w:right w:val="nil"/>
            </w:tcBorders>
            <w:shd w:val="clear" w:color="000000" w:fill="D9D9D9"/>
            <w:noWrap/>
            <w:vAlign w:val="bottom"/>
            <w:hideMark/>
          </w:tcPr>
          <w:p w14:paraId="7ECD6739"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43,887</w:t>
            </w:r>
          </w:p>
        </w:tc>
        <w:tc>
          <w:tcPr>
            <w:tcW w:w="938" w:type="dxa"/>
            <w:tcBorders>
              <w:top w:val="nil"/>
              <w:left w:val="nil"/>
              <w:bottom w:val="nil"/>
              <w:right w:val="nil"/>
            </w:tcBorders>
            <w:shd w:val="clear" w:color="auto" w:fill="auto"/>
            <w:noWrap/>
            <w:vAlign w:val="bottom"/>
            <w:hideMark/>
          </w:tcPr>
          <w:p w14:paraId="28FE03D9"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6,175</w:t>
            </w:r>
          </w:p>
        </w:tc>
        <w:tc>
          <w:tcPr>
            <w:tcW w:w="938" w:type="dxa"/>
            <w:tcBorders>
              <w:top w:val="nil"/>
              <w:left w:val="nil"/>
              <w:bottom w:val="nil"/>
              <w:right w:val="nil"/>
            </w:tcBorders>
            <w:shd w:val="clear" w:color="auto" w:fill="auto"/>
            <w:noWrap/>
            <w:vAlign w:val="bottom"/>
            <w:hideMark/>
          </w:tcPr>
          <w:p w14:paraId="33E66556"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3,088</w:t>
            </w:r>
          </w:p>
        </w:tc>
        <w:tc>
          <w:tcPr>
            <w:tcW w:w="938" w:type="dxa"/>
            <w:tcBorders>
              <w:top w:val="nil"/>
              <w:left w:val="nil"/>
              <w:bottom w:val="nil"/>
              <w:right w:val="nil"/>
            </w:tcBorders>
            <w:shd w:val="clear" w:color="auto" w:fill="auto"/>
            <w:noWrap/>
            <w:vAlign w:val="bottom"/>
            <w:hideMark/>
          </w:tcPr>
          <w:p w14:paraId="28CA755A"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r>
      <w:tr w:rsidR="004B20B6" w:rsidRPr="004B20B6" w14:paraId="7E884FD5"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23639BC2" w14:textId="77777777" w:rsidR="004B20B6" w:rsidRPr="004B20B6" w:rsidRDefault="004B20B6" w:rsidP="004B3DA6">
            <w:pPr>
              <w:spacing w:before="0" w:after="0" w:line="240" w:lineRule="auto"/>
              <w:ind w:leftChars="75" w:left="143"/>
              <w:rPr>
                <w:rFonts w:ascii="Arial" w:hAnsi="Arial" w:cs="Arial"/>
                <w:b/>
                <w:bCs/>
                <w:sz w:val="16"/>
                <w:szCs w:val="16"/>
              </w:rPr>
            </w:pPr>
            <w:r w:rsidRPr="004B20B6">
              <w:rPr>
                <w:rFonts w:ascii="Arial" w:hAnsi="Arial" w:cs="Arial"/>
                <w:b/>
                <w:bCs/>
                <w:sz w:val="16"/>
                <w:szCs w:val="16"/>
              </w:rPr>
              <w:t>Total capital appropriations</w:t>
            </w:r>
          </w:p>
        </w:tc>
        <w:tc>
          <w:tcPr>
            <w:tcW w:w="939" w:type="dxa"/>
            <w:tcBorders>
              <w:top w:val="nil"/>
              <w:left w:val="nil"/>
              <w:bottom w:val="single" w:sz="4" w:space="0" w:color="auto"/>
              <w:right w:val="nil"/>
            </w:tcBorders>
            <w:shd w:val="clear" w:color="auto" w:fill="auto"/>
            <w:noWrap/>
            <w:vAlign w:val="bottom"/>
            <w:hideMark/>
          </w:tcPr>
          <w:p w14:paraId="3F5B2DD4"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1,006,408</w:t>
            </w:r>
          </w:p>
        </w:tc>
        <w:tc>
          <w:tcPr>
            <w:tcW w:w="938" w:type="dxa"/>
            <w:tcBorders>
              <w:top w:val="nil"/>
              <w:left w:val="nil"/>
              <w:bottom w:val="single" w:sz="4" w:space="0" w:color="auto"/>
              <w:right w:val="nil"/>
            </w:tcBorders>
            <w:shd w:val="clear" w:color="000000" w:fill="D9D9D9"/>
            <w:noWrap/>
            <w:vAlign w:val="bottom"/>
            <w:hideMark/>
          </w:tcPr>
          <w:p w14:paraId="27F9FB61"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43,887</w:t>
            </w:r>
          </w:p>
        </w:tc>
        <w:tc>
          <w:tcPr>
            <w:tcW w:w="938" w:type="dxa"/>
            <w:tcBorders>
              <w:top w:val="nil"/>
              <w:left w:val="nil"/>
              <w:bottom w:val="single" w:sz="4" w:space="0" w:color="auto"/>
              <w:right w:val="nil"/>
            </w:tcBorders>
            <w:shd w:val="clear" w:color="auto" w:fill="auto"/>
            <w:noWrap/>
            <w:vAlign w:val="bottom"/>
            <w:hideMark/>
          </w:tcPr>
          <w:p w14:paraId="3C2D7827"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6,175</w:t>
            </w:r>
          </w:p>
        </w:tc>
        <w:tc>
          <w:tcPr>
            <w:tcW w:w="938" w:type="dxa"/>
            <w:tcBorders>
              <w:top w:val="nil"/>
              <w:left w:val="nil"/>
              <w:bottom w:val="single" w:sz="4" w:space="0" w:color="auto"/>
              <w:right w:val="nil"/>
            </w:tcBorders>
            <w:shd w:val="clear" w:color="auto" w:fill="auto"/>
            <w:noWrap/>
            <w:vAlign w:val="bottom"/>
            <w:hideMark/>
          </w:tcPr>
          <w:p w14:paraId="376747AF"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3,088</w:t>
            </w:r>
          </w:p>
        </w:tc>
        <w:tc>
          <w:tcPr>
            <w:tcW w:w="938" w:type="dxa"/>
            <w:tcBorders>
              <w:top w:val="nil"/>
              <w:left w:val="nil"/>
              <w:bottom w:val="single" w:sz="4" w:space="0" w:color="auto"/>
              <w:right w:val="nil"/>
            </w:tcBorders>
            <w:shd w:val="clear" w:color="auto" w:fill="auto"/>
            <w:noWrap/>
            <w:vAlign w:val="bottom"/>
            <w:hideMark/>
          </w:tcPr>
          <w:p w14:paraId="1035E469"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w:t>
            </w:r>
          </w:p>
        </w:tc>
      </w:tr>
      <w:tr w:rsidR="004B20B6" w:rsidRPr="004B20B6" w14:paraId="21DD27D3" w14:textId="77777777" w:rsidTr="000911F8">
        <w:trPr>
          <w:trHeight w:val="454"/>
          <w:jc w:val="center"/>
        </w:trPr>
        <w:tc>
          <w:tcPr>
            <w:tcW w:w="3009" w:type="dxa"/>
            <w:tcBorders>
              <w:top w:val="nil"/>
              <w:left w:val="nil"/>
              <w:bottom w:val="nil"/>
              <w:right w:val="nil"/>
            </w:tcBorders>
            <w:shd w:val="clear" w:color="auto" w:fill="auto"/>
            <w:vAlign w:val="bottom"/>
            <w:hideMark/>
          </w:tcPr>
          <w:p w14:paraId="4E6B875A" w14:textId="77777777" w:rsidR="004B20B6" w:rsidRPr="004B20B6" w:rsidRDefault="004B20B6" w:rsidP="004B20B6">
            <w:pPr>
              <w:spacing w:before="0" w:after="0" w:line="240" w:lineRule="auto"/>
              <w:rPr>
                <w:rFonts w:ascii="Arial" w:hAnsi="Arial" w:cs="Arial"/>
                <w:b/>
                <w:bCs/>
                <w:sz w:val="16"/>
                <w:szCs w:val="16"/>
              </w:rPr>
            </w:pPr>
            <w:r w:rsidRPr="004B20B6">
              <w:rPr>
                <w:rFonts w:ascii="Arial" w:hAnsi="Arial" w:cs="Arial"/>
                <w:b/>
                <w:bCs/>
                <w:sz w:val="16"/>
                <w:szCs w:val="16"/>
              </w:rPr>
              <w:t>Total new capital appropriations represented by:</w:t>
            </w:r>
          </w:p>
        </w:tc>
        <w:tc>
          <w:tcPr>
            <w:tcW w:w="939" w:type="dxa"/>
            <w:tcBorders>
              <w:top w:val="nil"/>
              <w:left w:val="nil"/>
              <w:bottom w:val="nil"/>
              <w:right w:val="nil"/>
            </w:tcBorders>
            <w:shd w:val="clear" w:color="auto" w:fill="auto"/>
            <w:noWrap/>
            <w:vAlign w:val="bottom"/>
            <w:hideMark/>
          </w:tcPr>
          <w:p w14:paraId="0E3473F8" w14:textId="77777777" w:rsidR="004B20B6" w:rsidRPr="004B20B6" w:rsidRDefault="004B20B6" w:rsidP="004B20B6">
            <w:pPr>
              <w:spacing w:before="0" w:after="0" w:line="240" w:lineRule="auto"/>
              <w:rPr>
                <w:rFonts w:ascii="Arial" w:hAnsi="Arial" w:cs="Arial"/>
                <w:b/>
                <w:bCs/>
                <w:sz w:val="16"/>
                <w:szCs w:val="16"/>
              </w:rPr>
            </w:pPr>
          </w:p>
        </w:tc>
        <w:tc>
          <w:tcPr>
            <w:tcW w:w="938" w:type="dxa"/>
            <w:tcBorders>
              <w:top w:val="nil"/>
              <w:left w:val="nil"/>
              <w:bottom w:val="nil"/>
              <w:right w:val="nil"/>
            </w:tcBorders>
            <w:shd w:val="clear" w:color="000000" w:fill="D9D9D9"/>
            <w:noWrap/>
            <w:vAlign w:val="bottom"/>
            <w:hideMark/>
          </w:tcPr>
          <w:p w14:paraId="0D51B6A1"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 </w:t>
            </w:r>
          </w:p>
        </w:tc>
        <w:tc>
          <w:tcPr>
            <w:tcW w:w="938" w:type="dxa"/>
            <w:tcBorders>
              <w:top w:val="nil"/>
              <w:left w:val="nil"/>
              <w:bottom w:val="nil"/>
              <w:right w:val="nil"/>
            </w:tcBorders>
            <w:shd w:val="clear" w:color="auto" w:fill="auto"/>
            <w:noWrap/>
            <w:vAlign w:val="bottom"/>
            <w:hideMark/>
          </w:tcPr>
          <w:p w14:paraId="12D8078C" w14:textId="77777777" w:rsidR="004B20B6" w:rsidRPr="004B20B6" w:rsidRDefault="004B20B6" w:rsidP="004B20B6">
            <w:pPr>
              <w:spacing w:before="0" w:after="0" w:line="240" w:lineRule="auto"/>
              <w:jc w:val="right"/>
              <w:rPr>
                <w:rFonts w:ascii="Arial" w:hAnsi="Arial" w:cs="Arial"/>
                <w:color w:val="000000"/>
                <w:sz w:val="16"/>
                <w:szCs w:val="16"/>
              </w:rPr>
            </w:pPr>
          </w:p>
        </w:tc>
        <w:tc>
          <w:tcPr>
            <w:tcW w:w="938" w:type="dxa"/>
            <w:tcBorders>
              <w:top w:val="nil"/>
              <w:left w:val="nil"/>
              <w:bottom w:val="nil"/>
              <w:right w:val="nil"/>
            </w:tcBorders>
            <w:shd w:val="clear" w:color="auto" w:fill="auto"/>
            <w:noWrap/>
            <w:vAlign w:val="bottom"/>
            <w:hideMark/>
          </w:tcPr>
          <w:p w14:paraId="04A63D29" w14:textId="77777777" w:rsidR="004B20B6" w:rsidRPr="004B20B6" w:rsidRDefault="004B20B6" w:rsidP="004B20B6">
            <w:pPr>
              <w:spacing w:before="0" w:after="0" w:line="240" w:lineRule="auto"/>
              <w:jc w:val="right"/>
              <w:rPr>
                <w:rFonts w:ascii="Times New Roman" w:hAnsi="Times New Roman"/>
                <w:sz w:val="20"/>
              </w:rPr>
            </w:pPr>
          </w:p>
        </w:tc>
        <w:tc>
          <w:tcPr>
            <w:tcW w:w="938" w:type="dxa"/>
            <w:tcBorders>
              <w:top w:val="nil"/>
              <w:left w:val="nil"/>
              <w:bottom w:val="nil"/>
              <w:right w:val="nil"/>
            </w:tcBorders>
            <w:shd w:val="clear" w:color="auto" w:fill="auto"/>
            <w:noWrap/>
            <w:vAlign w:val="bottom"/>
            <w:hideMark/>
          </w:tcPr>
          <w:p w14:paraId="78850351" w14:textId="77777777" w:rsidR="004B20B6" w:rsidRPr="004B20B6" w:rsidRDefault="004B20B6" w:rsidP="004B20B6">
            <w:pPr>
              <w:spacing w:before="0" w:after="0" w:line="240" w:lineRule="auto"/>
              <w:jc w:val="right"/>
              <w:rPr>
                <w:rFonts w:ascii="Times New Roman" w:hAnsi="Times New Roman"/>
                <w:sz w:val="20"/>
              </w:rPr>
            </w:pPr>
          </w:p>
        </w:tc>
      </w:tr>
      <w:tr w:rsidR="004B20B6" w:rsidRPr="004B20B6" w14:paraId="674F2010"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3C4D849F" w14:textId="77777777" w:rsidR="004B20B6" w:rsidRPr="004B20B6" w:rsidRDefault="004B20B6" w:rsidP="004B3DA6">
            <w:pPr>
              <w:spacing w:before="0" w:after="0" w:line="240" w:lineRule="auto"/>
              <w:ind w:leftChars="150" w:left="285"/>
              <w:rPr>
                <w:rFonts w:ascii="Arial" w:hAnsi="Arial" w:cs="Arial"/>
                <w:sz w:val="16"/>
                <w:szCs w:val="16"/>
              </w:rPr>
            </w:pPr>
            <w:r w:rsidRPr="004B20B6">
              <w:rPr>
                <w:rFonts w:ascii="Arial" w:hAnsi="Arial" w:cs="Arial"/>
                <w:sz w:val="16"/>
                <w:szCs w:val="16"/>
              </w:rPr>
              <w:t>Purchase of non-financial assets</w:t>
            </w:r>
          </w:p>
        </w:tc>
        <w:tc>
          <w:tcPr>
            <w:tcW w:w="939" w:type="dxa"/>
            <w:tcBorders>
              <w:top w:val="nil"/>
              <w:left w:val="nil"/>
              <w:bottom w:val="nil"/>
              <w:right w:val="nil"/>
            </w:tcBorders>
            <w:shd w:val="clear" w:color="auto" w:fill="auto"/>
            <w:noWrap/>
            <w:vAlign w:val="bottom"/>
            <w:hideMark/>
          </w:tcPr>
          <w:p w14:paraId="04E59FBB"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1,006,408</w:t>
            </w:r>
          </w:p>
        </w:tc>
        <w:tc>
          <w:tcPr>
            <w:tcW w:w="938" w:type="dxa"/>
            <w:tcBorders>
              <w:top w:val="nil"/>
              <w:left w:val="nil"/>
              <w:bottom w:val="nil"/>
              <w:right w:val="nil"/>
            </w:tcBorders>
            <w:shd w:val="clear" w:color="000000" w:fill="D9D9D9"/>
            <w:noWrap/>
            <w:vAlign w:val="bottom"/>
            <w:hideMark/>
          </w:tcPr>
          <w:p w14:paraId="782D85D9"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43,887</w:t>
            </w:r>
          </w:p>
        </w:tc>
        <w:tc>
          <w:tcPr>
            <w:tcW w:w="938" w:type="dxa"/>
            <w:tcBorders>
              <w:top w:val="nil"/>
              <w:left w:val="nil"/>
              <w:bottom w:val="nil"/>
              <w:right w:val="nil"/>
            </w:tcBorders>
            <w:shd w:val="clear" w:color="auto" w:fill="auto"/>
            <w:noWrap/>
            <w:vAlign w:val="bottom"/>
            <w:hideMark/>
          </w:tcPr>
          <w:p w14:paraId="0574C986"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6,175</w:t>
            </w:r>
          </w:p>
        </w:tc>
        <w:tc>
          <w:tcPr>
            <w:tcW w:w="938" w:type="dxa"/>
            <w:tcBorders>
              <w:top w:val="nil"/>
              <w:left w:val="nil"/>
              <w:bottom w:val="nil"/>
              <w:right w:val="nil"/>
            </w:tcBorders>
            <w:shd w:val="clear" w:color="auto" w:fill="auto"/>
            <w:noWrap/>
            <w:vAlign w:val="bottom"/>
            <w:hideMark/>
          </w:tcPr>
          <w:p w14:paraId="6C63DE89"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3,088</w:t>
            </w:r>
          </w:p>
        </w:tc>
        <w:tc>
          <w:tcPr>
            <w:tcW w:w="938" w:type="dxa"/>
            <w:tcBorders>
              <w:top w:val="nil"/>
              <w:left w:val="nil"/>
              <w:bottom w:val="nil"/>
              <w:right w:val="nil"/>
            </w:tcBorders>
            <w:shd w:val="clear" w:color="auto" w:fill="auto"/>
            <w:noWrap/>
            <w:vAlign w:val="bottom"/>
            <w:hideMark/>
          </w:tcPr>
          <w:p w14:paraId="4E5D2B33"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r>
      <w:tr w:rsidR="004B20B6" w:rsidRPr="004B20B6" w14:paraId="08B1E95A"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618DEC2A" w14:textId="77777777" w:rsidR="004B20B6" w:rsidRPr="004B20B6" w:rsidRDefault="004B20B6" w:rsidP="004B3DA6">
            <w:pPr>
              <w:spacing w:before="0" w:after="0" w:line="240" w:lineRule="auto"/>
              <w:ind w:leftChars="150" w:left="285"/>
              <w:rPr>
                <w:rFonts w:ascii="Arial" w:hAnsi="Arial" w:cs="Arial"/>
                <w:sz w:val="16"/>
                <w:szCs w:val="16"/>
              </w:rPr>
            </w:pPr>
            <w:r w:rsidRPr="004B20B6">
              <w:rPr>
                <w:rFonts w:ascii="Arial" w:hAnsi="Arial" w:cs="Arial"/>
                <w:sz w:val="16"/>
                <w:szCs w:val="16"/>
              </w:rPr>
              <w:t>Other</w:t>
            </w:r>
          </w:p>
        </w:tc>
        <w:tc>
          <w:tcPr>
            <w:tcW w:w="939" w:type="dxa"/>
            <w:tcBorders>
              <w:top w:val="nil"/>
              <w:left w:val="nil"/>
              <w:bottom w:val="nil"/>
              <w:right w:val="nil"/>
            </w:tcBorders>
            <w:shd w:val="clear" w:color="auto" w:fill="auto"/>
            <w:noWrap/>
            <w:vAlign w:val="bottom"/>
            <w:hideMark/>
          </w:tcPr>
          <w:p w14:paraId="1CA9E5BF"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c>
          <w:tcPr>
            <w:tcW w:w="938" w:type="dxa"/>
            <w:tcBorders>
              <w:top w:val="nil"/>
              <w:left w:val="nil"/>
              <w:bottom w:val="nil"/>
              <w:right w:val="nil"/>
            </w:tcBorders>
            <w:shd w:val="clear" w:color="000000" w:fill="D9D9D9"/>
            <w:noWrap/>
            <w:vAlign w:val="bottom"/>
            <w:hideMark/>
          </w:tcPr>
          <w:p w14:paraId="3CDF85BC"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c>
          <w:tcPr>
            <w:tcW w:w="938" w:type="dxa"/>
            <w:tcBorders>
              <w:top w:val="nil"/>
              <w:left w:val="nil"/>
              <w:bottom w:val="nil"/>
              <w:right w:val="nil"/>
            </w:tcBorders>
            <w:shd w:val="clear" w:color="auto" w:fill="auto"/>
            <w:noWrap/>
            <w:vAlign w:val="bottom"/>
            <w:hideMark/>
          </w:tcPr>
          <w:p w14:paraId="661A63B9"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c>
          <w:tcPr>
            <w:tcW w:w="938" w:type="dxa"/>
            <w:tcBorders>
              <w:top w:val="nil"/>
              <w:left w:val="nil"/>
              <w:bottom w:val="nil"/>
              <w:right w:val="nil"/>
            </w:tcBorders>
            <w:shd w:val="clear" w:color="auto" w:fill="auto"/>
            <w:noWrap/>
            <w:vAlign w:val="bottom"/>
            <w:hideMark/>
          </w:tcPr>
          <w:p w14:paraId="1D7095AA"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c>
          <w:tcPr>
            <w:tcW w:w="938" w:type="dxa"/>
            <w:tcBorders>
              <w:top w:val="nil"/>
              <w:left w:val="nil"/>
              <w:bottom w:val="nil"/>
              <w:right w:val="nil"/>
            </w:tcBorders>
            <w:shd w:val="clear" w:color="auto" w:fill="auto"/>
            <w:noWrap/>
            <w:vAlign w:val="bottom"/>
            <w:hideMark/>
          </w:tcPr>
          <w:p w14:paraId="032A4BFD"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r>
      <w:tr w:rsidR="004B20B6" w:rsidRPr="004B20B6" w14:paraId="624114CF"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2C51DD44" w14:textId="77777777" w:rsidR="004B20B6" w:rsidRPr="004B20B6" w:rsidRDefault="004B20B6" w:rsidP="004B3DA6">
            <w:pPr>
              <w:spacing w:before="0" w:after="0" w:line="240" w:lineRule="auto"/>
              <w:ind w:leftChars="150" w:left="285"/>
              <w:rPr>
                <w:rFonts w:ascii="Arial" w:hAnsi="Arial" w:cs="Arial"/>
                <w:b/>
                <w:bCs/>
                <w:sz w:val="16"/>
                <w:szCs w:val="16"/>
              </w:rPr>
            </w:pPr>
            <w:r w:rsidRPr="004B20B6">
              <w:rPr>
                <w:rFonts w:ascii="Arial" w:hAnsi="Arial" w:cs="Arial"/>
                <w:b/>
                <w:bCs/>
                <w:sz w:val="16"/>
                <w:szCs w:val="16"/>
              </w:rPr>
              <w:t>Total items</w:t>
            </w:r>
          </w:p>
        </w:tc>
        <w:tc>
          <w:tcPr>
            <w:tcW w:w="939" w:type="dxa"/>
            <w:tcBorders>
              <w:top w:val="nil"/>
              <w:left w:val="nil"/>
              <w:bottom w:val="single" w:sz="4" w:space="0" w:color="auto"/>
              <w:right w:val="nil"/>
            </w:tcBorders>
            <w:shd w:val="clear" w:color="auto" w:fill="auto"/>
            <w:noWrap/>
            <w:vAlign w:val="bottom"/>
            <w:hideMark/>
          </w:tcPr>
          <w:p w14:paraId="5BA253AE"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1,006,408</w:t>
            </w:r>
          </w:p>
        </w:tc>
        <w:tc>
          <w:tcPr>
            <w:tcW w:w="938" w:type="dxa"/>
            <w:tcBorders>
              <w:top w:val="nil"/>
              <w:left w:val="nil"/>
              <w:bottom w:val="single" w:sz="4" w:space="0" w:color="auto"/>
              <w:right w:val="nil"/>
            </w:tcBorders>
            <w:shd w:val="clear" w:color="000000" w:fill="D9D9D9"/>
            <w:noWrap/>
            <w:vAlign w:val="bottom"/>
            <w:hideMark/>
          </w:tcPr>
          <w:p w14:paraId="7D7130EE"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43,887</w:t>
            </w:r>
          </w:p>
        </w:tc>
        <w:tc>
          <w:tcPr>
            <w:tcW w:w="938" w:type="dxa"/>
            <w:tcBorders>
              <w:top w:val="nil"/>
              <w:left w:val="nil"/>
              <w:bottom w:val="single" w:sz="4" w:space="0" w:color="auto"/>
              <w:right w:val="nil"/>
            </w:tcBorders>
            <w:shd w:val="clear" w:color="auto" w:fill="auto"/>
            <w:noWrap/>
            <w:vAlign w:val="bottom"/>
            <w:hideMark/>
          </w:tcPr>
          <w:p w14:paraId="7A6F2693"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6,175</w:t>
            </w:r>
          </w:p>
        </w:tc>
        <w:tc>
          <w:tcPr>
            <w:tcW w:w="938" w:type="dxa"/>
            <w:tcBorders>
              <w:top w:val="nil"/>
              <w:left w:val="nil"/>
              <w:bottom w:val="single" w:sz="4" w:space="0" w:color="auto"/>
              <w:right w:val="nil"/>
            </w:tcBorders>
            <w:shd w:val="clear" w:color="auto" w:fill="auto"/>
            <w:noWrap/>
            <w:vAlign w:val="bottom"/>
            <w:hideMark/>
          </w:tcPr>
          <w:p w14:paraId="1527C905"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3,088</w:t>
            </w:r>
          </w:p>
        </w:tc>
        <w:tc>
          <w:tcPr>
            <w:tcW w:w="938" w:type="dxa"/>
            <w:tcBorders>
              <w:top w:val="nil"/>
              <w:left w:val="nil"/>
              <w:bottom w:val="single" w:sz="4" w:space="0" w:color="auto"/>
              <w:right w:val="nil"/>
            </w:tcBorders>
            <w:shd w:val="clear" w:color="auto" w:fill="auto"/>
            <w:noWrap/>
            <w:vAlign w:val="bottom"/>
            <w:hideMark/>
          </w:tcPr>
          <w:p w14:paraId="325782C9"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w:t>
            </w:r>
          </w:p>
        </w:tc>
      </w:tr>
      <w:tr w:rsidR="004B20B6" w:rsidRPr="004B20B6" w14:paraId="1E6D5F4A" w14:textId="77777777" w:rsidTr="000911F8">
        <w:trPr>
          <w:trHeight w:val="454"/>
          <w:jc w:val="center"/>
        </w:trPr>
        <w:tc>
          <w:tcPr>
            <w:tcW w:w="3009" w:type="dxa"/>
            <w:tcBorders>
              <w:top w:val="nil"/>
              <w:left w:val="nil"/>
              <w:bottom w:val="nil"/>
              <w:right w:val="nil"/>
            </w:tcBorders>
            <w:shd w:val="clear" w:color="auto" w:fill="auto"/>
            <w:vAlign w:val="bottom"/>
            <w:hideMark/>
          </w:tcPr>
          <w:p w14:paraId="75C84773" w14:textId="77777777" w:rsidR="004B20B6" w:rsidRPr="004B20B6" w:rsidRDefault="004B20B6" w:rsidP="004B20B6">
            <w:pPr>
              <w:spacing w:before="0" w:after="0" w:line="240" w:lineRule="auto"/>
              <w:rPr>
                <w:rFonts w:ascii="Arial" w:hAnsi="Arial" w:cs="Arial"/>
                <w:b/>
                <w:bCs/>
                <w:sz w:val="16"/>
                <w:szCs w:val="16"/>
              </w:rPr>
            </w:pPr>
            <w:r w:rsidRPr="004B20B6">
              <w:rPr>
                <w:rFonts w:ascii="Arial" w:hAnsi="Arial" w:cs="Arial"/>
                <w:b/>
                <w:bCs/>
                <w:sz w:val="16"/>
                <w:szCs w:val="16"/>
              </w:rPr>
              <w:t>ACQUISITION OF NON-FINANCIAL ASSETS</w:t>
            </w:r>
          </w:p>
        </w:tc>
        <w:tc>
          <w:tcPr>
            <w:tcW w:w="939" w:type="dxa"/>
            <w:tcBorders>
              <w:top w:val="nil"/>
              <w:left w:val="nil"/>
              <w:bottom w:val="nil"/>
              <w:right w:val="nil"/>
            </w:tcBorders>
            <w:shd w:val="clear" w:color="auto" w:fill="auto"/>
            <w:noWrap/>
            <w:vAlign w:val="bottom"/>
            <w:hideMark/>
          </w:tcPr>
          <w:p w14:paraId="1F6A0974" w14:textId="77777777" w:rsidR="004B20B6" w:rsidRPr="004B20B6" w:rsidRDefault="004B20B6" w:rsidP="004B20B6">
            <w:pPr>
              <w:spacing w:before="0" w:after="0" w:line="240" w:lineRule="auto"/>
              <w:rPr>
                <w:rFonts w:ascii="Arial" w:hAnsi="Arial" w:cs="Arial"/>
                <w:b/>
                <w:bCs/>
                <w:sz w:val="16"/>
                <w:szCs w:val="16"/>
              </w:rPr>
            </w:pPr>
          </w:p>
        </w:tc>
        <w:tc>
          <w:tcPr>
            <w:tcW w:w="938" w:type="dxa"/>
            <w:tcBorders>
              <w:top w:val="nil"/>
              <w:left w:val="nil"/>
              <w:bottom w:val="nil"/>
              <w:right w:val="nil"/>
            </w:tcBorders>
            <w:shd w:val="clear" w:color="000000" w:fill="D9D9D9"/>
            <w:noWrap/>
            <w:vAlign w:val="bottom"/>
            <w:hideMark/>
          </w:tcPr>
          <w:p w14:paraId="41F97896"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 </w:t>
            </w:r>
          </w:p>
        </w:tc>
        <w:tc>
          <w:tcPr>
            <w:tcW w:w="938" w:type="dxa"/>
            <w:tcBorders>
              <w:top w:val="nil"/>
              <w:left w:val="nil"/>
              <w:bottom w:val="nil"/>
              <w:right w:val="nil"/>
            </w:tcBorders>
            <w:shd w:val="clear" w:color="auto" w:fill="auto"/>
            <w:noWrap/>
            <w:vAlign w:val="bottom"/>
            <w:hideMark/>
          </w:tcPr>
          <w:p w14:paraId="1A93FD58" w14:textId="77777777" w:rsidR="004B20B6" w:rsidRPr="004B20B6" w:rsidRDefault="004B20B6" w:rsidP="004B20B6">
            <w:pPr>
              <w:spacing w:before="0" w:after="0" w:line="240" w:lineRule="auto"/>
              <w:jc w:val="right"/>
              <w:rPr>
                <w:rFonts w:ascii="Arial" w:hAnsi="Arial" w:cs="Arial"/>
                <w:color w:val="000000"/>
                <w:sz w:val="16"/>
                <w:szCs w:val="16"/>
              </w:rPr>
            </w:pPr>
          </w:p>
        </w:tc>
        <w:tc>
          <w:tcPr>
            <w:tcW w:w="938" w:type="dxa"/>
            <w:tcBorders>
              <w:top w:val="nil"/>
              <w:left w:val="nil"/>
              <w:bottom w:val="nil"/>
              <w:right w:val="nil"/>
            </w:tcBorders>
            <w:shd w:val="clear" w:color="auto" w:fill="auto"/>
            <w:noWrap/>
            <w:vAlign w:val="bottom"/>
            <w:hideMark/>
          </w:tcPr>
          <w:p w14:paraId="3A6ACD32" w14:textId="77777777" w:rsidR="004B20B6" w:rsidRPr="004B20B6" w:rsidRDefault="004B20B6" w:rsidP="004B20B6">
            <w:pPr>
              <w:spacing w:before="0" w:after="0" w:line="240" w:lineRule="auto"/>
              <w:jc w:val="right"/>
              <w:rPr>
                <w:rFonts w:ascii="Times New Roman" w:hAnsi="Times New Roman"/>
                <w:sz w:val="20"/>
              </w:rPr>
            </w:pPr>
          </w:p>
        </w:tc>
        <w:tc>
          <w:tcPr>
            <w:tcW w:w="938" w:type="dxa"/>
            <w:tcBorders>
              <w:top w:val="nil"/>
              <w:left w:val="nil"/>
              <w:bottom w:val="nil"/>
              <w:right w:val="nil"/>
            </w:tcBorders>
            <w:shd w:val="clear" w:color="auto" w:fill="auto"/>
            <w:noWrap/>
            <w:vAlign w:val="bottom"/>
            <w:hideMark/>
          </w:tcPr>
          <w:p w14:paraId="2E4EC1CB" w14:textId="77777777" w:rsidR="004B20B6" w:rsidRPr="004B20B6" w:rsidRDefault="004B20B6" w:rsidP="004B20B6">
            <w:pPr>
              <w:spacing w:before="0" w:after="0" w:line="240" w:lineRule="auto"/>
              <w:jc w:val="right"/>
              <w:rPr>
                <w:rFonts w:ascii="Times New Roman" w:hAnsi="Times New Roman"/>
                <w:sz w:val="20"/>
              </w:rPr>
            </w:pPr>
          </w:p>
        </w:tc>
      </w:tr>
      <w:tr w:rsidR="004B20B6" w:rsidRPr="004B20B6" w14:paraId="4314D187" w14:textId="77777777" w:rsidTr="004B20B6">
        <w:trPr>
          <w:trHeight w:val="225"/>
          <w:jc w:val="center"/>
        </w:trPr>
        <w:tc>
          <w:tcPr>
            <w:tcW w:w="3009" w:type="dxa"/>
            <w:tcBorders>
              <w:top w:val="nil"/>
              <w:left w:val="nil"/>
              <w:bottom w:val="nil"/>
              <w:right w:val="nil"/>
            </w:tcBorders>
            <w:shd w:val="clear" w:color="auto" w:fill="auto"/>
            <w:noWrap/>
            <w:vAlign w:val="bottom"/>
            <w:hideMark/>
          </w:tcPr>
          <w:p w14:paraId="64ED6BDA" w14:textId="77777777" w:rsidR="004B20B6" w:rsidRPr="004B20B6" w:rsidRDefault="004B20B6" w:rsidP="004B3DA6">
            <w:pPr>
              <w:spacing w:before="0" w:after="0" w:line="240" w:lineRule="auto"/>
              <w:ind w:leftChars="75" w:left="143"/>
              <w:rPr>
                <w:rFonts w:ascii="Arial" w:hAnsi="Arial" w:cs="Arial"/>
                <w:sz w:val="16"/>
                <w:szCs w:val="16"/>
              </w:rPr>
            </w:pPr>
            <w:r w:rsidRPr="004B20B6">
              <w:rPr>
                <w:rFonts w:ascii="Arial" w:hAnsi="Arial" w:cs="Arial"/>
                <w:sz w:val="16"/>
                <w:szCs w:val="16"/>
              </w:rPr>
              <w:t>Funded by capital appropriations</w:t>
            </w:r>
          </w:p>
        </w:tc>
        <w:tc>
          <w:tcPr>
            <w:tcW w:w="939" w:type="dxa"/>
            <w:tcBorders>
              <w:top w:val="nil"/>
              <w:left w:val="nil"/>
              <w:bottom w:val="nil"/>
              <w:right w:val="nil"/>
            </w:tcBorders>
            <w:shd w:val="clear" w:color="auto" w:fill="auto"/>
            <w:noWrap/>
            <w:vAlign w:val="bottom"/>
            <w:hideMark/>
          </w:tcPr>
          <w:p w14:paraId="034F7F76"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438,384</w:t>
            </w:r>
          </w:p>
        </w:tc>
        <w:tc>
          <w:tcPr>
            <w:tcW w:w="938" w:type="dxa"/>
            <w:tcBorders>
              <w:top w:val="nil"/>
              <w:left w:val="nil"/>
              <w:bottom w:val="nil"/>
              <w:right w:val="nil"/>
            </w:tcBorders>
            <w:shd w:val="clear" w:color="000000" w:fill="D9D9D9"/>
            <w:noWrap/>
            <w:vAlign w:val="bottom"/>
            <w:hideMark/>
          </w:tcPr>
          <w:p w14:paraId="1BD98F9C"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415,387</w:t>
            </w:r>
          </w:p>
        </w:tc>
        <w:tc>
          <w:tcPr>
            <w:tcW w:w="938" w:type="dxa"/>
            <w:tcBorders>
              <w:top w:val="nil"/>
              <w:left w:val="nil"/>
              <w:bottom w:val="nil"/>
              <w:right w:val="nil"/>
            </w:tcBorders>
            <w:shd w:val="clear" w:color="auto" w:fill="auto"/>
            <w:noWrap/>
            <w:vAlign w:val="bottom"/>
            <w:hideMark/>
          </w:tcPr>
          <w:p w14:paraId="046720EE"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6,175</w:t>
            </w:r>
          </w:p>
        </w:tc>
        <w:tc>
          <w:tcPr>
            <w:tcW w:w="938" w:type="dxa"/>
            <w:tcBorders>
              <w:top w:val="nil"/>
              <w:left w:val="nil"/>
              <w:bottom w:val="nil"/>
              <w:right w:val="nil"/>
            </w:tcBorders>
            <w:shd w:val="clear" w:color="auto" w:fill="auto"/>
            <w:noWrap/>
            <w:vAlign w:val="bottom"/>
            <w:hideMark/>
          </w:tcPr>
          <w:p w14:paraId="0366F8FF"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3,088</w:t>
            </w:r>
          </w:p>
        </w:tc>
        <w:tc>
          <w:tcPr>
            <w:tcW w:w="938" w:type="dxa"/>
            <w:tcBorders>
              <w:top w:val="nil"/>
              <w:left w:val="nil"/>
              <w:bottom w:val="nil"/>
              <w:right w:val="nil"/>
            </w:tcBorders>
            <w:shd w:val="clear" w:color="auto" w:fill="auto"/>
            <w:noWrap/>
            <w:vAlign w:val="bottom"/>
            <w:hideMark/>
          </w:tcPr>
          <w:p w14:paraId="206AFA66" w14:textId="77777777" w:rsidR="004B20B6" w:rsidRPr="004B20B6" w:rsidRDefault="004B20B6" w:rsidP="004B20B6">
            <w:pPr>
              <w:spacing w:before="0" w:after="0" w:line="240" w:lineRule="auto"/>
              <w:jc w:val="right"/>
              <w:rPr>
                <w:rFonts w:ascii="Arial" w:hAnsi="Arial" w:cs="Arial"/>
                <w:color w:val="000000"/>
                <w:sz w:val="16"/>
                <w:szCs w:val="16"/>
              </w:rPr>
            </w:pPr>
            <w:r w:rsidRPr="004B20B6">
              <w:rPr>
                <w:rFonts w:ascii="Arial" w:hAnsi="Arial" w:cs="Arial"/>
                <w:color w:val="000000"/>
                <w:sz w:val="16"/>
                <w:szCs w:val="16"/>
              </w:rPr>
              <w:t>-</w:t>
            </w:r>
          </w:p>
        </w:tc>
      </w:tr>
      <w:tr w:rsidR="004B20B6" w:rsidRPr="004B20B6" w14:paraId="0CD41B91" w14:textId="77777777" w:rsidTr="004B20B6">
        <w:trPr>
          <w:trHeight w:val="425"/>
          <w:jc w:val="center"/>
        </w:trPr>
        <w:tc>
          <w:tcPr>
            <w:tcW w:w="3009" w:type="dxa"/>
            <w:tcBorders>
              <w:top w:val="nil"/>
              <w:left w:val="nil"/>
              <w:bottom w:val="single" w:sz="4" w:space="0" w:color="auto"/>
              <w:right w:val="nil"/>
            </w:tcBorders>
            <w:shd w:val="clear" w:color="auto" w:fill="auto"/>
            <w:vAlign w:val="bottom"/>
            <w:hideMark/>
          </w:tcPr>
          <w:p w14:paraId="10B703E9" w14:textId="77777777" w:rsidR="004B20B6" w:rsidRPr="004B20B6" w:rsidRDefault="004B20B6" w:rsidP="004B3DA6">
            <w:pPr>
              <w:spacing w:before="0" w:after="0" w:line="240" w:lineRule="auto"/>
              <w:ind w:leftChars="75" w:left="143"/>
              <w:rPr>
                <w:rFonts w:ascii="Arial" w:hAnsi="Arial" w:cs="Arial"/>
                <w:b/>
                <w:bCs/>
                <w:sz w:val="16"/>
                <w:szCs w:val="16"/>
              </w:rPr>
            </w:pPr>
            <w:r w:rsidRPr="004B20B6">
              <w:rPr>
                <w:rFonts w:ascii="Arial" w:hAnsi="Arial" w:cs="Arial"/>
                <w:b/>
                <w:bCs/>
                <w:sz w:val="16"/>
                <w:szCs w:val="16"/>
              </w:rPr>
              <w:t xml:space="preserve">Total acquisition of </w:t>
            </w:r>
            <w:r w:rsidRPr="004B20B6">
              <w:rPr>
                <w:rFonts w:ascii="Arial" w:hAnsi="Arial" w:cs="Arial"/>
                <w:b/>
                <w:bCs/>
                <w:sz w:val="16"/>
                <w:szCs w:val="16"/>
              </w:rPr>
              <w:br/>
              <w:t>non-financial assets</w:t>
            </w:r>
          </w:p>
        </w:tc>
        <w:tc>
          <w:tcPr>
            <w:tcW w:w="939" w:type="dxa"/>
            <w:tcBorders>
              <w:top w:val="nil"/>
              <w:left w:val="nil"/>
              <w:bottom w:val="single" w:sz="4" w:space="0" w:color="auto"/>
              <w:right w:val="nil"/>
            </w:tcBorders>
            <w:shd w:val="clear" w:color="auto" w:fill="auto"/>
            <w:noWrap/>
            <w:vAlign w:val="bottom"/>
            <w:hideMark/>
          </w:tcPr>
          <w:p w14:paraId="581DA948"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438,384</w:t>
            </w:r>
          </w:p>
        </w:tc>
        <w:tc>
          <w:tcPr>
            <w:tcW w:w="938" w:type="dxa"/>
            <w:tcBorders>
              <w:top w:val="nil"/>
              <w:left w:val="nil"/>
              <w:bottom w:val="single" w:sz="4" w:space="0" w:color="auto"/>
              <w:right w:val="nil"/>
            </w:tcBorders>
            <w:shd w:val="clear" w:color="000000" w:fill="D9D9D9"/>
            <w:noWrap/>
            <w:vAlign w:val="bottom"/>
            <w:hideMark/>
          </w:tcPr>
          <w:p w14:paraId="04F40C5F"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415,387</w:t>
            </w:r>
          </w:p>
        </w:tc>
        <w:tc>
          <w:tcPr>
            <w:tcW w:w="938" w:type="dxa"/>
            <w:tcBorders>
              <w:top w:val="nil"/>
              <w:left w:val="nil"/>
              <w:bottom w:val="single" w:sz="4" w:space="0" w:color="auto"/>
              <w:right w:val="nil"/>
            </w:tcBorders>
            <w:shd w:val="clear" w:color="auto" w:fill="auto"/>
            <w:noWrap/>
            <w:vAlign w:val="bottom"/>
            <w:hideMark/>
          </w:tcPr>
          <w:p w14:paraId="218B4A7E"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6,175</w:t>
            </w:r>
          </w:p>
        </w:tc>
        <w:tc>
          <w:tcPr>
            <w:tcW w:w="938" w:type="dxa"/>
            <w:tcBorders>
              <w:top w:val="nil"/>
              <w:left w:val="nil"/>
              <w:bottom w:val="single" w:sz="4" w:space="0" w:color="auto"/>
              <w:right w:val="nil"/>
            </w:tcBorders>
            <w:shd w:val="clear" w:color="auto" w:fill="auto"/>
            <w:noWrap/>
            <w:vAlign w:val="bottom"/>
            <w:hideMark/>
          </w:tcPr>
          <w:p w14:paraId="77B57D2A"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3,088</w:t>
            </w:r>
          </w:p>
        </w:tc>
        <w:tc>
          <w:tcPr>
            <w:tcW w:w="938" w:type="dxa"/>
            <w:tcBorders>
              <w:top w:val="nil"/>
              <w:left w:val="nil"/>
              <w:bottom w:val="single" w:sz="4" w:space="0" w:color="auto"/>
              <w:right w:val="nil"/>
            </w:tcBorders>
            <w:shd w:val="clear" w:color="auto" w:fill="auto"/>
            <w:noWrap/>
            <w:vAlign w:val="bottom"/>
            <w:hideMark/>
          </w:tcPr>
          <w:p w14:paraId="088FB9B5" w14:textId="77777777" w:rsidR="004B20B6" w:rsidRPr="004B20B6" w:rsidRDefault="004B20B6" w:rsidP="004B20B6">
            <w:pPr>
              <w:spacing w:before="0" w:after="0" w:line="240" w:lineRule="auto"/>
              <w:jc w:val="right"/>
              <w:rPr>
                <w:rFonts w:ascii="Arial" w:hAnsi="Arial" w:cs="Arial"/>
                <w:b/>
                <w:bCs/>
                <w:color w:val="000000"/>
                <w:sz w:val="16"/>
                <w:szCs w:val="16"/>
              </w:rPr>
            </w:pPr>
            <w:r w:rsidRPr="004B20B6">
              <w:rPr>
                <w:rFonts w:ascii="Arial" w:hAnsi="Arial" w:cs="Arial"/>
                <w:b/>
                <w:bCs/>
                <w:color w:val="000000"/>
                <w:sz w:val="16"/>
                <w:szCs w:val="16"/>
              </w:rPr>
              <w:t>-</w:t>
            </w:r>
          </w:p>
        </w:tc>
      </w:tr>
    </w:tbl>
    <w:p w14:paraId="3F838363" w14:textId="77777777" w:rsidR="00736DD8" w:rsidRPr="000C3374" w:rsidRDefault="00736DD8" w:rsidP="00736DD8">
      <w:pPr>
        <w:pStyle w:val="TableGraphic"/>
      </w:pPr>
    </w:p>
    <w:p w14:paraId="335434D2" w14:textId="77777777" w:rsidR="00736DD8" w:rsidRDefault="00736DD8" w:rsidP="004B3DA6">
      <w:pPr>
        <w:pStyle w:val="TableHeading"/>
        <w:spacing w:before="240"/>
        <w:rPr>
          <w:snapToGrid w:val="0"/>
        </w:rPr>
      </w:pPr>
      <w:r>
        <w:rPr>
          <w:snapToGrid w:val="0"/>
        </w:rPr>
        <w:t xml:space="preserve">Table 3.12: </w:t>
      </w:r>
      <w:r w:rsidRPr="00014438">
        <w:rPr>
          <w:snapToGrid w:val="0"/>
        </w:rPr>
        <w:t>Statement of administered asset movements (</w:t>
      </w:r>
      <w:r>
        <w:rPr>
          <w:snapToGrid w:val="0"/>
        </w:rPr>
        <w:t>2023–24 Budget year</w:t>
      </w:r>
      <w:r w:rsidRPr="00014438">
        <w:rPr>
          <w:snapToGrid w:val="0"/>
        </w:rPr>
        <w:t>)</w:t>
      </w:r>
    </w:p>
    <w:tbl>
      <w:tblPr>
        <w:tblW w:w="7680" w:type="dxa"/>
        <w:jc w:val="center"/>
        <w:tblLayout w:type="fixed"/>
        <w:tblLook w:val="04A0" w:firstRow="1" w:lastRow="0" w:firstColumn="1" w:lastColumn="0" w:noHBand="0" w:noVBand="1"/>
      </w:tblPr>
      <w:tblGrid>
        <w:gridCol w:w="4960"/>
        <w:gridCol w:w="1360"/>
        <w:gridCol w:w="1360"/>
      </w:tblGrid>
      <w:tr w:rsidR="00073C53" w:rsidRPr="00073C53" w14:paraId="59F7C883" w14:textId="77777777" w:rsidTr="00073C53">
        <w:trPr>
          <w:trHeight w:val="765"/>
          <w:jc w:val="center"/>
        </w:trPr>
        <w:tc>
          <w:tcPr>
            <w:tcW w:w="4960" w:type="dxa"/>
            <w:tcBorders>
              <w:top w:val="single" w:sz="4" w:space="0" w:color="auto"/>
              <w:left w:val="nil"/>
              <w:bottom w:val="nil"/>
              <w:right w:val="nil"/>
            </w:tcBorders>
            <w:shd w:val="clear" w:color="auto" w:fill="auto"/>
            <w:hideMark/>
          </w:tcPr>
          <w:p w14:paraId="4AE4CB58" w14:textId="77777777" w:rsidR="00073C53" w:rsidRPr="00073C53" w:rsidRDefault="00073C53" w:rsidP="00073C53">
            <w:pPr>
              <w:spacing w:before="24" w:after="0" w:line="240" w:lineRule="auto"/>
              <w:jc w:val="right"/>
              <w:rPr>
                <w:rFonts w:ascii="Arial" w:hAnsi="Arial" w:cs="Arial"/>
                <w:b/>
                <w:bCs/>
                <w:sz w:val="16"/>
                <w:szCs w:val="16"/>
              </w:rPr>
            </w:pPr>
            <w:r w:rsidRPr="00073C53">
              <w:rPr>
                <w:rFonts w:ascii="Arial" w:hAnsi="Arial"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14:paraId="4659CA4F" w14:textId="77777777" w:rsidR="00073C53" w:rsidRPr="00073C53" w:rsidRDefault="00073C53" w:rsidP="00073C53">
            <w:pPr>
              <w:spacing w:before="24" w:after="0" w:line="240" w:lineRule="auto"/>
              <w:jc w:val="right"/>
              <w:rPr>
                <w:rFonts w:ascii="Arial" w:hAnsi="Arial" w:cs="Arial"/>
                <w:b/>
                <w:bCs/>
                <w:sz w:val="16"/>
                <w:szCs w:val="16"/>
              </w:rPr>
            </w:pPr>
            <w:r w:rsidRPr="00073C53">
              <w:rPr>
                <w:rFonts w:ascii="Arial" w:hAnsi="Arial" w:cs="Arial"/>
                <w:b/>
                <w:bCs/>
                <w:sz w:val="16"/>
                <w:szCs w:val="16"/>
              </w:rPr>
              <w:t xml:space="preserve">Infrastructure, </w:t>
            </w:r>
            <w:proofErr w:type="gramStart"/>
            <w:r w:rsidRPr="00073C53">
              <w:rPr>
                <w:rFonts w:ascii="Arial" w:hAnsi="Arial" w:cs="Arial"/>
                <w:b/>
                <w:bCs/>
                <w:sz w:val="16"/>
                <w:szCs w:val="16"/>
              </w:rPr>
              <w:t>plant</w:t>
            </w:r>
            <w:proofErr w:type="gramEnd"/>
            <w:r w:rsidRPr="00073C53">
              <w:rPr>
                <w:rFonts w:ascii="Arial" w:hAnsi="Arial" w:cs="Arial"/>
                <w:b/>
                <w:bCs/>
                <w:sz w:val="16"/>
                <w:szCs w:val="16"/>
              </w:rPr>
              <w:t xml:space="preserve"> and equipment</w:t>
            </w:r>
            <w:r w:rsidRPr="00073C53">
              <w:rPr>
                <w:rFonts w:ascii="Arial" w:hAnsi="Arial" w:cs="Arial"/>
                <w:b/>
                <w:bCs/>
                <w:sz w:val="16"/>
                <w:szCs w:val="16"/>
              </w:rPr>
              <w:br/>
            </w:r>
            <w:r w:rsidRPr="00073C53">
              <w:rPr>
                <w:rFonts w:ascii="Arial" w:hAnsi="Arial" w:cs="Arial"/>
                <w:sz w:val="16"/>
                <w:szCs w:val="16"/>
              </w:rPr>
              <w:t>$'000</w:t>
            </w:r>
          </w:p>
        </w:tc>
        <w:tc>
          <w:tcPr>
            <w:tcW w:w="1360" w:type="dxa"/>
            <w:tcBorders>
              <w:top w:val="single" w:sz="4" w:space="0" w:color="auto"/>
              <w:left w:val="nil"/>
              <w:bottom w:val="single" w:sz="4" w:space="0" w:color="auto"/>
              <w:right w:val="nil"/>
            </w:tcBorders>
            <w:shd w:val="clear" w:color="auto" w:fill="auto"/>
            <w:hideMark/>
          </w:tcPr>
          <w:p w14:paraId="7DB31349" w14:textId="77777777" w:rsidR="00073C53" w:rsidRPr="00073C53" w:rsidRDefault="00073C53" w:rsidP="00073C53">
            <w:pPr>
              <w:spacing w:before="24" w:after="0" w:line="240" w:lineRule="auto"/>
              <w:jc w:val="right"/>
              <w:rPr>
                <w:rFonts w:ascii="Arial" w:hAnsi="Arial" w:cs="Arial"/>
                <w:b/>
                <w:bCs/>
                <w:sz w:val="16"/>
                <w:szCs w:val="16"/>
              </w:rPr>
            </w:pPr>
            <w:r w:rsidRPr="00073C53">
              <w:rPr>
                <w:rFonts w:ascii="Arial" w:hAnsi="Arial" w:cs="Arial"/>
                <w:b/>
                <w:bCs/>
                <w:sz w:val="16"/>
                <w:szCs w:val="16"/>
              </w:rPr>
              <w:t>Total</w:t>
            </w:r>
            <w:r w:rsidRPr="00073C53">
              <w:rPr>
                <w:rFonts w:ascii="Arial" w:hAnsi="Arial" w:cs="Arial"/>
                <w:b/>
                <w:bCs/>
                <w:sz w:val="16"/>
                <w:szCs w:val="16"/>
              </w:rPr>
              <w:br/>
            </w:r>
            <w:r w:rsidRPr="00073C53">
              <w:rPr>
                <w:rFonts w:ascii="Arial" w:hAnsi="Arial" w:cs="Arial"/>
                <w:b/>
                <w:bCs/>
                <w:sz w:val="16"/>
                <w:szCs w:val="16"/>
              </w:rPr>
              <w:br/>
            </w:r>
            <w:r w:rsidRPr="00073C53">
              <w:rPr>
                <w:rFonts w:ascii="Arial" w:hAnsi="Arial" w:cs="Arial"/>
                <w:b/>
                <w:bCs/>
                <w:sz w:val="16"/>
                <w:szCs w:val="16"/>
              </w:rPr>
              <w:br/>
            </w:r>
            <w:r w:rsidRPr="00073C53">
              <w:rPr>
                <w:rFonts w:ascii="Arial" w:hAnsi="Arial" w:cs="Arial"/>
                <w:sz w:val="16"/>
                <w:szCs w:val="16"/>
              </w:rPr>
              <w:t>$'000</w:t>
            </w:r>
          </w:p>
        </w:tc>
      </w:tr>
      <w:tr w:rsidR="00073C53" w:rsidRPr="00073C53" w14:paraId="358C13D4" w14:textId="77777777" w:rsidTr="00073C53">
        <w:trPr>
          <w:trHeight w:val="283"/>
          <w:jc w:val="center"/>
        </w:trPr>
        <w:tc>
          <w:tcPr>
            <w:tcW w:w="4960" w:type="dxa"/>
            <w:tcBorders>
              <w:top w:val="nil"/>
              <w:left w:val="nil"/>
              <w:bottom w:val="nil"/>
              <w:right w:val="nil"/>
            </w:tcBorders>
            <w:shd w:val="clear" w:color="auto" w:fill="auto"/>
            <w:noWrap/>
            <w:vAlign w:val="bottom"/>
            <w:hideMark/>
          </w:tcPr>
          <w:p w14:paraId="11D42023" w14:textId="77777777" w:rsidR="00073C53" w:rsidRPr="00073C53" w:rsidRDefault="00073C53" w:rsidP="00073C53">
            <w:pPr>
              <w:spacing w:before="0" w:after="0" w:line="240" w:lineRule="auto"/>
              <w:rPr>
                <w:rFonts w:ascii="Arial" w:hAnsi="Arial" w:cs="Arial"/>
                <w:b/>
                <w:bCs/>
                <w:sz w:val="16"/>
                <w:szCs w:val="16"/>
              </w:rPr>
            </w:pPr>
            <w:r w:rsidRPr="00073C53">
              <w:rPr>
                <w:rFonts w:ascii="Arial" w:hAnsi="Arial" w:cs="Arial"/>
                <w:b/>
                <w:bCs/>
                <w:sz w:val="16"/>
                <w:szCs w:val="16"/>
              </w:rPr>
              <w:t xml:space="preserve">As </w:t>
            </w:r>
            <w:proofErr w:type="gramStart"/>
            <w:r w:rsidRPr="00073C53">
              <w:rPr>
                <w:rFonts w:ascii="Arial" w:hAnsi="Arial" w:cs="Arial"/>
                <w:b/>
                <w:bCs/>
                <w:sz w:val="16"/>
                <w:szCs w:val="16"/>
              </w:rPr>
              <w:t>at</w:t>
            </w:r>
            <w:proofErr w:type="gramEnd"/>
            <w:r w:rsidRPr="00073C53">
              <w:rPr>
                <w:rFonts w:ascii="Arial" w:hAnsi="Arial" w:cs="Arial"/>
                <w:b/>
                <w:bCs/>
                <w:sz w:val="16"/>
                <w:szCs w:val="16"/>
              </w:rPr>
              <w:t xml:space="preserve"> 1 July 2023</w:t>
            </w:r>
          </w:p>
        </w:tc>
        <w:tc>
          <w:tcPr>
            <w:tcW w:w="1360" w:type="dxa"/>
            <w:tcBorders>
              <w:top w:val="nil"/>
              <w:left w:val="nil"/>
              <w:bottom w:val="nil"/>
              <w:right w:val="nil"/>
            </w:tcBorders>
            <w:shd w:val="clear" w:color="auto" w:fill="auto"/>
            <w:noWrap/>
            <w:vAlign w:val="bottom"/>
            <w:hideMark/>
          </w:tcPr>
          <w:p w14:paraId="11E18A54" w14:textId="77777777" w:rsidR="00073C53" w:rsidRPr="00073C53" w:rsidRDefault="00073C53" w:rsidP="00073C53">
            <w:pPr>
              <w:spacing w:before="0" w:after="0" w:line="240" w:lineRule="auto"/>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1484610E" w14:textId="77777777" w:rsidR="00073C53" w:rsidRPr="00073C53" w:rsidRDefault="00073C53" w:rsidP="00073C53">
            <w:pPr>
              <w:spacing w:before="0" w:after="0" w:line="240" w:lineRule="auto"/>
              <w:jc w:val="right"/>
              <w:rPr>
                <w:rFonts w:ascii="Times New Roman" w:hAnsi="Times New Roman"/>
                <w:sz w:val="20"/>
              </w:rPr>
            </w:pPr>
          </w:p>
        </w:tc>
      </w:tr>
      <w:tr w:rsidR="00073C53" w:rsidRPr="00073C53" w14:paraId="35944ED0"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59E17944"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 xml:space="preserve">Gross book value </w:t>
            </w:r>
          </w:p>
        </w:tc>
        <w:tc>
          <w:tcPr>
            <w:tcW w:w="1360" w:type="dxa"/>
            <w:tcBorders>
              <w:top w:val="nil"/>
              <w:left w:val="nil"/>
              <w:bottom w:val="nil"/>
              <w:right w:val="nil"/>
            </w:tcBorders>
            <w:shd w:val="clear" w:color="auto" w:fill="auto"/>
            <w:noWrap/>
            <w:vAlign w:val="bottom"/>
            <w:hideMark/>
          </w:tcPr>
          <w:p w14:paraId="39F609F5" w14:textId="77777777" w:rsidR="00073C53" w:rsidRPr="00073C53" w:rsidRDefault="00073C53" w:rsidP="00073C53">
            <w:pPr>
              <w:spacing w:before="0" w:after="0" w:line="240" w:lineRule="auto"/>
              <w:jc w:val="right"/>
              <w:rPr>
                <w:rFonts w:ascii="Arial" w:hAnsi="Arial" w:cs="Arial"/>
                <w:sz w:val="16"/>
                <w:szCs w:val="16"/>
              </w:rPr>
            </w:pPr>
            <w:r w:rsidRPr="00073C53">
              <w:rPr>
                <w:rFonts w:ascii="Arial" w:hAnsi="Arial" w:cs="Arial"/>
                <w:sz w:val="16"/>
                <w:szCs w:val="16"/>
              </w:rPr>
              <w:t>8,555</w:t>
            </w:r>
          </w:p>
        </w:tc>
        <w:tc>
          <w:tcPr>
            <w:tcW w:w="1360" w:type="dxa"/>
            <w:tcBorders>
              <w:top w:val="nil"/>
              <w:left w:val="nil"/>
              <w:bottom w:val="nil"/>
              <w:right w:val="nil"/>
            </w:tcBorders>
            <w:shd w:val="clear" w:color="auto" w:fill="auto"/>
            <w:noWrap/>
            <w:vAlign w:val="bottom"/>
            <w:hideMark/>
          </w:tcPr>
          <w:p w14:paraId="2EE8D731"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8,555</w:t>
            </w:r>
          </w:p>
        </w:tc>
      </w:tr>
      <w:tr w:rsidR="00073C53" w:rsidRPr="00073C53" w14:paraId="0FF5424B" w14:textId="77777777" w:rsidTr="00073C53">
        <w:trPr>
          <w:trHeight w:val="225"/>
          <w:jc w:val="center"/>
        </w:trPr>
        <w:tc>
          <w:tcPr>
            <w:tcW w:w="4960" w:type="dxa"/>
            <w:tcBorders>
              <w:top w:val="nil"/>
              <w:left w:val="nil"/>
              <w:bottom w:val="nil"/>
              <w:right w:val="nil"/>
            </w:tcBorders>
            <w:shd w:val="clear" w:color="auto" w:fill="auto"/>
            <w:vAlign w:val="bottom"/>
            <w:hideMark/>
          </w:tcPr>
          <w:p w14:paraId="15A05D81"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442FCC78" w14:textId="77777777" w:rsidR="00073C53" w:rsidRPr="00073C53" w:rsidRDefault="00073C53" w:rsidP="00073C53">
            <w:pPr>
              <w:spacing w:before="0" w:after="0" w:line="240" w:lineRule="auto"/>
              <w:jc w:val="right"/>
              <w:rPr>
                <w:rFonts w:ascii="Arial" w:hAnsi="Arial" w:cs="Arial"/>
                <w:color w:val="000000"/>
                <w:sz w:val="16"/>
                <w:szCs w:val="16"/>
              </w:rPr>
            </w:pPr>
            <w:r w:rsidRPr="00073C53">
              <w:rPr>
                <w:rFonts w:ascii="Arial" w:hAnsi="Arial" w:cs="Arial"/>
                <w:color w:val="000000"/>
                <w:sz w:val="16"/>
                <w:szCs w:val="16"/>
              </w:rPr>
              <w:t>(5,394)</w:t>
            </w:r>
          </w:p>
        </w:tc>
        <w:tc>
          <w:tcPr>
            <w:tcW w:w="1360" w:type="dxa"/>
            <w:tcBorders>
              <w:top w:val="nil"/>
              <w:left w:val="nil"/>
              <w:bottom w:val="nil"/>
              <w:right w:val="nil"/>
            </w:tcBorders>
            <w:shd w:val="clear" w:color="auto" w:fill="auto"/>
            <w:noWrap/>
            <w:vAlign w:val="bottom"/>
            <w:hideMark/>
          </w:tcPr>
          <w:p w14:paraId="78C3F0AE"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(5,394)</w:t>
            </w:r>
          </w:p>
        </w:tc>
      </w:tr>
      <w:tr w:rsidR="00073C53" w:rsidRPr="00073C53" w14:paraId="04835FB5"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4EFCED1E" w14:textId="77777777" w:rsidR="00073C53" w:rsidRPr="00073C53" w:rsidRDefault="00073C53" w:rsidP="004B3DA6">
            <w:pPr>
              <w:spacing w:before="0" w:after="0" w:line="240" w:lineRule="auto"/>
              <w:ind w:leftChars="75" w:left="143"/>
              <w:rPr>
                <w:rFonts w:ascii="Arial" w:hAnsi="Arial" w:cs="Arial"/>
                <w:b/>
                <w:bCs/>
                <w:sz w:val="16"/>
                <w:szCs w:val="16"/>
              </w:rPr>
            </w:pPr>
            <w:r w:rsidRPr="00073C53">
              <w:rPr>
                <w:rFonts w:ascii="Arial" w:hAnsi="Arial" w:cs="Arial"/>
                <w:b/>
                <w:bCs/>
                <w:sz w:val="16"/>
                <w:szCs w:val="16"/>
              </w:rPr>
              <w:t>Opening net book balance</w:t>
            </w:r>
          </w:p>
        </w:tc>
        <w:tc>
          <w:tcPr>
            <w:tcW w:w="1360" w:type="dxa"/>
            <w:tcBorders>
              <w:top w:val="nil"/>
              <w:left w:val="nil"/>
              <w:bottom w:val="single" w:sz="4" w:space="0" w:color="auto"/>
              <w:right w:val="nil"/>
            </w:tcBorders>
            <w:shd w:val="clear" w:color="auto" w:fill="auto"/>
            <w:noWrap/>
            <w:vAlign w:val="bottom"/>
            <w:hideMark/>
          </w:tcPr>
          <w:p w14:paraId="582188BD"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3,161</w:t>
            </w:r>
          </w:p>
        </w:tc>
        <w:tc>
          <w:tcPr>
            <w:tcW w:w="1360" w:type="dxa"/>
            <w:tcBorders>
              <w:top w:val="nil"/>
              <w:left w:val="nil"/>
              <w:bottom w:val="single" w:sz="4" w:space="0" w:color="auto"/>
              <w:right w:val="nil"/>
            </w:tcBorders>
            <w:shd w:val="clear" w:color="auto" w:fill="auto"/>
            <w:noWrap/>
            <w:vAlign w:val="bottom"/>
            <w:hideMark/>
          </w:tcPr>
          <w:p w14:paraId="1987A9A2"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3,161</w:t>
            </w:r>
          </w:p>
        </w:tc>
      </w:tr>
      <w:tr w:rsidR="00073C53" w:rsidRPr="00073C53" w14:paraId="4094231F" w14:textId="77777777" w:rsidTr="00073C53">
        <w:trPr>
          <w:trHeight w:val="283"/>
          <w:jc w:val="center"/>
        </w:trPr>
        <w:tc>
          <w:tcPr>
            <w:tcW w:w="4960" w:type="dxa"/>
            <w:tcBorders>
              <w:top w:val="nil"/>
              <w:left w:val="nil"/>
              <w:bottom w:val="nil"/>
              <w:right w:val="nil"/>
            </w:tcBorders>
            <w:shd w:val="clear" w:color="auto" w:fill="auto"/>
            <w:noWrap/>
            <w:vAlign w:val="bottom"/>
            <w:hideMark/>
          </w:tcPr>
          <w:p w14:paraId="3EFB4A8B" w14:textId="77777777" w:rsidR="00073C53" w:rsidRPr="00073C53" w:rsidRDefault="00073C53" w:rsidP="00073C53">
            <w:pPr>
              <w:spacing w:before="0" w:after="0" w:line="240" w:lineRule="auto"/>
              <w:rPr>
                <w:rFonts w:ascii="Arial" w:hAnsi="Arial" w:cs="Arial"/>
                <w:b/>
                <w:bCs/>
                <w:sz w:val="16"/>
                <w:szCs w:val="16"/>
              </w:rPr>
            </w:pPr>
            <w:r w:rsidRPr="00073C53">
              <w:rPr>
                <w:rFonts w:ascii="Arial" w:hAnsi="Arial" w:cs="Arial"/>
                <w:b/>
                <w:bCs/>
                <w:sz w:val="16"/>
                <w:szCs w:val="16"/>
              </w:rPr>
              <w:t>CAPITAL ASSET ADDITIONS</w:t>
            </w:r>
          </w:p>
        </w:tc>
        <w:tc>
          <w:tcPr>
            <w:tcW w:w="1360" w:type="dxa"/>
            <w:tcBorders>
              <w:top w:val="nil"/>
              <w:left w:val="nil"/>
              <w:bottom w:val="nil"/>
              <w:right w:val="nil"/>
            </w:tcBorders>
            <w:shd w:val="clear" w:color="auto" w:fill="auto"/>
            <w:noWrap/>
            <w:vAlign w:val="bottom"/>
            <w:hideMark/>
          </w:tcPr>
          <w:p w14:paraId="49677B48" w14:textId="77777777" w:rsidR="00073C53" w:rsidRPr="00073C53" w:rsidRDefault="00073C53" w:rsidP="00073C53">
            <w:pPr>
              <w:spacing w:before="0" w:after="0" w:line="240" w:lineRule="auto"/>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1F14942" w14:textId="77777777" w:rsidR="00073C53" w:rsidRPr="00073C53" w:rsidRDefault="00073C53" w:rsidP="00073C53">
            <w:pPr>
              <w:spacing w:before="0" w:after="0" w:line="240" w:lineRule="auto"/>
              <w:jc w:val="right"/>
              <w:rPr>
                <w:rFonts w:ascii="Times New Roman" w:hAnsi="Times New Roman"/>
                <w:sz w:val="20"/>
              </w:rPr>
            </w:pPr>
          </w:p>
        </w:tc>
      </w:tr>
      <w:tr w:rsidR="00073C53" w:rsidRPr="00073C53" w14:paraId="671D153D" w14:textId="77777777" w:rsidTr="00073C53">
        <w:trPr>
          <w:trHeight w:val="225"/>
          <w:jc w:val="center"/>
        </w:trPr>
        <w:tc>
          <w:tcPr>
            <w:tcW w:w="4960" w:type="dxa"/>
            <w:tcBorders>
              <w:top w:val="nil"/>
              <w:left w:val="nil"/>
              <w:bottom w:val="nil"/>
              <w:right w:val="nil"/>
            </w:tcBorders>
            <w:shd w:val="clear" w:color="auto" w:fill="auto"/>
            <w:vAlign w:val="bottom"/>
            <w:hideMark/>
          </w:tcPr>
          <w:p w14:paraId="0E14344E" w14:textId="77777777" w:rsidR="00073C53" w:rsidRPr="00073C53" w:rsidRDefault="00073C53" w:rsidP="004B3DA6">
            <w:pPr>
              <w:spacing w:before="0" w:after="0" w:line="240" w:lineRule="auto"/>
              <w:ind w:leftChars="75" w:left="143"/>
              <w:rPr>
                <w:rFonts w:ascii="Arial" w:hAnsi="Arial" w:cs="Arial"/>
                <w:b/>
                <w:bCs/>
                <w:sz w:val="16"/>
                <w:szCs w:val="16"/>
              </w:rPr>
            </w:pPr>
            <w:r w:rsidRPr="00073C53">
              <w:rPr>
                <w:rFonts w:ascii="Arial" w:hAnsi="Arial" w:cs="Arial"/>
                <w:b/>
                <w:bCs/>
                <w:sz w:val="16"/>
                <w:szCs w:val="16"/>
              </w:rPr>
              <w:t>Estimated expenditure on new or replacement assets</w:t>
            </w:r>
          </w:p>
        </w:tc>
        <w:tc>
          <w:tcPr>
            <w:tcW w:w="1360" w:type="dxa"/>
            <w:tcBorders>
              <w:top w:val="nil"/>
              <w:left w:val="nil"/>
              <w:bottom w:val="nil"/>
              <w:right w:val="nil"/>
            </w:tcBorders>
            <w:shd w:val="clear" w:color="auto" w:fill="auto"/>
            <w:noWrap/>
            <w:vAlign w:val="bottom"/>
            <w:hideMark/>
          </w:tcPr>
          <w:p w14:paraId="38275839" w14:textId="77777777" w:rsidR="00073C53" w:rsidRPr="00073C53" w:rsidRDefault="00073C53" w:rsidP="00073C53">
            <w:pPr>
              <w:spacing w:before="0" w:after="0" w:line="240" w:lineRule="auto"/>
              <w:ind w:firstLineChars="100" w:firstLine="161"/>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8704BE9" w14:textId="77777777" w:rsidR="00073C53" w:rsidRPr="00073C53" w:rsidRDefault="00073C53" w:rsidP="00073C53">
            <w:pPr>
              <w:spacing w:before="0" w:after="0" w:line="240" w:lineRule="auto"/>
              <w:jc w:val="right"/>
              <w:rPr>
                <w:rFonts w:ascii="Times New Roman" w:hAnsi="Times New Roman"/>
                <w:sz w:val="20"/>
              </w:rPr>
            </w:pPr>
          </w:p>
        </w:tc>
      </w:tr>
      <w:tr w:rsidR="00073C53" w:rsidRPr="00073C53" w14:paraId="6BD26D62"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61C4BF11"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By purchase - appropriation equity</w:t>
            </w:r>
          </w:p>
        </w:tc>
        <w:tc>
          <w:tcPr>
            <w:tcW w:w="1360" w:type="dxa"/>
            <w:tcBorders>
              <w:top w:val="nil"/>
              <w:left w:val="nil"/>
              <w:bottom w:val="nil"/>
              <w:right w:val="nil"/>
            </w:tcBorders>
            <w:shd w:val="clear" w:color="auto" w:fill="auto"/>
            <w:noWrap/>
            <w:vAlign w:val="bottom"/>
            <w:hideMark/>
          </w:tcPr>
          <w:p w14:paraId="53E2DD52" w14:textId="77777777" w:rsidR="00073C53" w:rsidRPr="00073C53" w:rsidRDefault="00073C53" w:rsidP="00073C53">
            <w:pPr>
              <w:spacing w:before="0" w:after="0" w:line="240" w:lineRule="auto"/>
              <w:jc w:val="right"/>
              <w:rPr>
                <w:rFonts w:ascii="Arial" w:hAnsi="Arial" w:cs="Arial"/>
                <w:sz w:val="16"/>
                <w:szCs w:val="16"/>
              </w:rPr>
            </w:pPr>
            <w:r w:rsidRPr="00073C53">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1516D14"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w:t>
            </w:r>
          </w:p>
        </w:tc>
      </w:tr>
      <w:tr w:rsidR="00073C53" w:rsidRPr="00073C53" w14:paraId="789DD462"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02BB2FA2" w14:textId="77777777" w:rsidR="00073C53" w:rsidRPr="00073C53" w:rsidRDefault="00073C53" w:rsidP="004B3DA6">
            <w:pPr>
              <w:spacing w:before="0" w:after="0" w:line="240" w:lineRule="auto"/>
              <w:ind w:leftChars="75" w:left="143"/>
              <w:rPr>
                <w:rFonts w:ascii="Arial" w:hAnsi="Arial" w:cs="Arial"/>
                <w:b/>
                <w:bCs/>
                <w:sz w:val="16"/>
                <w:szCs w:val="16"/>
              </w:rPr>
            </w:pPr>
            <w:r w:rsidRPr="00073C53">
              <w:rPr>
                <w:rFonts w:ascii="Arial" w:hAnsi="Arial" w:cs="Arial"/>
                <w:b/>
                <w:bCs/>
                <w:sz w:val="16"/>
                <w:szCs w:val="16"/>
              </w:rPr>
              <w:t>Total additions</w:t>
            </w:r>
          </w:p>
        </w:tc>
        <w:tc>
          <w:tcPr>
            <w:tcW w:w="1360" w:type="dxa"/>
            <w:tcBorders>
              <w:top w:val="nil"/>
              <w:left w:val="nil"/>
              <w:bottom w:val="single" w:sz="4" w:space="0" w:color="auto"/>
              <w:right w:val="nil"/>
            </w:tcBorders>
            <w:shd w:val="clear" w:color="auto" w:fill="auto"/>
            <w:noWrap/>
            <w:vAlign w:val="bottom"/>
            <w:hideMark/>
          </w:tcPr>
          <w:p w14:paraId="621F0409"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w:t>
            </w:r>
          </w:p>
        </w:tc>
        <w:tc>
          <w:tcPr>
            <w:tcW w:w="1360" w:type="dxa"/>
            <w:tcBorders>
              <w:top w:val="nil"/>
              <w:left w:val="nil"/>
              <w:bottom w:val="single" w:sz="4" w:space="0" w:color="auto"/>
              <w:right w:val="nil"/>
            </w:tcBorders>
            <w:shd w:val="clear" w:color="auto" w:fill="auto"/>
            <w:noWrap/>
            <w:vAlign w:val="bottom"/>
            <w:hideMark/>
          </w:tcPr>
          <w:p w14:paraId="5AEAB13A"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w:t>
            </w:r>
          </w:p>
        </w:tc>
      </w:tr>
      <w:tr w:rsidR="00073C53" w:rsidRPr="00073C53" w14:paraId="1B6F329F" w14:textId="77777777" w:rsidTr="00073C53">
        <w:trPr>
          <w:trHeight w:val="283"/>
          <w:jc w:val="center"/>
        </w:trPr>
        <w:tc>
          <w:tcPr>
            <w:tcW w:w="4960" w:type="dxa"/>
            <w:tcBorders>
              <w:top w:val="nil"/>
              <w:left w:val="nil"/>
              <w:bottom w:val="nil"/>
              <w:right w:val="nil"/>
            </w:tcBorders>
            <w:shd w:val="clear" w:color="auto" w:fill="auto"/>
            <w:noWrap/>
            <w:vAlign w:val="bottom"/>
            <w:hideMark/>
          </w:tcPr>
          <w:p w14:paraId="59E9BD65" w14:textId="77777777" w:rsidR="00073C53" w:rsidRPr="00073C53" w:rsidRDefault="00073C53" w:rsidP="00073C53">
            <w:pPr>
              <w:spacing w:before="0" w:after="0" w:line="240" w:lineRule="auto"/>
              <w:rPr>
                <w:rFonts w:ascii="Arial" w:hAnsi="Arial" w:cs="Arial"/>
                <w:b/>
                <w:bCs/>
                <w:sz w:val="16"/>
                <w:szCs w:val="16"/>
              </w:rPr>
            </w:pPr>
            <w:r w:rsidRPr="00073C53">
              <w:rPr>
                <w:rFonts w:ascii="Arial" w:hAnsi="Arial" w:cs="Arial"/>
                <w:b/>
                <w:bCs/>
                <w:sz w:val="16"/>
                <w:szCs w:val="16"/>
              </w:rPr>
              <w:t>Other movements</w:t>
            </w:r>
          </w:p>
        </w:tc>
        <w:tc>
          <w:tcPr>
            <w:tcW w:w="1360" w:type="dxa"/>
            <w:tcBorders>
              <w:top w:val="nil"/>
              <w:left w:val="nil"/>
              <w:bottom w:val="nil"/>
              <w:right w:val="nil"/>
            </w:tcBorders>
            <w:shd w:val="clear" w:color="auto" w:fill="auto"/>
            <w:noWrap/>
            <w:vAlign w:val="bottom"/>
            <w:hideMark/>
          </w:tcPr>
          <w:p w14:paraId="7713A707" w14:textId="77777777" w:rsidR="00073C53" w:rsidRPr="00073C53" w:rsidRDefault="00073C53" w:rsidP="00073C53">
            <w:pPr>
              <w:spacing w:before="0" w:after="0" w:line="240" w:lineRule="auto"/>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47FBA17E" w14:textId="77777777" w:rsidR="00073C53" w:rsidRPr="00073C53" w:rsidRDefault="00073C53" w:rsidP="00073C53">
            <w:pPr>
              <w:spacing w:before="0" w:after="0" w:line="240" w:lineRule="auto"/>
              <w:jc w:val="right"/>
              <w:rPr>
                <w:rFonts w:ascii="Times New Roman" w:hAnsi="Times New Roman"/>
                <w:sz w:val="20"/>
              </w:rPr>
            </w:pPr>
          </w:p>
        </w:tc>
      </w:tr>
      <w:tr w:rsidR="00073C53" w:rsidRPr="00073C53" w14:paraId="4DC5645A"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13F5BB0E"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Depreciation/amortisation expense</w:t>
            </w:r>
          </w:p>
        </w:tc>
        <w:tc>
          <w:tcPr>
            <w:tcW w:w="1360" w:type="dxa"/>
            <w:tcBorders>
              <w:top w:val="nil"/>
              <w:left w:val="nil"/>
              <w:bottom w:val="nil"/>
              <w:right w:val="nil"/>
            </w:tcBorders>
            <w:shd w:val="clear" w:color="auto" w:fill="auto"/>
            <w:noWrap/>
            <w:vAlign w:val="bottom"/>
            <w:hideMark/>
          </w:tcPr>
          <w:p w14:paraId="5515D1E4" w14:textId="77777777" w:rsidR="00073C53" w:rsidRPr="00073C53" w:rsidRDefault="00073C53" w:rsidP="00073C53">
            <w:pPr>
              <w:spacing w:before="0" w:after="0" w:line="240" w:lineRule="auto"/>
              <w:jc w:val="right"/>
              <w:rPr>
                <w:rFonts w:ascii="Arial" w:hAnsi="Arial" w:cs="Arial"/>
                <w:sz w:val="16"/>
                <w:szCs w:val="16"/>
              </w:rPr>
            </w:pPr>
            <w:r w:rsidRPr="00073C53">
              <w:rPr>
                <w:rFonts w:ascii="Arial" w:hAnsi="Arial" w:cs="Arial"/>
                <w:sz w:val="16"/>
                <w:szCs w:val="16"/>
              </w:rPr>
              <w:t>(1,711)</w:t>
            </w:r>
          </w:p>
        </w:tc>
        <w:tc>
          <w:tcPr>
            <w:tcW w:w="1360" w:type="dxa"/>
            <w:tcBorders>
              <w:top w:val="nil"/>
              <w:left w:val="nil"/>
              <w:bottom w:val="nil"/>
              <w:right w:val="nil"/>
            </w:tcBorders>
            <w:shd w:val="clear" w:color="auto" w:fill="auto"/>
            <w:noWrap/>
            <w:vAlign w:val="bottom"/>
            <w:hideMark/>
          </w:tcPr>
          <w:p w14:paraId="4121EE72"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(1,711)</w:t>
            </w:r>
          </w:p>
        </w:tc>
      </w:tr>
      <w:tr w:rsidR="00073C53" w:rsidRPr="00073C53" w14:paraId="1B4F0757"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28A7C1D7" w14:textId="77777777" w:rsidR="00073C53" w:rsidRPr="00073C53" w:rsidRDefault="00073C53" w:rsidP="004B3DA6">
            <w:pPr>
              <w:spacing w:before="0" w:after="0" w:line="240" w:lineRule="auto"/>
              <w:ind w:leftChars="75" w:left="143"/>
              <w:rPr>
                <w:rFonts w:ascii="Arial" w:hAnsi="Arial" w:cs="Arial"/>
                <w:b/>
                <w:bCs/>
                <w:sz w:val="16"/>
                <w:szCs w:val="16"/>
              </w:rPr>
            </w:pPr>
            <w:r w:rsidRPr="00073C53">
              <w:rPr>
                <w:rFonts w:ascii="Arial" w:hAnsi="Arial" w:cs="Arial"/>
                <w:b/>
                <w:bCs/>
                <w:sz w:val="16"/>
                <w:szCs w:val="16"/>
              </w:rPr>
              <w:t>Total other movements</w:t>
            </w:r>
          </w:p>
        </w:tc>
        <w:tc>
          <w:tcPr>
            <w:tcW w:w="1360" w:type="dxa"/>
            <w:tcBorders>
              <w:top w:val="nil"/>
              <w:left w:val="nil"/>
              <w:bottom w:val="single" w:sz="4" w:space="0" w:color="auto"/>
              <w:right w:val="nil"/>
            </w:tcBorders>
            <w:shd w:val="clear" w:color="auto" w:fill="auto"/>
            <w:noWrap/>
            <w:vAlign w:val="bottom"/>
            <w:hideMark/>
          </w:tcPr>
          <w:p w14:paraId="46C41339"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(1,711)</w:t>
            </w:r>
          </w:p>
        </w:tc>
        <w:tc>
          <w:tcPr>
            <w:tcW w:w="1360" w:type="dxa"/>
            <w:tcBorders>
              <w:top w:val="nil"/>
              <w:left w:val="nil"/>
              <w:bottom w:val="single" w:sz="4" w:space="0" w:color="auto"/>
              <w:right w:val="nil"/>
            </w:tcBorders>
            <w:shd w:val="clear" w:color="auto" w:fill="auto"/>
            <w:noWrap/>
            <w:vAlign w:val="bottom"/>
            <w:hideMark/>
          </w:tcPr>
          <w:p w14:paraId="6B223B6F"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(1,711)</w:t>
            </w:r>
          </w:p>
        </w:tc>
      </w:tr>
      <w:tr w:rsidR="00073C53" w:rsidRPr="00073C53" w14:paraId="5628D4EE" w14:textId="77777777" w:rsidTr="00073C53">
        <w:trPr>
          <w:trHeight w:val="283"/>
          <w:jc w:val="center"/>
        </w:trPr>
        <w:tc>
          <w:tcPr>
            <w:tcW w:w="4960" w:type="dxa"/>
            <w:tcBorders>
              <w:top w:val="nil"/>
              <w:left w:val="nil"/>
              <w:bottom w:val="nil"/>
              <w:right w:val="nil"/>
            </w:tcBorders>
            <w:shd w:val="clear" w:color="auto" w:fill="auto"/>
            <w:noWrap/>
            <w:vAlign w:val="bottom"/>
            <w:hideMark/>
          </w:tcPr>
          <w:p w14:paraId="41D94B61" w14:textId="77777777" w:rsidR="00073C53" w:rsidRPr="00073C53" w:rsidRDefault="00073C53" w:rsidP="00073C53">
            <w:pPr>
              <w:spacing w:before="0" w:after="0" w:line="240" w:lineRule="auto"/>
              <w:rPr>
                <w:rFonts w:ascii="Arial" w:hAnsi="Arial" w:cs="Arial"/>
                <w:b/>
                <w:bCs/>
                <w:sz w:val="16"/>
                <w:szCs w:val="16"/>
              </w:rPr>
            </w:pPr>
            <w:r w:rsidRPr="00073C53">
              <w:rPr>
                <w:rFonts w:ascii="Arial" w:hAnsi="Arial" w:cs="Arial"/>
                <w:b/>
                <w:bCs/>
                <w:sz w:val="16"/>
                <w:szCs w:val="16"/>
              </w:rPr>
              <w:t xml:space="preserve">As </w:t>
            </w:r>
            <w:proofErr w:type="gramStart"/>
            <w:r w:rsidRPr="00073C53">
              <w:rPr>
                <w:rFonts w:ascii="Arial" w:hAnsi="Arial" w:cs="Arial"/>
                <w:b/>
                <w:bCs/>
                <w:sz w:val="16"/>
                <w:szCs w:val="16"/>
              </w:rPr>
              <w:t>at</w:t>
            </w:r>
            <w:proofErr w:type="gramEnd"/>
            <w:r w:rsidRPr="00073C53">
              <w:rPr>
                <w:rFonts w:ascii="Arial" w:hAnsi="Arial" w:cs="Arial"/>
                <w:b/>
                <w:bCs/>
                <w:sz w:val="16"/>
                <w:szCs w:val="16"/>
              </w:rPr>
              <w:t xml:space="preserve"> 30 June 2024</w:t>
            </w:r>
          </w:p>
        </w:tc>
        <w:tc>
          <w:tcPr>
            <w:tcW w:w="1360" w:type="dxa"/>
            <w:tcBorders>
              <w:top w:val="nil"/>
              <w:left w:val="nil"/>
              <w:bottom w:val="nil"/>
              <w:right w:val="nil"/>
            </w:tcBorders>
            <w:shd w:val="clear" w:color="auto" w:fill="auto"/>
            <w:noWrap/>
            <w:vAlign w:val="bottom"/>
            <w:hideMark/>
          </w:tcPr>
          <w:p w14:paraId="482D999C" w14:textId="77777777" w:rsidR="00073C53" w:rsidRPr="00073C53" w:rsidRDefault="00073C53" w:rsidP="00073C53">
            <w:pPr>
              <w:spacing w:before="0" w:after="0" w:line="240" w:lineRule="auto"/>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186AD98E" w14:textId="77777777" w:rsidR="00073C53" w:rsidRPr="00073C53" w:rsidRDefault="00073C53" w:rsidP="00073C53">
            <w:pPr>
              <w:spacing w:before="0" w:after="0" w:line="240" w:lineRule="auto"/>
              <w:jc w:val="right"/>
              <w:rPr>
                <w:rFonts w:ascii="Times New Roman" w:hAnsi="Times New Roman"/>
                <w:sz w:val="20"/>
              </w:rPr>
            </w:pPr>
          </w:p>
        </w:tc>
      </w:tr>
      <w:tr w:rsidR="00073C53" w:rsidRPr="00073C53" w14:paraId="1C390A7D" w14:textId="77777777" w:rsidTr="00073C53">
        <w:trPr>
          <w:trHeight w:val="225"/>
          <w:jc w:val="center"/>
        </w:trPr>
        <w:tc>
          <w:tcPr>
            <w:tcW w:w="4960" w:type="dxa"/>
            <w:tcBorders>
              <w:top w:val="nil"/>
              <w:left w:val="nil"/>
              <w:bottom w:val="nil"/>
              <w:right w:val="nil"/>
            </w:tcBorders>
            <w:shd w:val="clear" w:color="auto" w:fill="auto"/>
            <w:noWrap/>
            <w:vAlign w:val="bottom"/>
            <w:hideMark/>
          </w:tcPr>
          <w:p w14:paraId="777D9F13"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Gross book value</w:t>
            </w:r>
          </w:p>
        </w:tc>
        <w:tc>
          <w:tcPr>
            <w:tcW w:w="1360" w:type="dxa"/>
            <w:tcBorders>
              <w:top w:val="nil"/>
              <w:left w:val="nil"/>
              <w:bottom w:val="nil"/>
              <w:right w:val="nil"/>
            </w:tcBorders>
            <w:shd w:val="clear" w:color="auto" w:fill="auto"/>
            <w:noWrap/>
            <w:vAlign w:val="bottom"/>
            <w:hideMark/>
          </w:tcPr>
          <w:p w14:paraId="294C9C55" w14:textId="77777777" w:rsidR="00073C53" w:rsidRPr="00073C53" w:rsidRDefault="00073C53" w:rsidP="00073C53">
            <w:pPr>
              <w:spacing w:before="0" w:after="0" w:line="240" w:lineRule="auto"/>
              <w:jc w:val="right"/>
              <w:rPr>
                <w:rFonts w:ascii="Arial" w:hAnsi="Arial" w:cs="Arial"/>
                <w:color w:val="000000"/>
                <w:sz w:val="16"/>
                <w:szCs w:val="16"/>
              </w:rPr>
            </w:pPr>
            <w:r w:rsidRPr="00073C53">
              <w:rPr>
                <w:rFonts w:ascii="Arial" w:hAnsi="Arial" w:cs="Arial"/>
                <w:color w:val="000000"/>
                <w:sz w:val="16"/>
                <w:szCs w:val="16"/>
              </w:rPr>
              <w:t>8,555</w:t>
            </w:r>
          </w:p>
        </w:tc>
        <w:tc>
          <w:tcPr>
            <w:tcW w:w="1360" w:type="dxa"/>
            <w:tcBorders>
              <w:top w:val="nil"/>
              <w:left w:val="nil"/>
              <w:bottom w:val="nil"/>
              <w:right w:val="nil"/>
            </w:tcBorders>
            <w:shd w:val="clear" w:color="auto" w:fill="auto"/>
            <w:noWrap/>
            <w:vAlign w:val="bottom"/>
            <w:hideMark/>
          </w:tcPr>
          <w:p w14:paraId="7B16293D"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8,555</w:t>
            </w:r>
          </w:p>
        </w:tc>
      </w:tr>
      <w:tr w:rsidR="00073C53" w:rsidRPr="00073C53" w14:paraId="19CE9D91" w14:textId="77777777" w:rsidTr="00073C53">
        <w:trPr>
          <w:trHeight w:val="225"/>
          <w:jc w:val="center"/>
        </w:trPr>
        <w:tc>
          <w:tcPr>
            <w:tcW w:w="4960" w:type="dxa"/>
            <w:tcBorders>
              <w:top w:val="nil"/>
              <w:left w:val="nil"/>
              <w:bottom w:val="nil"/>
              <w:right w:val="nil"/>
            </w:tcBorders>
            <w:shd w:val="clear" w:color="auto" w:fill="auto"/>
            <w:vAlign w:val="bottom"/>
            <w:hideMark/>
          </w:tcPr>
          <w:p w14:paraId="535424AB" w14:textId="77777777" w:rsidR="00073C53" w:rsidRPr="00073C53" w:rsidRDefault="00073C53" w:rsidP="004B3DA6">
            <w:pPr>
              <w:spacing w:before="0" w:after="0" w:line="240" w:lineRule="auto"/>
              <w:ind w:leftChars="75" w:left="143"/>
              <w:rPr>
                <w:rFonts w:ascii="Arial" w:hAnsi="Arial" w:cs="Arial"/>
                <w:sz w:val="16"/>
                <w:szCs w:val="16"/>
              </w:rPr>
            </w:pPr>
            <w:r w:rsidRPr="00073C53">
              <w:rPr>
                <w:rFonts w:ascii="Arial" w:hAnsi="Arial" w:cs="Arial"/>
                <w:sz w:val="16"/>
                <w:szCs w:val="16"/>
              </w:rPr>
              <w:t>Accumulated depreciation/amortisation and impairment</w:t>
            </w:r>
          </w:p>
        </w:tc>
        <w:tc>
          <w:tcPr>
            <w:tcW w:w="1360" w:type="dxa"/>
            <w:tcBorders>
              <w:top w:val="nil"/>
              <w:left w:val="nil"/>
              <w:bottom w:val="nil"/>
              <w:right w:val="nil"/>
            </w:tcBorders>
            <w:shd w:val="clear" w:color="auto" w:fill="auto"/>
            <w:noWrap/>
            <w:vAlign w:val="bottom"/>
            <w:hideMark/>
          </w:tcPr>
          <w:p w14:paraId="5E0F83FE" w14:textId="77777777" w:rsidR="00073C53" w:rsidRPr="00073C53" w:rsidRDefault="00073C53" w:rsidP="00073C53">
            <w:pPr>
              <w:spacing w:before="0" w:after="0" w:line="240" w:lineRule="auto"/>
              <w:jc w:val="right"/>
              <w:rPr>
                <w:rFonts w:ascii="Arial" w:hAnsi="Arial" w:cs="Arial"/>
                <w:color w:val="000000"/>
                <w:sz w:val="16"/>
                <w:szCs w:val="16"/>
              </w:rPr>
            </w:pPr>
            <w:r w:rsidRPr="00073C53">
              <w:rPr>
                <w:rFonts w:ascii="Arial" w:hAnsi="Arial" w:cs="Arial"/>
                <w:color w:val="000000"/>
                <w:sz w:val="16"/>
                <w:szCs w:val="16"/>
              </w:rPr>
              <w:t>(7,105)</w:t>
            </w:r>
          </w:p>
        </w:tc>
        <w:tc>
          <w:tcPr>
            <w:tcW w:w="1360" w:type="dxa"/>
            <w:tcBorders>
              <w:top w:val="nil"/>
              <w:left w:val="nil"/>
              <w:bottom w:val="nil"/>
              <w:right w:val="nil"/>
            </w:tcBorders>
            <w:shd w:val="clear" w:color="auto" w:fill="auto"/>
            <w:noWrap/>
            <w:vAlign w:val="bottom"/>
            <w:hideMark/>
          </w:tcPr>
          <w:p w14:paraId="1447993E"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(7,105)</w:t>
            </w:r>
          </w:p>
        </w:tc>
      </w:tr>
      <w:tr w:rsidR="00073C53" w:rsidRPr="00073C53" w14:paraId="55B5F0BA" w14:textId="77777777" w:rsidTr="00073C53">
        <w:trPr>
          <w:trHeight w:val="225"/>
          <w:jc w:val="center"/>
        </w:trPr>
        <w:tc>
          <w:tcPr>
            <w:tcW w:w="4960" w:type="dxa"/>
            <w:tcBorders>
              <w:top w:val="nil"/>
              <w:left w:val="nil"/>
              <w:bottom w:val="single" w:sz="4" w:space="0" w:color="auto"/>
              <w:right w:val="nil"/>
            </w:tcBorders>
            <w:shd w:val="clear" w:color="auto" w:fill="auto"/>
            <w:noWrap/>
            <w:vAlign w:val="bottom"/>
            <w:hideMark/>
          </w:tcPr>
          <w:p w14:paraId="267F8670" w14:textId="77777777" w:rsidR="00073C53" w:rsidRPr="00073C53" w:rsidRDefault="00073C53" w:rsidP="004B3DA6">
            <w:pPr>
              <w:spacing w:before="0" w:after="0" w:line="240" w:lineRule="auto"/>
              <w:ind w:leftChars="75" w:left="143"/>
              <w:rPr>
                <w:rFonts w:ascii="Arial" w:hAnsi="Arial" w:cs="Arial"/>
                <w:b/>
                <w:bCs/>
                <w:sz w:val="16"/>
                <w:szCs w:val="16"/>
              </w:rPr>
            </w:pPr>
            <w:r w:rsidRPr="00073C53">
              <w:rPr>
                <w:rFonts w:ascii="Arial" w:hAnsi="Arial" w:cs="Arial"/>
                <w:b/>
                <w:bCs/>
                <w:sz w:val="16"/>
                <w:szCs w:val="16"/>
              </w:rPr>
              <w:t>Closing net book balance</w:t>
            </w:r>
          </w:p>
        </w:tc>
        <w:tc>
          <w:tcPr>
            <w:tcW w:w="1360" w:type="dxa"/>
            <w:tcBorders>
              <w:top w:val="nil"/>
              <w:left w:val="nil"/>
              <w:bottom w:val="single" w:sz="4" w:space="0" w:color="auto"/>
              <w:right w:val="nil"/>
            </w:tcBorders>
            <w:shd w:val="clear" w:color="auto" w:fill="auto"/>
            <w:noWrap/>
            <w:vAlign w:val="bottom"/>
            <w:hideMark/>
          </w:tcPr>
          <w:p w14:paraId="05554A76"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1,450</w:t>
            </w:r>
          </w:p>
        </w:tc>
        <w:tc>
          <w:tcPr>
            <w:tcW w:w="1360" w:type="dxa"/>
            <w:tcBorders>
              <w:top w:val="nil"/>
              <w:left w:val="nil"/>
              <w:bottom w:val="single" w:sz="4" w:space="0" w:color="auto"/>
              <w:right w:val="nil"/>
            </w:tcBorders>
            <w:shd w:val="clear" w:color="auto" w:fill="auto"/>
            <w:noWrap/>
            <w:vAlign w:val="bottom"/>
            <w:hideMark/>
          </w:tcPr>
          <w:p w14:paraId="34164731" w14:textId="77777777" w:rsidR="00073C53" w:rsidRPr="00073C53" w:rsidRDefault="00073C53" w:rsidP="00073C53">
            <w:pPr>
              <w:spacing w:before="0" w:after="0" w:line="240" w:lineRule="auto"/>
              <w:jc w:val="right"/>
              <w:rPr>
                <w:rFonts w:ascii="Arial" w:hAnsi="Arial" w:cs="Arial"/>
                <w:b/>
                <w:bCs/>
                <w:color w:val="000000"/>
                <w:sz w:val="16"/>
                <w:szCs w:val="16"/>
              </w:rPr>
            </w:pPr>
            <w:r w:rsidRPr="00073C53">
              <w:rPr>
                <w:rFonts w:ascii="Arial" w:hAnsi="Arial" w:cs="Arial"/>
                <w:b/>
                <w:bCs/>
                <w:color w:val="000000"/>
                <w:sz w:val="16"/>
                <w:szCs w:val="16"/>
              </w:rPr>
              <w:t>1,450</w:t>
            </w:r>
          </w:p>
        </w:tc>
      </w:tr>
      <w:bookmarkEnd w:id="104"/>
      <w:bookmarkEnd w:id="105"/>
      <w:bookmarkEnd w:id="106"/>
      <w:bookmarkEnd w:id="107"/>
      <w:bookmarkEnd w:id="108"/>
      <w:bookmarkEnd w:id="109"/>
      <w:bookmarkEnd w:id="110"/>
      <w:bookmarkEnd w:id="111"/>
      <w:bookmarkEnd w:id="112"/>
    </w:tbl>
    <w:p w14:paraId="10491B1F" w14:textId="66C01E42" w:rsidR="00B62180" w:rsidRDefault="00B62180" w:rsidP="00D91D52">
      <w:pPr>
        <w:pStyle w:val="Heading1-NoTOC"/>
      </w:pPr>
    </w:p>
    <w:p w14:paraId="7255F5B5" w14:textId="77777777" w:rsidR="00B62180" w:rsidRDefault="00B62180" w:rsidP="00D91D52">
      <w:pPr>
        <w:pStyle w:val="Heading1-NoTOC"/>
      </w:pPr>
      <w:r>
        <w:br w:type="column"/>
      </w:r>
    </w:p>
    <w:p w14:paraId="0A2C6191" w14:textId="0D301E82" w:rsidR="00C04DC1" w:rsidRDefault="00C04DC1" w:rsidP="00D91D52">
      <w:pPr>
        <w:pStyle w:val="Heading1-NoTOC"/>
      </w:pPr>
    </w:p>
    <w:p w14:paraId="0A0F0F76" w14:textId="77777777" w:rsidR="00B62180" w:rsidRDefault="00B62180" w:rsidP="00D91D52">
      <w:pPr>
        <w:pStyle w:val="Heading1-NoTOC"/>
        <w:sectPr w:rsidR="00B62180" w:rsidSect="00C04DC1">
          <w:footerReference w:type="even" r:id="rId60"/>
          <w:footerReference w:type="first" r:id="rId61"/>
          <w:pgSz w:w="11907" w:h="16840" w:code="9"/>
          <w:pgMar w:top="2835" w:right="2098" w:bottom="2466" w:left="2098" w:header="1814" w:footer="1814" w:gutter="0"/>
          <w:cols w:space="708"/>
          <w:titlePg/>
          <w:docGrid w:linePitch="360"/>
        </w:sectPr>
      </w:pPr>
    </w:p>
    <w:p w14:paraId="58CCFB46" w14:textId="0E487B09" w:rsidR="00275707" w:rsidRDefault="00FB4A3F" w:rsidP="00D91D52">
      <w:pPr>
        <w:pStyle w:val="Heading1-NoTOC"/>
      </w:pPr>
      <w:r>
        <w:fldChar w:fldCharType="begin"/>
      </w:r>
      <w:r>
        <w:instrText xml:space="preserve"> </w:instrText>
      </w:r>
      <w:proofErr w:type="gramStart"/>
      <w:r>
        <w:instrText>TC  "</w:instrText>
      </w:r>
      <w:bookmarkStart w:id="371" w:name="_Toc157520019"/>
      <w:proofErr w:type="gramEnd"/>
      <w:r>
        <w:instrText>Aged Care Quality and Safety Commission</w:instrText>
      </w:r>
      <w:bookmarkEnd w:id="371"/>
      <w:r>
        <w:instrText xml:space="preserve">" \f </w:instrText>
      </w:r>
      <w:r w:rsidR="00183429">
        <w:instrText>m</w:instrText>
      </w:r>
      <w:r>
        <w:instrText xml:space="preserve"> \l </w:instrText>
      </w:r>
      <w:r w:rsidR="00D0639D">
        <w:instrText>2</w:instrText>
      </w:r>
      <w:r>
        <w:instrText xml:space="preserve"> </w:instrText>
      </w:r>
      <w:r>
        <w:fldChar w:fldCharType="end"/>
      </w:r>
      <w:r w:rsidR="00275707">
        <w:t xml:space="preserve">Aged Care Quality and Safety Commission </w:t>
      </w:r>
    </w:p>
    <w:p w14:paraId="567C8960" w14:textId="2B122A97" w:rsidR="004A3473" w:rsidRDefault="00D0639D">
      <w:pPr>
        <w:pStyle w:val="TOC1"/>
        <w:rPr>
          <w:rFonts w:asciiTheme="minorHAnsi" w:eastAsiaTheme="minorEastAsia" w:hAnsiTheme="minorHAnsi" w:cstheme="minorBidi"/>
          <w:b w:val="0"/>
          <w:noProof/>
          <w:sz w:val="22"/>
          <w:szCs w:val="22"/>
        </w:rPr>
      </w:pPr>
      <w:r>
        <w:fldChar w:fldCharType="begin"/>
      </w:r>
      <w:r>
        <w:instrText xml:space="preserve"> TOC \f acq \h \z </w:instrText>
      </w:r>
      <w:r>
        <w:fldChar w:fldCharType="separate"/>
      </w:r>
      <w:hyperlink w:anchor="_Toc157421321" w:history="1">
        <w:r w:rsidR="004A3473" w:rsidRPr="005A4A92">
          <w:rPr>
            <w:rStyle w:val="Hyperlink"/>
            <w:noProof/>
          </w:rPr>
          <w:t>Section 1: Entity overview and resources</w:t>
        </w:r>
        <w:r w:rsidR="004A3473">
          <w:rPr>
            <w:noProof/>
            <w:webHidden/>
          </w:rPr>
          <w:tab/>
        </w:r>
        <w:r w:rsidR="004A3473">
          <w:rPr>
            <w:noProof/>
            <w:webHidden/>
          </w:rPr>
          <w:fldChar w:fldCharType="begin"/>
        </w:r>
        <w:r w:rsidR="004A3473">
          <w:rPr>
            <w:noProof/>
            <w:webHidden/>
          </w:rPr>
          <w:instrText xml:space="preserve"> PAGEREF _Toc157421321 \h </w:instrText>
        </w:r>
        <w:r w:rsidR="004A3473">
          <w:rPr>
            <w:noProof/>
            <w:webHidden/>
          </w:rPr>
        </w:r>
        <w:r w:rsidR="004A3473">
          <w:rPr>
            <w:noProof/>
            <w:webHidden/>
          </w:rPr>
          <w:fldChar w:fldCharType="separate"/>
        </w:r>
        <w:r w:rsidR="00905C56">
          <w:rPr>
            <w:noProof/>
            <w:webHidden/>
          </w:rPr>
          <w:t>86</w:t>
        </w:r>
        <w:r w:rsidR="004A3473">
          <w:rPr>
            <w:noProof/>
            <w:webHidden/>
          </w:rPr>
          <w:fldChar w:fldCharType="end"/>
        </w:r>
      </w:hyperlink>
    </w:p>
    <w:p w14:paraId="02AF1D97" w14:textId="366AE109" w:rsidR="004A3473" w:rsidRDefault="00000000">
      <w:pPr>
        <w:pStyle w:val="TOC2"/>
        <w:rPr>
          <w:rFonts w:asciiTheme="minorHAnsi" w:eastAsiaTheme="minorEastAsia" w:hAnsiTheme="minorHAnsi" w:cstheme="minorBidi"/>
          <w:noProof/>
          <w:sz w:val="22"/>
          <w:szCs w:val="22"/>
        </w:rPr>
      </w:pPr>
      <w:hyperlink w:anchor="_Toc157421322" w:history="1">
        <w:r w:rsidR="004A3473" w:rsidRPr="005A4A92">
          <w:rPr>
            <w:rStyle w:val="Hyperlink"/>
            <w:noProof/>
          </w:rPr>
          <w:t>1.1</w:t>
        </w:r>
        <w:r w:rsidR="004A3473">
          <w:rPr>
            <w:rFonts w:asciiTheme="minorHAnsi" w:eastAsiaTheme="minorEastAsia" w:hAnsiTheme="minorHAnsi" w:cstheme="minorBidi"/>
            <w:noProof/>
            <w:sz w:val="22"/>
            <w:szCs w:val="22"/>
          </w:rPr>
          <w:tab/>
        </w:r>
        <w:r w:rsidR="004A3473" w:rsidRPr="005A4A92">
          <w:rPr>
            <w:rStyle w:val="Hyperlink"/>
            <w:noProof/>
          </w:rPr>
          <w:t>Strategic direction statement</w:t>
        </w:r>
        <w:r w:rsidR="004A3473">
          <w:rPr>
            <w:noProof/>
            <w:webHidden/>
          </w:rPr>
          <w:tab/>
        </w:r>
        <w:r w:rsidR="004A3473">
          <w:rPr>
            <w:noProof/>
            <w:webHidden/>
          </w:rPr>
          <w:fldChar w:fldCharType="begin"/>
        </w:r>
        <w:r w:rsidR="004A3473">
          <w:rPr>
            <w:noProof/>
            <w:webHidden/>
          </w:rPr>
          <w:instrText xml:space="preserve"> PAGEREF _Toc157421322 \h </w:instrText>
        </w:r>
        <w:r w:rsidR="004A3473">
          <w:rPr>
            <w:noProof/>
            <w:webHidden/>
          </w:rPr>
        </w:r>
        <w:r w:rsidR="004A3473">
          <w:rPr>
            <w:noProof/>
            <w:webHidden/>
          </w:rPr>
          <w:fldChar w:fldCharType="separate"/>
        </w:r>
        <w:r w:rsidR="00905C56">
          <w:rPr>
            <w:noProof/>
            <w:webHidden/>
          </w:rPr>
          <w:t>86</w:t>
        </w:r>
        <w:r w:rsidR="004A3473">
          <w:rPr>
            <w:noProof/>
            <w:webHidden/>
          </w:rPr>
          <w:fldChar w:fldCharType="end"/>
        </w:r>
      </w:hyperlink>
    </w:p>
    <w:p w14:paraId="130EEB0C" w14:textId="154AE548" w:rsidR="004A3473" w:rsidRDefault="00000000">
      <w:pPr>
        <w:pStyle w:val="TOC2"/>
        <w:rPr>
          <w:rFonts w:asciiTheme="minorHAnsi" w:eastAsiaTheme="minorEastAsia" w:hAnsiTheme="minorHAnsi" w:cstheme="minorBidi"/>
          <w:noProof/>
          <w:sz w:val="22"/>
          <w:szCs w:val="22"/>
        </w:rPr>
      </w:pPr>
      <w:hyperlink w:anchor="_Toc157421323" w:history="1">
        <w:r w:rsidR="004A3473" w:rsidRPr="005A4A92">
          <w:rPr>
            <w:rStyle w:val="Hyperlink"/>
            <w:noProof/>
          </w:rPr>
          <w:t>1.2</w:t>
        </w:r>
        <w:r w:rsidR="004A3473">
          <w:rPr>
            <w:rFonts w:asciiTheme="minorHAnsi" w:eastAsiaTheme="minorEastAsia" w:hAnsiTheme="minorHAnsi" w:cstheme="minorBidi"/>
            <w:noProof/>
            <w:sz w:val="22"/>
            <w:szCs w:val="22"/>
          </w:rPr>
          <w:tab/>
        </w:r>
        <w:r w:rsidR="004A3473" w:rsidRPr="005A4A92">
          <w:rPr>
            <w:rStyle w:val="Hyperlink"/>
            <w:noProof/>
          </w:rPr>
          <w:t>Entity resource statement</w:t>
        </w:r>
        <w:r w:rsidR="004A3473">
          <w:rPr>
            <w:noProof/>
            <w:webHidden/>
          </w:rPr>
          <w:tab/>
        </w:r>
        <w:r w:rsidR="004A3473">
          <w:rPr>
            <w:noProof/>
            <w:webHidden/>
          </w:rPr>
          <w:fldChar w:fldCharType="begin"/>
        </w:r>
        <w:r w:rsidR="004A3473">
          <w:rPr>
            <w:noProof/>
            <w:webHidden/>
          </w:rPr>
          <w:instrText xml:space="preserve"> PAGEREF _Toc157421323 \h </w:instrText>
        </w:r>
        <w:r w:rsidR="004A3473">
          <w:rPr>
            <w:noProof/>
            <w:webHidden/>
          </w:rPr>
        </w:r>
        <w:r w:rsidR="004A3473">
          <w:rPr>
            <w:noProof/>
            <w:webHidden/>
          </w:rPr>
          <w:fldChar w:fldCharType="separate"/>
        </w:r>
        <w:r w:rsidR="00905C56">
          <w:rPr>
            <w:noProof/>
            <w:webHidden/>
          </w:rPr>
          <w:t>87</w:t>
        </w:r>
        <w:r w:rsidR="004A3473">
          <w:rPr>
            <w:noProof/>
            <w:webHidden/>
          </w:rPr>
          <w:fldChar w:fldCharType="end"/>
        </w:r>
      </w:hyperlink>
    </w:p>
    <w:p w14:paraId="3E5BDFE3" w14:textId="758FAF47" w:rsidR="004A3473" w:rsidRDefault="00000000">
      <w:pPr>
        <w:pStyle w:val="TOC2"/>
        <w:rPr>
          <w:rFonts w:asciiTheme="minorHAnsi" w:eastAsiaTheme="minorEastAsia" w:hAnsiTheme="minorHAnsi" w:cstheme="minorBidi"/>
          <w:noProof/>
          <w:sz w:val="22"/>
          <w:szCs w:val="22"/>
        </w:rPr>
      </w:pPr>
      <w:hyperlink w:anchor="_Toc157421324" w:history="1">
        <w:r w:rsidR="004A3473" w:rsidRPr="005A4A92">
          <w:rPr>
            <w:rStyle w:val="Hyperlink"/>
            <w:noProof/>
          </w:rPr>
          <w:t>1.3</w:t>
        </w:r>
        <w:r w:rsidR="004A3473">
          <w:rPr>
            <w:rFonts w:asciiTheme="minorHAnsi" w:eastAsiaTheme="minorEastAsia" w:hAnsiTheme="minorHAnsi" w:cstheme="minorBidi"/>
            <w:noProof/>
            <w:sz w:val="22"/>
            <w:szCs w:val="22"/>
          </w:rPr>
          <w:tab/>
        </w:r>
        <w:r w:rsidR="004A3473" w:rsidRPr="005A4A92">
          <w:rPr>
            <w:rStyle w:val="Hyperlink"/>
            <w:noProof/>
          </w:rPr>
          <w:t>Entity measures</w:t>
        </w:r>
        <w:r w:rsidR="004A3473">
          <w:rPr>
            <w:noProof/>
            <w:webHidden/>
          </w:rPr>
          <w:tab/>
        </w:r>
        <w:r w:rsidR="004A3473">
          <w:rPr>
            <w:noProof/>
            <w:webHidden/>
          </w:rPr>
          <w:fldChar w:fldCharType="begin"/>
        </w:r>
        <w:r w:rsidR="004A3473">
          <w:rPr>
            <w:noProof/>
            <w:webHidden/>
          </w:rPr>
          <w:instrText xml:space="preserve"> PAGEREF _Toc157421324 \h </w:instrText>
        </w:r>
        <w:r w:rsidR="004A3473">
          <w:rPr>
            <w:noProof/>
            <w:webHidden/>
          </w:rPr>
        </w:r>
        <w:r w:rsidR="004A3473">
          <w:rPr>
            <w:noProof/>
            <w:webHidden/>
          </w:rPr>
          <w:fldChar w:fldCharType="separate"/>
        </w:r>
        <w:r w:rsidR="00905C56">
          <w:rPr>
            <w:noProof/>
            <w:webHidden/>
          </w:rPr>
          <w:t>88</w:t>
        </w:r>
        <w:r w:rsidR="004A3473">
          <w:rPr>
            <w:noProof/>
            <w:webHidden/>
          </w:rPr>
          <w:fldChar w:fldCharType="end"/>
        </w:r>
      </w:hyperlink>
    </w:p>
    <w:p w14:paraId="65A8DE9B" w14:textId="3B49A7C0" w:rsidR="004A3473" w:rsidRDefault="00000000">
      <w:pPr>
        <w:pStyle w:val="TOC2"/>
        <w:rPr>
          <w:rFonts w:asciiTheme="minorHAnsi" w:eastAsiaTheme="minorEastAsia" w:hAnsiTheme="minorHAnsi" w:cstheme="minorBidi"/>
          <w:noProof/>
          <w:sz w:val="22"/>
          <w:szCs w:val="22"/>
        </w:rPr>
      </w:pPr>
      <w:hyperlink w:anchor="_Toc157421325" w:history="1">
        <w:r w:rsidR="004A3473" w:rsidRPr="005A4A92">
          <w:rPr>
            <w:rStyle w:val="Hyperlink"/>
            <w:noProof/>
          </w:rPr>
          <w:t>1.4</w:t>
        </w:r>
        <w:r w:rsidR="004A3473">
          <w:rPr>
            <w:rFonts w:asciiTheme="minorHAnsi" w:eastAsiaTheme="minorEastAsia" w:hAnsiTheme="minorHAnsi" w:cstheme="minorBidi"/>
            <w:noProof/>
            <w:sz w:val="22"/>
            <w:szCs w:val="22"/>
          </w:rPr>
          <w:tab/>
        </w:r>
        <w:r w:rsidR="004A3473" w:rsidRPr="005A4A92">
          <w:rPr>
            <w:rStyle w:val="Hyperlink"/>
            <w:noProof/>
          </w:rPr>
          <w:t>Additional estimates, resourcing and variations to outcomes</w:t>
        </w:r>
        <w:r w:rsidR="004A3473">
          <w:rPr>
            <w:noProof/>
            <w:webHidden/>
          </w:rPr>
          <w:tab/>
        </w:r>
        <w:r w:rsidR="004A3473">
          <w:rPr>
            <w:noProof/>
            <w:webHidden/>
          </w:rPr>
          <w:fldChar w:fldCharType="begin"/>
        </w:r>
        <w:r w:rsidR="004A3473">
          <w:rPr>
            <w:noProof/>
            <w:webHidden/>
          </w:rPr>
          <w:instrText xml:space="preserve"> PAGEREF _Toc157421325 \h </w:instrText>
        </w:r>
        <w:r w:rsidR="004A3473">
          <w:rPr>
            <w:noProof/>
            <w:webHidden/>
          </w:rPr>
        </w:r>
        <w:r w:rsidR="004A3473">
          <w:rPr>
            <w:noProof/>
            <w:webHidden/>
          </w:rPr>
          <w:fldChar w:fldCharType="separate"/>
        </w:r>
        <w:r w:rsidR="00905C56">
          <w:rPr>
            <w:noProof/>
            <w:webHidden/>
          </w:rPr>
          <w:t>88</w:t>
        </w:r>
        <w:r w:rsidR="004A3473">
          <w:rPr>
            <w:noProof/>
            <w:webHidden/>
          </w:rPr>
          <w:fldChar w:fldCharType="end"/>
        </w:r>
      </w:hyperlink>
    </w:p>
    <w:p w14:paraId="1A70C3AB" w14:textId="62EF5503" w:rsidR="004A3473" w:rsidRDefault="00000000">
      <w:pPr>
        <w:pStyle w:val="TOC2"/>
        <w:rPr>
          <w:rFonts w:asciiTheme="minorHAnsi" w:eastAsiaTheme="minorEastAsia" w:hAnsiTheme="minorHAnsi" w:cstheme="minorBidi"/>
          <w:noProof/>
          <w:sz w:val="22"/>
          <w:szCs w:val="22"/>
        </w:rPr>
      </w:pPr>
      <w:hyperlink w:anchor="_Toc157421326" w:history="1">
        <w:r w:rsidR="004A3473" w:rsidRPr="005A4A92">
          <w:rPr>
            <w:rStyle w:val="Hyperlink"/>
            <w:noProof/>
          </w:rPr>
          <w:t>1.5</w:t>
        </w:r>
        <w:r w:rsidR="004A3473">
          <w:rPr>
            <w:rFonts w:asciiTheme="minorHAnsi" w:eastAsiaTheme="minorEastAsia" w:hAnsiTheme="minorHAnsi" w:cstheme="minorBidi"/>
            <w:noProof/>
            <w:sz w:val="22"/>
            <w:szCs w:val="22"/>
          </w:rPr>
          <w:tab/>
        </w:r>
        <w:r w:rsidR="004A3473" w:rsidRPr="005A4A92">
          <w:rPr>
            <w:rStyle w:val="Hyperlink"/>
            <w:noProof/>
          </w:rPr>
          <w:t>Breakdown of additional estimates by appropriation bill</w:t>
        </w:r>
        <w:r w:rsidR="004A3473">
          <w:rPr>
            <w:noProof/>
            <w:webHidden/>
          </w:rPr>
          <w:tab/>
        </w:r>
        <w:r w:rsidR="004A3473">
          <w:rPr>
            <w:noProof/>
            <w:webHidden/>
          </w:rPr>
          <w:fldChar w:fldCharType="begin"/>
        </w:r>
        <w:r w:rsidR="004A3473">
          <w:rPr>
            <w:noProof/>
            <w:webHidden/>
          </w:rPr>
          <w:instrText xml:space="preserve"> PAGEREF _Toc157421326 \h </w:instrText>
        </w:r>
        <w:r w:rsidR="004A3473">
          <w:rPr>
            <w:noProof/>
            <w:webHidden/>
          </w:rPr>
        </w:r>
        <w:r w:rsidR="004A3473">
          <w:rPr>
            <w:noProof/>
            <w:webHidden/>
          </w:rPr>
          <w:fldChar w:fldCharType="separate"/>
        </w:r>
        <w:r w:rsidR="00905C56">
          <w:rPr>
            <w:noProof/>
            <w:webHidden/>
          </w:rPr>
          <w:t>89</w:t>
        </w:r>
        <w:r w:rsidR="004A3473">
          <w:rPr>
            <w:noProof/>
            <w:webHidden/>
          </w:rPr>
          <w:fldChar w:fldCharType="end"/>
        </w:r>
      </w:hyperlink>
    </w:p>
    <w:p w14:paraId="730F250D" w14:textId="019104AF" w:rsidR="004A3473" w:rsidRDefault="00000000">
      <w:pPr>
        <w:pStyle w:val="TOC1"/>
        <w:rPr>
          <w:rFonts w:asciiTheme="minorHAnsi" w:eastAsiaTheme="minorEastAsia" w:hAnsiTheme="minorHAnsi" w:cstheme="minorBidi"/>
          <w:b w:val="0"/>
          <w:noProof/>
          <w:sz w:val="22"/>
          <w:szCs w:val="22"/>
        </w:rPr>
      </w:pPr>
      <w:hyperlink w:anchor="_Toc157421327" w:history="1">
        <w:r w:rsidR="004A3473" w:rsidRPr="005A4A92">
          <w:rPr>
            <w:rStyle w:val="Hyperlink"/>
            <w:noProof/>
          </w:rPr>
          <w:t>Section 2: Revisions to outcomes and planned performance</w:t>
        </w:r>
        <w:r w:rsidR="004A3473">
          <w:rPr>
            <w:noProof/>
            <w:webHidden/>
          </w:rPr>
          <w:tab/>
        </w:r>
        <w:r w:rsidR="004A3473">
          <w:rPr>
            <w:noProof/>
            <w:webHidden/>
          </w:rPr>
          <w:fldChar w:fldCharType="begin"/>
        </w:r>
        <w:r w:rsidR="004A3473">
          <w:rPr>
            <w:noProof/>
            <w:webHidden/>
          </w:rPr>
          <w:instrText xml:space="preserve"> PAGEREF _Toc157421327 \h </w:instrText>
        </w:r>
        <w:r w:rsidR="004A3473">
          <w:rPr>
            <w:noProof/>
            <w:webHidden/>
          </w:rPr>
        </w:r>
        <w:r w:rsidR="004A3473">
          <w:rPr>
            <w:noProof/>
            <w:webHidden/>
          </w:rPr>
          <w:fldChar w:fldCharType="separate"/>
        </w:r>
        <w:r w:rsidR="00905C56">
          <w:rPr>
            <w:noProof/>
            <w:webHidden/>
          </w:rPr>
          <w:t>90</w:t>
        </w:r>
        <w:r w:rsidR="004A3473">
          <w:rPr>
            <w:noProof/>
            <w:webHidden/>
          </w:rPr>
          <w:fldChar w:fldCharType="end"/>
        </w:r>
      </w:hyperlink>
    </w:p>
    <w:p w14:paraId="270D4AD3" w14:textId="2559A124" w:rsidR="004A3473" w:rsidRDefault="00000000">
      <w:pPr>
        <w:pStyle w:val="TOC2"/>
        <w:rPr>
          <w:rFonts w:asciiTheme="minorHAnsi" w:eastAsiaTheme="minorEastAsia" w:hAnsiTheme="minorHAnsi" w:cstheme="minorBidi"/>
          <w:noProof/>
          <w:sz w:val="22"/>
          <w:szCs w:val="22"/>
        </w:rPr>
      </w:pPr>
      <w:hyperlink w:anchor="_Toc157421328" w:history="1">
        <w:r w:rsidR="004A3473" w:rsidRPr="005A4A92">
          <w:rPr>
            <w:rStyle w:val="Hyperlink"/>
            <w:noProof/>
          </w:rPr>
          <w:t>2.1</w:t>
        </w:r>
        <w:r w:rsidR="004A3473">
          <w:rPr>
            <w:rFonts w:asciiTheme="minorHAnsi" w:eastAsiaTheme="minorEastAsia" w:hAnsiTheme="minorHAnsi" w:cstheme="minorBidi"/>
            <w:noProof/>
            <w:sz w:val="22"/>
            <w:szCs w:val="22"/>
          </w:rPr>
          <w:tab/>
        </w:r>
        <w:r w:rsidR="004A3473" w:rsidRPr="005A4A92">
          <w:rPr>
            <w:rStyle w:val="Hyperlink"/>
            <w:noProof/>
          </w:rPr>
          <w:t>Budgeted expenses and performance for Outcome 1</w:t>
        </w:r>
        <w:r w:rsidR="004A3473">
          <w:rPr>
            <w:noProof/>
            <w:webHidden/>
          </w:rPr>
          <w:tab/>
        </w:r>
        <w:r w:rsidR="004A3473">
          <w:rPr>
            <w:noProof/>
            <w:webHidden/>
          </w:rPr>
          <w:fldChar w:fldCharType="begin"/>
        </w:r>
        <w:r w:rsidR="004A3473">
          <w:rPr>
            <w:noProof/>
            <w:webHidden/>
          </w:rPr>
          <w:instrText xml:space="preserve"> PAGEREF _Toc157421328 \h </w:instrText>
        </w:r>
        <w:r w:rsidR="004A3473">
          <w:rPr>
            <w:noProof/>
            <w:webHidden/>
          </w:rPr>
        </w:r>
        <w:r w:rsidR="004A3473">
          <w:rPr>
            <w:noProof/>
            <w:webHidden/>
          </w:rPr>
          <w:fldChar w:fldCharType="separate"/>
        </w:r>
        <w:r w:rsidR="00905C56">
          <w:rPr>
            <w:noProof/>
            <w:webHidden/>
          </w:rPr>
          <w:t>90</w:t>
        </w:r>
        <w:r w:rsidR="004A3473">
          <w:rPr>
            <w:noProof/>
            <w:webHidden/>
          </w:rPr>
          <w:fldChar w:fldCharType="end"/>
        </w:r>
      </w:hyperlink>
    </w:p>
    <w:p w14:paraId="43FC5818" w14:textId="1FE34EDE" w:rsidR="004A3473" w:rsidRDefault="00000000">
      <w:pPr>
        <w:pStyle w:val="TOC1"/>
        <w:rPr>
          <w:rFonts w:asciiTheme="minorHAnsi" w:eastAsiaTheme="minorEastAsia" w:hAnsiTheme="minorHAnsi" w:cstheme="minorBidi"/>
          <w:b w:val="0"/>
          <w:noProof/>
          <w:sz w:val="22"/>
          <w:szCs w:val="22"/>
        </w:rPr>
      </w:pPr>
      <w:hyperlink w:anchor="_Toc157421329" w:history="1">
        <w:r w:rsidR="004A3473" w:rsidRPr="005A4A92">
          <w:rPr>
            <w:rStyle w:val="Hyperlink"/>
            <w:noProof/>
          </w:rPr>
          <w:t>Section 3: Special account flows and budgeted financial statements</w:t>
        </w:r>
        <w:r w:rsidR="004A3473">
          <w:rPr>
            <w:noProof/>
            <w:webHidden/>
          </w:rPr>
          <w:tab/>
        </w:r>
        <w:r w:rsidR="004A3473">
          <w:rPr>
            <w:noProof/>
            <w:webHidden/>
          </w:rPr>
          <w:fldChar w:fldCharType="begin"/>
        </w:r>
        <w:r w:rsidR="004A3473">
          <w:rPr>
            <w:noProof/>
            <w:webHidden/>
          </w:rPr>
          <w:instrText xml:space="preserve"> PAGEREF _Toc157421329 \h </w:instrText>
        </w:r>
        <w:r w:rsidR="004A3473">
          <w:rPr>
            <w:noProof/>
            <w:webHidden/>
          </w:rPr>
        </w:r>
        <w:r w:rsidR="004A3473">
          <w:rPr>
            <w:noProof/>
            <w:webHidden/>
          </w:rPr>
          <w:fldChar w:fldCharType="separate"/>
        </w:r>
        <w:r w:rsidR="00905C56">
          <w:rPr>
            <w:noProof/>
            <w:webHidden/>
          </w:rPr>
          <w:t>91</w:t>
        </w:r>
        <w:r w:rsidR="004A3473">
          <w:rPr>
            <w:noProof/>
            <w:webHidden/>
          </w:rPr>
          <w:fldChar w:fldCharType="end"/>
        </w:r>
      </w:hyperlink>
    </w:p>
    <w:p w14:paraId="42CC6995" w14:textId="0DE7B3B3" w:rsidR="004A3473" w:rsidRDefault="00000000">
      <w:pPr>
        <w:pStyle w:val="TOC2"/>
        <w:rPr>
          <w:rFonts w:asciiTheme="minorHAnsi" w:eastAsiaTheme="minorEastAsia" w:hAnsiTheme="minorHAnsi" w:cstheme="minorBidi"/>
          <w:noProof/>
          <w:sz w:val="22"/>
          <w:szCs w:val="22"/>
        </w:rPr>
      </w:pPr>
      <w:hyperlink w:anchor="_Toc157421330" w:history="1">
        <w:r w:rsidR="004A3473" w:rsidRPr="005A4A92">
          <w:rPr>
            <w:rStyle w:val="Hyperlink"/>
            <w:noProof/>
          </w:rPr>
          <w:t>3.1</w:t>
        </w:r>
        <w:r w:rsidR="004A3473">
          <w:rPr>
            <w:rFonts w:asciiTheme="minorHAnsi" w:eastAsiaTheme="minorEastAsia" w:hAnsiTheme="minorHAnsi" w:cstheme="minorBidi"/>
            <w:noProof/>
            <w:sz w:val="22"/>
            <w:szCs w:val="22"/>
          </w:rPr>
          <w:tab/>
        </w:r>
        <w:r w:rsidR="004A3473" w:rsidRPr="005A4A92">
          <w:rPr>
            <w:rStyle w:val="Hyperlink"/>
            <w:noProof/>
          </w:rPr>
          <w:t>Special account flows and balances</w:t>
        </w:r>
        <w:r w:rsidR="004A3473">
          <w:rPr>
            <w:noProof/>
            <w:webHidden/>
          </w:rPr>
          <w:tab/>
        </w:r>
        <w:r w:rsidR="004A3473">
          <w:rPr>
            <w:noProof/>
            <w:webHidden/>
          </w:rPr>
          <w:fldChar w:fldCharType="begin"/>
        </w:r>
        <w:r w:rsidR="004A3473">
          <w:rPr>
            <w:noProof/>
            <w:webHidden/>
          </w:rPr>
          <w:instrText xml:space="preserve"> PAGEREF _Toc157421330 \h </w:instrText>
        </w:r>
        <w:r w:rsidR="004A3473">
          <w:rPr>
            <w:noProof/>
            <w:webHidden/>
          </w:rPr>
        </w:r>
        <w:r w:rsidR="004A3473">
          <w:rPr>
            <w:noProof/>
            <w:webHidden/>
          </w:rPr>
          <w:fldChar w:fldCharType="separate"/>
        </w:r>
        <w:r w:rsidR="00905C56">
          <w:rPr>
            <w:noProof/>
            <w:webHidden/>
          </w:rPr>
          <w:t>91</w:t>
        </w:r>
        <w:r w:rsidR="004A3473">
          <w:rPr>
            <w:noProof/>
            <w:webHidden/>
          </w:rPr>
          <w:fldChar w:fldCharType="end"/>
        </w:r>
      </w:hyperlink>
    </w:p>
    <w:p w14:paraId="36FB634E" w14:textId="28F6D4FF" w:rsidR="004A3473" w:rsidRDefault="00000000">
      <w:pPr>
        <w:pStyle w:val="TOC2"/>
        <w:rPr>
          <w:rFonts w:asciiTheme="minorHAnsi" w:eastAsiaTheme="minorEastAsia" w:hAnsiTheme="minorHAnsi" w:cstheme="minorBidi"/>
          <w:noProof/>
          <w:sz w:val="22"/>
          <w:szCs w:val="22"/>
        </w:rPr>
      </w:pPr>
      <w:hyperlink w:anchor="_Toc157421331" w:history="1">
        <w:r w:rsidR="004A3473" w:rsidRPr="005A4A92">
          <w:rPr>
            <w:rStyle w:val="Hyperlink"/>
            <w:noProof/>
          </w:rPr>
          <w:t>3.2</w:t>
        </w:r>
        <w:r w:rsidR="004A3473">
          <w:rPr>
            <w:rFonts w:asciiTheme="minorHAnsi" w:eastAsiaTheme="minorEastAsia" w:hAnsiTheme="minorHAnsi" w:cstheme="minorBidi"/>
            <w:noProof/>
            <w:sz w:val="22"/>
            <w:szCs w:val="22"/>
          </w:rPr>
          <w:tab/>
        </w:r>
        <w:r w:rsidR="004A3473" w:rsidRPr="005A4A92">
          <w:rPr>
            <w:rStyle w:val="Hyperlink"/>
            <w:noProof/>
          </w:rPr>
          <w:t>Budgeted financial statements</w:t>
        </w:r>
        <w:r w:rsidR="004A3473">
          <w:rPr>
            <w:noProof/>
            <w:webHidden/>
          </w:rPr>
          <w:tab/>
        </w:r>
        <w:r w:rsidR="004A3473">
          <w:rPr>
            <w:noProof/>
            <w:webHidden/>
          </w:rPr>
          <w:fldChar w:fldCharType="begin"/>
        </w:r>
        <w:r w:rsidR="004A3473">
          <w:rPr>
            <w:noProof/>
            <w:webHidden/>
          </w:rPr>
          <w:instrText xml:space="preserve"> PAGEREF _Toc157421331 \h </w:instrText>
        </w:r>
        <w:r w:rsidR="004A3473">
          <w:rPr>
            <w:noProof/>
            <w:webHidden/>
          </w:rPr>
        </w:r>
        <w:r w:rsidR="004A3473">
          <w:rPr>
            <w:noProof/>
            <w:webHidden/>
          </w:rPr>
          <w:fldChar w:fldCharType="separate"/>
        </w:r>
        <w:r w:rsidR="00905C56">
          <w:rPr>
            <w:noProof/>
            <w:webHidden/>
          </w:rPr>
          <w:t>91</w:t>
        </w:r>
        <w:r w:rsidR="004A3473">
          <w:rPr>
            <w:noProof/>
            <w:webHidden/>
          </w:rPr>
          <w:fldChar w:fldCharType="end"/>
        </w:r>
      </w:hyperlink>
    </w:p>
    <w:p w14:paraId="4AD09F98" w14:textId="10A2F422" w:rsidR="00275707" w:rsidRDefault="00D0639D" w:rsidP="00275707">
      <w:r>
        <w:fldChar w:fldCharType="end"/>
      </w:r>
    </w:p>
    <w:p w14:paraId="40876B07" w14:textId="77777777" w:rsidR="00275707" w:rsidRDefault="00275707" w:rsidP="00275707">
      <w:pPr>
        <w:spacing w:before="0" w:after="0" w:line="240" w:lineRule="auto"/>
      </w:pPr>
      <w:r>
        <w:br w:type="page"/>
      </w:r>
    </w:p>
    <w:p w14:paraId="2621B918" w14:textId="77777777" w:rsidR="00275707" w:rsidRDefault="00275707" w:rsidP="00275707">
      <w:pPr>
        <w:pStyle w:val="Heading1-LVL2"/>
      </w:pPr>
      <w:bookmarkStart w:id="372" w:name="_Toc155859221"/>
      <w:r>
        <w:t>Aged Care Quality and Safety Commission</w:t>
      </w:r>
      <w:bookmarkEnd w:id="372"/>
      <w:r>
        <w:t xml:space="preserve"> </w:t>
      </w:r>
    </w:p>
    <w:p w14:paraId="76C6A77B" w14:textId="7DD7BB07" w:rsidR="00275707" w:rsidRPr="00F045E6" w:rsidRDefault="00D0639D" w:rsidP="00275707">
      <w:pPr>
        <w:pStyle w:val="Heading2-TOC"/>
      </w:pPr>
      <w:r>
        <w:fldChar w:fldCharType="begin"/>
      </w:r>
      <w:r>
        <w:instrText xml:space="preserve"> </w:instrText>
      </w:r>
      <w:proofErr w:type="gramStart"/>
      <w:r>
        <w:instrText>TC  "</w:instrText>
      </w:r>
      <w:bookmarkStart w:id="373" w:name="_Toc155883126"/>
      <w:bookmarkStart w:id="374" w:name="_Toc157421321"/>
      <w:bookmarkStart w:id="375" w:name="_Toc157421366"/>
      <w:bookmarkStart w:id="376" w:name="_Toc157596645"/>
      <w:proofErr w:type="gramEnd"/>
      <w:r>
        <w:instrText>Section 1: Entity overview and resources</w:instrText>
      </w:r>
      <w:bookmarkEnd w:id="373"/>
      <w:bookmarkEnd w:id="374"/>
      <w:bookmarkEnd w:id="375"/>
      <w:bookmarkEnd w:id="376"/>
      <w:r>
        <w:instrText xml:space="preserve">" \f </w:instrText>
      </w:r>
      <w:proofErr w:type="spellStart"/>
      <w:r>
        <w:instrText>acq</w:instrText>
      </w:r>
      <w:proofErr w:type="spellEnd"/>
      <w:r>
        <w:instrText xml:space="preserve"> \l 1 </w:instrText>
      </w:r>
      <w:r>
        <w:fldChar w:fldCharType="end"/>
      </w:r>
      <w:bookmarkStart w:id="377" w:name="_Toc157592003"/>
      <w:bookmarkStart w:id="378" w:name="_Toc157592186"/>
      <w:r w:rsidR="00275707" w:rsidRPr="00F045E6">
        <w:t>Section 1: Entity overview and resources</w:t>
      </w:r>
      <w:bookmarkEnd w:id="377"/>
      <w:bookmarkEnd w:id="378"/>
    </w:p>
    <w:p w14:paraId="21ED4556" w14:textId="0A48182E" w:rsidR="00275707" w:rsidRPr="002322E9" w:rsidRDefault="00D0639D" w:rsidP="00275707">
      <w:pPr>
        <w:pStyle w:val="Heading3"/>
      </w:pPr>
      <w:r>
        <w:fldChar w:fldCharType="begin"/>
      </w:r>
      <w:r>
        <w:instrText xml:space="preserve"> </w:instrText>
      </w:r>
      <w:proofErr w:type="gramStart"/>
      <w:r>
        <w:instrText>TC  "</w:instrText>
      </w:r>
      <w:bookmarkStart w:id="379" w:name="_Toc155883127"/>
      <w:bookmarkStart w:id="380" w:name="_Toc157421322"/>
      <w:bookmarkStart w:id="381" w:name="_Toc157421367"/>
      <w:bookmarkStart w:id="382" w:name="_Toc157596646"/>
      <w:proofErr w:type="gramEnd"/>
      <w:r>
        <w:instrText>1.1</w:instrText>
      </w:r>
      <w:r w:rsidR="004A3473">
        <w:tab/>
        <w:instrText>Strategic direction s</w:instrText>
      </w:r>
      <w:r>
        <w:instrText>tatement</w:instrText>
      </w:r>
      <w:bookmarkEnd w:id="379"/>
      <w:bookmarkEnd w:id="380"/>
      <w:bookmarkEnd w:id="381"/>
      <w:bookmarkEnd w:id="382"/>
      <w:r>
        <w:instrText xml:space="preserve">" \f </w:instrText>
      </w:r>
      <w:proofErr w:type="spellStart"/>
      <w:r>
        <w:instrText>acq</w:instrText>
      </w:r>
      <w:proofErr w:type="spellEnd"/>
      <w:r>
        <w:instrText xml:space="preserve"> \l 2 </w:instrText>
      </w:r>
      <w:r>
        <w:fldChar w:fldCharType="end"/>
      </w:r>
      <w:bookmarkStart w:id="383" w:name="_Toc157592004"/>
      <w:bookmarkStart w:id="384" w:name="_Toc157592187"/>
      <w:r w:rsidR="00275707">
        <w:t>1.1</w:t>
      </w:r>
      <w:r w:rsidR="00275707">
        <w:tab/>
      </w:r>
      <w:r w:rsidR="00275707" w:rsidRPr="004928FF">
        <w:t>Strategic direction</w:t>
      </w:r>
      <w:r w:rsidR="00275707">
        <w:t xml:space="preserve"> statement</w:t>
      </w:r>
      <w:bookmarkEnd w:id="383"/>
      <w:bookmarkEnd w:id="384"/>
    </w:p>
    <w:p w14:paraId="2689C910" w14:textId="18D08E81" w:rsidR="00275707" w:rsidRPr="00CC6D00" w:rsidRDefault="00275707" w:rsidP="00275707">
      <w:pPr>
        <w:spacing w:after="120"/>
        <w:rPr>
          <w:rFonts w:ascii="Calibri" w:hAnsi="Calibri"/>
          <w:i/>
          <w:iCs/>
          <w:sz w:val="20"/>
        </w:rPr>
      </w:pPr>
      <w:r w:rsidRPr="00CC6D00">
        <w:rPr>
          <w:sz w:val="20"/>
        </w:rPr>
        <w:t xml:space="preserve">The </w:t>
      </w:r>
      <w:r w:rsidR="00526CE6" w:rsidRPr="00526CE6">
        <w:rPr>
          <w:sz w:val="20"/>
        </w:rPr>
        <w:t>Aged Care Quality and Safety Commission</w:t>
      </w:r>
      <w:r w:rsidR="00526CE6" w:rsidRPr="00CC6D00">
        <w:rPr>
          <w:sz w:val="20"/>
        </w:rPr>
        <w:t xml:space="preserve"> </w:t>
      </w:r>
      <w:r w:rsidR="00526CE6">
        <w:rPr>
          <w:sz w:val="20"/>
        </w:rPr>
        <w:t>(</w:t>
      </w:r>
      <w:r w:rsidRPr="00CC6D00">
        <w:rPr>
          <w:sz w:val="20"/>
        </w:rPr>
        <w:t>ACQSC</w:t>
      </w:r>
      <w:r w:rsidR="00526CE6">
        <w:rPr>
          <w:sz w:val="20"/>
        </w:rPr>
        <w:t>)</w:t>
      </w:r>
      <w:r w:rsidRPr="00CC6D00">
        <w:rPr>
          <w:sz w:val="20"/>
        </w:rPr>
        <w:t xml:space="preserve"> works under the </w:t>
      </w:r>
      <w:r w:rsidRPr="00CC6D00">
        <w:rPr>
          <w:i/>
          <w:iCs/>
          <w:sz w:val="20"/>
        </w:rPr>
        <w:t>Aged Care Quality and Safety Commission Act 2018</w:t>
      </w:r>
      <w:r w:rsidRPr="00CC6D00">
        <w:rPr>
          <w:sz w:val="20"/>
        </w:rPr>
        <w:t xml:space="preserve">, the Aged Care Quality and Safety Commission Rules 2018 and the </w:t>
      </w:r>
      <w:r w:rsidRPr="00CC6D00">
        <w:rPr>
          <w:i/>
          <w:iCs/>
          <w:sz w:val="20"/>
        </w:rPr>
        <w:t>Aged Care Act 1997</w:t>
      </w:r>
      <w:r w:rsidRPr="00CC6D00">
        <w:rPr>
          <w:sz w:val="20"/>
        </w:rPr>
        <w:t xml:space="preserve">. </w:t>
      </w:r>
    </w:p>
    <w:p w14:paraId="0EF335F8" w14:textId="473534F1" w:rsidR="00275707" w:rsidRPr="00CC6D00" w:rsidRDefault="00275707" w:rsidP="00275707">
      <w:pPr>
        <w:spacing w:after="120"/>
        <w:rPr>
          <w:sz w:val="20"/>
        </w:rPr>
      </w:pPr>
      <w:r w:rsidRPr="00CC6D00">
        <w:rPr>
          <w:sz w:val="20"/>
        </w:rPr>
        <w:t>For a ful</w:t>
      </w:r>
      <w:r w:rsidR="004A3473">
        <w:rPr>
          <w:sz w:val="20"/>
        </w:rPr>
        <w:t>l outline of ACQSC’s strategic d</w:t>
      </w:r>
      <w:r w:rsidRPr="00CC6D00">
        <w:rPr>
          <w:sz w:val="20"/>
        </w:rPr>
        <w:t xml:space="preserve">irection, refer page 134 of the </w:t>
      </w:r>
      <w:r w:rsidRPr="00C82B16">
        <w:rPr>
          <w:i/>
          <w:sz w:val="20"/>
        </w:rPr>
        <w:t>Health and Aged Care Portfolio Budget Statements 2023–24</w:t>
      </w:r>
      <w:r w:rsidRPr="00CC6D00">
        <w:rPr>
          <w:sz w:val="20"/>
        </w:rPr>
        <w:t>.</w:t>
      </w:r>
    </w:p>
    <w:p w14:paraId="2E7F96C1" w14:textId="77777777" w:rsidR="00C82B16" w:rsidRDefault="00C82B16">
      <w:pPr>
        <w:spacing w:before="0" w:after="0" w:line="240" w:lineRule="auto"/>
        <w:rPr>
          <w:rFonts w:ascii="Arial Bold" w:hAnsi="Arial Bold"/>
          <w:b/>
          <w:sz w:val="22"/>
        </w:rPr>
      </w:pPr>
      <w:r>
        <w:br w:type="page"/>
      </w:r>
    </w:p>
    <w:p w14:paraId="236A25B1" w14:textId="636123EB" w:rsidR="00275707" w:rsidRPr="004928FF" w:rsidRDefault="00D91D52" w:rsidP="00275707">
      <w:pPr>
        <w:pStyle w:val="Heading3"/>
      </w:pPr>
      <w:r>
        <w:fldChar w:fldCharType="begin"/>
      </w:r>
      <w:r>
        <w:instrText xml:space="preserve"> </w:instrText>
      </w:r>
      <w:proofErr w:type="gramStart"/>
      <w:r>
        <w:instrText>TC  "</w:instrText>
      </w:r>
      <w:bookmarkStart w:id="385" w:name="_Toc155883128"/>
      <w:bookmarkStart w:id="386" w:name="_Toc157421323"/>
      <w:bookmarkStart w:id="387" w:name="_Toc157421368"/>
      <w:bookmarkStart w:id="388" w:name="_Toc157596647"/>
      <w:proofErr w:type="gramEnd"/>
      <w:r w:rsidR="004A3473">
        <w:instrText>1.2</w:instrText>
      </w:r>
      <w:r w:rsidR="004A3473">
        <w:tab/>
        <w:instrText>Entity resource s</w:instrText>
      </w:r>
      <w:r>
        <w:instrText>tatement</w:instrText>
      </w:r>
      <w:bookmarkEnd w:id="385"/>
      <w:bookmarkEnd w:id="386"/>
      <w:bookmarkEnd w:id="387"/>
      <w:bookmarkEnd w:id="388"/>
      <w:r>
        <w:instrText xml:space="preserve">" \f </w:instrText>
      </w:r>
      <w:proofErr w:type="spellStart"/>
      <w:r>
        <w:instrText>acq</w:instrText>
      </w:r>
      <w:proofErr w:type="spellEnd"/>
      <w:r>
        <w:instrText xml:space="preserve"> \l 2 </w:instrText>
      </w:r>
      <w:r>
        <w:fldChar w:fldCharType="end"/>
      </w:r>
      <w:bookmarkStart w:id="389" w:name="_Toc157592005"/>
      <w:bookmarkStart w:id="390" w:name="_Toc157592188"/>
      <w:r w:rsidR="00275707">
        <w:t>1.2</w:t>
      </w:r>
      <w:r w:rsidR="00275707">
        <w:tab/>
        <w:t>Entity resource statement</w:t>
      </w:r>
      <w:bookmarkEnd w:id="389"/>
      <w:bookmarkEnd w:id="390"/>
    </w:p>
    <w:p w14:paraId="3A34AC6D" w14:textId="01A62855" w:rsidR="00275707" w:rsidRPr="00CC6D00" w:rsidRDefault="00013E6F" w:rsidP="00275707">
      <w:pPr>
        <w:rPr>
          <w:sz w:val="20"/>
        </w:rPr>
      </w:pPr>
      <w:r>
        <w:rPr>
          <w:sz w:val="20"/>
        </w:rPr>
        <w:t>The Entity resource s</w:t>
      </w:r>
      <w:r w:rsidR="00275707" w:rsidRPr="00CC6D00">
        <w:rPr>
          <w:sz w:val="20"/>
        </w:rPr>
        <w:t xml:space="preserve">tatement details the resourcing for </w:t>
      </w:r>
      <w:r w:rsidR="00275707" w:rsidRPr="00526CE6">
        <w:rPr>
          <w:sz w:val="20"/>
        </w:rPr>
        <w:t xml:space="preserve">the </w:t>
      </w:r>
      <w:r w:rsidR="00526CE6">
        <w:rPr>
          <w:sz w:val="20"/>
        </w:rPr>
        <w:t>ACQSC</w:t>
      </w:r>
      <w:r w:rsidR="00275707" w:rsidRPr="00526CE6">
        <w:rPr>
          <w:sz w:val="20"/>
        </w:rPr>
        <w:t xml:space="preserve"> at</w:t>
      </w:r>
      <w:r w:rsidR="00275707" w:rsidRPr="00CC6D00">
        <w:rPr>
          <w:sz w:val="20"/>
        </w:rPr>
        <w:t xml:space="preserve"> Additional Estimates. Table 1.1 outlines the total resourcing available fr</w:t>
      </w:r>
      <w:r>
        <w:rPr>
          <w:sz w:val="20"/>
        </w:rPr>
        <w:t>om all sources for the 2023–24 </w:t>
      </w:r>
      <w:r w:rsidR="00275707" w:rsidRPr="00CC6D00">
        <w:rPr>
          <w:sz w:val="20"/>
        </w:rPr>
        <w:t xml:space="preserve">Budget year, including variations through Appropriation Bill </w:t>
      </w:r>
      <w:r>
        <w:rPr>
          <w:sz w:val="20"/>
        </w:rPr>
        <w:t>(</w:t>
      </w:r>
      <w:r w:rsidR="00275707" w:rsidRPr="00CC6D00">
        <w:rPr>
          <w:sz w:val="20"/>
        </w:rPr>
        <w:t>No</w:t>
      </w:r>
      <w:r>
        <w:rPr>
          <w:sz w:val="20"/>
        </w:rPr>
        <w:t>s</w:t>
      </w:r>
      <w:r w:rsidR="00275707" w:rsidRPr="00CC6D00">
        <w:rPr>
          <w:sz w:val="20"/>
        </w:rPr>
        <w:t>. 3 and No.</w:t>
      </w:r>
      <w:r>
        <w:rPr>
          <w:sz w:val="20"/>
        </w:rPr>
        <w:t> </w:t>
      </w:r>
      <w:r w:rsidR="00275707" w:rsidRPr="00CC6D00">
        <w:rPr>
          <w:sz w:val="20"/>
        </w:rPr>
        <w:t>4</w:t>
      </w:r>
      <w:r>
        <w:rPr>
          <w:sz w:val="20"/>
        </w:rPr>
        <w:t>)</w:t>
      </w:r>
      <w:r w:rsidR="00275707" w:rsidRPr="00CC6D00">
        <w:rPr>
          <w:i/>
          <w:sz w:val="20"/>
        </w:rPr>
        <w:t>,</w:t>
      </w:r>
      <w:r w:rsidR="00275707" w:rsidRPr="00CC6D00">
        <w:rPr>
          <w:sz w:val="20"/>
        </w:rPr>
        <w:t xml:space="preserve"> Special Appropriations and Special Accounts. </w:t>
      </w:r>
    </w:p>
    <w:p w14:paraId="6983AF45" w14:textId="77777777" w:rsidR="00C82B16" w:rsidRDefault="00275707" w:rsidP="00C82B16">
      <w:pPr>
        <w:rPr>
          <w:sz w:val="20"/>
        </w:rPr>
      </w:pPr>
      <w:r w:rsidRPr="00CC6D00">
        <w:rPr>
          <w:sz w:val="20"/>
        </w:rPr>
        <w:t xml:space="preserve">Amounts presented below are consistent with amounts presented in the Appropriation Bills themselves, and as published in appropriation notes to the 2022–23 financial statements. </w:t>
      </w:r>
    </w:p>
    <w:p w14:paraId="6027E7EE" w14:textId="3BA704BD" w:rsidR="00A77F72" w:rsidRPr="00C82B16" w:rsidRDefault="00275707" w:rsidP="00200DF1">
      <w:pPr>
        <w:spacing w:after="20"/>
        <w:rPr>
          <w:rFonts w:ascii="Arial" w:hAnsi="Arial" w:cs="Arial"/>
          <w:b/>
          <w:sz w:val="20"/>
        </w:rPr>
      </w:pPr>
      <w:r w:rsidRPr="00C82B16">
        <w:rPr>
          <w:rFonts w:ascii="Arial" w:hAnsi="Arial" w:cs="Arial"/>
          <w:b/>
          <w:sz w:val="20"/>
        </w:rPr>
        <w:t xml:space="preserve">Table 1.1: ACQSC resource statement — Additional Estimates for 2023–24 as </w:t>
      </w:r>
      <w:proofErr w:type="gramStart"/>
      <w:r w:rsidRPr="00C82B16">
        <w:rPr>
          <w:rFonts w:ascii="Arial" w:hAnsi="Arial" w:cs="Arial"/>
          <w:b/>
          <w:sz w:val="20"/>
        </w:rPr>
        <w:t>at</w:t>
      </w:r>
      <w:proofErr w:type="gramEnd"/>
      <w:r w:rsidRPr="00C82B16">
        <w:rPr>
          <w:rFonts w:ascii="Arial" w:hAnsi="Arial" w:cs="Arial"/>
          <w:b/>
          <w:sz w:val="20"/>
        </w:rPr>
        <w:t xml:space="preserve"> February 2024</w:t>
      </w:r>
    </w:p>
    <w:tbl>
      <w:tblPr>
        <w:tblW w:w="7880" w:type="dxa"/>
        <w:jc w:val="center"/>
        <w:tblLayout w:type="fixed"/>
        <w:tblLook w:val="04A0" w:firstRow="1" w:lastRow="0" w:firstColumn="1" w:lastColumn="0" w:noHBand="0" w:noVBand="1"/>
      </w:tblPr>
      <w:tblGrid>
        <w:gridCol w:w="3289"/>
        <w:gridCol w:w="1326"/>
        <w:gridCol w:w="1122"/>
        <w:gridCol w:w="1084"/>
        <w:gridCol w:w="1059"/>
      </w:tblGrid>
      <w:tr w:rsidR="002E3ECE" w:rsidRPr="00C45D1F" w14:paraId="791CC50F" w14:textId="77777777" w:rsidTr="000B6EBB">
        <w:trPr>
          <w:trHeight w:val="765"/>
          <w:jc w:val="center"/>
        </w:trPr>
        <w:tc>
          <w:tcPr>
            <w:tcW w:w="3289" w:type="dxa"/>
            <w:tcBorders>
              <w:top w:val="single" w:sz="4" w:space="0" w:color="auto"/>
              <w:left w:val="nil"/>
              <w:bottom w:val="nil"/>
              <w:right w:val="nil"/>
            </w:tcBorders>
            <w:shd w:val="clear" w:color="auto" w:fill="auto"/>
            <w:hideMark/>
          </w:tcPr>
          <w:p w14:paraId="71E1A00E" w14:textId="77777777" w:rsidR="002E3ECE" w:rsidRPr="00C45D1F" w:rsidRDefault="002E3ECE" w:rsidP="000B6EBB">
            <w:pPr>
              <w:spacing w:before="24" w:after="0" w:line="240" w:lineRule="auto"/>
              <w:jc w:val="right"/>
              <w:rPr>
                <w:rFonts w:ascii="Arial" w:hAnsi="Arial" w:cs="Arial"/>
                <w:b/>
                <w:bCs/>
                <w:sz w:val="16"/>
                <w:szCs w:val="16"/>
              </w:rPr>
            </w:pPr>
            <w:r w:rsidRPr="00C45D1F">
              <w:rPr>
                <w:rFonts w:ascii="Arial" w:hAnsi="Arial" w:cs="Arial"/>
                <w:b/>
                <w:bCs/>
                <w:sz w:val="16"/>
                <w:szCs w:val="16"/>
              </w:rPr>
              <w:t> </w:t>
            </w:r>
          </w:p>
        </w:tc>
        <w:tc>
          <w:tcPr>
            <w:tcW w:w="1326" w:type="dxa"/>
            <w:tcBorders>
              <w:top w:val="single" w:sz="4" w:space="0" w:color="auto"/>
              <w:left w:val="nil"/>
              <w:bottom w:val="single" w:sz="4" w:space="0" w:color="auto"/>
              <w:right w:val="nil"/>
            </w:tcBorders>
            <w:shd w:val="clear" w:color="auto" w:fill="auto"/>
            <w:hideMark/>
          </w:tcPr>
          <w:p w14:paraId="77C63B15" w14:textId="77777777" w:rsidR="002E3ECE" w:rsidRPr="00C45D1F" w:rsidRDefault="002E3ECE" w:rsidP="000B6EBB">
            <w:pPr>
              <w:spacing w:before="24" w:after="0" w:line="240" w:lineRule="auto"/>
              <w:jc w:val="right"/>
              <w:rPr>
                <w:rFonts w:ascii="Arial" w:hAnsi="Arial" w:cs="Arial"/>
                <w:b/>
                <w:bCs/>
                <w:sz w:val="16"/>
                <w:szCs w:val="16"/>
              </w:rPr>
            </w:pPr>
            <w:r>
              <w:rPr>
                <w:rFonts w:ascii="Arial" w:hAnsi="Arial" w:cs="Arial"/>
                <w:b/>
                <w:bCs/>
                <w:sz w:val="16"/>
                <w:szCs w:val="16"/>
              </w:rPr>
              <w:t>2022–</w:t>
            </w:r>
            <w:r w:rsidRPr="00C45D1F">
              <w:rPr>
                <w:rFonts w:ascii="Arial" w:hAnsi="Arial" w:cs="Arial"/>
                <w:b/>
                <w:bCs/>
                <w:sz w:val="16"/>
                <w:szCs w:val="16"/>
              </w:rPr>
              <w:t>23</w:t>
            </w:r>
            <w:r w:rsidRPr="00C45D1F">
              <w:rPr>
                <w:rFonts w:ascii="Arial" w:hAnsi="Arial" w:cs="Arial"/>
                <w:b/>
                <w:bCs/>
                <w:sz w:val="16"/>
                <w:szCs w:val="16"/>
              </w:rPr>
              <w:br/>
              <w:t>Actual</w:t>
            </w:r>
            <w:r w:rsidRPr="00C45D1F">
              <w:rPr>
                <w:rFonts w:ascii="Arial" w:hAnsi="Arial" w:cs="Arial"/>
                <w:b/>
                <w:bCs/>
                <w:sz w:val="16"/>
                <w:szCs w:val="16"/>
              </w:rPr>
              <w:br/>
              <w:t>available</w:t>
            </w:r>
            <w:r w:rsidRPr="00C45D1F">
              <w:rPr>
                <w:rFonts w:ascii="Arial" w:hAnsi="Arial" w:cs="Arial"/>
                <w:b/>
                <w:bCs/>
                <w:sz w:val="16"/>
                <w:szCs w:val="16"/>
              </w:rPr>
              <w:br/>
              <w:t>appropriation</w:t>
            </w:r>
            <w:r w:rsidRPr="00C45D1F">
              <w:rPr>
                <w:rFonts w:ascii="Arial" w:hAnsi="Arial" w:cs="Arial"/>
                <w:b/>
                <w:bCs/>
                <w:sz w:val="16"/>
                <w:szCs w:val="16"/>
              </w:rPr>
              <w:br/>
            </w:r>
            <w:r w:rsidRPr="00C45D1F">
              <w:rPr>
                <w:rFonts w:ascii="Arial" w:hAnsi="Arial" w:cs="Arial"/>
                <w:sz w:val="16"/>
                <w:szCs w:val="16"/>
              </w:rPr>
              <w:t>$'000</w:t>
            </w:r>
          </w:p>
        </w:tc>
        <w:tc>
          <w:tcPr>
            <w:tcW w:w="1122" w:type="dxa"/>
            <w:tcBorders>
              <w:top w:val="single" w:sz="4" w:space="0" w:color="auto"/>
              <w:left w:val="nil"/>
              <w:bottom w:val="single" w:sz="4" w:space="0" w:color="auto"/>
              <w:right w:val="nil"/>
            </w:tcBorders>
            <w:shd w:val="clear" w:color="000000" w:fill="D9D9D9"/>
            <w:hideMark/>
          </w:tcPr>
          <w:p w14:paraId="0AD59A88" w14:textId="77777777" w:rsidR="002E3ECE" w:rsidRPr="00C45D1F" w:rsidRDefault="002E3ECE" w:rsidP="000B6EBB">
            <w:pPr>
              <w:spacing w:before="24" w:after="0" w:line="240" w:lineRule="auto"/>
              <w:jc w:val="right"/>
              <w:rPr>
                <w:rFonts w:ascii="Arial" w:hAnsi="Arial" w:cs="Arial"/>
                <w:b/>
                <w:bCs/>
                <w:sz w:val="16"/>
                <w:szCs w:val="16"/>
              </w:rPr>
            </w:pPr>
            <w:r>
              <w:rPr>
                <w:rFonts w:ascii="Arial" w:hAnsi="Arial" w:cs="Arial"/>
                <w:b/>
                <w:bCs/>
                <w:sz w:val="16"/>
                <w:szCs w:val="16"/>
              </w:rPr>
              <w:t>2023–</w:t>
            </w:r>
            <w:r w:rsidRPr="00C45D1F">
              <w:rPr>
                <w:rFonts w:ascii="Arial" w:hAnsi="Arial" w:cs="Arial"/>
                <w:b/>
                <w:bCs/>
                <w:sz w:val="16"/>
                <w:szCs w:val="16"/>
              </w:rPr>
              <w:t>24</w:t>
            </w:r>
            <w:r w:rsidRPr="00C45D1F">
              <w:rPr>
                <w:rFonts w:ascii="Arial" w:hAnsi="Arial" w:cs="Arial"/>
                <w:b/>
                <w:bCs/>
                <w:sz w:val="16"/>
                <w:szCs w:val="16"/>
              </w:rPr>
              <w:br/>
              <w:t>Estimate as</w:t>
            </w:r>
            <w:r w:rsidRPr="00C45D1F">
              <w:rPr>
                <w:rFonts w:ascii="Arial" w:hAnsi="Arial" w:cs="Arial"/>
                <w:b/>
                <w:bCs/>
                <w:sz w:val="16"/>
                <w:szCs w:val="16"/>
              </w:rPr>
              <w:br/>
              <w:t>at Budget</w:t>
            </w:r>
            <w:r w:rsidRPr="00C45D1F">
              <w:rPr>
                <w:rFonts w:ascii="Arial" w:hAnsi="Arial" w:cs="Arial"/>
                <w:b/>
                <w:bCs/>
                <w:sz w:val="16"/>
                <w:szCs w:val="16"/>
              </w:rPr>
              <w:br/>
            </w:r>
            <w:r w:rsidRPr="00C45D1F">
              <w:rPr>
                <w:rFonts w:ascii="Arial" w:hAnsi="Arial" w:cs="Arial"/>
                <w:b/>
                <w:bCs/>
                <w:sz w:val="16"/>
                <w:szCs w:val="16"/>
              </w:rPr>
              <w:br/>
            </w:r>
            <w:r w:rsidRPr="00C45D1F">
              <w:rPr>
                <w:rFonts w:ascii="Arial" w:hAnsi="Arial" w:cs="Arial"/>
                <w:sz w:val="16"/>
                <w:szCs w:val="16"/>
              </w:rPr>
              <w:t>$'000</w:t>
            </w:r>
          </w:p>
        </w:tc>
        <w:tc>
          <w:tcPr>
            <w:tcW w:w="1084" w:type="dxa"/>
            <w:tcBorders>
              <w:top w:val="single" w:sz="4" w:space="0" w:color="auto"/>
              <w:left w:val="nil"/>
              <w:bottom w:val="single" w:sz="4" w:space="0" w:color="auto"/>
              <w:right w:val="nil"/>
            </w:tcBorders>
            <w:shd w:val="clear" w:color="auto" w:fill="auto"/>
            <w:hideMark/>
          </w:tcPr>
          <w:p w14:paraId="3F95F74C" w14:textId="77777777" w:rsidR="002E3ECE" w:rsidRPr="00C45D1F" w:rsidRDefault="002E3ECE" w:rsidP="000B6EBB">
            <w:pPr>
              <w:spacing w:before="24" w:after="0" w:line="240" w:lineRule="auto"/>
              <w:jc w:val="right"/>
              <w:rPr>
                <w:rFonts w:ascii="Arial" w:hAnsi="Arial" w:cs="Arial"/>
                <w:b/>
                <w:bCs/>
                <w:sz w:val="16"/>
                <w:szCs w:val="16"/>
              </w:rPr>
            </w:pPr>
            <w:r w:rsidRPr="00C45D1F">
              <w:rPr>
                <w:rFonts w:ascii="Arial" w:hAnsi="Arial" w:cs="Arial"/>
                <w:b/>
                <w:bCs/>
                <w:sz w:val="16"/>
                <w:szCs w:val="16"/>
              </w:rPr>
              <w:t>2023</w:t>
            </w:r>
            <w:r>
              <w:rPr>
                <w:rFonts w:ascii="Arial" w:hAnsi="Arial" w:cs="Arial"/>
                <w:b/>
                <w:bCs/>
                <w:sz w:val="16"/>
                <w:szCs w:val="16"/>
              </w:rPr>
              <w:t>–</w:t>
            </w:r>
            <w:r w:rsidRPr="00C45D1F">
              <w:rPr>
                <w:rFonts w:ascii="Arial" w:hAnsi="Arial" w:cs="Arial"/>
                <w:b/>
                <w:bCs/>
                <w:sz w:val="16"/>
                <w:szCs w:val="16"/>
              </w:rPr>
              <w:t>24</w:t>
            </w:r>
            <w:r w:rsidRPr="00C45D1F">
              <w:rPr>
                <w:rFonts w:ascii="Arial" w:hAnsi="Arial" w:cs="Arial"/>
                <w:b/>
                <w:bCs/>
                <w:sz w:val="16"/>
                <w:szCs w:val="16"/>
              </w:rPr>
              <w:br/>
              <w:t>Proposed</w:t>
            </w:r>
            <w:r w:rsidRPr="00C45D1F">
              <w:rPr>
                <w:rFonts w:ascii="Arial" w:hAnsi="Arial" w:cs="Arial"/>
                <w:b/>
                <w:bCs/>
                <w:sz w:val="16"/>
                <w:szCs w:val="16"/>
              </w:rPr>
              <w:br/>
              <w:t>Additional</w:t>
            </w:r>
            <w:r w:rsidRPr="00C45D1F">
              <w:rPr>
                <w:rFonts w:ascii="Arial" w:hAnsi="Arial" w:cs="Arial"/>
                <w:b/>
                <w:bCs/>
                <w:sz w:val="16"/>
                <w:szCs w:val="16"/>
              </w:rPr>
              <w:br/>
              <w:t>Estimates</w:t>
            </w:r>
            <w:r w:rsidRPr="00C45D1F">
              <w:rPr>
                <w:rFonts w:ascii="Arial" w:hAnsi="Arial" w:cs="Arial"/>
                <w:b/>
                <w:bCs/>
                <w:sz w:val="16"/>
                <w:szCs w:val="16"/>
              </w:rPr>
              <w:br/>
            </w:r>
            <w:r w:rsidRPr="00C45D1F">
              <w:rPr>
                <w:rFonts w:ascii="Arial" w:hAnsi="Arial" w:cs="Arial"/>
                <w:sz w:val="16"/>
                <w:szCs w:val="16"/>
              </w:rPr>
              <w:t>$'000</w:t>
            </w:r>
          </w:p>
        </w:tc>
        <w:tc>
          <w:tcPr>
            <w:tcW w:w="1059" w:type="dxa"/>
            <w:tcBorders>
              <w:top w:val="single" w:sz="4" w:space="0" w:color="auto"/>
              <w:left w:val="nil"/>
              <w:bottom w:val="single" w:sz="4" w:space="0" w:color="auto"/>
              <w:right w:val="nil"/>
            </w:tcBorders>
            <w:shd w:val="clear" w:color="auto" w:fill="auto"/>
            <w:hideMark/>
          </w:tcPr>
          <w:p w14:paraId="773CF8AC" w14:textId="77777777" w:rsidR="002E3ECE" w:rsidRPr="00C45D1F" w:rsidRDefault="002E3ECE" w:rsidP="000B6EBB">
            <w:pPr>
              <w:spacing w:before="24" w:after="0" w:line="240" w:lineRule="auto"/>
              <w:jc w:val="right"/>
              <w:rPr>
                <w:rFonts w:ascii="Arial" w:hAnsi="Arial" w:cs="Arial"/>
                <w:b/>
                <w:bCs/>
                <w:sz w:val="16"/>
                <w:szCs w:val="16"/>
              </w:rPr>
            </w:pPr>
            <w:r>
              <w:rPr>
                <w:rFonts w:ascii="Arial" w:hAnsi="Arial" w:cs="Arial"/>
                <w:b/>
                <w:bCs/>
                <w:sz w:val="16"/>
                <w:szCs w:val="16"/>
              </w:rPr>
              <w:t>2023–</w:t>
            </w:r>
            <w:r w:rsidRPr="00C45D1F">
              <w:rPr>
                <w:rFonts w:ascii="Arial" w:hAnsi="Arial" w:cs="Arial"/>
                <w:b/>
                <w:bCs/>
                <w:sz w:val="16"/>
                <w:szCs w:val="16"/>
              </w:rPr>
              <w:t>24</w:t>
            </w:r>
            <w:r w:rsidRPr="00C45D1F">
              <w:rPr>
                <w:rFonts w:ascii="Arial" w:hAnsi="Arial" w:cs="Arial"/>
                <w:b/>
                <w:bCs/>
                <w:sz w:val="16"/>
                <w:szCs w:val="16"/>
              </w:rPr>
              <w:br/>
              <w:t>Total</w:t>
            </w:r>
            <w:r w:rsidRPr="00C45D1F">
              <w:rPr>
                <w:rFonts w:ascii="Arial" w:hAnsi="Arial" w:cs="Arial"/>
                <w:b/>
                <w:bCs/>
                <w:sz w:val="16"/>
                <w:szCs w:val="16"/>
              </w:rPr>
              <w:br/>
              <w:t>Estimate</w:t>
            </w:r>
            <w:r w:rsidRPr="00C45D1F">
              <w:rPr>
                <w:rFonts w:ascii="Arial" w:hAnsi="Arial" w:cs="Arial"/>
                <w:b/>
                <w:bCs/>
                <w:sz w:val="16"/>
                <w:szCs w:val="16"/>
              </w:rPr>
              <w:br/>
              <w:t>at AEs</w:t>
            </w:r>
            <w:r w:rsidRPr="00C45D1F">
              <w:rPr>
                <w:rFonts w:ascii="Arial" w:hAnsi="Arial" w:cs="Arial"/>
                <w:b/>
                <w:bCs/>
                <w:sz w:val="16"/>
                <w:szCs w:val="16"/>
              </w:rPr>
              <w:br/>
            </w:r>
            <w:r w:rsidRPr="00C45D1F">
              <w:rPr>
                <w:rFonts w:ascii="Arial" w:hAnsi="Arial" w:cs="Arial"/>
                <w:sz w:val="16"/>
                <w:szCs w:val="16"/>
              </w:rPr>
              <w:t>$'000</w:t>
            </w:r>
          </w:p>
        </w:tc>
      </w:tr>
      <w:tr w:rsidR="002E3ECE" w:rsidRPr="00C45D1F" w14:paraId="490B68FF"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5FC0C3E9" w14:textId="77777777" w:rsidR="002E3ECE" w:rsidRPr="00C45D1F" w:rsidRDefault="002E3ECE" w:rsidP="00053A29">
            <w:pPr>
              <w:spacing w:before="0" w:after="0" w:line="240" w:lineRule="auto"/>
              <w:rPr>
                <w:rFonts w:ascii="Arial" w:hAnsi="Arial" w:cs="Arial"/>
                <w:b/>
                <w:bCs/>
                <w:sz w:val="16"/>
                <w:szCs w:val="16"/>
              </w:rPr>
            </w:pPr>
            <w:r w:rsidRPr="00C45D1F">
              <w:rPr>
                <w:rFonts w:ascii="Arial" w:hAnsi="Arial" w:cs="Arial"/>
                <w:b/>
                <w:bCs/>
                <w:sz w:val="16"/>
                <w:szCs w:val="16"/>
              </w:rPr>
              <w:t>DEPARTMENTAL</w:t>
            </w:r>
          </w:p>
        </w:tc>
        <w:tc>
          <w:tcPr>
            <w:tcW w:w="1326" w:type="dxa"/>
            <w:tcBorders>
              <w:top w:val="nil"/>
              <w:left w:val="nil"/>
              <w:bottom w:val="nil"/>
              <w:right w:val="nil"/>
            </w:tcBorders>
            <w:shd w:val="clear" w:color="auto" w:fill="auto"/>
            <w:vAlign w:val="bottom"/>
            <w:hideMark/>
          </w:tcPr>
          <w:p w14:paraId="0128BE67" w14:textId="77777777" w:rsidR="002E3ECE" w:rsidRPr="00C45D1F" w:rsidRDefault="002E3ECE" w:rsidP="00053A29">
            <w:pPr>
              <w:spacing w:before="0" w:after="0" w:line="240" w:lineRule="auto"/>
              <w:jc w:val="right"/>
              <w:rPr>
                <w:rFonts w:ascii="Arial" w:hAnsi="Arial" w:cs="Arial"/>
                <w:sz w:val="16"/>
                <w:szCs w:val="16"/>
              </w:rPr>
            </w:pPr>
          </w:p>
        </w:tc>
        <w:tc>
          <w:tcPr>
            <w:tcW w:w="1122" w:type="dxa"/>
            <w:tcBorders>
              <w:top w:val="nil"/>
              <w:left w:val="nil"/>
              <w:bottom w:val="nil"/>
              <w:right w:val="nil"/>
            </w:tcBorders>
            <w:shd w:val="clear" w:color="000000" w:fill="D9D9D9"/>
            <w:noWrap/>
            <w:vAlign w:val="bottom"/>
            <w:hideMark/>
          </w:tcPr>
          <w:p w14:paraId="131D3975"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 </w:t>
            </w:r>
          </w:p>
        </w:tc>
        <w:tc>
          <w:tcPr>
            <w:tcW w:w="1084" w:type="dxa"/>
            <w:tcBorders>
              <w:top w:val="nil"/>
              <w:left w:val="nil"/>
              <w:bottom w:val="nil"/>
              <w:right w:val="nil"/>
            </w:tcBorders>
            <w:shd w:val="clear" w:color="auto" w:fill="auto"/>
            <w:noWrap/>
            <w:vAlign w:val="bottom"/>
            <w:hideMark/>
          </w:tcPr>
          <w:p w14:paraId="6331EE48" w14:textId="77777777" w:rsidR="002E3ECE" w:rsidRPr="00C45D1F" w:rsidRDefault="002E3ECE" w:rsidP="00053A29">
            <w:pPr>
              <w:spacing w:before="0" w:after="0" w:line="240" w:lineRule="auto"/>
              <w:jc w:val="right"/>
              <w:rPr>
                <w:rFonts w:ascii="Arial" w:hAnsi="Arial" w:cs="Arial"/>
                <w:sz w:val="16"/>
                <w:szCs w:val="16"/>
              </w:rPr>
            </w:pPr>
          </w:p>
        </w:tc>
        <w:tc>
          <w:tcPr>
            <w:tcW w:w="1059" w:type="dxa"/>
            <w:tcBorders>
              <w:top w:val="nil"/>
              <w:left w:val="nil"/>
              <w:bottom w:val="nil"/>
              <w:right w:val="nil"/>
            </w:tcBorders>
            <w:shd w:val="clear" w:color="auto" w:fill="auto"/>
            <w:noWrap/>
            <w:vAlign w:val="bottom"/>
            <w:hideMark/>
          </w:tcPr>
          <w:p w14:paraId="0D8F2F04" w14:textId="77777777" w:rsidR="002E3ECE" w:rsidRPr="00C45D1F" w:rsidRDefault="002E3ECE" w:rsidP="00053A29">
            <w:pPr>
              <w:spacing w:before="0" w:after="0" w:line="240" w:lineRule="auto"/>
              <w:jc w:val="right"/>
              <w:rPr>
                <w:rFonts w:ascii="Times New Roman" w:hAnsi="Times New Roman"/>
                <w:sz w:val="20"/>
              </w:rPr>
            </w:pPr>
          </w:p>
        </w:tc>
      </w:tr>
      <w:tr w:rsidR="002E3ECE" w:rsidRPr="00C45D1F" w14:paraId="259EE2F1"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55C7CF7C" w14:textId="77777777" w:rsidR="002E3ECE" w:rsidRPr="00C45D1F" w:rsidRDefault="002E3ECE" w:rsidP="00053A29">
            <w:pPr>
              <w:spacing w:before="0" w:after="0" w:line="240" w:lineRule="auto"/>
              <w:ind w:leftChars="75" w:left="143"/>
              <w:rPr>
                <w:rFonts w:ascii="Arial" w:hAnsi="Arial" w:cs="Arial"/>
                <w:sz w:val="16"/>
                <w:szCs w:val="16"/>
              </w:rPr>
            </w:pPr>
            <w:r w:rsidRPr="00C45D1F">
              <w:rPr>
                <w:rFonts w:ascii="Arial" w:hAnsi="Arial" w:cs="Arial"/>
                <w:sz w:val="16"/>
                <w:szCs w:val="16"/>
              </w:rPr>
              <w:t xml:space="preserve">Prior year appropriation available </w:t>
            </w:r>
            <w:r w:rsidRPr="00C45D1F">
              <w:rPr>
                <w:rFonts w:ascii="Arial" w:hAnsi="Arial" w:cs="Arial"/>
                <w:sz w:val="16"/>
                <w:szCs w:val="16"/>
                <w:vertAlign w:val="superscript"/>
              </w:rPr>
              <w:t>(a)</w:t>
            </w:r>
          </w:p>
        </w:tc>
        <w:tc>
          <w:tcPr>
            <w:tcW w:w="1326" w:type="dxa"/>
            <w:tcBorders>
              <w:top w:val="nil"/>
              <w:left w:val="nil"/>
              <w:bottom w:val="nil"/>
              <w:right w:val="nil"/>
            </w:tcBorders>
            <w:shd w:val="clear" w:color="auto" w:fill="auto"/>
            <w:noWrap/>
            <w:vAlign w:val="bottom"/>
            <w:hideMark/>
          </w:tcPr>
          <w:p w14:paraId="6D6FA182"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93,335</w:t>
            </w:r>
          </w:p>
        </w:tc>
        <w:tc>
          <w:tcPr>
            <w:tcW w:w="1122" w:type="dxa"/>
            <w:tcBorders>
              <w:top w:val="nil"/>
              <w:left w:val="nil"/>
              <w:bottom w:val="nil"/>
              <w:right w:val="nil"/>
            </w:tcBorders>
            <w:shd w:val="clear" w:color="000000" w:fill="D9D9D9"/>
            <w:noWrap/>
            <w:vAlign w:val="bottom"/>
            <w:hideMark/>
          </w:tcPr>
          <w:p w14:paraId="6E93F3C8"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93,600</w:t>
            </w:r>
          </w:p>
        </w:tc>
        <w:tc>
          <w:tcPr>
            <w:tcW w:w="1084" w:type="dxa"/>
            <w:tcBorders>
              <w:top w:val="nil"/>
              <w:left w:val="nil"/>
              <w:bottom w:val="nil"/>
              <w:right w:val="nil"/>
            </w:tcBorders>
            <w:shd w:val="clear" w:color="auto" w:fill="auto"/>
            <w:noWrap/>
            <w:vAlign w:val="bottom"/>
            <w:hideMark/>
          </w:tcPr>
          <w:p w14:paraId="3CFC2DBA"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1,497</w:t>
            </w:r>
          </w:p>
        </w:tc>
        <w:tc>
          <w:tcPr>
            <w:tcW w:w="1059" w:type="dxa"/>
            <w:tcBorders>
              <w:top w:val="nil"/>
              <w:left w:val="nil"/>
              <w:bottom w:val="nil"/>
              <w:right w:val="nil"/>
            </w:tcBorders>
            <w:shd w:val="clear" w:color="auto" w:fill="auto"/>
            <w:noWrap/>
            <w:vAlign w:val="bottom"/>
            <w:hideMark/>
          </w:tcPr>
          <w:p w14:paraId="31730BF7"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95,097</w:t>
            </w:r>
          </w:p>
        </w:tc>
      </w:tr>
      <w:tr w:rsidR="002E3ECE" w:rsidRPr="00C45D1F" w14:paraId="394AFFA2" w14:textId="77777777" w:rsidTr="000B6EBB">
        <w:trPr>
          <w:trHeight w:val="283"/>
          <w:jc w:val="center"/>
        </w:trPr>
        <w:tc>
          <w:tcPr>
            <w:tcW w:w="3289" w:type="dxa"/>
            <w:tcBorders>
              <w:top w:val="nil"/>
              <w:left w:val="nil"/>
              <w:bottom w:val="nil"/>
              <w:right w:val="nil"/>
            </w:tcBorders>
            <w:shd w:val="clear" w:color="auto" w:fill="auto"/>
            <w:noWrap/>
            <w:vAlign w:val="bottom"/>
            <w:hideMark/>
          </w:tcPr>
          <w:p w14:paraId="5B74F3B8" w14:textId="77777777" w:rsidR="002E3ECE" w:rsidRPr="00C45D1F" w:rsidRDefault="002E3ECE" w:rsidP="00053A29">
            <w:pPr>
              <w:spacing w:before="0" w:after="0" w:line="240" w:lineRule="auto"/>
              <w:ind w:leftChars="75" w:left="143"/>
              <w:rPr>
                <w:rFonts w:ascii="Arial" w:hAnsi="Arial" w:cs="Arial"/>
                <w:b/>
                <w:bCs/>
                <w:sz w:val="16"/>
                <w:szCs w:val="16"/>
              </w:rPr>
            </w:pPr>
            <w:r w:rsidRPr="00C45D1F">
              <w:rPr>
                <w:rFonts w:ascii="Arial" w:hAnsi="Arial" w:cs="Arial"/>
                <w:b/>
                <w:bCs/>
                <w:sz w:val="16"/>
                <w:szCs w:val="16"/>
              </w:rPr>
              <w:t>Annual appropriations</w:t>
            </w:r>
          </w:p>
        </w:tc>
        <w:tc>
          <w:tcPr>
            <w:tcW w:w="1326" w:type="dxa"/>
            <w:tcBorders>
              <w:top w:val="nil"/>
              <w:left w:val="nil"/>
              <w:bottom w:val="nil"/>
              <w:right w:val="nil"/>
            </w:tcBorders>
            <w:shd w:val="clear" w:color="auto" w:fill="auto"/>
            <w:noWrap/>
            <w:vAlign w:val="bottom"/>
            <w:hideMark/>
          </w:tcPr>
          <w:p w14:paraId="30B6AE37" w14:textId="77777777" w:rsidR="002E3ECE" w:rsidRPr="00C45D1F" w:rsidRDefault="002E3ECE" w:rsidP="00053A29">
            <w:pPr>
              <w:spacing w:before="0" w:after="0" w:line="240" w:lineRule="auto"/>
              <w:ind w:firstLineChars="100" w:firstLine="161"/>
              <w:rPr>
                <w:rFonts w:ascii="Arial" w:hAnsi="Arial" w:cs="Arial"/>
                <w:b/>
                <w:bCs/>
                <w:sz w:val="16"/>
                <w:szCs w:val="16"/>
              </w:rPr>
            </w:pPr>
          </w:p>
        </w:tc>
        <w:tc>
          <w:tcPr>
            <w:tcW w:w="1122" w:type="dxa"/>
            <w:tcBorders>
              <w:top w:val="nil"/>
              <w:left w:val="nil"/>
              <w:bottom w:val="nil"/>
              <w:right w:val="nil"/>
            </w:tcBorders>
            <w:shd w:val="clear" w:color="000000" w:fill="D9D9D9"/>
            <w:noWrap/>
            <w:vAlign w:val="bottom"/>
            <w:hideMark/>
          </w:tcPr>
          <w:p w14:paraId="6B463BAF"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 </w:t>
            </w:r>
          </w:p>
        </w:tc>
        <w:tc>
          <w:tcPr>
            <w:tcW w:w="1084" w:type="dxa"/>
            <w:tcBorders>
              <w:top w:val="nil"/>
              <w:left w:val="nil"/>
              <w:bottom w:val="nil"/>
              <w:right w:val="nil"/>
            </w:tcBorders>
            <w:shd w:val="clear" w:color="auto" w:fill="auto"/>
            <w:noWrap/>
            <w:vAlign w:val="bottom"/>
            <w:hideMark/>
          </w:tcPr>
          <w:p w14:paraId="006CA243" w14:textId="77777777" w:rsidR="002E3ECE" w:rsidRPr="00C45D1F" w:rsidRDefault="002E3ECE" w:rsidP="00053A29">
            <w:pPr>
              <w:spacing w:before="0" w:after="0" w:line="240" w:lineRule="auto"/>
              <w:jc w:val="right"/>
              <w:rPr>
                <w:rFonts w:ascii="Arial" w:hAnsi="Arial" w:cs="Arial"/>
                <w:b/>
                <w:bCs/>
                <w:sz w:val="16"/>
                <w:szCs w:val="16"/>
              </w:rPr>
            </w:pPr>
          </w:p>
        </w:tc>
        <w:tc>
          <w:tcPr>
            <w:tcW w:w="1059" w:type="dxa"/>
            <w:tcBorders>
              <w:top w:val="nil"/>
              <w:left w:val="nil"/>
              <w:bottom w:val="nil"/>
              <w:right w:val="nil"/>
            </w:tcBorders>
            <w:shd w:val="clear" w:color="auto" w:fill="auto"/>
            <w:noWrap/>
            <w:vAlign w:val="bottom"/>
            <w:hideMark/>
          </w:tcPr>
          <w:p w14:paraId="62999737" w14:textId="77777777" w:rsidR="002E3ECE" w:rsidRPr="00C45D1F" w:rsidRDefault="002E3ECE" w:rsidP="00053A29">
            <w:pPr>
              <w:spacing w:before="0" w:after="0" w:line="240" w:lineRule="auto"/>
              <w:jc w:val="right"/>
              <w:rPr>
                <w:rFonts w:ascii="Times New Roman" w:hAnsi="Times New Roman"/>
                <w:sz w:val="20"/>
              </w:rPr>
            </w:pPr>
          </w:p>
        </w:tc>
      </w:tr>
      <w:tr w:rsidR="002E3ECE" w:rsidRPr="00C45D1F" w14:paraId="2483B5DA"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0D3DC950" w14:textId="77777777" w:rsidR="002E3ECE" w:rsidRPr="00C45D1F" w:rsidRDefault="002E3ECE" w:rsidP="00053A29">
            <w:pPr>
              <w:spacing w:before="0" w:after="0" w:line="240" w:lineRule="auto"/>
              <w:ind w:leftChars="150" w:left="285"/>
              <w:rPr>
                <w:rFonts w:ascii="Arial" w:hAnsi="Arial" w:cs="Arial"/>
                <w:sz w:val="16"/>
                <w:szCs w:val="16"/>
              </w:rPr>
            </w:pPr>
            <w:r w:rsidRPr="00C45D1F">
              <w:rPr>
                <w:rFonts w:ascii="Arial" w:hAnsi="Arial" w:cs="Arial"/>
                <w:sz w:val="16"/>
                <w:szCs w:val="16"/>
              </w:rPr>
              <w:t>Ordinary annual services</w:t>
            </w:r>
            <w:r w:rsidRPr="00C45D1F">
              <w:rPr>
                <w:rFonts w:ascii="Arial" w:hAnsi="Arial" w:cs="Arial"/>
                <w:sz w:val="16"/>
                <w:szCs w:val="16"/>
                <w:vertAlign w:val="superscript"/>
              </w:rPr>
              <w:t xml:space="preserve"> (b)</w:t>
            </w:r>
          </w:p>
        </w:tc>
        <w:tc>
          <w:tcPr>
            <w:tcW w:w="1326" w:type="dxa"/>
            <w:tcBorders>
              <w:top w:val="nil"/>
              <w:left w:val="nil"/>
              <w:bottom w:val="nil"/>
              <w:right w:val="nil"/>
            </w:tcBorders>
            <w:shd w:val="clear" w:color="auto" w:fill="auto"/>
            <w:noWrap/>
            <w:vAlign w:val="bottom"/>
            <w:hideMark/>
          </w:tcPr>
          <w:p w14:paraId="1660C547" w14:textId="77777777" w:rsidR="002E3ECE" w:rsidRPr="00C45D1F" w:rsidRDefault="002E3ECE" w:rsidP="00053A29">
            <w:pPr>
              <w:spacing w:before="0" w:after="0" w:line="240" w:lineRule="auto"/>
              <w:ind w:firstLineChars="200" w:firstLine="320"/>
              <w:rPr>
                <w:rFonts w:ascii="Arial" w:hAnsi="Arial" w:cs="Arial"/>
                <w:sz w:val="16"/>
                <w:szCs w:val="16"/>
              </w:rPr>
            </w:pPr>
          </w:p>
        </w:tc>
        <w:tc>
          <w:tcPr>
            <w:tcW w:w="1122" w:type="dxa"/>
            <w:tcBorders>
              <w:top w:val="nil"/>
              <w:left w:val="nil"/>
              <w:bottom w:val="nil"/>
              <w:right w:val="nil"/>
            </w:tcBorders>
            <w:shd w:val="clear" w:color="000000" w:fill="D9D9D9"/>
            <w:noWrap/>
            <w:vAlign w:val="bottom"/>
            <w:hideMark/>
          </w:tcPr>
          <w:p w14:paraId="197CE5A6"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 </w:t>
            </w:r>
          </w:p>
        </w:tc>
        <w:tc>
          <w:tcPr>
            <w:tcW w:w="1084" w:type="dxa"/>
            <w:tcBorders>
              <w:top w:val="nil"/>
              <w:left w:val="nil"/>
              <w:bottom w:val="nil"/>
              <w:right w:val="nil"/>
            </w:tcBorders>
            <w:shd w:val="clear" w:color="auto" w:fill="auto"/>
            <w:noWrap/>
            <w:vAlign w:val="bottom"/>
            <w:hideMark/>
          </w:tcPr>
          <w:p w14:paraId="6782D543" w14:textId="77777777" w:rsidR="002E3ECE" w:rsidRPr="00C45D1F" w:rsidRDefault="002E3ECE" w:rsidP="00053A29">
            <w:pPr>
              <w:spacing w:before="0" w:after="0" w:line="240" w:lineRule="auto"/>
              <w:jc w:val="right"/>
              <w:rPr>
                <w:rFonts w:ascii="Arial" w:hAnsi="Arial" w:cs="Arial"/>
                <w:b/>
                <w:bCs/>
                <w:sz w:val="16"/>
                <w:szCs w:val="16"/>
              </w:rPr>
            </w:pPr>
          </w:p>
        </w:tc>
        <w:tc>
          <w:tcPr>
            <w:tcW w:w="1059" w:type="dxa"/>
            <w:tcBorders>
              <w:top w:val="nil"/>
              <w:left w:val="nil"/>
              <w:bottom w:val="nil"/>
              <w:right w:val="nil"/>
            </w:tcBorders>
            <w:shd w:val="clear" w:color="auto" w:fill="auto"/>
            <w:noWrap/>
            <w:vAlign w:val="bottom"/>
            <w:hideMark/>
          </w:tcPr>
          <w:p w14:paraId="213C61E1" w14:textId="77777777" w:rsidR="002E3ECE" w:rsidRPr="00C45D1F" w:rsidRDefault="002E3ECE" w:rsidP="00053A29">
            <w:pPr>
              <w:spacing w:before="0" w:after="0" w:line="240" w:lineRule="auto"/>
              <w:jc w:val="right"/>
              <w:rPr>
                <w:rFonts w:ascii="Times New Roman" w:hAnsi="Times New Roman"/>
                <w:sz w:val="20"/>
              </w:rPr>
            </w:pPr>
          </w:p>
        </w:tc>
      </w:tr>
      <w:tr w:rsidR="002E3ECE" w:rsidRPr="00C45D1F" w14:paraId="7200D1AB"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6BE4401D" w14:textId="77777777" w:rsidR="002E3ECE" w:rsidRPr="00C45D1F" w:rsidRDefault="002E3ECE" w:rsidP="00053A29">
            <w:pPr>
              <w:spacing w:before="0" w:after="0" w:line="240" w:lineRule="auto"/>
              <w:ind w:leftChars="225" w:left="428"/>
              <w:rPr>
                <w:rFonts w:ascii="Arial" w:hAnsi="Arial" w:cs="Arial"/>
                <w:sz w:val="16"/>
                <w:szCs w:val="16"/>
              </w:rPr>
            </w:pPr>
            <w:r w:rsidRPr="00C45D1F">
              <w:rPr>
                <w:rFonts w:ascii="Arial" w:hAnsi="Arial" w:cs="Arial"/>
                <w:sz w:val="16"/>
                <w:szCs w:val="16"/>
              </w:rPr>
              <w:t>Departmental appropriation</w:t>
            </w:r>
          </w:p>
        </w:tc>
        <w:tc>
          <w:tcPr>
            <w:tcW w:w="1326" w:type="dxa"/>
            <w:tcBorders>
              <w:top w:val="nil"/>
              <w:left w:val="nil"/>
              <w:bottom w:val="nil"/>
              <w:right w:val="nil"/>
            </w:tcBorders>
            <w:shd w:val="clear" w:color="auto" w:fill="auto"/>
            <w:noWrap/>
            <w:vAlign w:val="bottom"/>
            <w:hideMark/>
          </w:tcPr>
          <w:p w14:paraId="2E7C8329"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204,905</w:t>
            </w:r>
          </w:p>
        </w:tc>
        <w:tc>
          <w:tcPr>
            <w:tcW w:w="1122" w:type="dxa"/>
            <w:tcBorders>
              <w:top w:val="nil"/>
              <w:left w:val="nil"/>
              <w:bottom w:val="nil"/>
              <w:right w:val="nil"/>
            </w:tcBorders>
            <w:shd w:val="clear" w:color="000000" w:fill="D9D9D9"/>
            <w:noWrap/>
            <w:vAlign w:val="bottom"/>
            <w:hideMark/>
          </w:tcPr>
          <w:p w14:paraId="79C081A6"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260,080</w:t>
            </w:r>
          </w:p>
        </w:tc>
        <w:tc>
          <w:tcPr>
            <w:tcW w:w="1084" w:type="dxa"/>
            <w:tcBorders>
              <w:top w:val="nil"/>
              <w:left w:val="nil"/>
              <w:bottom w:val="nil"/>
              <w:right w:val="nil"/>
            </w:tcBorders>
            <w:shd w:val="clear" w:color="auto" w:fill="auto"/>
            <w:noWrap/>
            <w:vAlign w:val="bottom"/>
            <w:hideMark/>
          </w:tcPr>
          <w:p w14:paraId="693AC1A0"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22,741</w:t>
            </w:r>
          </w:p>
        </w:tc>
        <w:tc>
          <w:tcPr>
            <w:tcW w:w="1059" w:type="dxa"/>
            <w:tcBorders>
              <w:top w:val="nil"/>
              <w:left w:val="nil"/>
              <w:bottom w:val="nil"/>
              <w:right w:val="nil"/>
            </w:tcBorders>
            <w:shd w:val="clear" w:color="auto" w:fill="auto"/>
            <w:noWrap/>
            <w:vAlign w:val="bottom"/>
            <w:hideMark/>
          </w:tcPr>
          <w:p w14:paraId="0E230EF0"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282,821</w:t>
            </w:r>
          </w:p>
        </w:tc>
      </w:tr>
      <w:tr w:rsidR="002E3ECE" w:rsidRPr="00C45D1F" w14:paraId="24C93348"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24788E13" w14:textId="77777777" w:rsidR="002E3ECE" w:rsidRPr="00C45D1F" w:rsidRDefault="002E3ECE" w:rsidP="00053A29">
            <w:pPr>
              <w:spacing w:before="0" w:after="0" w:line="240" w:lineRule="auto"/>
              <w:ind w:leftChars="225" w:left="428"/>
              <w:rPr>
                <w:rFonts w:ascii="Arial" w:hAnsi="Arial" w:cs="Arial"/>
                <w:sz w:val="16"/>
                <w:szCs w:val="16"/>
              </w:rPr>
            </w:pPr>
            <w:r w:rsidRPr="00C45D1F">
              <w:rPr>
                <w:rFonts w:ascii="Arial" w:hAnsi="Arial" w:cs="Arial"/>
                <w:sz w:val="16"/>
                <w:szCs w:val="16"/>
              </w:rPr>
              <w:t>s74 retained revenue receipts</w:t>
            </w:r>
            <w:r w:rsidRPr="00C45D1F">
              <w:rPr>
                <w:rFonts w:ascii="Arial" w:hAnsi="Arial" w:cs="Arial"/>
                <w:sz w:val="16"/>
                <w:szCs w:val="16"/>
                <w:vertAlign w:val="superscript"/>
              </w:rPr>
              <w:t xml:space="preserve"> (c)</w:t>
            </w:r>
          </w:p>
        </w:tc>
        <w:tc>
          <w:tcPr>
            <w:tcW w:w="1326" w:type="dxa"/>
            <w:tcBorders>
              <w:top w:val="nil"/>
              <w:left w:val="nil"/>
              <w:bottom w:val="nil"/>
              <w:right w:val="nil"/>
            </w:tcBorders>
            <w:shd w:val="clear" w:color="auto" w:fill="auto"/>
            <w:noWrap/>
            <w:vAlign w:val="bottom"/>
            <w:hideMark/>
          </w:tcPr>
          <w:p w14:paraId="3FEF399B"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18,164</w:t>
            </w:r>
          </w:p>
        </w:tc>
        <w:tc>
          <w:tcPr>
            <w:tcW w:w="1122" w:type="dxa"/>
            <w:tcBorders>
              <w:top w:val="nil"/>
              <w:left w:val="nil"/>
              <w:bottom w:val="nil"/>
              <w:right w:val="nil"/>
            </w:tcBorders>
            <w:shd w:val="clear" w:color="000000" w:fill="D9D9D9"/>
            <w:noWrap/>
            <w:vAlign w:val="bottom"/>
            <w:hideMark/>
          </w:tcPr>
          <w:p w14:paraId="5781CCD1"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11,255</w:t>
            </w:r>
          </w:p>
        </w:tc>
        <w:tc>
          <w:tcPr>
            <w:tcW w:w="1084" w:type="dxa"/>
            <w:tcBorders>
              <w:top w:val="nil"/>
              <w:left w:val="nil"/>
              <w:bottom w:val="nil"/>
              <w:right w:val="nil"/>
            </w:tcBorders>
            <w:shd w:val="clear" w:color="auto" w:fill="auto"/>
            <w:noWrap/>
            <w:vAlign w:val="bottom"/>
            <w:hideMark/>
          </w:tcPr>
          <w:p w14:paraId="299B6224"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17,857</w:t>
            </w:r>
          </w:p>
        </w:tc>
        <w:tc>
          <w:tcPr>
            <w:tcW w:w="1059" w:type="dxa"/>
            <w:tcBorders>
              <w:top w:val="nil"/>
              <w:left w:val="nil"/>
              <w:bottom w:val="nil"/>
              <w:right w:val="nil"/>
            </w:tcBorders>
            <w:shd w:val="clear" w:color="auto" w:fill="auto"/>
            <w:noWrap/>
            <w:vAlign w:val="bottom"/>
            <w:hideMark/>
          </w:tcPr>
          <w:p w14:paraId="4910CE5A"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29,112</w:t>
            </w:r>
          </w:p>
        </w:tc>
      </w:tr>
      <w:tr w:rsidR="002E3ECE" w:rsidRPr="00C45D1F" w14:paraId="4C205687"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55C109CD" w14:textId="77777777" w:rsidR="002E3ECE" w:rsidRPr="00C45D1F" w:rsidRDefault="002E3ECE" w:rsidP="00053A29">
            <w:pPr>
              <w:spacing w:before="0" w:after="0" w:line="240" w:lineRule="auto"/>
              <w:ind w:leftChars="225" w:left="428"/>
              <w:rPr>
                <w:rFonts w:ascii="Arial" w:hAnsi="Arial" w:cs="Arial"/>
                <w:sz w:val="16"/>
                <w:szCs w:val="16"/>
              </w:rPr>
            </w:pPr>
            <w:r w:rsidRPr="00C45D1F">
              <w:rPr>
                <w:rFonts w:ascii="Arial" w:hAnsi="Arial" w:cs="Arial"/>
                <w:sz w:val="16"/>
                <w:szCs w:val="16"/>
              </w:rPr>
              <w:t>Departmental Capital Budget</w:t>
            </w:r>
            <w:r w:rsidRPr="00C45D1F">
              <w:rPr>
                <w:rFonts w:ascii="Arial" w:hAnsi="Arial" w:cs="Arial"/>
                <w:sz w:val="16"/>
                <w:szCs w:val="16"/>
                <w:vertAlign w:val="superscript"/>
              </w:rPr>
              <w:t xml:space="preserve"> (d)</w:t>
            </w:r>
          </w:p>
        </w:tc>
        <w:tc>
          <w:tcPr>
            <w:tcW w:w="1326" w:type="dxa"/>
            <w:tcBorders>
              <w:top w:val="nil"/>
              <w:left w:val="nil"/>
              <w:bottom w:val="nil"/>
              <w:right w:val="nil"/>
            </w:tcBorders>
            <w:shd w:val="clear" w:color="auto" w:fill="auto"/>
            <w:noWrap/>
            <w:vAlign w:val="bottom"/>
            <w:hideMark/>
          </w:tcPr>
          <w:p w14:paraId="69A1E399"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1,844</w:t>
            </w:r>
          </w:p>
        </w:tc>
        <w:tc>
          <w:tcPr>
            <w:tcW w:w="1122" w:type="dxa"/>
            <w:tcBorders>
              <w:top w:val="nil"/>
              <w:left w:val="nil"/>
              <w:bottom w:val="nil"/>
              <w:right w:val="nil"/>
            </w:tcBorders>
            <w:shd w:val="clear" w:color="000000" w:fill="D9D9D9"/>
            <w:noWrap/>
            <w:vAlign w:val="bottom"/>
            <w:hideMark/>
          </w:tcPr>
          <w:p w14:paraId="02A55487"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1,905</w:t>
            </w:r>
          </w:p>
        </w:tc>
        <w:tc>
          <w:tcPr>
            <w:tcW w:w="1084" w:type="dxa"/>
            <w:tcBorders>
              <w:top w:val="nil"/>
              <w:left w:val="nil"/>
              <w:bottom w:val="nil"/>
              <w:right w:val="nil"/>
            </w:tcBorders>
            <w:shd w:val="clear" w:color="auto" w:fill="auto"/>
            <w:noWrap/>
            <w:vAlign w:val="bottom"/>
            <w:hideMark/>
          </w:tcPr>
          <w:p w14:paraId="1BA880C2"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w:t>
            </w:r>
          </w:p>
        </w:tc>
        <w:tc>
          <w:tcPr>
            <w:tcW w:w="1059" w:type="dxa"/>
            <w:tcBorders>
              <w:top w:val="nil"/>
              <w:left w:val="nil"/>
              <w:bottom w:val="nil"/>
              <w:right w:val="nil"/>
            </w:tcBorders>
            <w:shd w:val="clear" w:color="auto" w:fill="auto"/>
            <w:noWrap/>
            <w:vAlign w:val="bottom"/>
            <w:hideMark/>
          </w:tcPr>
          <w:p w14:paraId="2A60516C"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1,905</w:t>
            </w:r>
          </w:p>
        </w:tc>
      </w:tr>
      <w:tr w:rsidR="002E3ECE" w:rsidRPr="00C45D1F" w14:paraId="0DB2BED2"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0FA45F06" w14:textId="77777777" w:rsidR="002E3ECE" w:rsidRPr="00C45D1F" w:rsidRDefault="002E3ECE" w:rsidP="00053A29">
            <w:pPr>
              <w:spacing w:before="0" w:after="0" w:line="240" w:lineRule="auto"/>
              <w:ind w:leftChars="150" w:left="285"/>
              <w:rPr>
                <w:rFonts w:ascii="Arial" w:hAnsi="Arial" w:cs="Arial"/>
                <w:sz w:val="16"/>
                <w:szCs w:val="16"/>
              </w:rPr>
            </w:pPr>
            <w:r w:rsidRPr="00C45D1F">
              <w:rPr>
                <w:rFonts w:ascii="Arial" w:hAnsi="Arial" w:cs="Arial"/>
                <w:sz w:val="16"/>
                <w:szCs w:val="16"/>
              </w:rPr>
              <w:t>Other services</w:t>
            </w:r>
            <w:r w:rsidRPr="00C45D1F">
              <w:rPr>
                <w:rFonts w:ascii="Arial" w:hAnsi="Arial" w:cs="Arial"/>
                <w:sz w:val="16"/>
                <w:szCs w:val="16"/>
                <w:vertAlign w:val="superscript"/>
              </w:rPr>
              <w:t xml:space="preserve"> (e)</w:t>
            </w:r>
          </w:p>
        </w:tc>
        <w:tc>
          <w:tcPr>
            <w:tcW w:w="1326" w:type="dxa"/>
            <w:tcBorders>
              <w:top w:val="nil"/>
              <w:left w:val="nil"/>
              <w:bottom w:val="nil"/>
              <w:right w:val="nil"/>
            </w:tcBorders>
            <w:shd w:val="clear" w:color="auto" w:fill="auto"/>
            <w:noWrap/>
            <w:vAlign w:val="bottom"/>
            <w:hideMark/>
          </w:tcPr>
          <w:p w14:paraId="2FDE24D3" w14:textId="77777777" w:rsidR="002E3ECE" w:rsidRPr="00C45D1F" w:rsidRDefault="002E3ECE" w:rsidP="00053A29">
            <w:pPr>
              <w:spacing w:before="0" w:after="0" w:line="240" w:lineRule="auto"/>
              <w:ind w:firstLineChars="200" w:firstLine="320"/>
              <w:rPr>
                <w:rFonts w:ascii="Arial" w:hAnsi="Arial" w:cs="Arial"/>
                <w:sz w:val="16"/>
                <w:szCs w:val="16"/>
              </w:rPr>
            </w:pPr>
          </w:p>
        </w:tc>
        <w:tc>
          <w:tcPr>
            <w:tcW w:w="1122" w:type="dxa"/>
            <w:tcBorders>
              <w:top w:val="nil"/>
              <w:left w:val="nil"/>
              <w:bottom w:val="nil"/>
              <w:right w:val="nil"/>
            </w:tcBorders>
            <w:shd w:val="clear" w:color="000000" w:fill="D9D9D9"/>
            <w:noWrap/>
            <w:vAlign w:val="bottom"/>
            <w:hideMark/>
          </w:tcPr>
          <w:p w14:paraId="78377C9A"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 </w:t>
            </w:r>
          </w:p>
        </w:tc>
        <w:tc>
          <w:tcPr>
            <w:tcW w:w="1084" w:type="dxa"/>
            <w:tcBorders>
              <w:top w:val="nil"/>
              <w:left w:val="nil"/>
              <w:bottom w:val="nil"/>
              <w:right w:val="nil"/>
            </w:tcBorders>
            <w:shd w:val="clear" w:color="auto" w:fill="auto"/>
            <w:noWrap/>
            <w:vAlign w:val="bottom"/>
            <w:hideMark/>
          </w:tcPr>
          <w:p w14:paraId="03B42ADE" w14:textId="77777777" w:rsidR="002E3ECE" w:rsidRPr="00C45D1F" w:rsidRDefault="002E3ECE" w:rsidP="00053A29">
            <w:pPr>
              <w:spacing w:before="0" w:after="0" w:line="240" w:lineRule="auto"/>
              <w:jc w:val="right"/>
              <w:rPr>
                <w:rFonts w:ascii="Arial" w:hAnsi="Arial" w:cs="Arial"/>
                <w:sz w:val="16"/>
                <w:szCs w:val="16"/>
              </w:rPr>
            </w:pPr>
          </w:p>
        </w:tc>
        <w:tc>
          <w:tcPr>
            <w:tcW w:w="1059" w:type="dxa"/>
            <w:tcBorders>
              <w:top w:val="nil"/>
              <w:left w:val="nil"/>
              <w:bottom w:val="nil"/>
              <w:right w:val="nil"/>
            </w:tcBorders>
            <w:shd w:val="clear" w:color="auto" w:fill="auto"/>
            <w:noWrap/>
            <w:vAlign w:val="bottom"/>
            <w:hideMark/>
          </w:tcPr>
          <w:p w14:paraId="31DD3122" w14:textId="77777777" w:rsidR="002E3ECE" w:rsidRPr="00C45D1F" w:rsidRDefault="002E3ECE" w:rsidP="00053A29">
            <w:pPr>
              <w:spacing w:before="0" w:after="0" w:line="240" w:lineRule="auto"/>
              <w:jc w:val="right"/>
              <w:rPr>
                <w:rFonts w:ascii="Times New Roman" w:hAnsi="Times New Roman"/>
                <w:sz w:val="20"/>
              </w:rPr>
            </w:pPr>
          </w:p>
        </w:tc>
      </w:tr>
      <w:tr w:rsidR="002E3ECE" w:rsidRPr="00C45D1F" w14:paraId="3865FF68"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1D4F2D1F" w14:textId="77777777" w:rsidR="002E3ECE" w:rsidRPr="00C45D1F" w:rsidRDefault="002E3ECE" w:rsidP="00053A29">
            <w:pPr>
              <w:spacing w:before="0" w:after="0" w:line="240" w:lineRule="auto"/>
              <w:ind w:leftChars="225" w:left="428"/>
              <w:rPr>
                <w:rFonts w:ascii="Arial" w:hAnsi="Arial" w:cs="Arial"/>
                <w:sz w:val="16"/>
                <w:szCs w:val="16"/>
              </w:rPr>
            </w:pPr>
            <w:r w:rsidRPr="00C45D1F">
              <w:rPr>
                <w:rFonts w:ascii="Arial" w:hAnsi="Arial" w:cs="Arial"/>
                <w:sz w:val="16"/>
                <w:szCs w:val="16"/>
              </w:rPr>
              <w:t>Equity injection</w:t>
            </w:r>
          </w:p>
        </w:tc>
        <w:tc>
          <w:tcPr>
            <w:tcW w:w="1326" w:type="dxa"/>
            <w:tcBorders>
              <w:top w:val="nil"/>
              <w:left w:val="nil"/>
              <w:bottom w:val="nil"/>
              <w:right w:val="nil"/>
            </w:tcBorders>
            <w:shd w:val="clear" w:color="auto" w:fill="auto"/>
            <w:noWrap/>
            <w:vAlign w:val="bottom"/>
            <w:hideMark/>
          </w:tcPr>
          <w:p w14:paraId="0182C5E6"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3,025</w:t>
            </w:r>
          </w:p>
        </w:tc>
        <w:tc>
          <w:tcPr>
            <w:tcW w:w="1122" w:type="dxa"/>
            <w:tcBorders>
              <w:top w:val="nil"/>
              <w:left w:val="nil"/>
              <w:bottom w:val="nil"/>
              <w:right w:val="nil"/>
            </w:tcBorders>
            <w:shd w:val="clear" w:color="000000" w:fill="D9D9D9"/>
            <w:noWrap/>
            <w:vAlign w:val="bottom"/>
            <w:hideMark/>
          </w:tcPr>
          <w:p w14:paraId="10EEAE8C"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850</w:t>
            </w:r>
          </w:p>
        </w:tc>
        <w:tc>
          <w:tcPr>
            <w:tcW w:w="1084" w:type="dxa"/>
            <w:tcBorders>
              <w:top w:val="nil"/>
              <w:left w:val="nil"/>
              <w:bottom w:val="nil"/>
              <w:right w:val="nil"/>
            </w:tcBorders>
            <w:shd w:val="clear" w:color="auto" w:fill="auto"/>
            <w:noWrap/>
            <w:vAlign w:val="bottom"/>
            <w:hideMark/>
          </w:tcPr>
          <w:p w14:paraId="2FAAE7DC"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w:t>
            </w:r>
          </w:p>
        </w:tc>
        <w:tc>
          <w:tcPr>
            <w:tcW w:w="1059" w:type="dxa"/>
            <w:tcBorders>
              <w:top w:val="nil"/>
              <w:left w:val="nil"/>
              <w:bottom w:val="nil"/>
              <w:right w:val="nil"/>
            </w:tcBorders>
            <w:shd w:val="clear" w:color="auto" w:fill="auto"/>
            <w:noWrap/>
            <w:vAlign w:val="bottom"/>
            <w:hideMark/>
          </w:tcPr>
          <w:p w14:paraId="4A8DAE56"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850</w:t>
            </w:r>
          </w:p>
        </w:tc>
      </w:tr>
      <w:tr w:rsidR="002E3ECE" w:rsidRPr="00C45D1F" w14:paraId="7BD42D3F" w14:textId="77777777" w:rsidTr="000B6EBB">
        <w:trPr>
          <w:trHeight w:val="425"/>
          <w:jc w:val="center"/>
        </w:trPr>
        <w:tc>
          <w:tcPr>
            <w:tcW w:w="3289" w:type="dxa"/>
            <w:tcBorders>
              <w:top w:val="nil"/>
              <w:left w:val="nil"/>
              <w:bottom w:val="nil"/>
              <w:right w:val="nil"/>
            </w:tcBorders>
            <w:shd w:val="clear" w:color="auto" w:fill="auto"/>
            <w:vAlign w:val="bottom"/>
            <w:hideMark/>
          </w:tcPr>
          <w:p w14:paraId="3C0418FD" w14:textId="77777777" w:rsidR="002E3ECE" w:rsidRPr="00C45D1F" w:rsidRDefault="002E3ECE" w:rsidP="00053A29">
            <w:pPr>
              <w:spacing w:before="0" w:after="0" w:line="240" w:lineRule="auto"/>
              <w:rPr>
                <w:rFonts w:ascii="Arial" w:hAnsi="Arial" w:cs="Arial"/>
                <w:b/>
                <w:bCs/>
                <w:sz w:val="16"/>
                <w:szCs w:val="16"/>
              </w:rPr>
            </w:pPr>
            <w:r w:rsidRPr="00C45D1F">
              <w:rPr>
                <w:rFonts w:ascii="Arial" w:hAnsi="Arial" w:cs="Arial"/>
                <w:b/>
                <w:bCs/>
                <w:sz w:val="16"/>
                <w:szCs w:val="16"/>
              </w:rPr>
              <w:t>Total departmental annual appropriations</w:t>
            </w:r>
          </w:p>
        </w:tc>
        <w:tc>
          <w:tcPr>
            <w:tcW w:w="1326" w:type="dxa"/>
            <w:tcBorders>
              <w:top w:val="single" w:sz="4" w:space="0" w:color="auto"/>
              <w:left w:val="nil"/>
              <w:bottom w:val="single" w:sz="4" w:space="0" w:color="auto"/>
              <w:right w:val="nil"/>
            </w:tcBorders>
            <w:shd w:val="clear" w:color="auto" w:fill="auto"/>
            <w:noWrap/>
            <w:vAlign w:val="bottom"/>
            <w:hideMark/>
          </w:tcPr>
          <w:p w14:paraId="043F8472"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227,938</w:t>
            </w:r>
          </w:p>
        </w:tc>
        <w:tc>
          <w:tcPr>
            <w:tcW w:w="1122" w:type="dxa"/>
            <w:tcBorders>
              <w:top w:val="single" w:sz="4" w:space="0" w:color="auto"/>
              <w:left w:val="nil"/>
              <w:bottom w:val="single" w:sz="4" w:space="0" w:color="auto"/>
              <w:right w:val="nil"/>
            </w:tcBorders>
            <w:shd w:val="clear" w:color="000000" w:fill="D9D9D9"/>
            <w:noWrap/>
            <w:vAlign w:val="bottom"/>
            <w:hideMark/>
          </w:tcPr>
          <w:p w14:paraId="13C8B76C"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274,090</w:t>
            </w:r>
          </w:p>
        </w:tc>
        <w:tc>
          <w:tcPr>
            <w:tcW w:w="1084" w:type="dxa"/>
            <w:tcBorders>
              <w:top w:val="single" w:sz="4" w:space="0" w:color="auto"/>
              <w:left w:val="nil"/>
              <w:bottom w:val="single" w:sz="4" w:space="0" w:color="auto"/>
              <w:right w:val="nil"/>
            </w:tcBorders>
            <w:shd w:val="clear" w:color="auto" w:fill="auto"/>
            <w:noWrap/>
            <w:vAlign w:val="bottom"/>
            <w:hideMark/>
          </w:tcPr>
          <w:p w14:paraId="163171F2"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42,095</w:t>
            </w:r>
          </w:p>
        </w:tc>
        <w:tc>
          <w:tcPr>
            <w:tcW w:w="1059" w:type="dxa"/>
            <w:tcBorders>
              <w:top w:val="single" w:sz="4" w:space="0" w:color="auto"/>
              <w:left w:val="nil"/>
              <w:bottom w:val="single" w:sz="4" w:space="0" w:color="auto"/>
              <w:right w:val="nil"/>
            </w:tcBorders>
            <w:shd w:val="clear" w:color="auto" w:fill="auto"/>
            <w:noWrap/>
            <w:vAlign w:val="bottom"/>
            <w:hideMark/>
          </w:tcPr>
          <w:p w14:paraId="01ECFDE0"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314,688</w:t>
            </w:r>
          </w:p>
        </w:tc>
      </w:tr>
      <w:tr w:rsidR="002E3ECE" w:rsidRPr="00C45D1F" w14:paraId="53EE9ED2" w14:textId="77777777" w:rsidTr="000B6EBB">
        <w:trPr>
          <w:trHeight w:val="283"/>
          <w:jc w:val="center"/>
        </w:trPr>
        <w:tc>
          <w:tcPr>
            <w:tcW w:w="3289" w:type="dxa"/>
            <w:tcBorders>
              <w:top w:val="nil"/>
              <w:left w:val="nil"/>
              <w:bottom w:val="nil"/>
              <w:right w:val="nil"/>
            </w:tcBorders>
            <w:shd w:val="clear" w:color="auto" w:fill="auto"/>
            <w:noWrap/>
            <w:vAlign w:val="bottom"/>
            <w:hideMark/>
          </w:tcPr>
          <w:p w14:paraId="15D8D6E8" w14:textId="77777777" w:rsidR="002E3ECE" w:rsidRPr="00C45D1F" w:rsidRDefault="002E3ECE" w:rsidP="00053A29">
            <w:pPr>
              <w:spacing w:before="0" w:after="0" w:line="240" w:lineRule="auto"/>
              <w:rPr>
                <w:rFonts w:ascii="Arial" w:hAnsi="Arial" w:cs="Arial"/>
                <w:b/>
                <w:bCs/>
                <w:sz w:val="16"/>
                <w:szCs w:val="16"/>
              </w:rPr>
            </w:pPr>
            <w:r w:rsidRPr="00C45D1F">
              <w:rPr>
                <w:rFonts w:ascii="Arial" w:hAnsi="Arial" w:cs="Arial"/>
                <w:b/>
                <w:bCs/>
                <w:sz w:val="16"/>
                <w:szCs w:val="16"/>
              </w:rPr>
              <w:t>Total resourcing for ACQSC</w:t>
            </w:r>
          </w:p>
        </w:tc>
        <w:tc>
          <w:tcPr>
            <w:tcW w:w="1326" w:type="dxa"/>
            <w:tcBorders>
              <w:top w:val="nil"/>
              <w:left w:val="nil"/>
              <w:bottom w:val="single" w:sz="4" w:space="0" w:color="auto"/>
              <w:right w:val="nil"/>
            </w:tcBorders>
            <w:shd w:val="clear" w:color="auto" w:fill="auto"/>
            <w:noWrap/>
            <w:vAlign w:val="bottom"/>
            <w:hideMark/>
          </w:tcPr>
          <w:p w14:paraId="3AB946FE"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321,273</w:t>
            </w:r>
          </w:p>
        </w:tc>
        <w:tc>
          <w:tcPr>
            <w:tcW w:w="1122" w:type="dxa"/>
            <w:tcBorders>
              <w:top w:val="nil"/>
              <w:left w:val="nil"/>
              <w:bottom w:val="single" w:sz="4" w:space="0" w:color="auto"/>
              <w:right w:val="nil"/>
            </w:tcBorders>
            <w:shd w:val="clear" w:color="000000" w:fill="D9D9D9"/>
            <w:noWrap/>
            <w:vAlign w:val="bottom"/>
            <w:hideMark/>
          </w:tcPr>
          <w:p w14:paraId="70E54767"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367,690</w:t>
            </w:r>
          </w:p>
        </w:tc>
        <w:tc>
          <w:tcPr>
            <w:tcW w:w="1084" w:type="dxa"/>
            <w:tcBorders>
              <w:top w:val="nil"/>
              <w:left w:val="nil"/>
              <w:bottom w:val="single" w:sz="4" w:space="0" w:color="auto"/>
              <w:right w:val="nil"/>
            </w:tcBorders>
            <w:shd w:val="clear" w:color="auto" w:fill="auto"/>
            <w:noWrap/>
            <w:vAlign w:val="bottom"/>
            <w:hideMark/>
          </w:tcPr>
          <w:p w14:paraId="26F11F0C"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43,592</w:t>
            </w:r>
          </w:p>
        </w:tc>
        <w:tc>
          <w:tcPr>
            <w:tcW w:w="1059" w:type="dxa"/>
            <w:tcBorders>
              <w:top w:val="nil"/>
              <w:left w:val="nil"/>
              <w:bottom w:val="single" w:sz="4" w:space="0" w:color="auto"/>
              <w:right w:val="nil"/>
            </w:tcBorders>
            <w:shd w:val="clear" w:color="auto" w:fill="auto"/>
            <w:noWrap/>
            <w:vAlign w:val="bottom"/>
            <w:hideMark/>
          </w:tcPr>
          <w:p w14:paraId="0B40E71B"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409,785</w:t>
            </w:r>
          </w:p>
        </w:tc>
      </w:tr>
      <w:tr w:rsidR="002E3ECE" w:rsidRPr="00C45D1F" w14:paraId="5EBAEE1B" w14:textId="77777777" w:rsidTr="00053A29">
        <w:trPr>
          <w:trHeight w:val="225"/>
          <w:jc w:val="center"/>
        </w:trPr>
        <w:tc>
          <w:tcPr>
            <w:tcW w:w="3289" w:type="dxa"/>
            <w:tcBorders>
              <w:top w:val="nil"/>
              <w:left w:val="nil"/>
              <w:bottom w:val="nil"/>
              <w:right w:val="nil"/>
            </w:tcBorders>
            <w:shd w:val="clear" w:color="auto" w:fill="auto"/>
            <w:noWrap/>
            <w:vAlign w:val="bottom"/>
            <w:hideMark/>
          </w:tcPr>
          <w:p w14:paraId="044FB7FB" w14:textId="77777777" w:rsidR="002E3ECE" w:rsidRPr="00C45D1F" w:rsidRDefault="002E3ECE" w:rsidP="00053A29">
            <w:pPr>
              <w:spacing w:before="0" w:after="0" w:line="240" w:lineRule="auto"/>
              <w:jc w:val="right"/>
              <w:rPr>
                <w:rFonts w:ascii="Arial" w:hAnsi="Arial" w:cs="Arial"/>
                <w:b/>
                <w:bCs/>
                <w:sz w:val="16"/>
                <w:szCs w:val="16"/>
              </w:rPr>
            </w:pPr>
          </w:p>
        </w:tc>
        <w:tc>
          <w:tcPr>
            <w:tcW w:w="1326" w:type="dxa"/>
            <w:tcBorders>
              <w:top w:val="nil"/>
              <w:left w:val="nil"/>
              <w:bottom w:val="nil"/>
              <w:right w:val="nil"/>
            </w:tcBorders>
            <w:shd w:val="clear" w:color="auto" w:fill="auto"/>
            <w:noWrap/>
            <w:vAlign w:val="bottom"/>
            <w:hideMark/>
          </w:tcPr>
          <w:p w14:paraId="0151DBEC" w14:textId="77777777" w:rsidR="002E3ECE" w:rsidRPr="00C45D1F" w:rsidRDefault="002E3ECE" w:rsidP="00053A29">
            <w:pPr>
              <w:spacing w:before="0" w:after="0" w:line="240" w:lineRule="auto"/>
              <w:rPr>
                <w:rFonts w:ascii="Times New Roman" w:hAnsi="Times New Roman"/>
                <w:sz w:val="20"/>
              </w:rPr>
            </w:pPr>
          </w:p>
        </w:tc>
        <w:tc>
          <w:tcPr>
            <w:tcW w:w="1122" w:type="dxa"/>
            <w:tcBorders>
              <w:top w:val="nil"/>
              <w:left w:val="nil"/>
              <w:bottom w:val="nil"/>
              <w:right w:val="nil"/>
            </w:tcBorders>
            <w:shd w:val="clear" w:color="auto" w:fill="auto"/>
            <w:noWrap/>
            <w:vAlign w:val="bottom"/>
            <w:hideMark/>
          </w:tcPr>
          <w:p w14:paraId="3C6EA801" w14:textId="77777777" w:rsidR="002E3ECE" w:rsidRPr="00C45D1F" w:rsidRDefault="002E3ECE" w:rsidP="00053A29">
            <w:pPr>
              <w:spacing w:before="0" w:after="0" w:line="240" w:lineRule="auto"/>
              <w:rPr>
                <w:rFonts w:ascii="Times New Roman" w:hAnsi="Times New Roman"/>
                <w:sz w:val="20"/>
              </w:rPr>
            </w:pPr>
          </w:p>
        </w:tc>
        <w:tc>
          <w:tcPr>
            <w:tcW w:w="1084" w:type="dxa"/>
            <w:tcBorders>
              <w:top w:val="nil"/>
              <w:left w:val="nil"/>
              <w:bottom w:val="nil"/>
              <w:right w:val="nil"/>
            </w:tcBorders>
            <w:shd w:val="clear" w:color="auto" w:fill="auto"/>
            <w:noWrap/>
            <w:vAlign w:val="bottom"/>
            <w:hideMark/>
          </w:tcPr>
          <w:p w14:paraId="7C2FFBD6" w14:textId="77777777" w:rsidR="002E3ECE" w:rsidRPr="00C45D1F" w:rsidRDefault="002E3ECE" w:rsidP="00053A29">
            <w:pPr>
              <w:spacing w:before="0" w:after="0" w:line="240" w:lineRule="auto"/>
              <w:jc w:val="right"/>
              <w:rPr>
                <w:rFonts w:ascii="Times New Roman" w:hAnsi="Times New Roman"/>
                <w:sz w:val="20"/>
              </w:rPr>
            </w:pPr>
          </w:p>
        </w:tc>
        <w:tc>
          <w:tcPr>
            <w:tcW w:w="1059" w:type="dxa"/>
            <w:tcBorders>
              <w:top w:val="nil"/>
              <w:left w:val="nil"/>
              <w:bottom w:val="nil"/>
              <w:right w:val="nil"/>
            </w:tcBorders>
            <w:shd w:val="clear" w:color="auto" w:fill="auto"/>
            <w:noWrap/>
            <w:vAlign w:val="bottom"/>
            <w:hideMark/>
          </w:tcPr>
          <w:p w14:paraId="57DD455D" w14:textId="77777777" w:rsidR="002E3ECE" w:rsidRPr="00C45D1F" w:rsidRDefault="002E3ECE" w:rsidP="00053A29">
            <w:pPr>
              <w:spacing w:before="0" w:after="0" w:line="240" w:lineRule="auto"/>
              <w:jc w:val="right"/>
              <w:rPr>
                <w:rFonts w:ascii="Times New Roman" w:hAnsi="Times New Roman"/>
                <w:sz w:val="20"/>
              </w:rPr>
            </w:pPr>
          </w:p>
        </w:tc>
      </w:tr>
      <w:tr w:rsidR="002E3ECE" w:rsidRPr="00C45D1F" w14:paraId="53E78A07" w14:textId="77777777" w:rsidTr="000B6EBB">
        <w:trPr>
          <w:trHeight w:val="425"/>
          <w:jc w:val="center"/>
        </w:trPr>
        <w:tc>
          <w:tcPr>
            <w:tcW w:w="3289" w:type="dxa"/>
            <w:tcBorders>
              <w:top w:val="single" w:sz="4" w:space="0" w:color="auto"/>
              <w:left w:val="nil"/>
              <w:bottom w:val="nil"/>
              <w:right w:val="nil"/>
            </w:tcBorders>
            <w:shd w:val="clear" w:color="auto" w:fill="auto"/>
            <w:noWrap/>
            <w:vAlign w:val="bottom"/>
            <w:hideMark/>
          </w:tcPr>
          <w:p w14:paraId="444D5C2C" w14:textId="77777777" w:rsidR="002E3ECE" w:rsidRPr="00C45D1F" w:rsidRDefault="002E3ECE" w:rsidP="00053A29">
            <w:pPr>
              <w:spacing w:before="0" w:after="0" w:line="240" w:lineRule="auto"/>
              <w:jc w:val="right"/>
              <w:rPr>
                <w:rFonts w:ascii="Arial" w:hAnsi="Arial" w:cs="Arial"/>
                <w:color w:val="000000"/>
                <w:sz w:val="16"/>
                <w:szCs w:val="16"/>
              </w:rPr>
            </w:pPr>
            <w:r w:rsidRPr="00C45D1F">
              <w:rPr>
                <w:rFonts w:ascii="Arial" w:hAnsi="Arial" w:cs="Arial"/>
                <w:color w:val="000000"/>
                <w:sz w:val="16"/>
                <w:szCs w:val="16"/>
              </w:rPr>
              <w:t> </w:t>
            </w:r>
          </w:p>
        </w:tc>
        <w:tc>
          <w:tcPr>
            <w:tcW w:w="1326" w:type="dxa"/>
            <w:tcBorders>
              <w:top w:val="single" w:sz="4" w:space="0" w:color="auto"/>
              <w:left w:val="nil"/>
              <w:bottom w:val="nil"/>
              <w:right w:val="nil"/>
            </w:tcBorders>
            <w:shd w:val="clear" w:color="auto" w:fill="auto"/>
            <w:vAlign w:val="bottom"/>
            <w:hideMark/>
          </w:tcPr>
          <w:p w14:paraId="66D5E012" w14:textId="77777777" w:rsidR="002E3ECE" w:rsidRPr="00C45D1F" w:rsidRDefault="002E3ECE" w:rsidP="00053A29">
            <w:pPr>
              <w:spacing w:before="0" w:after="0" w:line="240" w:lineRule="auto"/>
              <w:jc w:val="right"/>
              <w:rPr>
                <w:rFonts w:ascii="Arial" w:hAnsi="Arial" w:cs="Arial"/>
                <w:b/>
                <w:bCs/>
                <w:sz w:val="16"/>
                <w:szCs w:val="16"/>
              </w:rPr>
            </w:pPr>
            <w:r>
              <w:rPr>
                <w:rFonts w:ascii="Arial" w:hAnsi="Arial" w:cs="Arial"/>
                <w:b/>
                <w:bCs/>
                <w:sz w:val="16"/>
                <w:szCs w:val="16"/>
              </w:rPr>
              <w:t>2022–</w:t>
            </w:r>
            <w:r w:rsidRPr="00C45D1F">
              <w:rPr>
                <w:rFonts w:ascii="Arial" w:hAnsi="Arial" w:cs="Arial"/>
                <w:b/>
                <w:bCs/>
                <w:sz w:val="16"/>
                <w:szCs w:val="16"/>
              </w:rPr>
              <w:t>23</w:t>
            </w:r>
            <w:r w:rsidRPr="00C45D1F">
              <w:rPr>
                <w:rFonts w:ascii="Arial" w:hAnsi="Arial" w:cs="Arial"/>
                <w:b/>
                <w:bCs/>
                <w:sz w:val="16"/>
                <w:szCs w:val="16"/>
              </w:rPr>
              <w:br/>
              <w:t>Actual</w:t>
            </w:r>
          </w:p>
        </w:tc>
        <w:tc>
          <w:tcPr>
            <w:tcW w:w="1122" w:type="dxa"/>
            <w:tcBorders>
              <w:top w:val="single" w:sz="4" w:space="0" w:color="auto"/>
              <w:left w:val="nil"/>
              <w:bottom w:val="nil"/>
              <w:right w:val="nil"/>
            </w:tcBorders>
            <w:shd w:val="clear" w:color="auto" w:fill="auto"/>
            <w:vAlign w:val="bottom"/>
            <w:hideMark/>
          </w:tcPr>
          <w:p w14:paraId="3601F572"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 </w:t>
            </w:r>
          </w:p>
        </w:tc>
        <w:tc>
          <w:tcPr>
            <w:tcW w:w="1084" w:type="dxa"/>
            <w:tcBorders>
              <w:top w:val="single" w:sz="4" w:space="0" w:color="auto"/>
              <w:left w:val="nil"/>
              <w:bottom w:val="nil"/>
              <w:right w:val="nil"/>
            </w:tcBorders>
            <w:shd w:val="clear" w:color="auto" w:fill="auto"/>
            <w:vAlign w:val="bottom"/>
            <w:hideMark/>
          </w:tcPr>
          <w:p w14:paraId="0431E744"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 </w:t>
            </w:r>
          </w:p>
        </w:tc>
        <w:tc>
          <w:tcPr>
            <w:tcW w:w="1059" w:type="dxa"/>
            <w:tcBorders>
              <w:top w:val="single" w:sz="4" w:space="0" w:color="auto"/>
              <w:left w:val="nil"/>
              <w:bottom w:val="nil"/>
              <w:right w:val="nil"/>
            </w:tcBorders>
            <w:shd w:val="clear" w:color="auto" w:fill="auto"/>
            <w:vAlign w:val="bottom"/>
            <w:hideMark/>
          </w:tcPr>
          <w:p w14:paraId="0981CECF" w14:textId="77777777" w:rsidR="002E3ECE" w:rsidRPr="00C45D1F" w:rsidRDefault="002E3ECE" w:rsidP="00053A29">
            <w:pPr>
              <w:spacing w:before="0" w:after="0" w:line="240" w:lineRule="auto"/>
              <w:jc w:val="right"/>
              <w:rPr>
                <w:rFonts w:ascii="Arial" w:hAnsi="Arial" w:cs="Arial"/>
                <w:b/>
                <w:bCs/>
                <w:sz w:val="16"/>
                <w:szCs w:val="16"/>
              </w:rPr>
            </w:pPr>
            <w:r w:rsidRPr="00C45D1F">
              <w:rPr>
                <w:rFonts w:ascii="Arial" w:hAnsi="Arial" w:cs="Arial"/>
                <w:b/>
                <w:bCs/>
                <w:sz w:val="16"/>
                <w:szCs w:val="16"/>
              </w:rPr>
              <w:t>2023</w:t>
            </w:r>
            <w:r>
              <w:rPr>
                <w:rFonts w:ascii="Arial" w:hAnsi="Arial" w:cs="Arial"/>
                <w:b/>
                <w:bCs/>
                <w:sz w:val="16"/>
                <w:szCs w:val="16"/>
              </w:rPr>
              <w:t>–</w:t>
            </w:r>
            <w:r w:rsidRPr="00C45D1F">
              <w:rPr>
                <w:rFonts w:ascii="Arial" w:hAnsi="Arial" w:cs="Arial"/>
                <w:b/>
                <w:bCs/>
                <w:sz w:val="16"/>
                <w:szCs w:val="16"/>
              </w:rPr>
              <w:t>24</w:t>
            </w:r>
            <w:r w:rsidRPr="00C45D1F">
              <w:rPr>
                <w:rFonts w:ascii="Arial" w:hAnsi="Arial" w:cs="Arial"/>
                <w:b/>
                <w:bCs/>
                <w:sz w:val="16"/>
                <w:szCs w:val="16"/>
              </w:rPr>
              <w:br/>
              <w:t>Revised</w:t>
            </w:r>
          </w:p>
        </w:tc>
      </w:tr>
      <w:tr w:rsidR="002E3ECE" w:rsidRPr="00C45D1F" w14:paraId="31834DC5" w14:textId="77777777" w:rsidTr="00053A29">
        <w:trPr>
          <w:trHeight w:val="225"/>
          <w:jc w:val="center"/>
        </w:trPr>
        <w:tc>
          <w:tcPr>
            <w:tcW w:w="3289" w:type="dxa"/>
            <w:tcBorders>
              <w:top w:val="nil"/>
              <w:left w:val="nil"/>
              <w:bottom w:val="single" w:sz="4" w:space="0" w:color="auto"/>
              <w:right w:val="nil"/>
            </w:tcBorders>
            <w:shd w:val="clear" w:color="auto" w:fill="auto"/>
            <w:noWrap/>
            <w:vAlign w:val="bottom"/>
            <w:hideMark/>
          </w:tcPr>
          <w:p w14:paraId="74A71C89" w14:textId="77777777" w:rsidR="002E3ECE" w:rsidRPr="00C45D1F" w:rsidRDefault="002E3ECE" w:rsidP="00053A29">
            <w:pPr>
              <w:spacing w:before="0" w:after="0" w:line="240" w:lineRule="auto"/>
              <w:rPr>
                <w:rFonts w:ascii="Arial" w:hAnsi="Arial" w:cs="Arial"/>
                <w:b/>
                <w:bCs/>
                <w:color w:val="000000"/>
                <w:sz w:val="16"/>
                <w:szCs w:val="16"/>
              </w:rPr>
            </w:pPr>
            <w:r w:rsidRPr="00C45D1F">
              <w:rPr>
                <w:rFonts w:ascii="Arial" w:hAnsi="Arial" w:cs="Arial"/>
                <w:b/>
                <w:bCs/>
                <w:color w:val="000000"/>
                <w:sz w:val="16"/>
                <w:szCs w:val="16"/>
              </w:rPr>
              <w:t xml:space="preserve">Average </w:t>
            </w:r>
            <w:r w:rsidRPr="00C45D1F">
              <w:rPr>
                <w:rFonts w:ascii="Arial" w:hAnsi="Arial" w:cs="Arial"/>
                <w:b/>
                <w:bCs/>
                <w:sz w:val="16"/>
                <w:szCs w:val="16"/>
              </w:rPr>
              <w:t>s</w:t>
            </w:r>
            <w:r w:rsidRPr="00C45D1F">
              <w:rPr>
                <w:rFonts w:ascii="Arial" w:hAnsi="Arial" w:cs="Arial"/>
                <w:b/>
                <w:bCs/>
                <w:color w:val="000000"/>
                <w:sz w:val="16"/>
                <w:szCs w:val="16"/>
              </w:rPr>
              <w:t xml:space="preserve">taffing </w:t>
            </w:r>
            <w:r w:rsidRPr="00C45D1F">
              <w:rPr>
                <w:rFonts w:ascii="Arial" w:hAnsi="Arial" w:cs="Arial"/>
                <w:b/>
                <w:bCs/>
                <w:sz w:val="16"/>
                <w:szCs w:val="16"/>
              </w:rPr>
              <w:t>l</w:t>
            </w:r>
            <w:r w:rsidRPr="00C45D1F">
              <w:rPr>
                <w:rFonts w:ascii="Arial" w:hAnsi="Arial" w:cs="Arial"/>
                <w:b/>
                <w:bCs/>
                <w:color w:val="000000"/>
                <w:sz w:val="16"/>
                <w:szCs w:val="16"/>
              </w:rPr>
              <w:t>evel (number)</w:t>
            </w:r>
          </w:p>
        </w:tc>
        <w:tc>
          <w:tcPr>
            <w:tcW w:w="1326" w:type="dxa"/>
            <w:tcBorders>
              <w:top w:val="single" w:sz="4" w:space="0" w:color="000000"/>
              <w:left w:val="nil"/>
              <w:bottom w:val="single" w:sz="4" w:space="0" w:color="000000"/>
              <w:right w:val="nil"/>
            </w:tcBorders>
            <w:shd w:val="clear" w:color="auto" w:fill="auto"/>
            <w:vAlign w:val="bottom"/>
            <w:hideMark/>
          </w:tcPr>
          <w:p w14:paraId="49FEA67C"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920</w:t>
            </w:r>
          </w:p>
        </w:tc>
        <w:tc>
          <w:tcPr>
            <w:tcW w:w="1122" w:type="dxa"/>
            <w:tcBorders>
              <w:top w:val="single" w:sz="4" w:space="0" w:color="000000"/>
              <w:left w:val="nil"/>
              <w:bottom w:val="single" w:sz="4" w:space="0" w:color="000000"/>
              <w:right w:val="nil"/>
            </w:tcBorders>
            <w:shd w:val="clear" w:color="auto" w:fill="auto"/>
            <w:noWrap/>
            <w:vAlign w:val="bottom"/>
            <w:hideMark/>
          </w:tcPr>
          <w:p w14:paraId="4945C07B"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 </w:t>
            </w:r>
          </w:p>
        </w:tc>
        <w:tc>
          <w:tcPr>
            <w:tcW w:w="1084" w:type="dxa"/>
            <w:tcBorders>
              <w:top w:val="single" w:sz="4" w:space="0" w:color="000000"/>
              <w:left w:val="nil"/>
              <w:bottom w:val="single" w:sz="4" w:space="0" w:color="000000"/>
              <w:right w:val="nil"/>
            </w:tcBorders>
            <w:shd w:val="clear" w:color="auto" w:fill="auto"/>
            <w:noWrap/>
            <w:vAlign w:val="bottom"/>
            <w:hideMark/>
          </w:tcPr>
          <w:p w14:paraId="13F61BEF"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 </w:t>
            </w:r>
          </w:p>
        </w:tc>
        <w:tc>
          <w:tcPr>
            <w:tcW w:w="1059" w:type="dxa"/>
            <w:tcBorders>
              <w:top w:val="single" w:sz="4" w:space="0" w:color="000000"/>
              <w:left w:val="nil"/>
              <w:bottom w:val="single" w:sz="4" w:space="0" w:color="000000"/>
              <w:right w:val="nil"/>
            </w:tcBorders>
            <w:shd w:val="clear" w:color="auto" w:fill="auto"/>
            <w:vAlign w:val="bottom"/>
            <w:hideMark/>
          </w:tcPr>
          <w:p w14:paraId="639A4CDB" w14:textId="77777777" w:rsidR="002E3ECE" w:rsidRPr="00C45D1F" w:rsidRDefault="002E3ECE" w:rsidP="00053A29">
            <w:pPr>
              <w:spacing w:before="0" w:after="0" w:line="240" w:lineRule="auto"/>
              <w:jc w:val="right"/>
              <w:rPr>
                <w:rFonts w:ascii="Arial" w:hAnsi="Arial" w:cs="Arial"/>
                <w:sz w:val="16"/>
                <w:szCs w:val="16"/>
              </w:rPr>
            </w:pPr>
            <w:r w:rsidRPr="00C45D1F">
              <w:rPr>
                <w:rFonts w:ascii="Arial" w:hAnsi="Arial" w:cs="Arial"/>
                <w:sz w:val="16"/>
                <w:szCs w:val="16"/>
              </w:rPr>
              <w:t>1,475</w:t>
            </w:r>
          </w:p>
        </w:tc>
      </w:tr>
    </w:tbl>
    <w:p w14:paraId="5D0D2A31" w14:textId="4622AF5B" w:rsidR="002E3ECE" w:rsidRDefault="002E3ECE" w:rsidP="002E3ECE">
      <w:pPr>
        <w:pStyle w:val="FootnoteText"/>
        <w:spacing w:before="120"/>
      </w:pPr>
      <w:r>
        <w:t>All figures are GST exclusive.</w:t>
      </w:r>
      <w:r>
        <w:tab/>
      </w:r>
    </w:p>
    <w:p w14:paraId="5D188C4A" w14:textId="24CACA5A" w:rsidR="002E3ECE" w:rsidRDefault="002E3ECE" w:rsidP="002E3ECE">
      <w:pPr>
        <w:pStyle w:val="FootnoteText"/>
      </w:pPr>
      <w:r w:rsidRPr="00D86353">
        <w:rPr>
          <w:vertAlign w:val="superscript"/>
        </w:rPr>
        <w:t>(a)</w:t>
      </w:r>
      <w:r>
        <w:tab/>
        <w:t>The estimate at Budget has been revised to reflect ACQSC's 2022–23 Annual Report and amounts repealed in accordance with the repeal date of the underlying Appropriation Acts.</w:t>
      </w:r>
      <w:r>
        <w:tab/>
      </w:r>
    </w:p>
    <w:p w14:paraId="11CAE1B4" w14:textId="4DBD02F4" w:rsidR="002E3ECE" w:rsidRDefault="002E3ECE" w:rsidP="002E3ECE">
      <w:pPr>
        <w:pStyle w:val="FootnoteText"/>
      </w:pPr>
      <w:r w:rsidRPr="00D86353">
        <w:rPr>
          <w:vertAlign w:val="superscript"/>
        </w:rPr>
        <w:t>(b)</w:t>
      </w:r>
      <w:r>
        <w:tab/>
      </w:r>
      <w:r w:rsidRPr="00D86353">
        <w:rPr>
          <w:i/>
        </w:rPr>
        <w:t>Appropriation Act (No. 1) 2023</w:t>
      </w:r>
      <w:r>
        <w:rPr>
          <w:i/>
        </w:rPr>
        <w:t>–</w:t>
      </w:r>
      <w:r w:rsidRPr="00D86353">
        <w:rPr>
          <w:i/>
        </w:rPr>
        <w:t>24</w:t>
      </w:r>
      <w:r>
        <w:t>, Appropriation Bill (No. 3) 2023–24 and associated Bills.</w:t>
      </w:r>
    </w:p>
    <w:p w14:paraId="2F4182AB" w14:textId="30592FB9" w:rsidR="002E3ECE" w:rsidRDefault="002E3ECE" w:rsidP="002E3ECE">
      <w:pPr>
        <w:pStyle w:val="FootnoteText"/>
      </w:pPr>
      <w:r w:rsidRPr="00D86353">
        <w:rPr>
          <w:vertAlign w:val="superscript"/>
        </w:rPr>
        <w:t>(c)</w:t>
      </w:r>
      <w:r>
        <w:tab/>
        <w:t xml:space="preserve">Estimated retained revenue receipts under section 74 of the </w:t>
      </w:r>
      <w:r w:rsidRPr="00D86353">
        <w:rPr>
          <w:i/>
        </w:rPr>
        <w:t>Public Governance, Performance and Accountability Act 2013</w:t>
      </w:r>
      <w:r>
        <w:t xml:space="preserve"> (PGPA Act).</w:t>
      </w:r>
    </w:p>
    <w:p w14:paraId="7F3EB083" w14:textId="6FB9EA0D" w:rsidR="002E3ECE" w:rsidRDefault="002E3ECE" w:rsidP="002E3ECE">
      <w:pPr>
        <w:pStyle w:val="FootnoteText"/>
      </w:pPr>
      <w:r w:rsidRPr="00D86353">
        <w:rPr>
          <w:vertAlign w:val="superscript"/>
        </w:rPr>
        <w:t>(d)</w:t>
      </w:r>
      <w:r>
        <w:tab/>
        <w:t xml:space="preserve">Departmental Capital Budgets (DCB) are not separately identified in Appropriation Bill (No. 1) and form part of ordinary annual services items. Please refer to Table 3.6 within this chapter for further details. </w:t>
      </w:r>
      <w:r w:rsidR="006C1A12">
        <w:br/>
      </w:r>
      <w:r>
        <w:t>For accounting purposes, this amount has been designated as a 'contribution by owner'.</w:t>
      </w:r>
    </w:p>
    <w:p w14:paraId="23067BFD" w14:textId="77777777" w:rsidR="002E3ECE" w:rsidRPr="00B858FE" w:rsidRDefault="002E3ECE" w:rsidP="002E3ECE">
      <w:pPr>
        <w:pStyle w:val="FootnoteText"/>
      </w:pPr>
      <w:r w:rsidRPr="00D86353">
        <w:rPr>
          <w:vertAlign w:val="superscript"/>
        </w:rPr>
        <w:t>(e)</w:t>
      </w:r>
      <w:r>
        <w:t xml:space="preserve"> </w:t>
      </w:r>
      <w:r>
        <w:tab/>
      </w:r>
      <w:r w:rsidRPr="00D86353">
        <w:rPr>
          <w:i/>
        </w:rPr>
        <w:t>Appropriation Act (No. 2) 2023</w:t>
      </w:r>
      <w:r>
        <w:rPr>
          <w:i/>
        </w:rPr>
        <w:t>–</w:t>
      </w:r>
      <w:r w:rsidRPr="00D86353">
        <w:rPr>
          <w:i/>
        </w:rPr>
        <w:t>24</w:t>
      </w:r>
      <w:r>
        <w:t>, Appropriation Bill (No. 4) 2023–24 and associated Bills.</w:t>
      </w:r>
    </w:p>
    <w:p w14:paraId="24599E4E" w14:textId="77777777" w:rsidR="002E3ECE" w:rsidRDefault="002E3ECE" w:rsidP="00275707">
      <w:pPr>
        <w:pStyle w:val="TableGraphic"/>
      </w:pPr>
    </w:p>
    <w:p w14:paraId="4F0D4547" w14:textId="74BD4D11" w:rsidR="002E3ECE" w:rsidRDefault="002E3ECE" w:rsidP="00275707">
      <w:pPr>
        <w:pStyle w:val="TableGraphic"/>
      </w:pPr>
    </w:p>
    <w:p w14:paraId="1D42684F" w14:textId="77777777" w:rsidR="00275707" w:rsidRPr="00643B7D" w:rsidRDefault="00275707" w:rsidP="00275707">
      <w:pPr>
        <w:pStyle w:val="TableGraphic"/>
      </w:pPr>
      <w:r w:rsidRPr="002E3ECE">
        <w:br w:type="page"/>
      </w:r>
      <w:r w:rsidR="00D91D52">
        <w:fldChar w:fldCharType="begin"/>
      </w:r>
      <w:r w:rsidR="00D91D52">
        <w:instrText xml:space="preserve"> </w:instrText>
      </w:r>
      <w:proofErr w:type="gramStart"/>
      <w:r w:rsidR="00D91D52">
        <w:instrText>TC  "</w:instrText>
      </w:r>
      <w:bookmarkStart w:id="391" w:name="_Toc155883129"/>
      <w:bookmarkStart w:id="392" w:name="_Toc157421324"/>
      <w:bookmarkStart w:id="393" w:name="_Toc157421369"/>
      <w:bookmarkStart w:id="394" w:name="_Toc157596648"/>
      <w:proofErr w:type="gramEnd"/>
      <w:r w:rsidR="00D91D52">
        <w:instrText>1.3</w:instrText>
      </w:r>
      <w:r w:rsidR="00D91D52">
        <w:tab/>
        <w:instrText>Entity measures</w:instrText>
      </w:r>
      <w:bookmarkEnd w:id="391"/>
      <w:bookmarkEnd w:id="392"/>
      <w:bookmarkEnd w:id="393"/>
      <w:bookmarkEnd w:id="394"/>
      <w:r w:rsidR="00D91D52">
        <w:instrText xml:space="preserve">" \f </w:instrText>
      </w:r>
      <w:proofErr w:type="spellStart"/>
      <w:r w:rsidR="00D91D52">
        <w:instrText>acq</w:instrText>
      </w:r>
      <w:proofErr w:type="spellEnd"/>
      <w:r w:rsidR="00D91D52">
        <w:instrText xml:space="preserve"> \l 2 </w:instrText>
      </w:r>
      <w:r w:rsidR="00D91D52">
        <w:fldChar w:fldCharType="end"/>
      </w:r>
      <w:r w:rsidRPr="009147A2">
        <w:rPr>
          <w:rFonts w:ascii="Arial Bold" w:hAnsi="Arial Bold"/>
          <w:b/>
          <w:sz w:val="22"/>
        </w:rPr>
        <w:t>1.3</w:t>
      </w:r>
      <w:r w:rsidRPr="009147A2">
        <w:rPr>
          <w:rFonts w:ascii="Arial Bold" w:hAnsi="Arial Bold"/>
          <w:b/>
          <w:sz w:val="22"/>
        </w:rPr>
        <w:tab/>
        <w:t>Entity measures</w:t>
      </w:r>
    </w:p>
    <w:p w14:paraId="4B279141" w14:textId="6C97E57D" w:rsidR="00275707" w:rsidRPr="00486E77" w:rsidRDefault="00275707" w:rsidP="00275707">
      <w:r w:rsidRPr="00C225F7">
        <w:rPr>
          <w:sz w:val="20"/>
        </w:rPr>
        <w:t>Table 1.2 summarises new Government measures taken since the 2023–24 Budget. The</w:t>
      </w:r>
      <w:r w:rsidR="00972F18">
        <w:rPr>
          <w:sz w:val="20"/>
        </w:rPr>
        <w:t> </w:t>
      </w:r>
      <w:r w:rsidRPr="00C225F7">
        <w:rPr>
          <w:sz w:val="20"/>
        </w:rPr>
        <w:t>table is split into receipt and payment measures, with the affected program identified</w:t>
      </w:r>
      <w:r w:rsidRPr="00486E77">
        <w:t>.</w:t>
      </w:r>
    </w:p>
    <w:p w14:paraId="47FC49FF" w14:textId="3960B39F" w:rsidR="00275707" w:rsidRDefault="00275707" w:rsidP="00275707">
      <w:pPr>
        <w:pStyle w:val="TableHeading"/>
      </w:pPr>
      <w:r w:rsidRPr="00486E77">
        <w:t xml:space="preserve">Table 1.2: </w:t>
      </w:r>
      <w:r>
        <w:t>ACQSC 2023–24</w:t>
      </w:r>
      <w:r w:rsidRPr="00486E77">
        <w:t xml:space="preserve"> measures since </w:t>
      </w:r>
      <w:r>
        <w:t xml:space="preserve">the </w:t>
      </w:r>
      <w:r w:rsidRPr="00486E77">
        <w:t>Budget</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722881" w:rsidRPr="007338E0" w14:paraId="78B3AA79" w14:textId="77777777" w:rsidTr="00313086">
        <w:trPr>
          <w:trHeight w:val="397"/>
          <w:jc w:val="center"/>
        </w:trPr>
        <w:tc>
          <w:tcPr>
            <w:tcW w:w="3080" w:type="dxa"/>
            <w:tcBorders>
              <w:top w:val="single" w:sz="4" w:space="0" w:color="auto"/>
              <w:left w:val="nil"/>
              <w:bottom w:val="nil"/>
              <w:right w:val="nil"/>
            </w:tcBorders>
            <w:shd w:val="clear" w:color="auto" w:fill="auto"/>
            <w:noWrap/>
            <w:hideMark/>
          </w:tcPr>
          <w:p w14:paraId="4EA2C244" w14:textId="77777777" w:rsidR="00722881" w:rsidRPr="007338E0" w:rsidRDefault="00722881" w:rsidP="000526B8">
            <w:pPr>
              <w:spacing w:before="24" w:after="0" w:line="240" w:lineRule="auto"/>
              <w:jc w:val="right"/>
              <w:rPr>
                <w:rFonts w:ascii="Arial" w:hAnsi="Arial" w:cs="Arial"/>
                <w:sz w:val="16"/>
                <w:szCs w:val="16"/>
              </w:rPr>
            </w:pPr>
            <w:r w:rsidRPr="007338E0">
              <w:rPr>
                <w:rFonts w:ascii="Arial" w:hAnsi="Arial" w:cs="Arial"/>
                <w:sz w:val="16"/>
                <w:szCs w:val="16"/>
              </w:rPr>
              <w:t> </w:t>
            </w:r>
          </w:p>
        </w:tc>
        <w:tc>
          <w:tcPr>
            <w:tcW w:w="960" w:type="dxa"/>
            <w:tcBorders>
              <w:top w:val="single" w:sz="4" w:space="0" w:color="auto"/>
              <w:left w:val="nil"/>
              <w:bottom w:val="nil"/>
              <w:right w:val="nil"/>
            </w:tcBorders>
            <w:shd w:val="clear" w:color="auto" w:fill="auto"/>
            <w:noWrap/>
            <w:hideMark/>
          </w:tcPr>
          <w:p w14:paraId="550380F2" w14:textId="77777777" w:rsidR="00722881" w:rsidRPr="007338E0" w:rsidRDefault="00722881" w:rsidP="000526B8">
            <w:pPr>
              <w:spacing w:before="24" w:after="0" w:line="240" w:lineRule="auto"/>
              <w:jc w:val="right"/>
              <w:rPr>
                <w:rFonts w:ascii="Arial" w:hAnsi="Arial" w:cs="Arial"/>
                <w:b/>
                <w:bCs/>
                <w:sz w:val="16"/>
                <w:szCs w:val="16"/>
              </w:rPr>
            </w:pPr>
            <w:r w:rsidRPr="007338E0">
              <w:rPr>
                <w:rFonts w:ascii="Arial" w:hAnsi="Arial" w:cs="Arial"/>
                <w:b/>
                <w:bCs/>
                <w:sz w:val="16"/>
                <w:szCs w:val="16"/>
              </w:rPr>
              <w:t>Program</w:t>
            </w:r>
          </w:p>
        </w:tc>
        <w:tc>
          <w:tcPr>
            <w:tcW w:w="960" w:type="dxa"/>
            <w:tcBorders>
              <w:top w:val="single" w:sz="4" w:space="0" w:color="000000"/>
              <w:left w:val="nil"/>
              <w:bottom w:val="single" w:sz="4" w:space="0" w:color="000000"/>
              <w:right w:val="nil"/>
            </w:tcBorders>
            <w:shd w:val="clear" w:color="000000" w:fill="D9D9D9"/>
            <w:hideMark/>
          </w:tcPr>
          <w:p w14:paraId="0276A061" w14:textId="77777777" w:rsidR="00722881" w:rsidRPr="007338E0" w:rsidRDefault="00722881" w:rsidP="000526B8">
            <w:pPr>
              <w:spacing w:before="24" w:after="0" w:line="240" w:lineRule="auto"/>
              <w:jc w:val="right"/>
              <w:rPr>
                <w:rFonts w:ascii="Arial" w:hAnsi="Arial" w:cs="Arial"/>
                <w:b/>
                <w:bCs/>
                <w:sz w:val="16"/>
                <w:szCs w:val="16"/>
              </w:rPr>
            </w:pPr>
            <w:r>
              <w:rPr>
                <w:rFonts w:ascii="Arial" w:hAnsi="Arial" w:cs="Arial"/>
                <w:b/>
                <w:bCs/>
                <w:sz w:val="16"/>
                <w:szCs w:val="16"/>
              </w:rPr>
              <w:t>2023–</w:t>
            </w:r>
            <w:r w:rsidRPr="007338E0">
              <w:rPr>
                <w:rFonts w:ascii="Arial" w:hAnsi="Arial" w:cs="Arial"/>
                <w:b/>
                <w:bCs/>
                <w:sz w:val="16"/>
                <w:szCs w:val="16"/>
              </w:rPr>
              <w:t xml:space="preserve">24 </w:t>
            </w:r>
            <w:r w:rsidRPr="007338E0">
              <w:rPr>
                <w:rFonts w:ascii="Arial" w:hAnsi="Arial" w:cs="Arial"/>
                <w:b/>
                <w:bCs/>
                <w:sz w:val="16"/>
                <w:szCs w:val="16"/>
              </w:rPr>
              <w:br/>
            </w:r>
            <w:r w:rsidRPr="007338E0">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1BF36243" w14:textId="77777777" w:rsidR="00722881" w:rsidRPr="007338E0" w:rsidRDefault="00722881" w:rsidP="000526B8">
            <w:pPr>
              <w:spacing w:before="24" w:after="0" w:line="240" w:lineRule="auto"/>
              <w:jc w:val="right"/>
              <w:rPr>
                <w:rFonts w:ascii="Arial" w:hAnsi="Arial" w:cs="Arial"/>
                <w:b/>
                <w:bCs/>
                <w:sz w:val="16"/>
                <w:szCs w:val="16"/>
              </w:rPr>
            </w:pPr>
            <w:r w:rsidRPr="007338E0">
              <w:rPr>
                <w:rFonts w:ascii="Arial" w:hAnsi="Arial" w:cs="Arial"/>
                <w:b/>
                <w:bCs/>
                <w:sz w:val="16"/>
                <w:szCs w:val="16"/>
              </w:rPr>
              <w:t>2024</w:t>
            </w:r>
            <w:r>
              <w:rPr>
                <w:rFonts w:ascii="Arial" w:hAnsi="Arial" w:cs="Arial"/>
                <w:b/>
                <w:bCs/>
                <w:sz w:val="16"/>
                <w:szCs w:val="16"/>
              </w:rPr>
              <w:t>–</w:t>
            </w:r>
            <w:r w:rsidRPr="007338E0">
              <w:rPr>
                <w:rFonts w:ascii="Arial" w:hAnsi="Arial" w:cs="Arial"/>
                <w:b/>
                <w:bCs/>
                <w:sz w:val="16"/>
                <w:szCs w:val="16"/>
              </w:rPr>
              <w:t xml:space="preserve">25 </w:t>
            </w:r>
            <w:r w:rsidRPr="007338E0">
              <w:rPr>
                <w:rFonts w:ascii="Arial" w:hAnsi="Arial" w:cs="Arial"/>
                <w:b/>
                <w:bCs/>
                <w:sz w:val="16"/>
                <w:szCs w:val="16"/>
              </w:rPr>
              <w:br/>
            </w:r>
            <w:r w:rsidRPr="007338E0">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630D6095" w14:textId="77777777" w:rsidR="00722881" w:rsidRPr="007338E0" w:rsidRDefault="00722881" w:rsidP="000526B8">
            <w:pPr>
              <w:spacing w:before="24" w:after="0" w:line="240" w:lineRule="auto"/>
              <w:jc w:val="right"/>
              <w:rPr>
                <w:rFonts w:ascii="Arial" w:hAnsi="Arial" w:cs="Arial"/>
                <w:b/>
                <w:bCs/>
                <w:sz w:val="16"/>
                <w:szCs w:val="16"/>
              </w:rPr>
            </w:pPr>
            <w:r>
              <w:rPr>
                <w:rFonts w:ascii="Arial" w:hAnsi="Arial" w:cs="Arial"/>
                <w:b/>
                <w:bCs/>
                <w:sz w:val="16"/>
                <w:szCs w:val="16"/>
              </w:rPr>
              <w:t>2025–</w:t>
            </w:r>
            <w:r w:rsidRPr="007338E0">
              <w:rPr>
                <w:rFonts w:ascii="Arial" w:hAnsi="Arial" w:cs="Arial"/>
                <w:b/>
                <w:bCs/>
                <w:sz w:val="16"/>
                <w:szCs w:val="16"/>
              </w:rPr>
              <w:t xml:space="preserve">26 </w:t>
            </w:r>
            <w:r w:rsidRPr="007338E0">
              <w:rPr>
                <w:rFonts w:ascii="Arial" w:hAnsi="Arial" w:cs="Arial"/>
                <w:b/>
                <w:bCs/>
                <w:sz w:val="16"/>
                <w:szCs w:val="16"/>
              </w:rPr>
              <w:br/>
            </w:r>
            <w:r w:rsidRPr="007338E0">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133F2679" w14:textId="77777777" w:rsidR="00722881" w:rsidRPr="007338E0" w:rsidRDefault="00722881" w:rsidP="000526B8">
            <w:pPr>
              <w:spacing w:before="24" w:after="0" w:line="240" w:lineRule="auto"/>
              <w:jc w:val="right"/>
              <w:rPr>
                <w:rFonts w:ascii="Arial" w:hAnsi="Arial" w:cs="Arial"/>
                <w:b/>
                <w:bCs/>
                <w:sz w:val="16"/>
                <w:szCs w:val="16"/>
              </w:rPr>
            </w:pPr>
            <w:r>
              <w:rPr>
                <w:rFonts w:ascii="Arial" w:hAnsi="Arial" w:cs="Arial"/>
                <w:b/>
                <w:bCs/>
                <w:sz w:val="16"/>
                <w:szCs w:val="16"/>
              </w:rPr>
              <w:t>2026–</w:t>
            </w:r>
            <w:r w:rsidRPr="007338E0">
              <w:rPr>
                <w:rFonts w:ascii="Arial" w:hAnsi="Arial" w:cs="Arial"/>
                <w:b/>
                <w:bCs/>
                <w:sz w:val="16"/>
                <w:szCs w:val="16"/>
              </w:rPr>
              <w:t xml:space="preserve">27 </w:t>
            </w:r>
            <w:r w:rsidRPr="007338E0">
              <w:rPr>
                <w:rFonts w:ascii="Arial" w:hAnsi="Arial" w:cs="Arial"/>
                <w:b/>
                <w:bCs/>
                <w:sz w:val="16"/>
                <w:szCs w:val="16"/>
              </w:rPr>
              <w:br/>
            </w:r>
            <w:r w:rsidRPr="007338E0">
              <w:rPr>
                <w:rFonts w:ascii="Arial" w:hAnsi="Arial" w:cs="Arial"/>
                <w:sz w:val="16"/>
                <w:szCs w:val="16"/>
              </w:rPr>
              <w:t>$'000</w:t>
            </w:r>
          </w:p>
        </w:tc>
      </w:tr>
      <w:tr w:rsidR="00722881" w:rsidRPr="007338E0" w14:paraId="5334B3BF" w14:textId="77777777" w:rsidTr="000526B8">
        <w:trPr>
          <w:trHeight w:val="283"/>
          <w:jc w:val="center"/>
        </w:trPr>
        <w:tc>
          <w:tcPr>
            <w:tcW w:w="7880" w:type="dxa"/>
            <w:gridSpan w:val="6"/>
            <w:tcBorders>
              <w:top w:val="nil"/>
              <w:left w:val="nil"/>
              <w:bottom w:val="nil"/>
              <w:right w:val="nil"/>
            </w:tcBorders>
            <w:shd w:val="clear" w:color="auto" w:fill="auto"/>
            <w:vAlign w:val="bottom"/>
            <w:hideMark/>
          </w:tcPr>
          <w:p w14:paraId="1F9FDED7" w14:textId="77777777" w:rsidR="00722881" w:rsidRPr="007338E0" w:rsidRDefault="00722881" w:rsidP="00E042BD">
            <w:pPr>
              <w:spacing w:before="0" w:after="0" w:line="240" w:lineRule="auto"/>
              <w:rPr>
                <w:rFonts w:ascii="Arial" w:hAnsi="Arial" w:cs="Arial"/>
                <w:b/>
                <w:bCs/>
                <w:sz w:val="16"/>
                <w:szCs w:val="16"/>
              </w:rPr>
            </w:pPr>
            <w:r w:rsidRPr="007338E0">
              <w:rPr>
                <w:rFonts w:ascii="Arial" w:hAnsi="Arial" w:cs="Arial"/>
                <w:b/>
                <w:bCs/>
                <w:sz w:val="16"/>
                <w:szCs w:val="16"/>
              </w:rPr>
              <w:t>Continuation of Aged Care Reform</w:t>
            </w:r>
            <w:r w:rsidRPr="007338E0">
              <w:rPr>
                <w:rFonts w:ascii="Arial" w:hAnsi="Arial" w:cs="Arial"/>
                <w:b/>
                <w:bCs/>
                <w:sz w:val="16"/>
                <w:szCs w:val="16"/>
                <w:vertAlign w:val="superscript"/>
              </w:rPr>
              <w:t>(a)</w:t>
            </w:r>
          </w:p>
        </w:tc>
      </w:tr>
      <w:tr w:rsidR="00722881" w:rsidRPr="007338E0" w14:paraId="419EDE4E" w14:textId="77777777" w:rsidTr="00EF7605">
        <w:trPr>
          <w:trHeight w:val="283"/>
          <w:jc w:val="center"/>
        </w:trPr>
        <w:tc>
          <w:tcPr>
            <w:tcW w:w="3080" w:type="dxa"/>
            <w:tcBorders>
              <w:top w:val="nil"/>
              <w:left w:val="nil"/>
              <w:bottom w:val="nil"/>
              <w:right w:val="nil"/>
            </w:tcBorders>
            <w:shd w:val="clear" w:color="auto" w:fill="auto"/>
            <w:noWrap/>
            <w:vAlign w:val="bottom"/>
            <w:hideMark/>
          </w:tcPr>
          <w:p w14:paraId="27E097D4" w14:textId="4459D955" w:rsidR="00722881" w:rsidRPr="007338E0" w:rsidRDefault="00E0703C" w:rsidP="00E042BD">
            <w:pPr>
              <w:spacing w:before="0" w:after="0" w:line="240" w:lineRule="auto"/>
              <w:rPr>
                <w:rFonts w:ascii="Arial" w:hAnsi="Arial" w:cs="Arial"/>
                <w:sz w:val="16"/>
                <w:szCs w:val="16"/>
              </w:rPr>
            </w:pPr>
            <w:r>
              <w:rPr>
                <w:rFonts w:ascii="Arial" w:hAnsi="Arial" w:cs="Arial"/>
                <w:sz w:val="16"/>
                <w:szCs w:val="16"/>
              </w:rPr>
              <w:t xml:space="preserve">Aged Care Quality and Safety </w:t>
            </w:r>
            <w:r w:rsidR="00722881" w:rsidRPr="007338E0">
              <w:rPr>
                <w:rFonts w:ascii="Arial" w:hAnsi="Arial" w:cs="Arial"/>
                <w:sz w:val="16"/>
                <w:szCs w:val="16"/>
              </w:rPr>
              <w:t>Commission</w:t>
            </w:r>
          </w:p>
        </w:tc>
        <w:tc>
          <w:tcPr>
            <w:tcW w:w="960" w:type="dxa"/>
            <w:tcBorders>
              <w:top w:val="nil"/>
              <w:left w:val="nil"/>
              <w:bottom w:val="nil"/>
              <w:right w:val="nil"/>
            </w:tcBorders>
            <w:shd w:val="clear" w:color="auto" w:fill="auto"/>
            <w:noWrap/>
            <w:vAlign w:val="bottom"/>
            <w:hideMark/>
          </w:tcPr>
          <w:p w14:paraId="6E2D7A01" w14:textId="77777777" w:rsidR="00722881" w:rsidRPr="007338E0" w:rsidRDefault="00722881" w:rsidP="00E042BD">
            <w:pPr>
              <w:spacing w:before="0" w:after="0" w:line="240" w:lineRule="auto"/>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61AE57F8" w14:textId="77777777" w:rsidR="00722881" w:rsidRPr="007338E0" w:rsidRDefault="00722881" w:rsidP="00E042BD">
            <w:pPr>
              <w:spacing w:before="0" w:after="0" w:line="240" w:lineRule="auto"/>
              <w:rPr>
                <w:rFonts w:ascii="Arial" w:hAnsi="Arial" w:cs="Arial"/>
                <w:sz w:val="16"/>
                <w:szCs w:val="16"/>
              </w:rPr>
            </w:pPr>
            <w:r w:rsidRPr="007338E0">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7871BC9A" w14:textId="77777777" w:rsidR="00722881" w:rsidRPr="007338E0" w:rsidRDefault="00722881" w:rsidP="00E042BD">
            <w:pPr>
              <w:spacing w:before="0"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E5D5549" w14:textId="77777777" w:rsidR="00722881" w:rsidRPr="007338E0" w:rsidRDefault="00722881" w:rsidP="00E042BD">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D9D9662" w14:textId="77777777" w:rsidR="00722881" w:rsidRPr="007338E0" w:rsidRDefault="00722881" w:rsidP="00E042BD">
            <w:pPr>
              <w:spacing w:before="0" w:after="0" w:line="240" w:lineRule="auto"/>
              <w:rPr>
                <w:rFonts w:ascii="Times New Roman" w:hAnsi="Times New Roman"/>
                <w:sz w:val="20"/>
              </w:rPr>
            </w:pPr>
          </w:p>
        </w:tc>
      </w:tr>
      <w:tr w:rsidR="00722881" w:rsidRPr="007338E0" w14:paraId="2829D1E5" w14:textId="77777777" w:rsidTr="00EF7605">
        <w:trPr>
          <w:trHeight w:val="283"/>
          <w:jc w:val="center"/>
        </w:trPr>
        <w:tc>
          <w:tcPr>
            <w:tcW w:w="3080" w:type="dxa"/>
            <w:tcBorders>
              <w:top w:val="nil"/>
              <w:left w:val="nil"/>
              <w:bottom w:val="nil"/>
              <w:right w:val="nil"/>
            </w:tcBorders>
            <w:shd w:val="clear" w:color="auto" w:fill="auto"/>
            <w:noWrap/>
            <w:vAlign w:val="bottom"/>
            <w:hideMark/>
          </w:tcPr>
          <w:p w14:paraId="06C332BA" w14:textId="77777777" w:rsidR="00722881" w:rsidRPr="007338E0" w:rsidRDefault="00722881" w:rsidP="00E042BD">
            <w:pPr>
              <w:spacing w:before="0" w:after="0" w:line="240" w:lineRule="auto"/>
              <w:ind w:leftChars="75" w:left="143"/>
              <w:rPr>
                <w:rFonts w:ascii="Arial" w:hAnsi="Arial" w:cs="Arial"/>
                <w:sz w:val="16"/>
                <w:szCs w:val="16"/>
              </w:rPr>
            </w:pPr>
            <w:r w:rsidRPr="007338E0">
              <w:rPr>
                <w:rFonts w:ascii="Arial" w:hAnsi="Arial" w:cs="Arial"/>
                <w:sz w:val="16"/>
                <w:szCs w:val="16"/>
              </w:rPr>
              <w:t>Departmental payments</w:t>
            </w:r>
          </w:p>
        </w:tc>
        <w:tc>
          <w:tcPr>
            <w:tcW w:w="960" w:type="dxa"/>
            <w:tcBorders>
              <w:top w:val="nil"/>
              <w:left w:val="nil"/>
              <w:bottom w:val="nil"/>
              <w:right w:val="nil"/>
            </w:tcBorders>
            <w:shd w:val="clear" w:color="auto" w:fill="auto"/>
            <w:noWrap/>
            <w:vAlign w:val="bottom"/>
            <w:hideMark/>
          </w:tcPr>
          <w:p w14:paraId="097DBBA0" w14:textId="77777777" w:rsidR="00722881" w:rsidRPr="007338E0" w:rsidRDefault="00722881" w:rsidP="00E042BD">
            <w:pPr>
              <w:spacing w:before="0" w:after="0" w:line="240" w:lineRule="auto"/>
              <w:jc w:val="right"/>
              <w:rPr>
                <w:rFonts w:ascii="Arial" w:hAnsi="Arial" w:cs="Arial"/>
                <w:sz w:val="16"/>
                <w:szCs w:val="16"/>
              </w:rPr>
            </w:pPr>
            <w:r w:rsidRPr="007338E0">
              <w:rPr>
                <w:rFonts w:ascii="Arial" w:hAnsi="Arial" w:cs="Arial"/>
                <w:sz w:val="16"/>
                <w:szCs w:val="16"/>
              </w:rPr>
              <w:t>1.1</w:t>
            </w:r>
          </w:p>
        </w:tc>
        <w:tc>
          <w:tcPr>
            <w:tcW w:w="960" w:type="dxa"/>
            <w:tcBorders>
              <w:top w:val="nil"/>
              <w:left w:val="nil"/>
              <w:bottom w:val="nil"/>
              <w:right w:val="nil"/>
            </w:tcBorders>
            <w:shd w:val="clear" w:color="000000" w:fill="D9D9D9"/>
            <w:noWrap/>
            <w:vAlign w:val="bottom"/>
            <w:hideMark/>
          </w:tcPr>
          <w:p w14:paraId="3793A97D" w14:textId="77777777" w:rsidR="00722881" w:rsidRPr="007338E0" w:rsidRDefault="00722881" w:rsidP="00E042BD">
            <w:pPr>
              <w:spacing w:before="0" w:after="0" w:line="240" w:lineRule="auto"/>
              <w:jc w:val="right"/>
              <w:rPr>
                <w:rFonts w:ascii="Arial" w:hAnsi="Arial" w:cs="Arial"/>
                <w:sz w:val="16"/>
                <w:szCs w:val="16"/>
              </w:rPr>
            </w:pPr>
            <w:r w:rsidRPr="007338E0">
              <w:rPr>
                <w:rFonts w:ascii="Arial" w:hAnsi="Arial" w:cs="Arial"/>
                <w:sz w:val="16"/>
                <w:szCs w:val="16"/>
              </w:rPr>
              <w:t>24,018</w:t>
            </w:r>
          </w:p>
        </w:tc>
        <w:tc>
          <w:tcPr>
            <w:tcW w:w="960" w:type="dxa"/>
            <w:tcBorders>
              <w:top w:val="nil"/>
              <w:left w:val="nil"/>
              <w:bottom w:val="nil"/>
              <w:right w:val="nil"/>
            </w:tcBorders>
            <w:shd w:val="clear" w:color="auto" w:fill="auto"/>
            <w:noWrap/>
            <w:vAlign w:val="bottom"/>
            <w:hideMark/>
          </w:tcPr>
          <w:p w14:paraId="36D9FB60" w14:textId="77777777" w:rsidR="00722881" w:rsidRPr="007338E0" w:rsidRDefault="00722881" w:rsidP="00E042BD">
            <w:pPr>
              <w:spacing w:before="0" w:after="0" w:line="240" w:lineRule="auto"/>
              <w:jc w:val="right"/>
              <w:rPr>
                <w:rFonts w:ascii="Arial" w:hAnsi="Arial" w:cs="Arial"/>
                <w:sz w:val="16"/>
                <w:szCs w:val="16"/>
              </w:rPr>
            </w:pPr>
            <w:r w:rsidRPr="007338E0">
              <w:rPr>
                <w:rFonts w:ascii="Arial" w:hAnsi="Arial" w:cs="Arial"/>
                <w:sz w:val="16"/>
                <w:szCs w:val="16"/>
              </w:rPr>
              <w:t>36,030</w:t>
            </w:r>
          </w:p>
        </w:tc>
        <w:tc>
          <w:tcPr>
            <w:tcW w:w="960" w:type="dxa"/>
            <w:tcBorders>
              <w:top w:val="nil"/>
              <w:left w:val="nil"/>
              <w:bottom w:val="nil"/>
              <w:right w:val="nil"/>
            </w:tcBorders>
            <w:shd w:val="clear" w:color="auto" w:fill="auto"/>
            <w:noWrap/>
            <w:vAlign w:val="bottom"/>
            <w:hideMark/>
          </w:tcPr>
          <w:p w14:paraId="638D58FB" w14:textId="77777777" w:rsidR="00722881" w:rsidRPr="007338E0" w:rsidRDefault="00722881" w:rsidP="00E042BD">
            <w:pPr>
              <w:spacing w:before="0" w:after="0" w:line="240" w:lineRule="auto"/>
              <w:jc w:val="right"/>
              <w:rPr>
                <w:rFonts w:ascii="Arial" w:hAnsi="Arial" w:cs="Arial"/>
                <w:sz w:val="16"/>
                <w:szCs w:val="16"/>
              </w:rPr>
            </w:pPr>
            <w:r w:rsidRPr="007338E0">
              <w:rPr>
                <w:rFonts w:ascii="Arial" w:hAnsi="Arial" w:cs="Arial"/>
                <w:sz w:val="16"/>
                <w:szCs w:val="16"/>
              </w:rPr>
              <w:t>39,362</w:t>
            </w:r>
          </w:p>
        </w:tc>
        <w:tc>
          <w:tcPr>
            <w:tcW w:w="960" w:type="dxa"/>
            <w:tcBorders>
              <w:top w:val="nil"/>
              <w:left w:val="nil"/>
              <w:bottom w:val="nil"/>
              <w:right w:val="nil"/>
            </w:tcBorders>
            <w:shd w:val="clear" w:color="auto" w:fill="auto"/>
            <w:noWrap/>
            <w:vAlign w:val="bottom"/>
            <w:hideMark/>
          </w:tcPr>
          <w:p w14:paraId="409B7D7C" w14:textId="77777777" w:rsidR="00722881" w:rsidRPr="007338E0" w:rsidRDefault="00722881" w:rsidP="00E042BD">
            <w:pPr>
              <w:spacing w:before="0" w:after="0" w:line="240" w:lineRule="auto"/>
              <w:jc w:val="right"/>
              <w:rPr>
                <w:rFonts w:ascii="Arial" w:hAnsi="Arial" w:cs="Arial"/>
                <w:sz w:val="16"/>
                <w:szCs w:val="16"/>
              </w:rPr>
            </w:pPr>
            <w:r w:rsidRPr="007338E0">
              <w:rPr>
                <w:rFonts w:ascii="Arial" w:hAnsi="Arial" w:cs="Arial"/>
                <w:sz w:val="16"/>
                <w:szCs w:val="16"/>
              </w:rPr>
              <w:t>6,579</w:t>
            </w:r>
          </w:p>
        </w:tc>
      </w:tr>
      <w:tr w:rsidR="00722881" w:rsidRPr="007338E0" w14:paraId="6697E62D" w14:textId="77777777" w:rsidTr="00EF7605">
        <w:trPr>
          <w:trHeight w:val="283"/>
          <w:jc w:val="center"/>
        </w:trPr>
        <w:tc>
          <w:tcPr>
            <w:tcW w:w="3080" w:type="dxa"/>
            <w:tcBorders>
              <w:top w:val="nil"/>
              <w:left w:val="nil"/>
              <w:bottom w:val="single" w:sz="4" w:space="0" w:color="auto"/>
              <w:right w:val="nil"/>
            </w:tcBorders>
            <w:shd w:val="clear" w:color="auto" w:fill="auto"/>
            <w:noWrap/>
            <w:vAlign w:val="bottom"/>
            <w:hideMark/>
          </w:tcPr>
          <w:p w14:paraId="6765FB7B" w14:textId="77777777" w:rsidR="00722881" w:rsidRPr="007338E0" w:rsidRDefault="00722881" w:rsidP="00E042BD">
            <w:pPr>
              <w:spacing w:before="0" w:after="0" w:line="240" w:lineRule="auto"/>
              <w:rPr>
                <w:rFonts w:ascii="Arial" w:hAnsi="Arial" w:cs="Arial"/>
                <w:b/>
                <w:bCs/>
                <w:sz w:val="16"/>
                <w:szCs w:val="16"/>
              </w:rPr>
            </w:pPr>
            <w:r w:rsidRPr="007338E0">
              <w:rPr>
                <w:rFonts w:ascii="Arial" w:hAnsi="Arial" w:cs="Arial"/>
                <w:b/>
                <w:bCs/>
                <w:sz w:val="16"/>
                <w:szCs w:val="16"/>
              </w:rPr>
              <w:t>Total payments</w:t>
            </w:r>
          </w:p>
        </w:tc>
        <w:tc>
          <w:tcPr>
            <w:tcW w:w="960" w:type="dxa"/>
            <w:tcBorders>
              <w:top w:val="nil"/>
              <w:left w:val="nil"/>
              <w:bottom w:val="single" w:sz="4" w:space="0" w:color="auto"/>
              <w:right w:val="nil"/>
            </w:tcBorders>
            <w:shd w:val="clear" w:color="auto" w:fill="auto"/>
            <w:noWrap/>
            <w:vAlign w:val="bottom"/>
            <w:hideMark/>
          </w:tcPr>
          <w:p w14:paraId="4E6D8DDA" w14:textId="77777777" w:rsidR="00722881" w:rsidRPr="007338E0" w:rsidRDefault="00722881" w:rsidP="00E042BD">
            <w:pPr>
              <w:spacing w:before="0" w:after="0" w:line="240" w:lineRule="auto"/>
              <w:jc w:val="right"/>
              <w:rPr>
                <w:rFonts w:ascii="Arial" w:hAnsi="Arial" w:cs="Arial"/>
                <w:b/>
                <w:bCs/>
                <w:sz w:val="16"/>
                <w:szCs w:val="16"/>
              </w:rPr>
            </w:pPr>
            <w:r w:rsidRPr="007338E0">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D9D9D9"/>
            <w:noWrap/>
            <w:vAlign w:val="bottom"/>
            <w:hideMark/>
          </w:tcPr>
          <w:p w14:paraId="5BE7BAD0" w14:textId="77777777" w:rsidR="00722881" w:rsidRPr="007338E0" w:rsidRDefault="00722881" w:rsidP="00E042BD">
            <w:pPr>
              <w:spacing w:before="0" w:after="0" w:line="240" w:lineRule="auto"/>
              <w:jc w:val="right"/>
              <w:rPr>
                <w:rFonts w:ascii="Arial" w:hAnsi="Arial" w:cs="Arial"/>
                <w:b/>
                <w:bCs/>
                <w:sz w:val="16"/>
                <w:szCs w:val="16"/>
              </w:rPr>
            </w:pPr>
            <w:r w:rsidRPr="007338E0">
              <w:rPr>
                <w:rFonts w:ascii="Arial" w:hAnsi="Arial" w:cs="Arial"/>
                <w:b/>
                <w:bCs/>
                <w:sz w:val="16"/>
                <w:szCs w:val="16"/>
              </w:rPr>
              <w:t>24,018</w:t>
            </w:r>
          </w:p>
        </w:tc>
        <w:tc>
          <w:tcPr>
            <w:tcW w:w="960" w:type="dxa"/>
            <w:tcBorders>
              <w:top w:val="single" w:sz="4" w:space="0" w:color="auto"/>
              <w:left w:val="nil"/>
              <w:bottom w:val="single" w:sz="4" w:space="0" w:color="auto"/>
              <w:right w:val="nil"/>
            </w:tcBorders>
            <w:shd w:val="clear" w:color="auto" w:fill="auto"/>
            <w:noWrap/>
            <w:vAlign w:val="bottom"/>
            <w:hideMark/>
          </w:tcPr>
          <w:p w14:paraId="63F69680" w14:textId="77777777" w:rsidR="00722881" w:rsidRPr="007338E0" w:rsidRDefault="00722881" w:rsidP="00E042BD">
            <w:pPr>
              <w:spacing w:before="0" w:after="0" w:line="240" w:lineRule="auto"/>
              <w:jc w:val="right"/>
              <w:rPr>
                <w:rFonts w:ascii="Arial" w:hAnsi="Arial" w:cs="Arial"/>
                <w:b/>
                <w:bCs/>
                <w:sz w:val="16"/>
                <w:szCs w:val="16"/>
              </w:rPr>
            </w:pPr>
            <w:r w:rsidRPr="007338E0">
              <w:rPr>
                <w:rFonts w:ascii="Arial" w:hAnsi="Arial" w:cs="Arial"/>
                <w:b/>
                <w:bCs/>
                <w:sz w:val="16"/>
                <w:szCs w:val="16"/>
              </w:rPr>
              <w:t>36,030</w:t>
            </w:r>
          </w:p>
        </w:tc>
        <w:tc>
          <w:tcPr>
            <w:tcW w:w="960" w:type="dxa"/>
            <w:tcBorders>
              <w:top w:val="single" w:sz="4" w:space="0" w:color="auto"/>
              <w:left w:val="nil"/>
              <w:bottom w:val="single" w:sz="4" w:space="0" w:color="auto"/>
              <w:right w:val="nil"/>
            </w:tcBorders>
            <w:shd w:val="clear" w:color="auto" w:fill="auto"/>
            <w:noWrap/>
            <w:vAlign w:val="bottom"/>
            <w:hideMark/>
          </w:tcPr>
          <w:p w14:paraId="05F89DA5" w14:textId="77777777" w:rsidR="00722881" w:rsidRPr="007338E0" w:rsidRDefault="00722881" w:rsidP="00E042BD">
            <w:pPr>
              <w:spacing w:before="0" w:after="0" w:line="240" w:lineRule="auto"/>
              <w:jc w:val="right"/>
              <w:rPr>
                <w:rFonts w:ascii="Arial" w:hAnsi="Arial" w:cs="Arial"/>
                <w:b/>
                <w:bCs/>
                <w:sz w:val="16"/>
                <w:szCs w:val="16"/>
              </w:rPr>
            </w:pPr>
            <w:r w:rsidRPr="007338E0">
              <w:rPr>
                <w:rFonts w:ascii="Arial" w:hAnsi="Arial" w:cs="Arial"/>
                <w:b/>
                <w:bCs/>
                <w:sz w:val="16"/>
                <w:szCs w:val="16"/>
              </w:rPr>
              <w:t>39,362</w:t>
            </w:r>
          </w:p>
        </w:tc>
        <w:tc>
          <w:tcPr>
            <w:tcW w:w="960" w:type="dxa"/>
            <w:tcBorders>
              <w:top w:val="single" w:sz="4" w:space="0" w:color="auto"/>
              <w:left w:val="nil"/>
              <w:bottom w:val="single" w:sz="4" w:space="0" w:color="auto"/>
              <w:right w:val="nil"/>
            </w:tcBorders>
            <w:shd w:val="clear" w:color="auto" w:fill="auto"/>
            <w:noWrap/>
            <w:vAlign w:val="bottom"/>
            <w:hideMark/>
          </w:tcPr>
          <w:p w14:paraId="2DC4810F" w14:textId="77777777" w:rsidR="00722881" w:rsidRPr="007338E0" w:rsidRDefault="00722881" w:rsidP="00E042BD">
            <w:pPr>
              <w:spacing w:before="0" w:after="0" w:line="240" w:lineRule="auto"/>
              <w:jc w:val="right"/>
              <w:rPr>
                <w:rFonts w:ascii="Arial" w:hAnsi="Arial" w:cs="Arial"/>
                <w:b/>
                <w:bCs/>
                <w:sz w:val="16"/>
                <w:szCs w:val="16"/>
              </w:rPr>
            </w:pPr>
            <w:r w:rsidRPr="007338E0">
              <w:rPr>
                <w:rFonts w:ascii="Arial" w:hAnsi="Arial" w:cs="Arial"/>
                <w:b/>
                <w:bCs/>
                <w:sz w:val="16"/>
                <w:szCs w:val="16"/>
              </w:rPr>
              <w:t>6,579</w:t>
            </w:r>
          </w:p>
        </w:tc>
      </w:tr>
    </w:tbl>
    <w:p w14:paraId="4DD7A6D0" w14:textId="7259C2EE" w:rsidR="00722881" w:rsidRPr="00722881" w:rsidRDefault="00722881" w:rsidP="00B6537D">
      <w:pPr>
        <w:pStyle w:val="FootnoteText"/>
        <w:spacing w:before="120"/>
      </w:pPr>
      <w:r w:rsidRPr="00722881">
        <w:rPr>
          <w:vertAlign w:val="superscript"/>
        </w:rPr>
        <w:t>(a)</w:t>
      </w:r>
      <w:r w:rsidRPr="00722881">
        <w:t xml:space="preserve"> </w:t>
      </w:r>
      <w:r>
        <w:tab/>
      </w:r>
      <w:r w:rsidRPr="00722881">
        <w:t>ACQSC is not the lead entity for this measure. ACQSC impacts only are shown in this table.</w:t>
      </w:r>
    </w:p>
    <w:p w14:paraId="6354055D" w14:textId="3B785E84" w:rsidR="00275707" w:rsidRPr="001E1BB6" w:rsidRDefault="00D91D52" w:rsidP="00275707">
      <w:pPr>
        <w:pStyle w:val="Heading3"/>
        <w:ind w:left="567" w:hanging="567"/>
      </w:pPr>
      <w:r>
        <w:fldChar w:fldCharType="begin"/>
      </w:r>
      <w:r>
        <w:instrText xml:space="preserve"> </w:instrText>
      </w:r>
      <w:proofErr w:type="gramStart"/>
      <w:r>
        <w:instrText>TC  "</w:instrText>
      </w:r>
      <w:bookmarkStart w:id="395" w:name="_Toc155883130"/>
      <w:bookmarkStart w:id="396" w:name="_Toc157421325"/>
      <w:bookmarkStart w:id="397" w:name="_Toc157421370"/>
      <w:bookmarkStart w:id="398" w:name="_Toc157596649"/>
      <w:proofErr w:type="gramEnd"/>
      <w:r>
        <w:instrText>1.4</w:instrText>
      </w:r>
      <w:r>
        <w:tab/>
        <w:instrText>Additional estimates, resourcing and variations to outcomes</w:instrText>
      </w:r>
      <w:bookmarkEnd w:id="395"/>
      <w:bookmarkEnd w:id="396"/>
      <w:bookmarkEnd w:id="397"/>
      <w:bookmarkEnd w:id="398"/>
      <w:r>
        <w:instrText xml:space="preserve">" \f </w:instrText>
      </w:r>
      <w:proofErr w:type="spellStart"/>
      <w:r>
        <w:instrText>acq</w:instrText>
      </w:r>
      <w:proofErr w:type="spellEnd"/>
      <w:r>
        <w:instrText xml:space="preserve"> \l 2 </w:instrText>
      </w:r>
      <w:r>
        <w:fldChar w:fldCharType="end"/>
      </w:r>
      <w:bookmarkStart w:id="399" w:name="_Toc157592006"/>
      <w:bookmarkStart w:id="400" w:name="_Toc157592189"/>
      <w:r w:rsidR="00275707">
        <w:t>1.4</w:t>
      </w:r>
      <w:r w:rsidR="00275707">
        <w:tab/>
        <w:t>Additional estimates, resourcing and v</w:t>
      </w:r>
      <w:r w:rsidR="00275707" w:rsidRPr="00597122">
        <w:t>ariations</w:t>
      </w:r>
      <w:r w:rsidR="00275707">
        <w:t xml:space="preserve"> to outcomes</w:t>
      </w:r>
      <w:bookmarkEnd w:id="399"/>
      <w:bookmarkEnd w:id="400"/>
    </w:p>
    <w:p w14:paraId="295EA544" w14:textId="0B9D4088" w:rsidR="00275707" w:rsidRPr="00C225F7" w:rsidRDefault="00275707" w:rsidP="00275707">
      <w:pPr>
        <w:rPr>
          <w:sz w:val="20"/>
        </w:rPr>
      </w:pPr>
      <w:r w:rsidRPr="00C225F7">
        <w:rPr>
          <w:sz w:val="20"/>
        </w:rPr>
        <w:t xml:space="preserve">The following tables detail the changes to the resourcing for ACQSC at Additional Estimates, by outcome. Table 1.3 details the Additional Estimates resulting from new measures and other variations since the 2023–24 Budget in Appropriation Bill </w:t>
      </w:r>
      <w:r w:rsidR="00972F18">
        <w:rPr>
          <w:sz w:val="20"/>
        </w:rPr>
        <w:t>(</w:t>
      </w:r>
      <w:r w:rsidRPr="00C225F7">
        <w:rPr>
          <w:sz w:val="20"/>
        </w:rPr>
        <w:t>Nos. 3 and 4</w:t>
      </w:r>
      <w:r w:rsidR="00972F18">
        <w:rPr>
          <w:sz w:val="20"/>
        </w:rPr>
        <w:t>)</w:t>
      </w:r>
      <w:r w:rsidRPr="00C225F7">
        <w:rPr>
          <w:sz w:val="20"/>
        </w:rPr>
        <w:t>.</w:t>
      </w:r>
    </w:p>
    <w:p w14:paraId="2EF6EB6F" w14:textId="11445BF4" w:rsidR="00275707" w:rsidRDefault="00275707" w:rsidP="00275707">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840" w:type="dxa"/>
        <w:jc w:val="center"/>
        <w:tblLayout w:type="fixed"/>
        <w:tblLook w:val="04A0" w:firstRow="1" w:lastRow="0" w:firstColumn="1" w:lastColumn="0" w:noHBand="0" w:noVBand="1"/>
      </w:tblPr>
      <w:tblGrid>
        <w:gridCol w:w="4160"/>
        <w:gridCol w:w="920"/>
        <w:gridCol w:w="920"/>
        <w:gridCol w:w="920"/>
        <w:gridCol w:w="920"/>
      </w:tblGrid>
      <w:tr w:rsidR="00722881" w:rsidRPr="00E11984" w14:paraId="042E2119" w14:textId="77777777" w:rsidTr="00E042BD">
        <w:trPr>
          <w:trHeight w:val="397"/>
          <w:jc w:val="center"/>
        </w:trPr>
        <w:tc>
          <w:tcPr>
            <w:tcW w:w="4160" w:type="dxa"/>
            <w:tcBorders>
              <w:top w:val="single" w:sz="4" w:space="0" w:color="auto"/>
              <w:left w:val="nil"/>
              <w:bottom w:val="nil"/>
              <w:right w:val="nil"/>
            </w:tcBorders>
            <w:shd w:val="clear" w:color="auto" w:fill="auto"/>
            <w:noWrap/>
            <w:hideMark/>
          </w:tcPr>
          <w:p w14:paraId="4DD2A9F7" w14:textId="77777777" w:rsidR="00722881" w:rsidRPr="00E11984" w:rsidRDefault="00722881" w:rsidP="00E042BD">
            <w:pPr>
              <w:spacing w:before="24" w:after="0" w:line="240" w:lineRule="auto"/>
              <w:jc w:val="right"/>
              <w:rPr>
                <w:rFonts w:ascii="Arial" w:hAnsi="Arial" w:cs="Arial"/>
                <w:sz w:val="16"/>
                <w:szCs w:val="16"/>
              </w:rPr>
            </w:pPr>
            <w:r w:rsidRPr="00E11984">
              <w:rPr>
                <w:rFonts w:ascii="Arial" w:hAnsi="Arial" w:cs="Arial"/>
                <w:sz w:val="16"/>
                <w:szCs w:val="16"/>
              </w:rPr>
              <w:t> </w:t>
            </w:r>
          </w:p>
        </w:tc>
        <w:tc>
          <w:tcPr>
            <w:tcW w:w="920" w:type="dxa"/>
            <w:tcBorders>
              <w:top w:val="single" w:sz="4" w:space="0" w:color="auto"/>
              <w:left w:val="nil"/>
              <w:bottom w:val="single" w:sz="4" w:space="0" w:color="auto"/>
              <w:right w:val="nil"/>
            </w:tcBorders>
            <w:shd w:val="clear" w:color="000000" w:fill="D9D9D9"/>
            <w:hideMark/>
          </w:tcPr>
          <w:p w14:paraId="25CF47E4" w14:textId="77777777" w:rsidR="00722881" w:rsidRPr="00E11984" w:rsidRDefault="00722881" w:rsidP="00E042BD">
            <w:pPr>
              <w:spacing w:before="24" w:after="0" w:line="240" w:lineRule="auto"/>
              <w:jc w:val="right"/>
              <w:rPr>
                <w:rFonts w:ascii="Arial" w:hAnsi="Arial" w:cs="Arial"/>
                <w:b/>
                <w:bCs/>
                <w:sz w:val="16"/>
                <w:szCs w:val="16"/>
              </w:rPr>
            </w:pPr>
            <w:r w:rsidRPr="00E11984">
              <w:rPr>
                <w:rFonts w:ascii="Arial" w:hAnsi="Arial" w:cs="Arial"/>
                <w:b/>
                <w:bCs/>
                <w:sz w:val="16"/>
                <w:szCs w:val="16"/>
              </w:rPr>
              <w:t>2023</w:t>
            </w:r>
            <w:r>
              <w:rPr>
                <w:rFonts w:ascii="Arial" w:hAnsi="Arial" w:cs="Arial"/>
                <w:b/>
                <w:bCs/>
                <w:sz w:val="16"/>
                <w:szCs w:val="16"/>
              </w:rPr>
              <w:t>–</w:t>
            </w:r>
            <w:r w:rsidRPr="00E11984">
              <w:rPr>
                <w:rFonts w:ascii="Arial" w:hAnsi="Arial" w:cs="Arial"/>
                <w:b/>
                <w:bCs/>
                <w:sz w:val="16"/>
                <w:szCs w:val="16"/>
              </w:rPr>
              <w:t>24</w:t>
            </w:r>
            <w:r w:rsidRPr="00E11984">
              <w:rPr>
                <w:rFonts w:ascii="Arial" w:hAnsi="Arial" w:cs="Arial"/>
                <w:b/>
                <w:bCs/>
                <w:sz w:val="16"/>
                <w:szCs w:val="16"/>
              </w:rPr>
              <w:br/>
            </w:r>
            <w:r w:rsidRPr="00E11984">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1C05C388" w14:textId="77777777" w:rsidR="00722881" w:rsidRPr="00E11984" w:rsidRDefault="00722881" w:rsidP="00E042BD">
            <w:pPr>
              <w:spacing w:before="24" w:after="0" w:line="240" w:lineRule="auto"/>
              <w:jc w:val="right"/>
              <w:rPr>
                <w:rFonts w:ascii="Arial" w:hAnsi="Arial" w:cs="Arial"/>
                <w:b/>
                <w:bCs/>
                <w:sz w:val="16"/>
                <w:szCs w:val="16"/>
              </w:rPr>
            </w:pPr>
            <w:r>
              <w:rPr>
                <w:rFonts w:ascii="Arial" w:hAnsi="Arial" w:cs="Arial"/>
                <w:b/>
                <w:bCs/>
                <w:sz w:val="16"/>
                <w:szCs w:val="16"/>
              </w:rPr>
              <w:t>2024–</w:t>
            </w:r>
            <w:r w:rsidRPr="00E11984">
              <w:rPr>
                <w:rFonts w:ascii="Arial" w:hAnsi="Arial" w:cs="Arial"/>
                <w:b/>
                <w:bCs/>
                <w:sz w:val="16"/>
                <w:szCs w:val="16"/>
              </w:rPr>
              <w:t>25</w:t>
            </w:r>
            <w:r w:rsidRPr="00E11984">
              <w:rPr>
                <w:rFonts w:ascii="Arial" w:hAnsi="Arial" w:cs="Arial"/>
                <w:b/>
                <w:bCs/>
                <w:sz w:val="16"/>
                <w:szCs w:val="16"/>
              </w:rPr>
              <w:br/>
            </w:r>
            <w:r w:rsidRPr="00E11984">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242AF9BF" w14:textId="77777777" w:rsidR="00722881" w:rsidRPr="00E11984" w:rsidRDefault="00722881" w:rsidP="00E042BD">
            <w:pPr>
              <w:spacing w:before="24" w:after="0" w:line="240" w:lineRule="auto"/>
              <w:jc w:val="right"/>
              <w:rPr>
                <w:rFonts w:ascii="Arial" w:hAnsi="Arial" w:cs="Arial"/>
                <w:b/>
                <w:bCs/>
                <w:sz w:val="16"/>
                <w:szCs w:val="16"/>
              </w:rPr>
            </w:pPr>
            <w:r>
              <w:rPr>
                <w:rFonts w:ascii="Arial" w:hAnsi="Arial" w:cs="Arial"/>
                <w:b/>
                <w:bCs/>
                <w:sz w:val="16"/>
                <w:szCs w:val="16"/>
              </w:rPr>
              <w:t>2025–</w:t>
            </w:r>
            <w:r w:rsidRPr="00E11984">
              <w:rPr>
                <w:rFonts w:ascii="Arial" w:hAnsi="Arial" w:cs="Arial"/>
                <w:b/>
                <w:bCs/>
                <w:sz w:val="16"/>
                <w:szCs w:val="16"/>
              </w:rPr>
              <w:t>26</w:t>
            </w:r>
            <w:r w:rsidRPr="00E11984">
              <w:rPr>
                <w:rFonts w:ascii="Arial" w:hAnsi="Arial" w:cs="Arial"/>
                <w:b/>
                <w:bCs/>
                <w:sz w:val="16"/>
                <w:szCs w:val="16"/>
              </w:rPr>
              <w:br/>
            </w:r>
            <w:r w:rsidRPr="00E11984">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1FBBD6DA" w14:textId="77777777" w:rsidR="00722881" w:rsidRPr="00E11984" w:rsidRDefault="00722881" w:rsidP="00E042BD">
            <w:pPr>
              <w:spacing w:before="24" w:after="0" w:line="240" w:lineRule="auto"/>
              <w:jc w:val="right"/>
              <w:rPr>
                <w:rFonts w:ascii="Arial" w:hAnsi="Arial" w:cs="Arial"/>
                <w:b/>
                <w:bCs/>
                <w:sz w:val="16"/>
                <w:szCs w:val="16"/>
              </w:rPr>
            </w:pPr>
            <w:r w:rsidRPr="00E11984">
              <w:rPr>
                <w:rFonts w:ascii="Arial" w:hAnsi="Arial" w:cs="Arial"/>
                <w:b/>
                <w:bCs/>
                <w:sz w:val="16"/>
                <w:szCs w:val="16"/>
              </w:rPr>
              <w:t>2026</w:t>
            </w:r>
            <w:r>
              <w:rPr>
                <w:rFonts w:ascii="Arial" w:hAnsi="Arial" w:cs="Arial"/>
                <w:b/>
                <w:bCs/>
                <w:sz w:val="16"/>
                <w:szCs w:val="16"/>
              </w:rPr>
              <w:t>–</w:t>
            </w:r>
            <w:r w:rsidRPr="00E11984">
              <w:rPr>
                <w:rFonts w:ascii="Arial" w:hAnsi="Arial" w:cs="Arial"/>
                <w:b/>
                <w:bCs/>
                <w:sz w:val="16"/>
                <w:szCs w:val="16"/>
              </w:rPr>
              <w:t>27</w:t>
            </w:r>
            <w:r w:rsidRPr="00E11984">
              <w:rPr>
                <w:rFonts w:ascii="Arial" w:hAnsi="Arial" w:cs="Arial"/>
                <w:b/>
                <w:bCs/>
                <w:sz w:val="16"/>
                <w:szCs w:val="16"/>
              </w:rPr>
              <w:br/>
            </w:r>
            <w:r w:rsidRPr="00E11984">
              <w:rPr>
                <w:rFonts w:ascii="Arial" w:hAnsi="Arial" w:cs="Arial"/>
                <w:sz w:val="16"/>
                <w:szCs w:val="16"/>
              </w:rPr>
              <w:t>$'000</w:t>
            </w:r>
          </w:p>
        </w:tc>
      </w:tr>
      <w:tr w:rsidR="00722881" w:rsidRPr="00E11984" w14:paraId="5EC3DE27" w14:textId="77777777" w:rsidTr="00AD4D72">
        <w:trPr>
          <w:trHeight w:val="283"/>
          <w:jc w:val="center"/>
        </w:trPr>
        <w:tc>
          <w:tcPr>
            <w:tcW w:w="4160" w:type="dxa"/>
            <w:tcBorders>
              <w:top w:val="nil"/>
              <w:left w:val="nil"/>
              <w:bottom w:val="nil"/>
              <w:right w:val="nil"/>
            </w:tcBorders>
            <w:shd w:val="clear" w:color="auto" w:fill="auto"/>
            <w:noWrap/>
            <w:vAlign w:val="bottom"/>
            <w:hideMark/>
          </w:tcPr>
          <w:p w14:paraId="78B85C86" w14:textId="77777777" w:rsidR="00722881" w:rsidRPr="00E11984" w:rsidRDefault="00722881" w:rsidP="00E042BD">
            <w:pPr>
              <w:spacing w:before="0" w:after="0" w:line="240" w:lineRule="auto"/>
              <w:rPr>
                <w:rFonts w:ascii="Arial" w:hAnsi="Arial" w:cs="Arial"/>
                <w:b/>
                <w:bCs/>
                <w:sz w:val="16"/>
                <w:szCs w:val="16"/>
              </w:rPr>
            </w:pPr>
            <w:r w:rsidRPr="00E11984">
              <w:rPr>
                <w:rFonts w:ascii="Arial" w:hAnsi="Arial" w:cs="Arial"/>
                <w:b/>
                <w:bCs/>
                <w:sz w:val="16"/>
                <w:szCs w:val="16"/>
              </w:rPr>
              <w:t>Program 1.1: Quality Aged Care Services</w:t>
            </w:r>
          </w:p>
        </w:tc>
        <w:tc>
          <w:tcPr>
            <w:tcW w:w="920" w:type="dxa"/>
            <w:tcBorders>
              <w:top w:val="nil"/>
              <w:left w:val="nil"/>
              <w:bottom w:val="nil"/>
              <w:right w:val="nil"/>
            </w:tcBorders>
            <w:shd w:val="clear" w:color="auto" w:fill="auto"/>
            <w:noWrap/>
            <w:vAlign w:val="bottom"/>
            <w:hideMark/>
          </w:tcPr>
          <w:p w14:paraId="53C27378" w14:textId="77777777" w:rsidR="00722881" w:rsidRPr="00E11984" w:rsidRDefault="00722881" w:rsidP="00E042BD">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5D4A6EC" w14:textId="77777777" w:rsidR="00722881" w:rsidRPr="00E11984" w:rsidRDefault="00722881" w:rsidP="00E042BD">
            <w:pPr>
              <w:spacing w:before="0" w:after="0" w:line="240" w:lineRule="auto"/>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A148DE4" w14:textId="77777777" w:rsidR="00722881" w:rsidRPr="00E11984" w:rsidRDefault="00722881" w:rsidP="00E042BD">
            <w:pPr>
              <w:spacing w:before="0" w:after="0" w:line="240" w:lineRule="auto"/>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71943BB7" w14:textId="77777777" w:rsidR="00722881" w:rsidRPr="00E11984" w:rsidRDefault="00722881" w:rsidP="00E042BD">
            <w:pPr>
              <w:spacing w:before="0" w:after="0" w:line="240" w:lineRule="auto"/>
              <w:rPr>
                <w:rFonts w:ascii="Times New Roman" w:hAnsi="Times New Roman"/>
                <w:sz w:val="20"/>
              </w:rPr>
            </w:pPr>
          </w:p>
        </w:tc>
      </w:tr>
      <w:tr w:rsidR="00722881" w:rsidRPr="00E11984" w14:paraId="03097170" w14:textId="77777777" w:rsidTr="00AD4D72">
        <w:trPr>
          <w:trHeight w:val="283"/>
          <w:jc w:val="center"/>
        </w:trPr>
        <w:tc>
          <w:tcPr>
            <w:tcW w:w="4160" w:type="dxa"/>
            <w:tcBorders>
              <w:top w:val="nil"/>
              <w:left w:val="nil"/>
              <w:bottom w:val="nil"/>
              <w:right w:val="nil"/>
            </w:tcBorders>
            <w:shd w:val="clear" w:color="auto" w:fill="auto"/>
            <w:noWrap/>
            <w:vAlign w:val="bottom"/>
            <w:hideMark/>
          </w:tcPr>
          <w:p w14:paraId="1B2E75FB" w14:textId="77777777" w:rsidR="00722881" w:rsidRPr="00E11984" w:rsidRDefault="00722881" w:rsidP="00E042BD">
            <w:pPr>
              <w:spacing w:before="0" w:after="0" w:line="240" w:lineRule="auto"/>
              <w:rPr>
                <w:rFonts w:ascii="Arial" w:hAnsi="Arial" w:cs="Arial"/>
                <w:b/>
                <w:bCs/>
                <w:sz w:val="16"/>
                <w:szCs w:val="16"/>
              </w:rPr>
            </w:pPr>
            <w:r w:rsidRPr="00E11984">
              <w:rPr>
                <w:rFonts w:ascii="Arial" w:hAnsi="Arial" w:cs="Arial"/>
                <w:b/>
                <w:bCs/>
                <w:sz w:val="16"/>
                <w:szCs w:val="16"/>
              </w:rPr>
              <w:t>Changes to departmental appropriations</w:t>
            </w:r>
          </w:p>
        </w:tc>
        <w:tc>
          <w:tcPr>
            <w:tcW w:w="920" w:type="dxa"/>
            <w:tcBorders>
              <w:top w:val="nil"/>
              <w:left w:val="nil"/>
              <w:bottom w:val="nil"/>
              <w:right w:val="nil"/>
            </w:tcBorders>
            <w:shd w:val="clear" w:color="000000" w:fill="D9D9D9"/>
            <w:noWrap/>
            <w:vAlign w:val="bottom"/>
            <w:hideMark/>
          </w:tcPr>
          <w:p w14:paraId="6070E2AB"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65B494B5" w14:textId="77777777" w:rsidR="00722881" w:rsidRPr="00E11984" w:rsidRDefault="00722881" w:rsidP="00E042BD">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BB9D4BF" w14:textId="77777777" w:rsidR="00722881" w:rsidRPr="00E11984" w:rsidRDefault="00722881" w:rsidP="00E042BD">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32379EF" w14:textId="77777777" w:rsidR="00722881" w:rsidRPr="00E11984" w:rsidRDefault="00722881" w:rsidP="00E042BD">
            <w:pPr>
              <w:spacing w:before="0" w:after="0" w:line="240" w:lineRule="auto"/>
              <w:jc w:val="right"/>
              <w:rPr>
                <w:rFonts w:ascii="Times New Roman" w:hAnsi="Times New Roman"/>
                <w:sz w:val="20"/>
              </w:rPr>
            </w:pPr>
          </w:p>
        </w:tc>
      </w:tr>
      <w:tr w:rsidR="00722881" w:rsidRPr="00E11984" w14:paraId="19A68A7C" w14:textId="77777777" w:rsidTr="00AD4D72">
        <w:trPr>
          <w:trHeight w:val="283"/>
          <w:jc w:val="center"/>
        </w:trPr>
        <w:tc>
          <w:tcPr>
            <w:tcW w:w="4160" w:type="dxa"/>
            <w:tcBorders>
              <w:top w:val="nil"/>
              <w:left w:val="nil"/>
              <w:bottom w:val="nil"/>
              <w:right w:val="nil"/>
            </w:tcBorders>
            <w:shd w:val="clear" w:color="auto" w:fill="auto"/>
            <w:noWrap/>
            <w:vAlign w:val="bottom"/>
            <w:hideMark/>
          </w:tcPr>
          <w:p w14:paraId="1C517E3B" w14:textId="77777777" w:rsidR="00722881" w:rsidRPr="00E11984" w:rsidRDefault="00722881" w:rsidP="00E042BD">
            <w:pPr>
              <w:spacing w:before="0" w:after="0" w:line="240" w:lineRule="auto"/>
              <w:rPr>
                <w:rFonts w:ascii="Arial" w:hAnsi="Arial" w:cs="Arial"/>
                <w:sz w:val="16"/>
                <w:szCs w:val="16"/>
              </w:rPr>
            </w:pPr>
            <w:r w:rsidRPr="00E11984">
              <w:rPr>
                <w:rFonts w:ascii="Arial" w:hAnsi="Arial" w:cs="Arial"/>
                <w:sz w:val="16"/>
                <w:szCs w:val="16"/>
              </w:rPr>
              <w:t>Appropriation Bill (No. 3)</w:t>
            </w:r>
          </w:p>
        </w:tc>
        <w:tc>
          <w:tcPr>
            <w:tcW w:w="920" w:type="dxa"/>
            <w:tcBorders>
              <w:top w:val="nil"/>
              <w:left w:val="nil"/>
              <w:bottom w:val="nil"/>
              <w:right w:val="nil"/>
            </w:tcBorders>
            <w:shd w:val="clear" w:color="000000" w:fill="D9D9D9"/>
            <w:noWrap/>
            <w:vAlign w:val="bottom"/>
            <w:hideMark/>
          </w:tcPr>
          <w:p w14:paraId="7D644BCE"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BBD271C" w14:textId="77777777" w:rsidR="00722881" w:rsidRPr="00E11984" w:rsidRDefault="00722881" w:rsidP="00E042BD">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29207A7" w14:textId="77777777" w:rsidR="00722881" w:rsidRPr="00E11984" w:rsidRDefault="00722881" w:rsidP="00E042BD">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673C917E" w14:textId="77777777" w:rsidR="00722881" w:rsidRPr="00E11984" w:rsidRDefault="00722881" w:rsidP="00E042BD">
            <w:pPr>
              <w:spacing w:before="0" w:after="0" w:line="240" w:lineRule="auto"/>
              <w:jc w:val="right"/>
              <w:rPr>
                <w:rFonts w:ascii="Times New Roman" w:hAnsi="Times New Roman"/>
                <w:sz w:val="20"/>
              </w:rPr>
            </w:pPr>
          </w:p>
        </w:tc>
      </w:tr>
      <w:tr w:rsidR="00722881" w:rsidRPr="00E11984" w14:paraId="28471565" w14:textId="77777777" w:rsidTr="00AD4D72">
        <w:trPr>
          <w:trHeight w:val="283"/>
          <w:jc w:val="center"/>
        </w:trPr>
        <w:tc>
          <w:tcPr>
            <w:tcW w:w="4160" w:type="dxa"/>
            <w:tcBorders>
              <w:top w:val="nil"/>
              <w:left w:val="nil"/>
              <w:bottom w:val="nil"/>
              <w:right w:val="nil"/>
            </w:tcBorders>
            <w:shd w:val="clear" w:color="000000" w:fill="FFFFFF"/>
            <w:vAlign w:val="bottom"/>
            <w:hideMark/>
          </w:tcPr>
          <w:p w14:paraId="251B6641" w14:textId="77777777" w:rsidR="00722881" w:rsidRPr="00E11984" w:rsidRDefault="00722881" w:rsidP="00E042BD">
            <w:pPr>
              <w:spacing w:before="0" w:after="0" w:line="240" w:lineRule="auto"/>
              <w:rPr>
                <w:rFonts w:ascii="Arial" w:hAnsi="Arial" w:cs="Arial"/>
                <w:sz w:val="16"/>
                <w:szCs w:val="16"/>
              </w:rPr>
            </w:pPr>
            <w:r w:rsidRPr="00E11984">
              <w:rPr>
                <w:rFonts w:ascii="Arial" w:hAnsi="Arial" w:cs="Arial"/>
                <w:b/>
                <w:bCs/>
                <w:sz w:val="16"/>
                <w:szCs w:val="16"/>
              </w:rPr>
              <w:t>Measure</w:t>
            </w:r>
            <w:r w:rsidRPr="00E11984">
              <w:rPr>
                <w:rFonts w:ascii="Arial" w:hAnsi="Arial" w:cs="Arial"/>
                <w:sz w:val="16"/>
                <w:szCs w:val="16"/>
              </w:rPr>
              <w:t xml:space="preserve"> - Continuation of Aged Care Reform</w:t>
            </w:r>
          </w:p>
        </w:tc>
        <w:tc>
          <w:tcPr>
            <w:tcW w:w="920" w:type="dxa"/>
            <w:tcBorders>
              <w:top w:val="nil"/>
              <w:left w:val="nil"/>
              <w:bottom w:val="nil"/>
              <w:right w:val="nil"/>
            </w:tcBorders>
            <w:shd w:val="clear" w:color="000000" w:fill="D9D9D9"/>
            <w:noWrap/>
            <w:vAlign w:val="bottom"/>
            <w:hideMark/>
          </w:tcPr>
          <w:p w14:paraId="272E8FBA"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24,018 </w:t>
            </w:r>
          </w:p>
        </w:tc>
        <w:tc>
          <w:tcPr>
            <w:tcW w:w="920" w:type="dxa"/>
            <w:tcBorders>
              <w:top w:val="nil"/>
              <w:left w:val="nil"/>
              <w:bottom w:val="nil"/>
              <w:right w:val="nil"/>
            </w:tcBorders>
            <w:shd w:val="clear" w:color="auto" w:fill="auto"/>
            <w:noWrap/>
            <w:vAlign w:val="bottom"/>
            <w:hideMark/>
          </w:tcPr>
          <w:p w14:paraId="404C8A51"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36,030 </w:t>
            </w:r>
          </w:p>
        </w:tc>
        <w:tc>
          <w:tcPr>
            <w:tcW w:w="920" w:type="dxa"/>
            <w:tcBorders>
              <w:top w:val="nil"/>
              <w:left w:val="nil"/>
              <w:bottom w:val="nil"/>
              <w:right w:val="nil"/>
            </w:tcBorders>
            <w:shd w:val="clear" w:color="auto" w:fill="auto"/>
            <w:noWrap/>
            <w:vAlign w:val="bottom"/>
            <w:hideMark/>
          </w:tcPr>
          <w:p w14:paraId="536324A9"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39,362 </w:t>
            </w:r>
          </w:p>
        </w:tc>
        <w:tc>
          <w:tcPr>
            <w:tcW w:w="920" w:type="dxa"/>
            <w:tcBorders>
              <w:top w:val="nil"/>
              <w:left w:val="nil"/>
              <w:bottom w:val="nil"/>
              <w:right w:val="nil"/>
            </w:tcBorders>
            <w:shd w:val="clear" w:color="auto" w:fill="auto"/>
            <w:noWrap/>
            <w:vAlign w:val="bottom"/>
            <w:hideMark/>
          </w:tcPr>
          <w:p w14:paraId="1D823C11"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6,579 </w:t>
            </w:r>
          </w:p>
        </w:tc>
      </w:tr>
      <w:tr w:rsidR="00722881" w:rsidRPr="00E11984" w14:paraId="76876FA1" w14:textId="77777777" w:rsidTr="00AD4D72">
        <w:trPr>
          <w:trHeight w:val="283"/>
          <w:jc w:val="center"/>
        </w:trPr>
        <w:tc>
          <w:tcPr>
            <w:tcW w:w="4160" w:type="dxa"/>
            <w:tcBorders>
              <w:top w:val="nil"/>
              <w:left w:val="nil"/>
              <w:bottom w:val="nil"/>
              <w:right w:val="nil"/>
            </w:tcBorders>
            <w:shd w:val="clear" w:color="000000" w:fill="FFFFFF"/>
            <w:vAlign w:val="bottom"/>
            <w:hideMark/>
          </w:tcPr>
          <w:p w14:paraId="4A0C8687" w14:textId="77777777" w:rsidR="00722881" w:rsidRPr="00E11984" w:rsidRDefault="00722881" w:rsidP="00E042BD">
            <w:pPr>
              <w:spacing w:before="0" w:after="0" w:line="240" w:lineRule="auto"/>
              <w:rPr>
                <w:rFonts w:ascii="Arial" w:hAnsi="Arial" w:cs="Arial"/>
                <w:sz w:val="16"/>
                <w:szCs w:val="16"/>
              </w:rPr>
            </w:pPr>
            <w:r w:rsidRPr="00E11984">
              <w:rPr>
                <w:rFonts w:ascii="Arial" w:hAnsi="Arial" w:cs="Arial"/>
                <w:sz w:val="16"/>
                <w:szCs w:val="16"/>
              </w:rPr>
              <w:t>Home Care Packages correction</w:t>
            </w:r>
          </w:p>
        </w:tc>
        <w:tc>
          <w:tcPr>
            <w:tcW w:w="920" w:type="dxa"/>
            <w:tcBorders>
              <w:top w:val="nil"/>
              <w:left w:val="nil"/>
              <w:bottom w:val="nil"/>
              <w:right w:val="nil"/>
            </w:tcBorders>
            <w:shd w:val="clear" w:color="000000" w:fill="D9D9D9"/>
            <w:noWrap/>
            <w:vAlign w:val="bottom"/>
            <w:hideMark/>
          </w:tcPr>
          <w:p w14:paraId="5D91C3C8"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(1,277)</w:t>
            </w:r>
          </w:p>
        </w:tc>
        <w:tc>
          <w:tcPr>
            <w:tcW w:w="920" w:type="dxa"/>
            <w:tcBorders>
              <w:top w:val="nil"/>
              <w:left w:val="nil"/>
              <w:bottom w:val="nil"/>
              <w:right w:val="nil"/>
            </w:tcBorders>
            <w:shd w:val="clear" w:color="auto" w:fill="auto"/>
            <w:noWrap/>
            <w:vAlign w:val="bottom"/>
            <w:hideMark/>
          </w:tcPr>
          <w:p w14:paraId="3C10A839"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6126101"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A205C72"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 </w:t>
            </w:r>
          </w:p>
        </w:tc>
      </w:tr>
      <w:tr w:rsidR="00722881" w:rsidRPr="00E11984" w14:paraId="41429A58" w14:textId="77777777" w:rsidTr="00AD4D72">
        <w:trPr>
          <w:trHeight w:val="283"/>
          <w:jc w:val="center"/>
        </w:trPr>
        <w:tc>
          <w:tcPr>
            <w:tcW w:w="4160" w:type="dxa"/>
            <w:tcBorders>
              <w:top w:val="nil"/>
              <w:left w:val="nil"/>
              <w:bottom w:val="nil"/>
              <w:right w:val="nil"/>
            </w:tcBorders>
            <w:shd w:val="clear" w:color="000000" w:fill="FFFFFF"/>
            <w:vAlign w:val="bottom"/>
            <w:hideMark/>
          </w:tcPr>
          <w:p w14:paraId="44D27B1C" w14:textId="503F9D7F" w:rsidR="00722881" w:rsidRPr="00E11984" w:rsidRDefault="00972F18" w:rsidP="00E042BD">
            <w:pPr>
              <w:spacing w:before="0" w:after="0" w:line="240" w:lineRule="auto"/>
              <w:rPr>
                <w:rFonts w:ascii="Arial" w:hAnsi="Arial" w:cs="Arial"/>
                <w:sz w:val="16"/>
                <w:szCs w:val="16"/>
              </w:rPr>
            </w:pPr>
            <w:r>
              <w:rPr>
                <w:rFonts w:ascii="Arial" w:hAnsi="Arial" w:cs="Arial"/>
                <w:sz w:val="16"/>
                <w:szCs w:val="16"/>
              </w:rPr>
              <w:t>Price parameter adjustments</w:t>
            </w:r>
            <w:r w:rsidR="00722881" w:rsidRPr="00E11984">
              <w:rPr>
                <w:rFonts w:ascii="Arial" w:hAnsi="Arial" w:cs="Arial"/>
                <w:sz w:val="16"/>
                <w:szCs w:val="16"/>
                <w:vertAlign w:val="superscript"/>
              </w:rPr>
              <w:t>(a)</w:t>
            </w:r>
          </w:p>
        </w:tc>
        <w:tc>
          <w:tcPr>
            <w:tcW w:w="920" w:type="dxa"/>
            <w:tcBorders>
              <w:top w:val="nil"/>
              <w:left w:val="nil"/>
              <w:bottom w:val="nil"/>
              <w:right w:val="nil"/>
            </w:tcBorders>
            <w:shd w:val="clear" w:color="000000" w:fill="D9D9D9"/>
            <w:noWrap/>
            <w:vAlign w:val="bottom"/>
            <w:hideMark/>
          </w:tcPr>
          <w:p w14:paraId="59C9B251"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9CAC2C4"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174 </w:t>
            </w:r>
          </w:p>
        </w:tc>
        <w:tc>
          <w:tcPr>
            <w:tcW w:w="920" w:type="dxa"/>
            <w:tcBorders>
              <w:top w:val="nil"/>
              <w:left w:val="nil"/>
              <w:bottom w:val="nil"/>
              <w:right w:val="nil"/>
            </w:tcBorders>
            <w:shd w:val="clear" w:color="000000" w:fill="FFFFFF"/>
            <w:noWrap/>
            <w:vAlign w:val="bottom"/>
            <w:hideMark/>
          </w:tcPr>
          <w:p w14:paraId="629E9DE9"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525 </w:t>
            </w:r>
          </w:p>
        </w:tc>
        <w:tc>
          <w:tcPr>
            <w:tcW w:w="920" w:type="dxa"/>
            <w:tcBorders>
              <w:top w:val="nil"/>
              <w:left w:val="nil"/>
              <w:bottom w:val="nil"/>
              <w:right w:val="nil"/>
            </w:tcBorders>
            <w:shd w:val="clear" w:color="000000" w:fill="FFFFFF"/>
            <w:noWrap/>
            <w:vAlign w:val="bottom"/>
            <w:hideMark/>
          </w:tcPr>
          <w:p w14:paraId="7A1CE322" w14:textId="77777777" w:rsidR="00722881" w:rsidRPr="00E11984" w:rsidRDefault="00722881" w:rsidP="00E042BD">
            <w:pPr>
              <w:spacing w:before="0" w:after="0" w:line="240" w:lineRule="auto"/>
              <w:jc w:val="right"/>
              <w:rPr>
                <w:rFonts w:ascii="Arial" w:hAnsi="Arial" w:cs="Arial"/>
                <w:sz w:val="16"/>
                <w:szCs w:val="16"/>
              </w:rPr>
            </w:pPr>
            <w:r w:rsidRPr="00E11984">
              <w:rPr>
                <w:rFonts w:ascii="Arial" w:hAnsi="Arial" w:cs="Arial"/>
                <w:sz w:val="16"/>
                <w:szCs w:val="16"/>
              </w:rPr>
              <w:t xml:space="preserve">533 </w:t>
            </w:r>
          </w:p>
        </w:tc>
      </w:tr>
      <w:tr w:rsidR="00722881" w:rsidRPr="00E11984" w14:paraId="60CEC656" w14:textId="77777777" w:rsidTr="00AD4D72">
        <w:trPr>
          <w:trHeight w:val="283"/>
          <w:jc w:val="center"/>
        </w:trPr>
        <w:tc>
          <w:tcPr>
            <w:tcW w:w="4160" w:type="dxa"/>
            <w:tcBorders>
              <w:top w:val="nil"/>
              <w:left w:val="nil"/>
              <w:bottom w:val="single" w:sz="4" w:space="0" w:color="auto"/>
              <w:right w:val="nil"/>
            </w:tcBorders>
            <w:shd w:val="clear" w:color="auto" w:fill="auto"/>
            <w:noWrap/>
            <w:vAlign w:val="bottom"/>
            <w:hideMark/>
          </w:tcPr>
          <w:p w14:paraId="3327F9B6" w14:textId="77777777" w:rsidR="00722881" w:rsidRPr="00E11984" w:rsidRDefault="00722881" w:rsidP="00E042BD">
            <w:pPr>
              <w:spacing w:before="0" w:after="0" w:line="240" w:lineRule="auto"/>
              <w:rPr>
                <w:rFonts w:ascii="Arial" w:hAnsi="Arial" w:cs="Arial"/>
                <w:b/>
                <w:bCs/>
                <w:sz w:val="16"/>
                <w:szCs w:val="16"/>
              </w:rPr>
            </w:pPr>
            <w:r w:rsidRPr="00E11984">
              <w:rPr>
                <w:rFonts w:ascii="Arial" w:hAnsi="Arial" w:cs="Arial"/>
                <w:b/>
                <w:bCs/>
                <w:sz w:val="16"/>
                <w:szCs w:val="16"/>
              </w:rPr>
              <w:t>Total</w:t>
            </w:r>
          </w:p>
        </w:tc>
        <w:tc>
          <w:tcPr>
            <w:tcW w:w="920" w:type="dxa"/>
            <w:tcBorders>
              <w:top w:val="single" w:sz="4" w:space="0" w:color="auto"/>
              <w:left w:val="nil"/>
              <w:bottom w:val="single" w:sz="4" w:space="0" w:color="auto"/>
              <w:right w:val="nil"/>
            </w:tcBorders>
            <w:shd w:val="clear" w:color="000000" w:fill="D9D9D9"/>
            <w:noWrap/>
            <w:vAlign w:val="bottom"/>
            <w:hideMark/>
          </w:tcPr>
          <w:p w14:paraId="1FA3897F" w14:textId="77777777" w:rsidR="00722881" w:rsidRPr="00E11984" w:rsidRDefault="00722881" w:rsidP="00E042BD">
            <w:pPr>
              <w:spacing w:before="0" w:after="0" w:line="240" w:lineRule="auto"/>
              <w:jc w:val="right"/>
              <w:rPr>
                <w:rFonts w:ascii="Arial" w:hAnsi="Arial" w:cs="Arial"/>
                <w:b/>
                <w:bCs/>
                <w:sz w:val="16"/>
                <w:szCs w:val="16"/>
              </w:rPr>
            </w:pPr>
            <w:r w:rsidRPr="00E11984">
              <w:rPr>
                <w:rFonts w:ascii="Arial" w:hAnsi="Arial" w:cs="Arial"/>
                <w:b/>
                <w:bCs/>
                <w:sz w:val="16"/>
                <w:szCs w:val="16"/>
              </w:rPr>
              <w:t xml:space="preserve">22,741 </w:t>
            </w:r>
          </w:p>
        </w:tc>
        <w:tc>
          <w:tcPr>
            <w:tcW w:w="920" w:type="dxa"/>
            <w:tcBorders>
              <w:top w:val="single" w:sz="4" w:space="0" w:color="auto"/>
              <w:left w:val="nil"/>
              <w:bottom w:val="single" w:sz="4" w:space="0" w:color="auto"/>
              <w:right w:val="nil"/>
            </w:tcBorders>
            <w:shd w:val="clear" w:color="auto" w:fill="auto"/>
            <w:noWrap/>
            <w:vAlign w:val="bottom"/>
            <w:hideMark/>
          </w:tcPr>
          <w:p w14:paraId="5FDE8076" w14:textId="77777777" w:rsidR="00722881" w:rsidRPr="00E11984" w:rsidRDefault="00722881" w:rsidP="00E042BD">
            <w:pPr>
              <w:spacing w:before="0" w:after="0" w:line="240" w:lineRule="auto"/>
              <w:jc w:val="right"/>
              <w:rPr>
                <w:rFonts w:ascii="Arial" w:hAnsi="Arial" w:cs="Arial"/>
                <w:b/>
                <w:bCs/>
                <w:sz w:val="16"/>
                <w:szCs w:val="16"/>
              </w:rPr>
            </w:pPr>
            <w:r w:rsidRPr="00E11984">
              <w:rPr>
                <w:rFonts w:ascii="Arial" w:hAnsi="Arial" w:cs="Arial"/>
                <w:b/>
                <w:bCs/>
                <w:sz w:val="16"/>
                <w:szCs w:val="16"/>
              </w:rPr>
              <w:t xml:space="preserve">36,204 </w:t>
            </w:r>
          </w:p>
        </w:tc>
        <w:tc>
          <w:tcPr>
            <w:tcW w:w="920" w:type="dxa"/>
            <w:tcBorders>
              <w:top w:val="single" w:sz="4" w:space="0" w:color="auto"/>
              <w:left w:val="nil"/>
              <w:bottom w:val="single" w:sz="4" w:space="0" w:color="auto"/>
              <w:right w:val="nil"/>
            </w:tcBorders>
            <w:shd w:val="clear" w:color="auto" w:fill="auto"/>
            <w:noWrap/>
            <w:vAlign w:val="bottom"/>
            <w:hideMark/>
          </w:tcPr>
          <w:p w14:paraId="75F318F6" w14:textId="77777777" w:rsidR="00722881" w:rsidRPr="00E11984" w:rsidRDefault="00722881" w:rsidP="00E042BD">
            <w:pPr>
              <w:spacing w:before="0" w:after="0" w:line="240" w:lineRule="auto"/>
              <w:jc w:val="right"/>
              <w:rPr>
                <w:rFonts w:ascii="Arial" w:hAnsi="Arial" w:cs="Arial"/>
                <w:b/>
                <w:bCs/>
                <w:sz w:val="16"/>
                <w:szCs w:val="16"/>
              </w:rPr>
            </w:pPr>
            <w:r w:rsidRPr="00E11984">
              <w:rPr>
                <w:rFonts w:ascii="Arial" w:hAnsi="Arial" w:cs="Arial"/>
                <w:b/>
                <w:bCs/>
                <w:sz w:val="16"/>
                <w:szCs w:val="16"/>
              </w:rPr>
              <w:t xml:space="preserve">39,887 </w:t>
            </w:r>
          </w:p>
        </w:tc>
        <w:tc>
          <w:tcPr>
            <w:tcW w:w="920" w:type="dxa"/>
            <w:tcBorders>
              <w:top w:val="single" w:sz="4" w:space="0" w:color="auto"/>
              <w:left w:val="nil"/>
              <w:bottom w:val="single" w:sz="4" w:space="0" w:color="auto"/>
              <w:right w:val="nil"/>
            </w:tcBorders>
            <w:shd w:val="clear" w:color="auto" w:fill="auto"/>
            <w:noWrap/>
            <w:vAlign w:val="bottom"/>
            <w:hideMark/>
          </w:tcPr>
          <w:p w14:paraId="0A119D5E" w14:textId="77777777" w:rsidR="00722881" w:rsidRPr="00E11984" w:rsidRDefault="00722881" w:rsidP="00E042BD">
            <w:pPr>
              <w:spacing w:before="0" w:after="0" w:line="240" w:lineRule="auto"/>
              <w:jc w:val="right"/>
              <w:rPr>
                <w:rFonts w:ascii="Arial" w:hAnsi="Arial" w:cs="Arial"/>
                <w:b/>
                <w:bCs/>
                <w:sz w:val="16"/>
                <w:szCs w:val="16"/>
              </w:rPr>
            </w:pPr>
            <w:r w:rsidRPr="00E11984">
              <w:rPr>
                <w:rFonts w:ascii="Arial" w:hAnsi="Arial" w:cs="Arial"/>
                <w:b/>
                <w:bCs/>
                <w:sz w:val="16"/>
                <w:szCs w:val="16"/>
              </w:rPr>
              <w:t xml:space="preserve">7,112 </w:t>
            </w:r>
          </w:p>
        </w:tc>
      </w:tr>
    </w:tbl>
    <w:p w14:paraId="61E6AE29" w14:textId="60354DBC" w:rsidR="00275707" w:rsidRPr="00845828" w:rsidRDefault="00275707" w:rsidP="007E1D60">
      <w:pPr>
        <w:pStyle w:val="FootnoteText"/>
        <w:numPr>
          <w:ilvl w:val="0"/>
          <w:numId w:val="45"/>
        </w:numPr>
        <w:spacing w:before="120"/>
      </w:pPr>
      <w:r w:rsidRPr="00845828">
        <w:t>See explanation in Portfolio Glossary.</w:t>
      </w:r>
    </w:p>
    <w:p w14:paraId="69B44FC8" w14:textId="77777777" w:rsidR="00275707" w:rsidRPr="00D95DEB" w:rsidRDefault="00275707" w:rsidP="00275707">
      <w:pPr>
        <w:pStyle w:val="TableGraphic"/>
      </w:pPr>
    </w:p>
    <w:p w14:paraId="45659348" w14:textId="77777777" w:rsidR="00275707" w:rsidRDefault="00275707" w:rsidP="00275707">
      <w:pPr>
        <w:pStyle w:val="TableHeading"/>
      </w:pPr>
      <w:r>
        <w:br w:type="page"/>
      </w:r>
    </w:p>
    <w:p w14:paraId="64D01303" w14:textId="5273CA6E" w:rsidR="00275707" w:rsidRPr="00564C0F" w:rsidRDefault="00D91D52" w:rsidP="00275707">
      <w:pPr>
        <w:pStyle w:val="Heading3"/>
        <w:ind w:right="-156"/>
      </w:pPr>
      <w:r>
        <w:fldChar w:fldCharType="begin"/>
      </w:r>
      <w:r>
        <w:instrText xml:space="preserve"> </w:instrText>
      </w:r>
      <w:proofErr w:type="gramStart"/>
      <w:r>
        <w:instrText>TC  "</w:instrText>
      </w:r>
      <w:bookmarkStart w:id="401" w:name="_Toc155883131"/>
      <w:bookmarkStart w:id="402" w:name="_Toc157421326"/>
      <w:bookmarkStart w:id="403" w:name="_Toc157421371"/>
      <w:bookmarkStart w:id="404" w:name="_Toc157596650"/>
      <w:proofErr w:type="gramEnd"/>
      <w:r>
        <w:instrText>1.5</w:instrText>
      </w:r>
      <w:r>
        <w:tab/>
        <w:instrText>Breakdown of additional estimates by appropriation bill</w:instrText>
      </w:r>
      <w:bookmarkEnd w:id="401"/>
      <w:bookmarkEnd w:id="402"/>
      <w:bookmarkEnd w:id="403"/>
      <w:bookmarkEnd w:id="404"/>
      <w:r>
        <w:instrText xml:space="preserve">" \f </w:instrText>
      </w:r>
      <w:proofErr w:type="spellStart"/>
      <w:r>
        <w:instrText>acq</w:instrText>
      </w:r>
      <w:proofErr w:type="spellEnd"/>
      <w:r>
        <w:instrText xml:space="preserve"> \l 2 </w:instrText>
      </w:r>
      <w:r>
        <w:fldChar w:fldCharType="end"/>
      </w:r>
      <w:bookmarkStart w:id="405" w:name="_Toc157592007"/>
      <w:bookmarkStart w:id="406" w:name="_Toc157592190"/>
      <w:r w:rsidR="00275707">
        <w:t>1.5</w:t>
      </w:r>
      <w:r w:rsidR="00275707">
        <w:tab/>
      </w:r>
      <w:r w:rsidR="00275707" w:rsidRPr="00564C0F">
        <w:t>Breakdown of additional estimates by appropriation bill</w:t>
      </w:r>
      <w:bookmarkEnd w:id="405"/>
      <w:bookmarkEnd w:id="406"/>
    </w:p>
    <w:p w14:paraId="1D763C79" w14:textId="71D63595" w:rsidR="00275707" w:rsidRPr="00C225F7" w:rsidRDefault="00275707" w:rsidP="00275707">
      <w:pPr>
        <w:rPr>
          <w:sz w:val="20"/>
        </w:rPr>
      </w:pPr>
      <w:r w:rsidRPr="00C225F7">
        <w:rPr>
          <w:sz w:val="20"/>
        </w:rPr>
        <w:t>The following tables detail the Additional Estimates sought for A</w:t>
      </w:r>
      <w:r w:rsidR="00F026E3">
        <w:rPr>
          <w:sz w:val="20"/>
        </w:rPr>
        <w:t>CQSC through Appropriation Bill</w:t>
      </w:r>
      <w:r w:rsidRPr="00C225F7">
        <w:rPr>
          <w:sz w:val="20"/>
        </w:rPr>
        <w:t xml:space="preserve"> </w:t>
      </w:r>
      <w:r w:rsidR="00972F18">
        <w:rPr>
          <w:sz w:val="20"/>
        </w:rPr>
        <w:t>(</w:t>
      </w:r>
      <w:r w:rsidRPr="00C225F7">
        <w:rPr>
          <w:sz w:val="20"/>
        </w:rPr>
        <w:t>Nos. 3 and 4</w:t>
      </w:r>
      <w:r w:rsidR="00972F18">
        <w:rPr>
          <w:sz w:val="20"/>
        </w:rPr>
        <w:t>)</w:t>
      </w:r>
      <w:r w:rsidRPr="00C225F7">
        <w:rPr>
          <w:sz w:val="20"/>
        </w:rPr>
        <w:t>.</w:t>
      </w:r>
    </w:p>
    <w:p w14:paraId="5BFAB463" w14:textId="42083020" w:rsidR="00275707" w:rsidRDefault="00275707" w:rsidP="00275707">
      <w:pPr>
        <w:pStyle w:val="TableHeading"/>
      </w:pPr>
      <w:r>
        <w:t>Table 1.4</w:t>
      </w:r>
      <w:r w:rsidRPr="00564C0F">
        <w:t xml:space="preserve">: Appropriation Bill (No. 3) </w:t>
      </w:r>
      <w:r>
        <w:t>2023–2024</w:t>
      </w:r>
    </w:p>
    <w:tbl>
      <w:tblPr>
        <w:tblW w:w="7880" w:type="dxa"/>
        <w:jc w:val="center"/>
        <w:tblLayout w:type="fixed"/>
        <w:tblLook w:val="04A0" w:firstRow="1" w:lastRow="0" w:firstColumn="1" w:lastColumn="0" w:noHBand="0" w:noVBand="1"/>
      </w:tblPr>
      <w:tblGrid>
        <w:gridCol w:w="2680"/>
        <w:gridCol w:w="1180"/>
        <w:gridCol w:w="960"/>
        <w:gridCol w:w="960"/>
        <w:gridCol w:w="1140"/>
        <w:gridCol w:w="960"/>
      </w:tblGrid>
      <w:tr w:rsidR="00C67F4D" w:rsidRPr="00E0666A" w14:paraId="527F0F55" w14:textId="77777777" w:rsidTr="004C03D6">
        <w:trPr>
          <w:trHeight w:val="567"/>
          <w:jc w:val="center"/>
        </w:trPr>
        <w:tc>
          <w:tcPr>
            <w:tcW w:w="2680" w:type="dxa"/>
            <w:tcBorders>
              <w:top w:val="single" w:sz="4" w:space="0" w:color="000000"/>
              <w:left w:val="nil"/>
              <w:bottom w:val="nil"/>
              <w:right w:val="nil"/>
            </w:tcBorders>
            <w:shd w:val="clear" w:color="auto" w:fill="auto"/>
            <w:noWrap/>
            <w:hideMark/>
          </w:tcPr>
          <w:p w14:paraId="438366AC" w14:textId="77777777" w:rsidR="00C67F4D" w:rsidRPr="00E0666A" w:rsidRDefault="00C67F4D" w:rsidP="004C03D6">
            <w:pPr>
              <w:spacing w:before="0" w:after="0" w:line="240" w:lineRule="auto"/>
              <w:jc w:val="right"/>
              <w:rPr>
                <w:rFonts w:ascii="Arial" w:hAnsi="Arial" w:cs="Arial"/>
                <w:sz w:val="16"/>
                <w:szCs w:val="16"/>
              </w:rPr>
            </w:pPr>
            <w:r w:rsidRPr="00E0666A">
              <w:rPr>
                <w:rFonts w:ascii="Arial" w:hAnsi="Arial" w:cs="Arial"/>
                <w:sz w:val="16"/>
                <w:szCs w:val="16"/>
              </w:rPr>
              <w:t> </w:t>
            </w:r>
          </w:p>
        </w:tc>
        <w:tc>
          <w:tcPr>
            <w:tcW w:w="1180" w:type="dxa"/>
            <w:tcBorders>
              <w:top w:val="single" w:sz="4" w:space="0" w:color="000000"/>
              <w:left w:val="nil"/>
              <w:bottom w:val="single" w:sz="4" w:space="0" w:color="000000"/>
              <w:right w:val="nil"/>
            </w:tcBorders>
            <w:shd w:val="clear" w:color="auto" w:fill="auto"/>
            <w:hideMark/>
          </w:tcPr>
          <w:p w14:paraId="23069DEB" w14:textId="0528104C" w:rsidR="00C67F4D" w:rsidRPr="00E0666A" w:rsidRDefault="00C67F4D" w:rsidP="00972F18">
            <w:pPr>
              <w:spacing w:before="24" w:after="0" w:line="240" w:lineRule="auto"/>
              <w:jc w:val="right"/>
              <w:rPr>
                <w:rFonts w:ascii="Arial" w:hAnsi="Arial" w:cs="Arial"/>
                <w:b/>
                <w:bCs/>
                <w:sz w:val="16"/>
                <w:szCs w:val="16"/>
              </w:rPr>
            </w:pPr>
            <w:r w:rsidRPr="00E0666A">
              <w:rPr>
                <w:rFonts w:ascii="Arial" w:hAnsi="Arial" w:cs="Arial"/>
                <w:b/>
                <w:bCs/>
                <w:sz w:val="16"/>
                <w:szCs w:val="16"/>
              </w:rPr>
              <w:t>2022</w:t>
            </w:r>
            <w:r>
              <w:rPr>
                <w:rFonts w:ascii="Arial" w:hAnsi="Arial" w:cs="Arial"/>
                <w:b/>
                <w:bCs/>
                <w:sz w:val="16"/>
                <w:szCs w:val="16"/>
              </w:rPr>
              <w:t>–</w:t>
            </w:r>
            <w:r w:rsidRPr="00E0666A">
              <w:rPr>
                <w:rFonts w:ascii="Arial" w:hAnsi="Arial" w:cs="Arial"/>
                <w:b/>
                <w:bCs/>
                <w:sz w:val="16"/>
                <w:szCs w:val="16"/>
              </w:rPr>
              <w:t>23</w:t>
            </w:r>
            <w:r w:rsidRPr="00E0666A">
              <w:rPr>
                <w:rFonts w:ascii="Arial" w:hAnsi="Arial" w:cs="Arial"/>
                <w:b/>
                <w:bCs/>
                <w:sz w:val="16"/>
                <w:szCs w:val="16"/>
              </w:rPr>
              <w:br/>
              <w:t>Available</w:t>
            </w:r>
            <w:r w:rsidRPr="00E0666A">
              <w:rPr>
                <w:rFonts w:ascii="Arial" w:hAnsi="Arial" w:cs="Arial"/>
                <w:b/>
                <w:bCs/>
                <w:sz w:val="16"/>
                <w:szCs w:val="16"/>
                <w:vertAlign w:val="superscript"/>
              </w:rPr>
              <w:t>(a)</w:t>
            </w:r>
            <w:r w:rsidRPr="00E0666A">
              <w:rPr>
                <w:rFonts w:ascii="Arial" w:hAnsi="Arial" w:cs="Arial"/>
                <w:b/>
                <w:bCs/>
                <w:sz w:val="16"/>
                <w:szCs w:val="16"/>
              </w:rPr>
              <w:br/>
            </w:r>
            <w:r w:rsidRPr="00E0666A">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4FE4F425" w14:textId="77777777" w:rsidR="00C67F4D" w:rsidRPr="00E0666A" w:rsidRDefault="00C67F4D" w:rsidP="004C03D6">
            <w:pPr>
              <w:spacing w:before="24" w:after="0" w:line="240" w:lineRule="auto"/>
              <w:jc w:val="right"/>
              <w:rPr>
                <w:rFonts w:ascii="Arial" w:hAnsi="Arial" w:cs="Arial"/>
                <w:b/>
                <w:bCs/>
                <w:sz w:val="16"/>
                <w:szCs w:val="16"/>
              </w:rPr>
            </w:pPr>
            <w:r w:rsidRPr="00E0666A">
              <w:rPr>
                <w:rFonts w:ascii="Arial" w:hAnsi="Arial" w:cs="Arial"/>
                <w:b/>
                <w:bCs/>
                <w:sz w:val="16"/>
                <w:szCs w:val="16"/>
              </w:rPr>
              <w:t>2023</w:t>
            </w:r>
            <w:r>
              <w:rPr>
                <w:rFonts w:ascii="Arial" w:hAnsi="Arial" w:cs="Arial"/>
                <w:b/>
                <w:bCs/>
                <w:sz w:val="16"/>
                <w:szCs w:val="16"/>
              </w:rPr>
              <w:t>–</w:t>
            </w:r>
            <w:r w:rsidRPr="00E0666A">
              <w:rPr>
                <w:rFonts w:ascii="Arial" w:hAnsi="Arial" w:cs="Arial"/>
                <w:b/>
                <w:bCs/>
                <w:sz w:val="16"/>
                <w:szCs w:val="16"/>
              </w:rPr>
              <w:t>24</w:t>
            </w:r>
            <w:r w:rsidRPr="00E0666A">
              <w:rPr>
                <w:rFonts w:ascii="Arial" w:hAnsi="Arial" w:cs="Arial"/>
                <w:b/>
                <w:bCs/>
                <w:sz w:val="16"/>
                <w:szCs w:val="16"/>
              </w:rPr>
              <w:br/>
              <w:t>Budget</w:t>
            </w:r>
            <w:r w:rsidRPr="00E0666A">
              <w:rPr>
                <w:rFonts w:ascii="Arial" w:hAnsi="Arial" w:cs="Arial"/>
                <w:b/>
                <w:bCs/>
                <w:sz w:val="16"/>
                <w:szCs w:val="16"/>
              </w:rPr>
              <w:br/>
            </w:r>
            <w:r w:rsidRPr="00E0666A">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1D771CFD" w14:textId="77777777" w:rsidR="00C67F4D" w:rsidRPr="00E0666A" w:rsidRDefault="00C67F4D" w:rsidP="004C03D6">
            <w:pPr>
              <w:spacing w:before="24" w:after="0" w:line="240" w:lineRule="auto"/>
              <w:jc w:val="right"/>
              <w:rPr>
                <w:rFonts w:ascii="Arial" w:hAnsi="Arial" w:cs="Arial"/>
                <w:b/>
                <w:bCs/>
                <w:sz w:val="16"/>
                <w:szCs w:val="16"/>
              </w:rPr>
            </w:pPr>
            <w:r w:rsidRPr="00E0666A">
              <w:rPr>
                <w:rFonts w:ascii="Arial" w:hAnsi="Arial" w:cs="Arial"/>
                <w:b/>
                <w:bCs/>
                <w:sz w:val="16"/>
                <w:szCs w:val="16"/>
              </w:rPr>
              <w:t>2023</w:t>
            </w:r>
            <w:r>
              <w:rPr>
                <w:rFonts w:ascii="Arial" w:hAnsi="Arial" w:cs="Arial"/>
                <w:b/>
                <w:bCs/>
                <w:sz w:val="16"/>
                <w:szCs w:val="16"/>
              </w:rPr>
              <w:t>–</w:t>
            </w:r>
            <w:r w:rsidRPr="00E0666A">
              <w:rPr>
                <w:rFonts w:ascii="Arial" w:hAnsi="Arial" w:cs="Arial"/>
                <w:b/>
                <w:bCs/>
                <w:sz w:val="16"/>
                <w:szCs w:val="16"/>
              </w:rPr>
              <w:t>24</w:t>
            </w:r>
            <w:r w:rsidRPr="00E0666A">
              <w:rPr>
                <w:rFonts w:ascii="Arial" w:hAnsi="Arial" w:cs="Arial"/>
                <w:b/>
                <w:bCs/>
                <w:sz w:val="16"/>
                <w:szCs w:val="16"/>
              </w:rPr>
              <w:br/>
              <w:t>Revised</w:t>
            </w:r>
            <w:r w:rsidRPr="00E0666A">
              <w:rPr>
                <w:rFonts w:ascii="Arial" w:hAnsi="Arial" w:cs="Arial"/>
                <w:b/>
                <w:bCs/>
                <w:sz w:val="16"/>
                <w:szCs w:val="16"/>
              </w:rPr>
              <w:br/>
            </w:r>
            <w:r w:rsidRPr="00E0666A">
              <w:rPr>
                <w:rFonts w:ascii="Arial" w:hAnsi="Arial" w:cs="Arial"/>
                <w:sz w:val="16"/>
                <w:szCs w:val="16"/>
              </w:rPr>
              <w:t>$'000</w:t>
            </w:r>
          </w:p>
        </w:tc>
        <w:tc>
          <w:tcPr>
            <w:tcW w:w="1140" w:type="dxa"/>
            <w:tcBorders>
              <w:top w:val="single" w:sz="4" w:space="0" w:color="000000"/>
              <w:left w:val="nil"/>
              <w:bottom w:val="single" w:sz="4" w:space="0" w:color="000000"/>
              <w:right w:val="nil"/>
            </w:tcBorders>
            <w:shd w:val="clear" w:color="000000" w:fill="D9D9D9"/>
            <w:hideMark/>
          </w:tcPr>
          <w:p w14:paraId="7D9FDED0" w14:textId="77777777" w:rsidR="00C67F4D" w:rsidRPr="00E0666A" w:rsidRDefault="00C67F4D" w:rsidP="004C03D6">
            <w:pPr>
              <w:spacing w:before="24" w:after="0" w:line="240" w:lineRule="auto"/>
              <w:jc w:val="right"/>
              <w:rPr>
                <w:rFonts w:ascii="Arial" w:hAnsi="Arial" w:cs="Arial"/>
                <w:b/>
                <w:bCs/>
                <w:sz w:val="16"/>
                <w:szCs w:val="16"/>
              </w:rPr>
            </w:pPr>
            <w:r w:rsidRPr="00E0666A">
              <w:rPr>
                <w:rFonts w:ascii="Arial" w:hAnsi="Arial" w:cs="Arial"/>
                <w:b/>
                <w:bCs/>
                <w:sz w:val="16"/>
                <w:szCs w:val="16"/>
              </w:rPr>
              <w:t>Additional</w:t>
            </w:r>
            <w:r w:rsidRPr="00E0666A">
              <w:rPr>
                <w:rFonts w:ascii="Arial" w:hAnsi="Arial" w:cs="Arial"/>
                <w:b/>
                <w:bCs/>
                <w:sz w:val="16"/>
                <w:szCs w:val="16"/>
              </w:rPr>
              <w:br/>
              <w:t>Estimates</w:t>
            </w:r>
            <w:r w:rsidRPr="00E0666A">
              <w:rPr>
                <w:rFonts w:ascii="Arial" w:hAnsi="Arial" w:cs="Arial"/>
                <w:b/>
                <w:bCs/>
                <w:sz w:val="16"/>
                <w:szCs w:val="16"/>
              </w:rPr>
              <w:br/>
            </w:r>
            <w:r w:rsidRPr="00E0666A">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tcMar>
              <w:left w:w="0" w:type="dxa"/>
            </w:tcMar>
            <w:hideMark/>
          </w:tcPr>
          <w:p w14:paraId="7933C7A5" w14:textId="77777777" w:rsidR="00C67F4D" w:rsidRPr="00E0666A" w:rsidRDefault="00C67F4D" w:rsidP="004C03D6">
            <w:pPr>
              <w:spacing w:before="24" w:after="0" w:line="240" w:lineRule="auto"/>
              <w:jc w:val="right"/>
              <w:rPr>
                <w:rFonts w:ascii="Arial" w:hAnsi="Arial" w:cs="Arial"/>
                <w:b/>
                <w:bCs/>
                <w:sz w:val="16"/>
                <w:szCs w:val="16"/>
              </w:rPr>
            </w:pPr>
            <w:r w:rsidRPr="00E0666A">
              <w:rPr>
                <w:rFonts w:ascii="Arial" w:hAnsi="Arial" w:cs="Arial"/>
                <w:b/>
                <w:bCs/>
                <w:sz w:val="16"/>
                <w:szCs w:val="16"/>
              </w:rPr>
              <w:t>Reduced</w:t>
            </w:r>
            <w:r w:rsidRPr="00E0666A">
              <w:rPr>
                <w:rFonts w:ascii="Arial" w:hAnsi="Arial" w:cs="Arial"/>
                <w:b/>
                <w:bCs/>
                <w:sz w:val="16"/>
                <w:szCs w:val="16"/>
              </w:rPr>
              <w:br/>
              <w:t>Estimates</w:t>
            </w:r>
            <w:r w:rsidRPr="00E0666A">
              <w:rPr>
                <w:rFonts w:ascii="Arial" w:hAnsi="Arial" w:cs="Arial"/>
                <w:b/>
                <w:bCs/>
                <w:sz w:val="16"/>
                <w:szCs w:val="16"/>
              </w:rPr>
              <w:br/>
            </w:r>
            <w:r w:rsidRPr="00E0666A">
              <w:rPr>
                <w:rFonts w:ascii="Arial" w:hAnsi="Arial" w:cs="Arial"/>
                <w:sz w:val="16"/>
                <w:szCs w:val="16"/>
              </w:rPr>
              <w:t>$'000</w:t>
            </w:r>
          </w:p>
        </w:tc>
      </w:tr>
      <w:tr w:rsidR="00C67F4D" w:rsidRPr="00E0666A" w14:paraId="391C50E0" w14:textId="77777777" w:rsidTr="004C03D6">
        <w:trPr>
          <w:trHeight w:val="283"/>
          <w:jc w:val="center"/>
        </w:trPr>
        <w:tc>
          <w:tcPr>
            <w:tcW w:w="2680" w:type="dxa"/>
            <w:tcBorders>
              <w:top w:val="nil"/>
              <w:left w:val="nil"/>
              <w:bottom w:val="nil"/>
              <w:right w:val="nil"/>
            </w:tcBorders>
            <w:shd w:val="clear" w:color="auto" w:fill="auto"/>
            <w:noWrap/>
            <w:vAlign w:val="bottom"/>
            <w:hideMark/>
          </w:tcPr>
          <w:p w14:paraId="6F7C1C99" w14:textId="77777777" w:rsidR="00C67F4D" w:rsidRPr="00E0666A" w:rsidRDefault="00C67F4D" w:rsidP="00E042BD">
            <w:pPr>
              <w:spacing w:before="0" w:after="0" w:line="240" w:lineRule="auto"/>
              <w:rPr>
                <w:rFonts w:ascii="Arial" w:hAnsi="Arial" w:cs="Arial"/>
                <w:b/>
                <w:bCs/>
                <w:sz w:val="16"/>
                <w:szCs w:val="16"/>
              </w:rPr>
            </w:pPr>
            <w:r w:rsidRPr="00E0666A">
              <w:rPr>
                <w:rFonts w:ascii="Arial" w:hAnsi="Arial" w:cs="Arial"/>
                <w:b/>
                <w:bCs/>
                <w:sz w:val="16"/>
                <w:szCs w:val="16"/>
              </w:rPr>
              <w:t xml:space="preserve">Departmental </w:t>
            </w:r>
          </w:p>
        </w:tc>
        <w:tc>
          <w:tcPr>
            <w:tcW w:w="1180" w:type="dxa"/>
            <w:tcBorders>
              <w:top w:val="nil"/>
              <w:left w:val="nil"/>
              <w:bottom w:val="nil"/>
              <w:right w:val="nil"/>
            </w:tcBorders>
            <w:shd w:val="clear" w:color="auto" w:fill="auto"/>
            <w:noWrap/>
            <w:vAlign w:val="bottom"/>
            <w:hideMark/>
          </w:tcPr>
          <w:p w14:paraId="076208EE" w14:textId="77777777" w:rsidR="00C67F4D" w:rsidRPr="00E0666A" w:rsidRDefault="00C67F4D" w:rsidP="00E042BD">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6FD42F0" w14:textId="77777777" w:rsidR="00C67F4D" w:rsidRPr="00E0666A" w:rsidRDefault="00C67F4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CFDDF08" w14:textId="77777777" w:rsidR="00C67F4D" w:rsidRPr="00E0666A" w:rsidRDefault="00C67F4D" w:rsidP="00E042BD">
            <w:pPr>
              <w:spacing w:before="0" w:after="0" w:line="240" w:lineRule="auto"/>
              <w:jc w:val="right"/>
              <w:rPr>
                <w:rFonts w:ascii="Times New Roman" w:hAnsi="Times New Roman"/>
                <w:sz w:val="20"/>
              </w:rPr>
            </w:pPr>
          </w:p>
        </w:tc>
        <w:tc>
          <w:tcPr>
            <w:tcW w:w="1140" w:type="dxa"/>
            <w:tcBorders>
              <w:top w:val="nil"/>
              <w:left w:val="nil"/>
              <w:bottom w:val="nil"/>
              <w:right w:val="nil"/>
            </w:tcBorders>
            <w:shd w:val="clear" w:color="000000" w:fill="D9D9D9"/>
            <w:noWrap/>
            <w:vAlign w:val="bottom"/>
            <w:hideMark/>
          </w:tcPr>
          <w:p w14:paraId="42621AAF"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48A6912D" w14:textId="77777777" w:rsidR="00C67F4D" w:rsidRPr="00E0666A" w:rsidRDefault="00C67F4D" w:rsidP="00E042BD">
            <w:pPr>
              <w:spacing w:before="0" w:after="0" w:line="240" w:lineRule="auto"/>
              <w:jc w:val="right"/>
              <w:rPr>
                <w:rFonts w:ascii="Arial" w:hAnsi="Arial" w:cs="Arial"/>
                <w:sz w:val="16"/>
                <w:szCs w:val="16"/>
              </w:rPr>
            </w:pPr>
          </w:p>
        </w:tc>
      </w:tr>
      <w:tr w:rsidR="00C67F4D" w:rsidRPr="00E0666A" w14:paraId="48290A59" w14:textId="77777777" w:rsidTr="004C03D6">
        <w:trPr>
          <w:trHeight w:val="283"/>
          <w:jc w:val="center"/>
        </w:trPr>
        <w:tc>
          <w:tcPr>
            <w:tcW w:w="2680" w:type="dxa"/>
            <w:tcBorders>
              <w:top w:val="nil"/>
              <w:left w:val="nil"/>
              <w:bottom w:val="nil"/>
              <w:right w:val="nil"/>
            </w:tcBorders>
            <w:shd w:val="clear" w:color="auto" w:fill="auto"/>
            <w:noWrap/>
            <w:vAlign w:val="bottom"/>
            <w:hideMark/>
          </w:tcPr>
          <w:p w14:paraId="0E577FF0" w14:textId="77777777" w:rsidR="00C67F4D" w:rsidRPr="00E0666A" w:rsidRDefault="00C67F4D" w:rsidP="00E042BD">
            <w:pPr>
              <w:spacing w:before="0" w:after="0" w:line="240" w:lineRule="auto"/>
              <w:ind w:leftChars="75" w:left="143"/>
              <w:rPr>
                <w:rFonts w:ascii="Arial" w:hAnsi="Arial" w:cs="Arial"/>
                <w:b/>
                <w:bCs/>
                <w:sz w:val="16"/>
                <w:szCs w:val="16"/>
              </w:rPr>
            </w:pPr>
            <w:r w:rsidRPr="00E0666A">
              <w:rPr>
                <w:rFonts w:ascii="Arial" w:hAnsi="Arial" w:cs="Arial"/>
                <w:b/>
                <w:bCs/>
                <w:sz w:val="16"/>
                <w:szCs w:val="16"/>
              </w:rPr>
              <w:t>Outcome 1</w:t>
            </w:r>
          </w:p>
        </w:tc>
        <w:tc>
          <w:tcPr>
            <w:tcW w:w="1180" w:type="dxa"/>
            <w:tcBorders>
              <w:top w:val="nil"/>
              <w:left w:val="nil"/>
              <w:bottom w:val="nil"/>
              <w:right w:val="nil"/>
            </w:tcBorders>
            <w:shd w:val="clear" w:color="auto" w:fill="auto"/>
            <w:noWrap/>
            <w:vAlign w:val="bottom"/>
            <w:hideMark/>
          </w:tcPr>
          <w:p w14:paraId="4DD3D681" w14:textId="77777777" w:rsidR="00C67F4D" w:rsidRPr="00E0666A" w:rsidRDefault="00C67F4D" w:rsidP="00E042BD">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2D8F52B" w14:textId="77777777" w:rsidR="00C67F4D" w:rsidRPr="00E0666A" w:rsidRDefault="00C67F4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8425872" w14:textId="77777777" w:rsidR="00C67F4D" w:rsidRPr="00E0666A" w:rsidRDefault="00C67F4D" w:rsidP="00E042BD">
            <w:pPr>
              <w:spacing w:before="0" w:after="0" w:line="240" w:lineRule="auto"/>
              <w:jc w:val="right"/>
              <w:rPr>
                <w:rFonts w:ascii="Times New Roman" w:hAnsi="Times New Roman"/>
                <w:sz w:val="20"/>
              </w:rPr>
            </w:pPr>
          </w:p>
        </w:tc>
        <w:tc>
          <w:tcPr>
            <w:tcW w:w="1140" w:type="dxa"/>
            <w:tcBorders>
              <w:top w:val="nil"/>
              <w:left w:val="nil"/>
              <w:bottom w:val="nil"/>
              <w:right w:val="nil"/>
            </w:tcBorders>
            <w:shd w:val="clear" w:color="000000" w:fill="D9D9D9"/>
            <w:noWrap/>
            <w:vAlign w:val="bottom"/>
            <w:hideMark/>
          </w:tcPr>
          <w:p w14:paraId="544807D9"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A61E207" w14:textId="77777777" w:rsidR="00C67F4D" w:rsidRPr="00E0666A" w:rsidRDefault="00C67F4D" w:rsidP="00E042BD">
            <w:pPr>
              <w:spacing w:before="0" w:after="0" w:line="240" w:lineRule="auto"/>
              <w:jc w:val="right"/>
              <w:rPr>
                <w:rFonts w:ascii="Arial" w:hAnsi="Arial" w:cs="Arial"/>
                <w:sz w:val="16"/>
                <w:szCs w:val="16"/>
              </w:rPr>
            </w:pPr>
          </w:p>
        </w:tc>
      </w:tr>
      <w:tr w:rsidR="00C67F4D" w:rsidRPr="00E0666A" w14:paraId="4E904A38" w14:textId="77777777" w:rsidTr="00E042BD">
        <w:trPr>
          <w:trHeight w:val="1997"/>
          <w:jc w:val="center"/>
        </w:trPr>
        <w:tc>
          <w:tcPr>
            <w:tcW w:w="2680" w:type="dxa"/>
            <w:tcBorders>
              <w:top w:val="nil"/>
              <w:left w:val="nil"/>
              <w:bottom w:val="nil"/>
              <w:right w:val="nil"/>
            </w:tcBorders>
            <w:shd w:val="clear" w:color="auto" w:fill="auto"/>
            <w:vAlign w:val="bottom"/>
            <w:hideMark/>
          </w:tcPr>
          <w:p w14:paraId="697ED012" w14:textId="77777777" w:rsidR="00C67F4D" w:rsidRPr="00E0666A" w:rsidRDefault="00C67F4D" w:rsidP="00E042BD">
            <w:pPr>
              <w:spacing w:before="0" w:after="0" w:line="240" w:lineRule="auto"/>
              <w:ind w:leftChars="75" w:left="143"/>
              <w:rPr>
                <w:rFonts w:ascii="Arial" w:hAnsi="Arial" w:cs="Arial"/>
                <w:sz w:val="16"/>
                <w:szCs w:val="16"/>
              </w:rPr>
            </w:pPr>
            <w:r w:rsidRPr="00E0666A">
              <w:rPr>
                <w:rFonts w:ascii="Arial" w:hAnsi="Arial" w:cs="Arial"/>
                <w:sz w:val="16"/>
                <w:szCs w:val="16"/>
              </w:rPr>
              <w:t xml:space="preserve">Protect and enhance the safety, health, </w:t>
            </w:r>
            <w:proofErr w:type="gramStart"/>
            <w:r w:rsidRPr="00E0666A">
              <w:rPr>
                <w:rFonts w:ascii="Arial" w:hAnsi="Arial" w:cs="Arial"/>
                <w:sz w:val="16"/>
                <w:szCs w:val="16"/>
              </w:rPr>
              <w:t>wellbeing</w:t>
            </w:r>
            <w:proofErr w:type="gramEnd"/>
            <w:r w:rsidRPr="00E0666A">
              <w:rPr>
                <w:rFonts w:ascii="Arial" w:hAnsi="Arial" w:cs="Arial"/>
                <w:sz w:val="16"/>
                <w:szCs w:val="16"/>
              </w:rPr>
              <w:t xml:space="preserve"> and quality of life of aged care consumers, including through effective engagement with them, regulation and education of Commonwealth-funded aged care service providers and resolution of aged care complaints</w:t>
            </w:r>
          </w:p>
        </w:tc>
        <w:tc>
          <w:tcPr>
            <w:tcW w:w="1180" w:type="dxa"/>
            <w:tcBorders>
              <w:top w:val="nil"/>
              <w:left w:val="nil"/>
              <w:bottom w:val="single" w:sz="4" w:space="0" w:color="auto"/>
              <w:right w:val="nil"/>
            </w:tcBorders>
            <w:shd w:val="clear" w:color="auto" w:fill="auto"/>
            <w:noWrap/>
            <w:vAlign w:val="bottom"/>
            <w:hideMark/>
          </w:tcPr>
          <w:p w14:paraId="41013747"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xml:space="preserve">206,749 </w:t>
            </w:r>
          </w:p>
        </w:tc>
        <w:tc>
          <w:tcPr>
            <w:tcW w:w="960" w:type="dxa"/>
            <w:tcBorders>
              <w:top w:val="nil"/>
              <w:left w:val="nil"/>
              <w:bottom w:val="single" w:sz="4" w:space="0" w:color="auto"/>
              <w:right w:val="nil"/>
            </w:tcBorders>
            <w:shd w:val="clear" w:color="auto" w:fill="auto"/>
            <w:noWrap/>
            <w:vAlign w:val="bottom"/>
            <w:hideMark/>
          </w:tcPr>
          <w:p w14:paraId="66B2787B"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xml:space="preserve">261,985 </w:t>
            </w:r>
          </w:p>
        </w:tc>
        <w:tc>
          <w:tcPr>
            <w:tcW w:w="960" w:type="dxa"/>
            <w:tcBorders>
              <w:top w:val="nil"/>
              <w:left w:val="nil"/>
              <w:bottom w:val="single" w:sz="4" w:space="0" w:color="auto"/>
              <w:right w:val="nil"/>
            </w:tcBorders>
            <w:shd w:val="clear" w:color="auto" w:fill="auto"/>
            <w:noWrap/>
            <w:vAlign w:val="bottom"/>
            <w:hideMark/>
          </w:tcPr>
          <w:p w14:paraId="67C4F0C8"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xml:space="preserve">284,726 </w:t>
            </w:r>
          </w:p>
        </w:tc>
        <w:tc>
          <w:tcPr>
            <w:tcW w:w="1140" w:type="dxa"/>
            <w:tcBorders>
              <w:top w:val="nil"/>
              <w:left w:val="nil"/>
              <w:bottom w:val="single" w:sz="4" w:space="0" w:color="auto"/>
              <w:right w:val="nil"/>
            </w:tcBorders>
            <w:shd w:val="clear" w:color="000000" w:fill="D9D9D9"/>
            <w:noWrap/>
            <w:vAlign w:val="bottom"/>
            <w:hideMark/>
          </w:tcPr>
          <w:p w14:paraId="09560A4B"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xml:space="preserve">22,741 </w:t>
            </w:r>
          </w:p>
        </w:tc>
        <w:tc>
          <w:tcPr>
            <w:tcW w:w="960" w:type="dxa"/>
            <w:tcBorders>
              <w:top w:val="nil"/>
              <w:left w:val="nil"/>
              <w:bottom w:val="single" w:sz="4" w:space="0" w:color="auto"/>
              <w:right w:val="nil"/>
            </w:tcBorders>
            <w:shd w:val="clear" w:color="auto" w:fill="auto"/>
            <w:noWrap/>
            <w:vAlign w:val="bottom"/>
            <w:hideMark/>
          </w:tcPr>
          <w:p w14:paraId="44D5865C" w14:textId="77777777" w:rsidR="00C67F4D" w:rsidRPr="00E0666A" w:rsidRDefault="00C67F4D" w:rsidP="00E042BD">
            <w:pPr>
              <w:spacing w:before="0" w:after="0" w:line="240" w:lineRule="auto"/>
              <w:jc w:val="right"/>
              <w:rPr>
                <w:rFonts w:ascii="Arial" w:hAnsi="Arial" w:cs="Arial"/>
                <w:sz w:val="16"/>
                <w:szCs w:val="16"/>
              </w:rPr>
            </w:pPr>
            <w:r w:rsidRPr="00E0666A">
              <w:rPr>
                <w:rFonts w:ascii="Arial" w:hAnsi="Arial" w:cs="Arial"/>
                <w:sz w:val="16"/>
                <w:szCs w:val="16"/>
              </w:rPr>
              <w:t xml:space="preserve">- </w:t>
            </w:r>
          </w:p>
        </w:tc>
      </w:tr>
      <w:tr w:rsidR="00C67F4D" w:rsidRPr="00E0666A" w14:paraId="5243013F" w14:textId="77777777" w:rsidTr="004C03D6">
        <w:trPr>
          <w:trHeight w:val="454"/>
          <w:jc w:val="center"/>
        </w:trPr>
        <w:tc>
          <w:tcPr>
            <w:tcW w:w="2680" w:type="dxa"/>
            <w:tcBorders>
              <w:top w:val="nil"/>
              <w:left w:val="nil"/>
              <w:bottom w:val="single" w:sz="4" w:space="0" w:color="auto"/>
              <w:right w:val="nil"/>
            </w:tcBorders>
            <w:shd w:val="clear" w:color="auto" w:fill="auto"/>
            <w:vAlign w:val="bottom"/>
            <w:hideMark/>
          </w:tcPr>
          <w:p w14:paraId="107C152C" w14:textId="77777777" w:rsidR="00C67F4D" w:rsidRPr="00E0666A" w:rsidRDefault="00C67F4D" w:rsidP="00E042BD">
            <w:pPr>
              <w:spacing w:before="0" w:after="0" w:line="240" w:lineRule="auto"/>
              <w:rPr>
                <w:rFonts w:ascii="Arial" w:hAnsi="Arial" w:cs="Arial"/>
                <w:b/>
                <w:bCs/>
                <w:sz w:val="16"/>
                <w:szCs w:val="16"/>
              </w:rPr>
            </w:pPr>
            <w:r w:rsidRPr="00E0666A">
              <w:rPr>
                <w:rFonts w:ascii="Arial" w:hAnsi="Arial" w:cs="Arial"/>
                <w:b/>
                <w:bCs/>
                <w:sz w:val="16"/>
                <w:szCs w:val="16"/>
              </w:rPr>
              <w:t>Total Appropriation Bill (No. 3) departmental</w:t>
            </w:r>
          </w:p>
        </w:tc>
        <w:tc>
          <w:tcPr>
            <w:tcW w:w="1180" w:type="dxa"/>
            <w:tcBorders>
              <w:top w:val="nil"/>
              <w:left w:val="nil"/>
              <w:bottom w:val="single" w:sz="4" w:space="0" w:color="auto"/>
              <w:right w:val="nil"/>
            </w:tcBorders>
            <w:shd w:val="clear" w:color="auto" w:fill="auto"/>
            <w:noWrap/>
            <w:vAlign w:val="bottom"/>
            <w:hideMark/>
          </w:tcPr>
          <w:p w14:paraId="0344EFC3" w14:textId="77777777" w:rsidR="00C67F4D" w:rsidRPr="00E0666A" w:rsidRDefault="00C67F4D" w:rsidP="00E042BD">
            <w:pPr>
              <w:spacing w:before="0" w:after="0" w:line="240" w:lineRule="auto"/>
              <w:jc w:val="right"/>
              <w:rPr>
                <w:rFonts w:ascii="Arial" w:hAnsi="Arial" w:cs="Arial"/>
                <w:b/>
                <w:bCs/>
                <w:sz w:val="16"/>
                <w:szCs w:val="16"/>
              </w:rPr>
            </w:pPr>
            <w:r w:rsidRPr="00E0666A">
              <w:rPr>
                <w:rFonts w:ascii="Arial" w:hAnsi="Arial" w:cs="Arial"/>
                <w:b/>
                <w:bCs/>
                <w:sz w:val="16"/>
                <w:szCs w:val="16"/>
              </w:rPr>
              <w:t xml:space="preserve">206,749 </w:t>
            </w:r>
          </w:p>
        </w:tc>
        <w:tc>
          <w:tcPr>
            <w:tcW w:w="960" w:type="dxa"/>
            <w:tcBorders>
              <w:top w:val="nil"/>
              <w:left w:val="nil"/>
              <w:bottom w:val="single" w:sz="4" w:space="0" w:color="auto"/>
              <w:right w:val="nil"/>
            </w:tcBorders>
            <w:shd w:val="clear" w:color="auto" w:fill="auto"/>
            <w:noWrap/>
            <w:vAlign w:val="bottom"/>
            <w:hideMark/>
          </w:tcPr>
          <w:p w14:paraId="06AEB6DA" w14:textId="77777777" w:rsidR="00C67F4D" w:rsidRPr="00E0666A" w:rsidRDefault="00C67F4D" w:rsidP="00E042BD">
            <w:pPr>
              <w:spacing w:before="0" w:after="0" w:line="240" w:lineRule="auto"/>
              <w:jc w:val="right"/>
              <w:rPr>
                <w:rFonts w:ascii="Arial" w:hAnsi="Arial" w:cs="Arial"/>
                <w:b/>
                <w:bCs/>
                <w:sz w:val="16"/>
                <w:szCs w:val="16"/>
              </w:rPr>
            </w:pPr>
            <w:r w:rsidRPr="00E0666A">
              <w:rPr>
                <w:rFonts w:ascii="Arial" w:hAnsi="Arial" w:cs="Arial"/>
                <w:b/>
                <w:bCs/>
                <w:sz w:val="16"/>
                <w:szCs w:val="16"/>
              </w:rPr>
              <w:t xml:space="preserve">261,985 </w:t>
            </w:r>
          </w:p>
        </w:tc>
        <w:tc>
          <w:tcPr>
            <w:tcW w:w="960" w:type="dxa"/>
            <w:tcBorders>
              <w:top w:val="nil"/>
              <w:left w:val="nil"/>
              <w:bottom w:val="single" w:sz="4" w:space="0" w:color="auto"/>
              <w:right w:val="nil"/>
            </w:tcBorders>
            <w:shd w:val="clear" w:color="auto" w:fill="auto"/>
            <w:noWrap/>
            <w:vAlign w:val="bottom"/>
            <w:hideMark/>
          </w:tcPr>
          <w:p w14:paraId="77A986B6" w14:textId="77777777" w:rsidR="00C67F4D" w:rsidRPr="00E0666A" w:rsidRDefault="00C67F4D" w:rsidP="00E042BD">
            <w:pPr>
              <w:spacing w:before="0" w:after="0" w:line="240" w:lineRule="auto"/>
              <w:jc w:val="right"/>
              <w:rPr>
                <w:rFonts w:ascii="Arial" w:hAnsi="Arial" w:cs="Arial"/>
                <w:b/>
                <w:bCs/>
                <w:sz w:val="16"/>
                <w:szCs w:val="16"/>
              </w:rPr>
            </w:pPr>
            <w:r w:rsidRPr="00E0666A">
              <w:rPr>
                <w:rFonts w:ascii="Arial" w:hAnsi="Arial" w:cs="Arial"/>
                <w:b/>
                <w:bCs/>
                <w:sz w:val="16"/>
                <w:szCs w:val="16"/>
              </w:rPr>
              <w:t xml:space="preserve">284,726 </w:t>
            </w:r>
          </w:p>
        </w:tc>
        <w:tc>
          <w:tcPr>
            <w:tcW w:w="1140" w:type="dxa"/>
            <w:tcBorders>
              <w:top w:val="nil"/>
              <w:left w:val="nil"/>
              <w:bottom w:val="single" w:sz="4" w:space="0" w:color="auto"/>
              <w:right w:val="nil"/>
            </w:tcBorders>
            <w:shd w:val="clear" w:color="000000" w:fill="D9D9D9"/>
            <w:noWrap/>
            <w:vAlign w:val="bottom"/>
            <w:hideMark/>
          </w:tcPr>
          <w:p w14:paraId="3DA1E9D2" w14:textId="77777777" w:rsidR="00C67F4D" w:rsidRPr="00E0666A" w:rsidRDefault="00C67F4D" w:rsidP="00E042BD">
            <w:pPr>
              <w:spacing w:before="0" w:after="0" w:line="240" w:lineRule="auto"/>
              <w:jc w:val="right"/>
              <w:rPr>
                <w:rFonts w:ascii="Arial" w:hAnsi="Arial" w:cs="Arial"/>
                <w:b/>
                <w:bCs/>
                <w:sz w:val="16"/>
                <w:szCs w:val="16"/>
              </w:rPr>
            </w:pPr>
            <w:r w:rsidRPr="00E0666A">
              <w:rPr>
                <w:rFonts w:ascii="Arial" w:hAnsi="Arial" w:cs="Arial"/>
                <w:b/>
                <w:bCs/>
                <w:sz w:val="16"/>
                <w:szCs w:val="16"/>
              </w:rPr>
              <w:t xml:space="preserve">22,741 </w:t>
            </w:r>
          </w:p>
        </w:tc>
        <w:tc>
          <w:tcPr>
            <w:tcW w:w="960" w:type="dxa"/>
            <w:tcBorders>
              <w:top w:val="nil"/>
              <w:left w:val="nil"/>
              <w:bottom w:val="single" w:sz="4" w:space="0" w:color="auto"/>
              <w:right w:val="nil"/>
            </w:tcBorders>
            <w:shd w:val="clear" w:color="auto" w:fill="auto"/>
            <w:noWrap/>
            <w:vAlign w:val="bottom"/>
            <w:hideMark/>
          </w:tcPr>
          <w:p w14:paraId="0793F5A2" w14:textId="77777777" w:rsidR="00C67F4D" w:rsidRPr="00E0666A" w:rsidRDefault="00C67F4D" w:rsidP="00E042BD">
            <w:pPr>
              <w:spacing w:before="0" w:after="0" w:line="240" w:lineRule="auto"/>
              <w:jc w:val="right"/>
              <w:rPr>
                <w:rFonts w:ascii="Arial" w:hAnsi="Arial" w:cs="Arial"/>
                <w:b/>
                <w:bCs/>
                <w:sz w:val="16"/>
                <w:szCs w:val="16"/>
              </w:rPr>
            </w:pPr>
            <w:r w:rsidRPr="00E0666A">
              <w:rPr>
                <w:rFonts w:ascii="Arial" w:hAnsi="Arial" w:cs="Arial"/>
                <w:b/>
                <w:bCs/>
                <w:sz w:val="16"/>
                <w:szCs w:val="16"/>
              </w:rPr>
              <w:t xml:space="preserve">- </w:t>
            </w:r>
          </w:p>
        </w:tc>
      </w:tr>
    </w:tbl>
    <w:p w14:paraId="2331B235" w14:textId="289D0567" w:rsidR="00275707" w:rsidRPr="00845828" w:rsidRDefault="00275707" w:rsidP="007E1D60">
      <w:pPr>
        <w:pStyle w:val="FootnoteText"/>
        <w:spacing w:before="120"/>
      </w:pPr>
      <w:r w:rsidRPr="00B41551">
        <w:rPr>
          <w:vertAlign w:val="superscript"/>
        </w:rPr>
        <w:t>(a)</w:t>
      </w:r>
      <w:r>
        <w:tab/>
      </w:r>
      <w:r w:rsidR="00C67F4D" w:rsidRPr="00C67F4D">
        <w:t xml:space="preserve">The 2022–23 available appropriation is included to allow a comparison of this year's appropriation with what was made available for use in the previous year. Available appropriation is the amount available to be drawn </w:t>
      </w:r>
      <w:proofErr w:type="gramStart"/>
      <w:r w:rsidR="00C67F4D" w:rsidRPr="00C67F4D">
        <w:t>down, and</w:t>
      </w:r>
      <w:proofErr w:type="gramEnd"/>
      <w:r w:rsidR="00C67F4D" w:rsidRPr="00C67F4D">
        <w:t xml:space="preserve"> is equal to: Budget Appropriation + Additional Estimates Appropriation + Advance to the Finance Minister - section 51 withholdings - administrative quarantines +/- Machinery of Government transfers.</w:t>
      </w:r>
    </w:p>
    <w:p w14:paraId="2726774A" w14:textId="1764E4C1" w:rsidR="00275707" w:rsidRPr="008A3848" w:rsidRDefault="00275707" w:rsidP="00C823E1">
      <w:pPr>
        <w:pStyle w:val="Heading4"/>
        <w:spacing w:before="240"/>
      </w:pPr>
      <w:r w:rsidRPr="00564C0F">
        <w:t>Table 1.5: Appropriation B</w:t>
      </w:r>
      <w:r>
        <w:t>ill (No. 4</w:t>
      </w:r>
      <w:r w:rsidRPr="00564C0F">
        <w:t xml:space="preserve">) </w:t>
      </w:r>
      <w:r>
        <w:t>2023–2024</w:t>
      </w:r>
    </w:p>
    <w:p w14:paraId="6372ECD2" w14:textId="77777777" w:rsidR="00B167E1" w:rsidRPr="00346FFD" w:rsidRDefault="00B167E1" w:rsidP="00B167E1">
      <w:pPr>
        <w:pStyle w:val="BodyText"/>
        <w:rPr>
          <w:rFonts w:ascii="Book Antiqua" w:hAnsi="Book Antiqua"/>
          <w:b/>
          <w:sz w:val="20"/>
          <w:szCs w:val="20"/>
        </w:rPr>
      </w:pPr>
      <w:r w:rsidRPr="00346FFD">
        <w:rPr>
          <w:rFonts w:ascii="Book Antiqua" w:hAnsi="Book Antiqua"/>
          <w:sz w:val="20"/>
          <w:szCs w:val="20"/>
        </w:rPr>
        <w:t xml:space="preserve">This section is </w:t>
      </w:r>
      <w:r>
        <w:rPr>
          <w:rFonts w:ascii="Book Antiqua" w:hAnsi="Book Antiqua"/>
          <w:sz w:val="20"/>
          <w:szCs w:val="20"/>
        </w:rPr>
        <w:t>not applicable to ACQSC in 2023–</w:t>
      </w:r>
      <w:r w:rsidRPr="00346FFD">
        <w:rPr>
          <w:rFonts w:ascii="Book Antiqua" w:hAnsi="Book Antiqua"/>
          <w:sz w:val="20"/>
          <w:szCs w:val="20"/>
        </w:rPr>
        <w:t>24.</w:t>
      </w:r>
    </w:p>
    <w:p w14:paraId="0799AAB7" w14:textId="77777777" w:rsidR="00275707" w:rsidRDefault="00275707" w:rsidP="00275707">
      <w:pPr>
        <w:pStyle w:val="Heading2-TOC"/>
      </w:pPr>
      <w:r>
        <w:br w:type="page"/>
      </w:r>
    </w:p>
    <w:p w14:paraId="2D36D897" w14:textId="1A4E5640" w:rsidR="00275707" w:rsidRPr="00E41681" w:rsidRDefault="00D91D52" w:rsidP="00275707">
      <w:pPr>
        <w:pStyle w:val="Heading2-TOC"/>
      </w:pPr>
      <w:r>
        <w:fldChar w:fldCharType="begin"/>
      </w:r>
      <w:r>
        <w:instrText xml:space="preserve"> </w:instrText>
      </w:r>
      <w:proofErr w:type="gramStart"/>
      <w:r>
        <w:instrText>TC  "</w:instrText>
      </w:r>
      <w:bookmarkStart w:id="407" w:name="_Toc155883132"/>
      <w:bookmarkStart w:id="408" w:name="_Toc157421327"/>
      <w:bookmarkStart w:id="409" w:name="_Toc157421372"/>
      <w:bookmarkStart w:id="410" w:name="_Toc157596651"/>
      <w:proofErr w:type="gramEnd"/>
      <w:r>
        <w:instrText>Section 2: Revisions to outcomes and planned performance</w:instrText>
      </w:r>
      <w:bookmarkEnd w:id="407"/>
      <w:bookmarkEnd w:id="408"/>
      <w:bookmarkEnd w:id="409"/>
      <w:bookmarkEnd w:id="410"/>
      <w:r>
        <w:instrText xml:space="preserve">" \f </w:instrText>
      </w:r>
      <w:proofErr w:type="spellStart"/>
      <w:r>
        <w:instrText>acq</w:instrText>
      </w:r>
      <w:proofErr w:type="spellEnd"/>
      <w:r>
        <w:instrText xml:space="preserve"> \l 1 </w:instrText>
      </w:r>
      <w:r>
        <w:fldChar w:fldCharType="end"/>
      </w:r>
      <w:bookmarkStart w:id="411" w:name="_Toc157592008"/>
      <w:bookmarkStart w:id="412" w:name="_Toc157592191"/>
      <w:r w:rsidR="00275707" w:rsidRPr="00E41681">
        <w:t>Section 2: Revisions to outcomes and planned performance</w:t>
      </w:r>
      <w:bookmarkEnd w:id="411"/>
      <w:bookmarkEnd w:id="412"/>
    </w:p>
    <w:p w14:paraId="1003E21E" w14:textId="6FAD948B" w:rsidR="00275707" w:rsidRDefault="00D91D52" w:rsidP="00C82B16">
      <w:pPr>
        <w:pStyle w:val="Heading3"/>
        <w:spacing w:after="240"/>
      </w:pPr>
      <w:r>
        <w:fldChar w:fldCharType="begin"/>
      </w:r>
      <w:r>
        <w:instrText xml:space="preserve"> </w:instrText>
      </w:r>
      <w:proofErr w:type="gramStart"/>
      <w:r>
        <w:instrText>TC  "</w:instrText>
      </w:r>
      <w:bookmarkStart w:id="413" w:name="_Toc155883133"/>
      <w:bookmarkStart w:id="414" w:name="_Toc157421328"/>
      <w:bookmarkStart w:id="415" w:name="_Toc157421373"/>
      <w:bookmarkStart w:id="416" w:name="_Toc157596652"/>
      <w:proofErr w:type="gramEnd"/>
      <w:r>
        <w:instrText>2.1</w:instrText>
      </w:r>
      <w:r>
        <w:tab/>
        <w:instrText>Budgeted expenses and performance for Outcome 1</w:instrText>
      </w:r>
      <w:bookmarkEnd w:id="413"/>
      <w:bookmarkEnd w:id="414"/>
      <w:bookmarkEnd w:id="415"/>
      <w:bookmarkEnd w:id="416"/>
      <w:r>
        <w:instrText xml:space="preserve">" \f </w:instrText>
      </w:r>
      <w:proofErr w:type="spellStart"/>
      <w:r>
        <w:instrText>acq</w:instrText>
      </w:r>
      <w:proofErr w:type="spellEnd"/>
      <w:r>
        <w:instrText xml:space="preserve"> \l 2 </w:instrText>
      </w:r>
      <w:r>
        <w:fldChar w:fldCharType="end"/>
      </w:r>
      <w:bookmarkStart w:id="417" w:name="_Toc157592009"/>
      <w:bookmarkStart w:id="418" w:name="_Toc157592192"/>
      <w:r w:rsidR="00275707">
        <w:t>2.</w:t>
      </w:r>
      <w:r w:rsidR="00C82B16">
        <w:t>1</w:t>
      </w:r>
      <w:r w:rsidR="00275707">
        <w:tab/>
        <w:t>Budgeted expenses and performance for</w:t>
      </w:r>
      <w:r w:rsidR="00C82B16">
        <w:t xml:space="preserve"> Outcome 1</w:t>
      </w:r>
      <w:bookmarkEnd w:id="417"/>
      <w:bookmarkEnd w:id="4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75707" w:rsidRPr="005E6F2B" w14:paraId="6D771E34" w14:textId="77777777" w:rsidTr="00C82B16">
        <w:tc>
          <w:tcPr>
            <w:tcW w:w="7705" w:type="dxa"/>
            <w:shd w:val="clear" w:color="auto" w:fill="E6E6E6"/>
          </w:tcPr>
          <w:p w14:paraId="5E83483C" w14:textId="46C24CDA" w:rsidR="00275707" w:rsidRPr="005E6F2B" w:rsidRDefault="00275707" w:rsidP="002F6406">
            <w:pPr>
              <w:autoSpaceDE w:val="0"/>
              <w:autoSpaceDN w:val="0"/>
              <w:adjustRightInd w:val="0"/>
              <w:spacing w:before="0" w:after="0" w:line="240" w:lineRule="auto"/>
            </w:pPr>
            <w:r w:rsidRPr="002F6406">
              <w:rPr>
                <w:rFonts w:ascii="Arial" w:hAnsi="Arial" w:cs="Arial"/>
                <w:b/>
                <w:sz w:val="20"/>
              </w:rPr>
              <w:t xml:space="preserve">Outcome </w:t>
            </w:r>
            <w:r w:rsidR="002F6406" w:rsidRPr="002F6406">
              <w:rPr>
                <w:rFonts w:ascii="Arial" w:hAnsi="Arial" w:cs="Arial"/>
                <w:b/>
                <w:sz w:val="20"/>
              </w:rPr>
              <w:t>1</w:t>
            </w:r>
            <w:r w:rsidRPr="002F6406">
              <w:rPr>
                <w:rFonts w:ascii="Arial" w:hAnsi="Arial" w:cs="Arial"/>
                <w:b/>
                <w:sz w:val="20"/>
              </w:rPr>
              <w:t>:</w:t>
            </w:r>
            <w:r w:rsidRPr="002F6406">
              <w:rPr>
                <w:rFonts w:ascii="Arial" w:hAnsi="Arial" w:cs="Arial"/>
                <w:sz w:val="20"/>
              </w:rPr>
              <w:t xml:space="preserve"> </w:t>
            </w:r>
            <w:r w:rsidR="00C82B16" w:rsidRPr="002F6406">
              <w:rPr>
                <w:rFonts w:ascii="Arial" w:hAnsi="Arial" w:cs="Arial"/>
                <w:sz w:val="20"/>
              </w:rPr>
              <w:t xml:space="preserve">Protect and enhance the safety, health, </w:t>
            </w:r>
            <w:proofErr w:type="gramStart"/>
            <w:r w:rsidR="00C82B16" w:rsidRPr="002F6406">
              <w:rPr>
                <w:rFonts w:ascii="Arial" w:hAnsi="Arial" w:cs="Arial"/>
                <w:sz w:val="20"/>
              </w:rPr>
              <w:t>wellbeing</w:t>
            </w:r>
            <w:proofErr w:type="gramEnd"/>
            <w:r w:rsidR="00C82B16" w:rsidRPr="002F6406">
              <w:rPr>
                <w:rFonts w:ascii="Arial" w:hAnsi="Arial" w:cs="Arial"/>
                <w:sz w:val="20"/>
              </w:rPr>
              <w:t xml:space="preserve"> and quality of life of aged care consumers,</w:t>
            </w:r>
            <w:r w:rsidR="002F6406">
              <w:rPr>
                <w:rFonts w:ascii="Arial" w:hAnsi="Arial" w:cs="Arial"/>
                <w:sz w:val="20"/>
              </w:rPr>
              <w:t xml:space="preserve"> </w:t>
            </w:r>
            <w:r w:rsidR="00C82B16" w:rsidRPr="002F6406">
              <w:rPr>
                <w:rFonts w:ascii="Arial" w:hAnsi="Arial" w:cs="Arial"/>
                <w:sz w:val="20"/>
              </w:rPr>
              <w:t>including through effective engagement with them, regulation and education of</w:t>
            </w:r>
            <w:r w:rsidR="002F6406">
              <w:rPr>
                <w:rFonts w:ascii="Arial" w:hAnsi="Arial" w:cs="Arial"/>
                <w:sz w:val="20"/>
              </w:rPr>
              <w:t xml:space="preserve"> </w:t>
            </w:r>
            <w:r w:rsidR="00C82B16" w:rsidRPr="002F6406">
              <w:rPr>
                <w:rFonts w:ascii="Arial" w:hAnsi="Arial" w:cs="Arial"/>
                <w:sz w:val="20"/>
              </w:rPr>
              <w:t>Commonwealth-funded aged care service providers and resolution of aged care complaints.</w:t>
            </w:r>
          </w:p>
        </w:tc>
      </w:tr>
    </w:tbl>
    <w:p w14:paraId="0DCEAD20" w14:textId="77777777" w:rsidR="00275707" w:rsidRPr="005E6F2B" w:rsidRDefault="00275707" w:rsidP="00275707">
      <w:pPr>
        <w:pStyle w:val="NoSpacing"/>
      </w:pPr>
    </w:p>
    <w:p w14:paraId="2AF52E80" w14:textId="5EE5D964" w:rsidR="00275707" w:rsidRPr="00B20DBD" w:rsidRDefault="002F6406" w:rsidP="00275707">
      <w:pPr>
        <w:pStyle w:val="Heading5"/>
        <w:rPr>
          <w:b/>
          <w:i w:val="0"/>
        </w:rPr>
      </w:pPr>
      <w:r w:rsidRPr="00B20DBD">
        <w:rPr>
          <w:b/>
          <w:i w:val="0"/>
        </w:rPr>
        <w:t>Budgeted expenses for Outcome 1</w:t>
      </w:r>
    </w:p>
    <w:p w14:paraId="1B05A820" w14:textId="77777777" w:rsidR="00275707" w:rsidRPr="00B20DBD" w:rsidRDefault="00275707" w:rsidP="00275707">
      <w:pPr>
        <w:rPr>
          <w:sz w:val="20"/>
        </w:rPr>
      </w:pPr>
      <w:r w:rsidRPr="00B20DBD">
        <w:rPr>
          <w:sz w:val="20"/>
        </w:rPr>
        <w:t>This table shows how much the entity intends to spend (on an accrual basis) on achieving the outcome, broken down by program, as well as by Administered and Departmental funding sources.</w:t>
      </w:r>
    </w:p>
    <w:p w14:paraId="430F979F" w14:textId="175F453E" w:rsidR="00275707" w:rsidRDefault="00275707" w:rsidP="00275707">
      <w:pPr>
        <w:pStyle w:val="TableHeading"/>
      </w:pPr>
      <w:r w:rsidRPr="00D93D96">
        <w:t>Table 2.</w:t>
      </w:r>
      <w:r>
        <w:t>1.</w:t>
      </w:r>
      <w:r w:rsidRPr="00D93D96">
        <w:t>1 Budgeted expenses</w:t>
      </w:r>
      <w:r w:rsidR="008800D6">
        <w:t xml:space="preserve"> and resources</w:t>
      </w:r>
      <w:r>
        <w:t xml:space="preserve"> for</w:t>
      </w:r>
      <w:r w:rsidRPr="00D93D96">
        <w:t xml:space="preserve"> </w:t>
      </w:r>
      <w:r w:rsidR="002F6406">
        <w:t>Outcome 1</w:t>
      </w:r>
    </w:p>
    <w:tbl>
      <w:tblPr>
        <w:tblW w:w="7924" w:type="dxa"/>
        <w:jc w:val="center"/>
        <w:tblLayout w:type="fixed"/>
        <w:tblLook w:val="04A0" w:firstRow="1" w:lastRow="0" w:firstColumn="1" w:lastColumn="0" w:noHBand="0" w:noVBand="1"/>
      </w:tblPr>
      <w:tblGrid>
        <w:gridCol w:w="3124"/>
        <w:gridCol w:w="960"/>
        <w:gridCol w:w="960"/>
        <w:gridCol w:w="960"/>
        <w:gridCol w:w="960"/>
        <w:gridCol w:w="960"/>
      </w:tblGrid>
      <w:tr w:rsidR="00B167E1" w:rsidRPr="00B167E1" w14:paraId="7AFA5774" w14:textId="77777777" w:rsidTr="00B167E1">
        <w:trPr>
          <w:trHeight w:val="765"/>
          <w:jc w:val="center"/>
        </w:trPr>
        <w:tc>
          <w:tcPr>
            <w:tcW w:w="3124" w:type="dxa"/>
            <w:tcBorders>
              <w:top w:val="single" w:sz="4" w:space="0" w:color="auto"/>
              <w:left w:val="nil"/>
              <w:bottom w:val="nil"/>
              <w:right w:val="nil"/>
            </w:tcBorders>
            <w:shd w:val="clear" w:color="auto" w:fill="auto"/>
            <w:hideMark/>
          </w:tcPr>
          <w:p w14:paraId="65AB2B6D" w14:textId="77777777" w:rsidR="00B167E1" w:rsidRPr="00B167E1" w:rsidRDefault="00B167E1" w:rsidP="00B167E1">
            <w:pPr>
              <w:spacing w:before="24" w:after="0" w:line="240" w:lineRule="auto"/>
              <w:jc w:val="right"/>
              <w:rPr>
                <w:rFonts w:ascii="Arial" w:hAnsi="Arial" w:cs="Arial"/>
                <w:b/>
                <w:bCs/>
                <w:sz w:val="16"/>
                <w:szCs w:val="16"/>
              </w:rPr>
            </w:pPr>
            <w:r w:rsidRPr="00B167E1">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72ADEC41" w14:textId="37678429" w:rsidR="00B167E1" w:rsidRPr="00B167E1" w:rsidRDefault="00B167E1" w:rsidP="00B167E1">
            <w:pPr>
              <w:spacing w:before="24" w:after="0" w:line="240" w:lineRule="auto"/>
              <w:jc w:val="right"/>
              <w:rPr>
                <w:rFonts w:ascii="Arial" w:hAnsi="Arial" w:cs="Arial"/>
                <w:b/>
                <w:bCs/>
                <w:sz w:val="16"/>
                <w:szCs w:val="16"/>
              </w:rPr>
            </w:pPr>
            <w:r>
              <w:rPr>
                <w:rFonts w:ascii="Arial" w:hAnsi="Arial" w:cs="Arial"/>
                <w:b/>
                <w:bCs/>
                <w:sz w:val="16"/>
                <w:szCs w:val="16"/>
              </w:rPr>
              <w:t>2022–</w:t>
            </w:r>
            <w:r w:rsidRPr="00B167E1">
              <w:rPr>
                <w:rFonts w:ascii="Arial" w:hAnsi="Arial" w:cs="Arial"/>
                <w:b/>
                <w:bCs/>
                <w:sz w:val="16"/>
                <w:szCs w:val="16"/>
              </w:rPr>
              <w:t>23</w:t>
            </w:r>
            <w:r w:rsidRPr="00B167E1">
              <w:rPr>
                <w:rFonts w:ascii="Arial" w:hAnsi="Arial" w:cs="Arial"/>
                <w:b/>
                <w:bCs/>
                <w:sz w:val="16"/>
                <w:szCs w:val="16"/>
              </w:rPr>
              <w:br/>
              <w:t>Actual</w:t>
            </w:r>
            <w:r w:rsidRPr="00B167E1">
              <w:rPr>
                <w:rFonts w:ascii="Arial" w:hAnsi="Arial" w:cs="Arial"/>
                <w:b/>
                <w:bCs/>
                <w:sz w:val="16"/>
                <w:szCs w:val="16"/>
              </w:rPr>
              <w:br/>
            </w:r>
            <w:r w:rsidRPr="00B167E1">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154D7CE4" w14:textId="3C6F06E0" w:rsidR="00B167E1" w:rsidRPr="00B167E1" w:rsidRDefault="00B167E1" w:rsidP="00B167E1">
            <w:pPr>
              <w:spacing w:before="24" w:after="0" w:line="240" w:lineRule="auto"/>
              <w:jc w:val="right"/>
              <w:rPr>
                <w:rFonts w:ascii="Arial" w:hAnsi="Arial" w:cs="Arial"/>
                <w:b/>
                <w:bCs/>
                <w:sz w:val="16"/>
                <w:szCs w:val="16"/>
              </w:rPr>
            </w:pPr>
            <w:r>
              <w:rPr>
                <w:rFonts w:ascii="Arial" w:hAnsi="Arial" w:cs="Arial"/>
                <w:b/>
                <w:bCs/>
                <w:sz w:val="16"/>
                <w:szCs w:val="16"/>
              </w:rPr>
              <w:t>2023–</w:t>
            </w:r>
            <w:r w:rsidRPr="00B167E1">
              <w:rPr>
                <w:rFonts w:ascii="Arial" w:hAnsi="Arial" w:cs="Arial"/>
                <w:b/>
                <w:bCs/>
                <w:sz w:val="16"/>
                <w:szCs w:val="16"/>
              </w:rPr>
              <w:t>24</w:t>
            </w:r>
            <w:r w:rsidRPr="00B167E1">
              <w:rPr>
                <w:rFonts w:ascii="Arial" w:hAnsi="Arial" w:cs="Arial"/>
                <w:b/>
                <w:bCs/>
                <w:sz w:val="16"/>
                <w:szCs w:val="16"/>
              </w:rPr>
              <w:br/>
              <w:t>Revised</w:t>
            </w:r>
            <w:r w:rsidRPr="00B167E1">
              <w:rPr>
                <w:rFonts w:ascii="Arial" w:hAnsi="Arial" w:cs="Arial"/>
                <w:b/>
                <w:bCs/>
                <w:sz w:val="16"/>
                <w:szCs w:val="16"/>
              </w:rPr>
              <w:br/>
              <w:t>Budget</w:t>
            </w:r>
            <w:r w:rsidRPr="00B167E1">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58BCF34B" w14:textId="5C5895C7" w:rsidR="00B167E1" w:rsidRPr="00B167E1" w:rsidRDefault="00B167E1" w:rsidP="00B167E1">
            <w:pPr>
              <w:spacing w:before="24" w:after="0" w:line="240" w:lineRule="auto"/>
              <w:jc w:val="right"/>
              <w:rPr>
                <w:rFonts w:ascii="Arial" w:hAnsi="Arial" w:cs="Arial"/>
                <w:b/>
                <w:bCs/>
                <w:sz w:val="16"/>
                <w:szCs w:val="16"/>
              </w:rPr>
            </w:pPr>
            <w:r>
              <w:rPr>
                <w:rFonts w:ascii="Arial" w:hAnsi="Arial" w:cs="Arial"/>
                <w:b/>
                <w:bCs/>
                <w:sz w:val="16"/>
                <w:szCs w:val="16"/>
              </w:rPr>
              <w:t>2024–</w:t>
            </w:r>
            <w:r w:rsidRPr="00B167E1">
              <w:rPr>
                <w:rFonts w:ascii="Arial" w:hAnsi="Arial" w:cs="Arial"/>
                <w:b/>
                <w:bCs/>
                <w:sz w:val="16"/>
                <w:szCs w:val="16"/>
              </w:rPr>
              <w:t>25 Forward Estimate</w:t>
            </w:r>
            <w:r w:rsidRPr="00B167E1">
              <w:rPr>
                <w:rFonts w:ascii="Arial" w:hAnsi="Arial" w:cs="Arial"/>
                <w:b/>
                <w:bCs/>
                <w:sz w:val="16"/>
                <w:szCs w:val="16"/>
              </w:rPr>
              <w:br/>
            </w:r>
            <w:r w:rsidRPr="00B167E1">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63CE747D" w14:textId="2AC5CF05" w:rsidR="00B167E1" w:rsidRPr="00B167E1" w:rsidRDefault="00B167E1" w:rsidP="00B167E1">
            <w:pPr>
              <w:spacing w:before="24" w:after="0" w:line="240" w:lineRule="auto"/>
              <w:jc w:val="right"/>
              <w:rPr>
                <w:rFonts w:ascii="Arial" w:hAnsi="Arial" w:cs="Arial"/>
                <w:b/>
                <w:bCs/>
                <w:sz w:val="16"/>
                <w:szCs w:val="16"/>
              </w:rPr>
            </w:pPr>
            <w:r w:rsidRPr="00B167E1">
              <w:rPr>
                <w:rFonts w:ascii="Arial" w:hAnsi="Arial" w:cs="Arial"/>
                <w:b/>
                <w:bCs/>
                <w:sz w:val="16"/>
                <w:szCs w:val="16"/>
              </w:rPr>
              <w:t>2025</w:t>
            </w:r>
            <w:r>
              <w:rPr>
                <w:rFonts w:ascii="Arial" w:hAnsi="Arial" w:cs="Arial"/>
                <w:b/>
                <w:bCs/>
                <w:sz w:val="16"/>
                <w:szCs w:val="16"/>
              </w:rPr>
              <w:t>–</w:t>
            </w:r>
            <w:r w:rsidRPr="00B167E1">
              <w:rPr>
                <w:rFonts w:ascii="Arial" w:hAnsi="Arial" w:cs="Arial"/>
                <w:b/>
                <w:bCs/>
                <w:sz w:val="16"/>
                <w:szCs w:val="16"/>
              </w:rPr>
              <w:t>26 Forward Estimate</w:t>
            </w:r>
            <w:r w:rsidRPr="00B167E1">
              <w:rPr>
                <w:rFonts w:ascii="Arial" w:hAnsi="Arial" w:cs="Arial"/>
                <w:b/>
                <w:bCs/>
                <w:sz w:val="16"/>
                <w:szCs w:val="16"/>
              </w:rPr>
              <w:br/>
            </w:r>
            <w:r w:rsidRPr="00B167E1">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0257BD00" w14:textId="5AE68007" w:rsidR="00B167E1" w:rsidRPr="00B167E1" w:rsidRDefault="00B167E1" w:rsidP="00B167E1">
            <w:pPr>
              <w:spacing w:before="24" w:after="0" w:line="240" w:lineRule="auto"/>
              <w:jc w:val="right"/>
              <w:rPr>
                <w:rFonts w:ascii="Arial" w:hAnsi="Arial" w:cs="Arial"/>
                <w:b/>
                <w:bCs/>
                <w:sz w:val="16"/>
                <w:szCs w:val="16"/>
              </w:rPr>
            </w:pPr>
            <w:r>
              <w:rPr>
                <w:rFonts w:ascii="Arial" w:hAnsi="Arial" w:cs="Arial"/>
                <w:b/>
                <w:bCs/>
                <w:sz w:val="16"/>
                <w:szCs w:val="16"/>
              </w:rPr>
              <w:t>2026–</w:t>
            </w:r>
            <w:r w:rsidRPr="00B167E1">
              <w:rPr>
                <w:rFonts w:ascii="Arial" w:hAnsi="Arial" w:cs="Arial"/>
                <w:b/>
                <w:bCs/>
                <w:sz w:val="16"/>
                <w:szCs w:val="16"/>
              </w:rPr>
              <w:t>27 Forward Estimate</w:t>
            </w:r>
            <w:r w:rsidRPr="00B167E1">
              <w:rPr>
                <w:rFonts w:ascii="Arial" w:hAnsi="Arial" w:cs="Arial"/>
                <w:b/>
                <w:bCs/>
                <w:sz w:val="16"/>
                <w:szCs w:val="16"/>
              </w:rPr>
              <w:br/>
            </w:r>
            <w:r w:rsidRPr="00B167E1">
              <w:rPr>
                <w:rFonts w:ascii="Arial" w:hAnsi="Arial" w:cs="Arial"/>
                <w:sz w:val="16"/>
                <w:szCs w:val="16"/>
              </w:rPr>
              <w:t>$'000</w:t>
            </w:r>
          </w:p>
        </w:tc>
      </w:tr>
      <w:tr w:rsidR="00B167E1" w:rsidRPr="00B167E1" w14:paraId="1C8B7C4D" w14:textId="77777777" w:rsidTr="00FF1A2B">
        <w:trPr>
          <w:trHeight w:val="283"/>
          <w:jc w:val="center"/>
        </w:trPr>
        <w:tc>
          <w:tcPr>
            <w:tcW w:w="4084" w:type="dxa"/>
            <w:gridSpan w:val="2"/>
            <w:tcBorders>
              <w:top w:val="nil"/>
              <w:left w:val="nil"/>
              <w:bottom w:val="nil"/>
              <w:right w:val="nil"/>
            </w:tcBorders>
            <w:shd w:val="clear" w:color="auto" w:fill="auto"/>
            <w:noWrap/>
            <w:vAlign w:val="bottom"/>
            <w:hideMark/>
          </w:tcPr>
          <w:p w14:paraId="70F9EEA8" w14:textId="77777777" w:rsidR="00B167E1" w:rsidRPr="00B167E1" w:rsidRDefault="00B167E1" w:rsidP="00B167E1">
            <w:pPr>
              <w:spacing w:before="0" w:after="0" w:line="240" w:lineRule="auto"/>
              <w:rPr>
                <w:rFonts w:ascii="Arial" w:hAnsi="Arial" w:cs="Arial"/>
                <w:b/>
                <w:bCs/>
                <w:sz w:val="16"/>
                <w:szCs w:val="16"/>
              </w:rPr>
            </w:pPr>
            <w:r w:rsidRPr="00B167E1">
              <w:rPr>
                <w:rFonts w:ascii="Arial" w:hAnsi="Arial" w:cs="Arial"/>
                <w:b/>
                <w:bCs/>
                <w:sz w:val="16"/>
                <w:szCs w:val="16"/>
              </w:rPr>
              <w:t>Program 1.1: Quality Aged Care Services</w:t>
            </w:r>
          </w:p>
        </w:tc>
        <w:tc>
          <w:tcPr>
            <w:tcW w:w="960" w:type="dxa"/>
            <w:tcBorders>
              <w:top w:val="nil"/>
              <w:left w:val="nil"/>
              <w:bottom w:val="nil"/>
              <w:right w:val="nil"/>
            </w:tcBorders>
            <w:shd w:val="clear" w:color="auto" w:fill="auto"/>
            <w:noWrap/>
            <w:vAlign w:val="bottom"/>
            <w:hideMark/>
          </w:tcPr>
          <w:p w14:paraId="3F459AFE" w14:textId="77777777" w:rsidR="00B167E1" w:rsidRPr="00B167E1" w:rsidRDefault="00B167E1" w:rsidP="00B167E1">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C57D4C4" w14:textId="77777777" w:rsidR="00B167E1" w:rsidRPr="00B167E1" w:rsidRDefault="00B167E1" w:rsidP="00B167E1">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08A62E3" w14:textId="77777777" w:rsidR="00B167E1" w:rsidRPr="00B167E1" w:rsidRDefault="00B167E1" w:rsidP="00B167E1">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8003F5B" w14:textId="77777777" w:rsidR="00B167E1" w:rsidRPr="00B167E1" w:rsidRDefault="00B167E1" w:rsidP="00B167E1">
            <w:pPr>
              <w:spacing w:before="0" w:after="0" w:line="240" w:lineRule="auto"/>
              <w:rPr>
                <w:rFonts w:ascii="Times New Roman" w:hAnsi="Times New Roman"/>
                <w:sz w:val="20"/>
              </w:rPr>
            </w:pPr>
          </w:p>
        </w:tc>
      </w:tr>
      <w:tr w:rsidR="00B167E1" w:rsidRPr="00B167E1" w14:paraId="2C92DEC3" w14:textId="77777777" w:rsidTr="00FF1A2B">
        <w:trPr>
          <w:trHeight w:val="283"/>
          <w:jc w:val="center"/>
        </w:trPr>
        <w:tc>
          <w:tcPr>
            <w:tcW w:w="3124" w:type="dxa"/>
            <w:tcBorders>
              <w:top w:val="nil"/>
              <w:left w:val="nil"/>
              <w:bottom w:val="nil"/>
              <w:right w:val="nil"/>
            </w:tcBorders>
            <w:shd w:val="clear" w:color="auto" w:fill="auto"/>
            <w:noWrap/>
            <w:vAlign w:val="bottom"/>
            <w:hideMark/>
          </w:tcPr>
          <w:p w14:paraId="2E2C46AD" w14:textId="77777777" w:rsidR="00B167E1" w:rsidRPr="00B167E1" w:rsidRDefault="00B167E1" w:rsidP="00B167E1">
            <w:pPr>
              <w:spacing w:before="0" w:after="0" w:line="240" w:lineRule="auto"/>
              <w:ind w:leftChars="75" w:left="143"/>
              <w:rPr>
                <w:rFonts w:ascii="Arial" w:hAnsi="Arial" w:cs="Arial"/>
                <w:sz w:val="16"/>
                <w:szCs w:val="16"/>
              </w:rPr>
            </w:pPr>
            <w:r w:rsidRPr="00B167E1">
              <w:rPr>
                <w:rFonts w:ascii="Arial" w:hAnsi="Arial" w:cs="Arial"/>
                <w:sz w:val="16"/>
                <w:szCs w:val="16"/>
              </w:rPr>
              <w:t>Departmental expenses</w:t>
            </w:r>
          </w:p>
        </w:tc>
        <w:tc>
          <w:tcPr>
            <w:tcW w:w="960" w:type="dxa"/>
            <w:tcBorders>
              <w:top w:val="nil"/>
              <w:left w:val="nil"/>
              <w:bottom w:val="nil"/>
              <w:right w:val="nil"/>
            </w:tcBorders>
            <w:shd w:val="clear" w:color="auto" w:fill="auto"/>
            <w:vAlign w:val="bottom"/>
            <w:hideMark/>
          </w:tcPr>
          <w:p w14:paraId="73A0373B" w14:textId="77777777" w:rsidR="00B167E1" w:rsidRPr="00B167E1" w:rsidRDefault="00B167E1" w:rsidP="00B167E1">
            <w:pPr>
              <w:spacing w:before="0" w:after="0" w:line="240" w:lineRule="auto"/>
              <w:ind w:firstLineChars="100" w:firstLine="160"/>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6473D136"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4A2DEB58" w14:textId="77777777" w:rsidR="00B167E1" w:rsidRPr="00B167E1" w:rsidRDefault="00B167E1" w:rsidP="00B167E1">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bottom"/>
            <w:hideMark/>
          </w:tcPr>
          <w:p w14:paraId="5EAA69EE" w14:textId="77777777" w:rsidR="00B167E1" w:rsidRPr="00B167E1" w:rsidRDefault="00B167E1" w:rsidP="00B167E1">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vAlign w:val="bottom"/>
            <w:hideMark/>
          </w:tcPr>
          <w:p w14:paraId="4AAEBCEE" w14:textId="77777777" w:rsidR="00B167E1" w:rsidRPr="00B167E1" w:rsidRDefault="00B167E1" w:rsidP="00B167E1">
            <w:pPr>
              <w:spacing w:before="0" w:after="0" w:line="240" w:lineRule="auto"/>
              <w:jc w:val="right"/>
              <w:rPr>
                <w:rFonts w:ascii="Times New Roman" w:hAnsi="Times New Roman"/>
                <w:sz w:val="20"/>
              </w:rPr>
            </w:pPr>
          </w:p>
        </w:tc>
      </w:tr>
      <w:tr w:rsidR="00B167E1" w:rsidRPr="00B167E1" w14:paraId="629744C0" w14:textId="77777777" w:rsidTr="00B167E1">
        <w:trPr>
          <w:trHeight w:val="225"/>
          <w:jc w:val="center"/>
        </w:trPr>
        <w:tc>
          <w:tcPr>
            <w:tcW w:w="3124" w:type="dxa"/>
            <w:tcBorders>
              <w:top w:val="nil"/>
              <w:left w:val="nil"/>
              <w:bottom w:val="nil"/>
              <w:right w:val="nil"/>
            </w:tcBorders>
            <w:shd w:val="clear" w:color="auto" w:fill="auto"/>
            <w:noWrap/>
            <w:vAlign w:val="bottom"/>
            <w:hideMark/>
          </w:tcPr>
          <w:p w14:paraId="1978B2B0" w14:textId="33596F2D" w:rsidR="00B167E1" w:rsidRPr="00B167E1" w:rsidRDefault="00B167E1" w:rsidP="008800D6">
            <w:pPr>
              <w:spacing w:before="0" w:after="0" w:line="240" w:lineRule="auto"/>
              <w:ind w:leftChars="150" w:left="285"/>
              <w:rPr>
                <w:rFonts w:ascii="Arial" w:hAnsi="Arial" w:cs="Arial"/>
                <w:sz w:val="16"/>
                <w:szCs w:val="16"/>
              </w:rPr>
            </w:pPr>
            <w:r w:rsidRPr="00B167E1">
              <w:rPr>
                <w:rFonts w:ascii="Arial" w:hAnsi="Arial" w:cs="Arial"/>
                <w:sz w:val="16"/>
                <w:szCs w:val="16"/>
              </w:rPr>
              <w:t>Departmental appropriation</w:t>
            </w:r>
            <w:r w:rsidRPr="00B167E1">
              <w:rPr>
                <w:rFonts w:ascii="Arial" w:hAnsi="Arial" w:cs="Arial"/>
                <w:sz w:val="16"/>
                <w:szCs w:val="16"/>
                <w:vertAlign w:val="superscript"/>
              </w:rPr>
              <w:t>(a)</w:t>
            </w:r>
          </w:p>
        </w:tc>
        <w:tc>
          <w:tcPr>
            <w:tcW w:w="960" w:type="dxa"/>
            <w:tcBorders>
              <w:top w:val="nil"/>
              <w:left w:val="nil"/>
              <w:bottom w:val="nil"/>
              <w:right w:val="nil"/>
            </w:tcBorders>
            <w:shd w:val="clear" w:color="auto" w:fill="auto"/>
            <w:noWrap/>
            <w:vAlign w:val="bottom"/>
            <w:hideMark/>
          </w:tcPr>
          <w:p w14:paraId="466BC73B"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225,099</w:t>
            </w:r>
          </w:p>
        </w:tc>
        <w:tc>
          <w:tcPr>
            <w:tcW w:w="960" w:type="dxa"/>
            <w:tcBorders>
              <w:top w:val="nil"/>
              <w:left w:val="nil"/>
              <w:bottom w:val="nil"/>
              <w:right w:val="nil"/>
            </w:tcBorders>
            <w:shd w:val="clear" w:color="000000" w:fill="D9D9D9"/>
            <w:noWrap/>
            <w:vAlign w:val="bottom"/>
            <w:hideMark/>
          </w:tcPr>
          <w:p w14:paraId="2FC6EC3D"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296,454</w:t>
            </w:r>
          </w:p>
        </w:tc>
        <w:tc>
          <w:tcPr>
            <w:tcW w:w="960" w:type="dxa"/>
            <w:tcBorders>
              <w:top w:val="nil"/>
              <w:left w:val="nil"/>
              <w:bottom w:val="nil"/>
              <w:right w:val="nil"/>
            </w:tcBorders>
            <w:shd w:val="clear" w:color="auto" w:fill="auto"/>
            <w:noWrap/>
            <w:vAlign w:val="bottom"/>
            <w:hideMark/>
          </w:tcPr>
          <w:p w14:paraId="7D61B6C6"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229,688</w:t>
            </w:r>
          </w:p>
        </w:tc>
        <w:tc>
          <w:tcPr>
            <w:tcW w:w="960" w:type="dxa"/>
            <w:tcBorders>
              <w:top w:val="nil"/>
              <w:left w:val="nil"/>
              <w:bottom w:val="nil"/>
              <w:right w:val="nil"/>
            </w:tcBorders>
            <w:shd w:val="clear" w:color="auto" w:fill="auto"/>
            <w:noWrap/>
            <w:vAlign w:val="bottom"/>
            <w:hideMark/>
          </w:tcPr>
          <w:p w14:paraId="28ADC93C"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230,154</w:t>
            </w:r>
          </w:p>
        </w:tc>
        <w:tc>
          <w:tcPr>
            <w:tcW w:w="960" w:type="dxa"/>
            <w:tcBorders>
              <w:top w:val="nil"/>
              <w:left w:val="nil"/>
              <w:bottom w:val="nil"/>
              <w:right w:val="nil"/>
            </w:tcBorders>
            <w:shd w:val="clear" w:color="auto" w:fill="auto"/>
            <w:noWrap/>
            <w:vAlign w:val="bottom"/>
            <w:hideMark/>
          </w:tcPr>
          <w:p w14:paraId="2E0DCDA7"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199,589</w:t>
            </w:r>
          </w:p>
        </w:tc>
      </w:tr>
      <w:tr w:rsidR="00B167E1" w:rsidRPr="00B167E1" w14:paraId="03559752" w14:textId="77777777" w:rsidTr="00FF1A2B">
        <w:trPr>
          <w:trHeight w:val="454"/>
          <w:jc w:val="center"/>
        </w:trPr>
        <w:tc>
          <w:tcPr>
            <w:tcW w:w="3124" w:type="dxa"/>
            <w:tcBorders>
              <w:top w:val="nil"/>
              <w:left w:val="nil"/>
              <w:bottom w:val="nil"/>
              <w:right w:val="nil"/>
            </w:tcBorders>
            <w:shd w:val="clear" w:color="auto" w:fill="auto"/>
            <w:vAlign w:val="bottom"/>
            <w:hideMark/>
          </w:tcPr>
          <w:p w14:paraId="603565B8" w14:textId="03CC100C" w:rsidR="00B167E1" w:rsidRPr="00B167E1" w:rsidRDefault="00B167E1" w:rsidP="00F7135C">
            <w:pPr>
              <w:spacing w:before="0" w:after="0" w:line="240" w:lineRule="auto"/>
              <w:ind w:leftChars="150" w:left="285"/>
              <w:rPr>
                <w:rFonts w:ascii="Arial" w:hAnsi="Arial" w:cs="Arial"/>
                <w:sz w:val="16"/>
                <w:szCs w:val="16"/>
              </w:rPr>
            </w:pPr>
            <w:r w:rsidRPr="00B167E1">
              <w:rPr>
                <w:rFonts w:ascii="Arial" w:hAnsi="Arial" w:cs="Arial"/>
                <w:sz w:val="16"/>
                <w:szCs w:val="16"/>
              </w:rPr>
              <w:t>Expenses not requiring appropriation in the Budget</w:t>
            </w:r>
            <w:r w:rsidR="00F7135C">
              <w:rPr>
                <w:rFonts w:ascii="Arial" w:hAnsi="Arial" w:cs="Arial"/>
                <w:sz w:val="16"/>
                <w:szCs w:val="16"/>
              </w:rPr>
              <w:t xml:space="preserve"> </w:t>
            </w:r>
            <w:r w:rsidRPr="00B167E1">
              <w:rPr>
                <w:rFonts w:ascii="Arial" w:hAnsi="Arial" w:cs="Arial"/>
                <w:sz w:val="16"/>
                <w:szCs w:val="16"/>
              </w:rPr>
              <w:t>year</w:t>
            </w:r>
            <w:r w:rsidRPr="00B167E1">
              <w:rPr>
                <w:rFonts w:ascii="Arial" w:hAnsi="Arial" w:cs="Arial"/>
                <w:sz w:val="16"/>
                <w:szCs w:val="16"/>
                <w:vertAlign w:val="superscript"/>
              </w:rPr>
              <w:t>(b)</w:t>
            </w:r>
          </w:p>
        </w:tc>
        <w:tc>
          <w:tcPr>
            <w:tcW w:w="960" w:type="dxa"/>
            <w:tcBorders>
              <w:top w:val="nil"/>
              <w:left w:val="nil"/>
              <w:bottom w:val="nil"/>
              <w:right w:val="nil"/>
            </w:tcBorders>
            <w:shd w:val="clear" w:color="auto" w:fill="auto"/>
            <w:noWrap/>
            <w:vAlign w:val="bottom"/>
            <w:hideMark/>
          </w:tcPr>
          <w:p w14:paraId="7B8C3A3A"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7,277</w:t>
            </w:r>
          </w:p>
        </w:tc>
        <w:tc>
          <w:tcPr>
            <w:tcW w:w="960" w:type="dxa"/>
            <w:tcBorders>
              <w:top w:val="nil"/>
              <w:left w:val="nil"/>
              <w:bottom w:val="nil"/>
              <w:right w:val="nil"/>
            </w:tcBorders>
            <w:shd w:val="clear" w:color="000000" w:fill="D9D9D9"/>
            <w:noWrap/>
            <w:vAlign w:val="bottom"/>
            <w:hideMark/>
          </w:tcPr>
          <w:p w14:paraId="4DA2C2F9"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10,968</w:t>
            </w:r>
          </w:p>
        </w:tc>
        <w:tc>
          <w:tcPr>
            <w:tcW w:w="960" w:type="dxa"/>
            <w:tcBorders>
              <w:top w:val="nil"/>
              <w:left w:val="nil"/>
              <w:bottom w:val="nil"/>
              <w:right w:val="nil"/>
            </w:tcBorders>
            <w:shd w:val="clear" w:color="auto" w:fill="auto"/>
            <w:noWrap/>
            <w:vAlign w:val="bottom"/>
            <w:hideMark/>
          </w:tcPr>
          <w:p w14:paraId="781EA6B1"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11,735</w:t>
            </w:r>
          </w:p>
        </w:tc>
        <w:tc>
          <w:tcPr>
            <w:tcW w:w="960" w:type="dxa"/>
            <w:tcBorders>
              <w:top w:val="nil"/>
              <w:left w:val="nil"/>
              <w:bottom w:val="nil"/>
              <w:right w:val="nil"/>
            </w:tcBorders>
            <w:shd w:val="clear" w:color="auto" w:fill="auto"/>
            <w:noWrap/>
            <w:vAlign w:val="bottom"/>
            <w:hideMark/>
          </w:tcPr>
          <w:p w14:paraId="4AEDC524"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12,738</w:t>
            </w:r>
          </w:p>
        </w:tc>
        <w:tc>
          <w:tcPr>
            <w:tcW w:w="960" w:type="dxa"/>
            <w:tcBorders>
              <w:top w:val="nil"/>
              <w:left w:val="nil"/>
              <w:bottom w:val="nil"/>
              <w:right w:val="nil"/>
            </w:tcBorders>
            <w:shd w:val="clear" w:color="auto" w:fill="auto"/>
            <w:noWrap/>
            <w:vAlign w:val="bottom"/>
            <w:hideMark/>
          </w:tcPr>
          <w:p w14:paraId="1EB0E533"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15,023</w:t>
            </w:r>
          </w:p>
        </w:tc>
      </w:tr>
      <w:tr w:rsidR="00B167E1" w:rsidRPr="00B167E1" w14:paraId="2F709DAC" w14:textId="77777777" w:rsidTr="00B167E1">
        <w:trPr>
          <w:trHeight w:val="225"/>
          <w:jc w:val="center"/>
        </w:trPr>
        <w:tc>
          <w:tcPr>
            <w:tcW w:w="3124" w:type="dxa"/>
            <w:tcBorders>
              <w:top w:val="nil"/>
              <w:left w:val="nil"/>
              <w:bottom w:val="nil"/>
              <w:right w:val="nil"/>
            </w:tcBorders>
            <w:shd w:val="clear" w:color="auto" w:fill="auto"/>
            <w:noWrap/>
            <w:vAlign w:val="bottom"/>
            <w:hideMark/>
          </w:tcPr>
          <w:p w14:paraId="059AC456" w14:textId="77777777" w:rsidR="00B167E1" w:rsidRPr="00B167E1" w:rsidRDefault="00B167E1" w:rsidP="00B167E1">
            <w:pPr>
              <w:spacing w:before="0" w:after="0" w:line="240" w:lineRule="auto"/>
              <w:ind w:leftChars="75" w:left="143"/>
              <w:rPr>
                <w:rFonts w:ascii="Arial" w:hAnsi="Arial" w:cs="Arial"/>
                <w:sz w:val="16"/>
                <w:szCs w:val="16"/>
              </w:rPr>
            </w:pPr>
            <w:r w:rsidRPr="00B167E1">
              <w:rPr>
                <w:rFonts w:ascii="Arial" w:hAnsi="Arial" w:cs="Arial"/>
                <w:sz w:val="16"/>
                <w:szCs w:val="16"/>
              </w:rPr>
              <w:t>Operating deficit (surplus)</w:t>
            </w:r>
          </w:p>
        </w:tc>
        <w:tc>
          <w:tcPr>
            <w:tcW w:w="960" w:type="dxa"/>
            <w:tcBorders>
              <w:top w:val="nil"/>
              <w:left w:val="nil"/>
              <w:bottom w:val="single" w:sz="4" w:space="0" w:color="auto"/>
              <w:right w:val="nil"/>
            </w:tcBorders>
            <w:shd w:val="clear" w:color="auto" w:fill="auto"/>
            <w:noWrap/>
            <w:vAlign w:val="bottom"/>
            <w:hideMark/>
          </w:tcPr>
          <w:p w14:paraId="1D6ADCC7"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(13,014)</w:t>
            </w:r>
          </w:p>
        </w:tc>
        <w:tc>
          <w:tcPr>
            <w:tcW w:w="960" w:type="dxa"/>
            <w:tcBorders>
              <w:top w:val="nil"/>
              <w:left w:val="nil"/>
              <w:bottom w:val="single" w:sz="4" w:space="0" w:color="auto"/>
              <w:right w:val="nil"/>
            </w:tcBorders>
            <w:shd w:val="clear" w:color="000000" w:fill="D9D9D9"/>
            <w:noWrap/>
            <w:vAlign w:val="bottom"/>
            <w:hideMark/>
          </w:tcPr>
          <w:p w14:paraId="27A4875A"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6DE93EFD"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28227210"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4C7E96EB"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w:t>
            </w:r>
          </w:p>
        </w:tc>
      </w:tr>
      <w:tr w:rsidR="00B167E1" w:rsidRPr="00B167E1" w14:paraId="522EF4FE" w14:textId="77777777" w:rsidTr="00FF1A2B">
        <w:trPr>
          <w:trHeight w:val="283"/>
          <w:jc w:val="center"/>
        </w:trPr>
        <w:tc>
          <w:tcPr>
            <w:tcW w:w="3124" w:type="dxa"/>
            <w:tcBorders>
              <w:top w:val="nil"/>
              <w:left w:val="nil"/>
              <w:bottom w:val="nil"/>
              <w:right w:val="nil"/>
            </w:tcBorders>
            <w:shd w:val="clear" w:color="auto" w:fill="auto"/>
            <w:noWrap/>
            <w:vAlign w:val="bottom"/>
            <w:hideMark/>
          </w:tcPr>
          <w:p w14:paraId="0E5DA355" w14:textId="77777777" w:rsidR="00B167E1" w:rsidRPr="00B167E1" w:rsidRDefault="00B167E1" w:rsidP="00B167E1">
            <w:pPr>
              <w:spacing w:before="0" w:after="0" w:line="240" w:lineRule="auto"/>
              <w:ind w:leftChars="75" w:left="143"/>
              <w:rPr>
                <w:rFonts w:ascii="Arial" w:hAnsi="Arial" w:cs="Arial"/>
                <w:b/>
                <w:bCs/>
                <w:sz w:val="16"/>
                <w:szCs w:val="16"/>
              </w:rPr>
            </w:pPr>
            <w:r w:rsidRPr="00B167E1">
              <w:rPr>
                <w:rFonts w:ascii="Arial" w:hAnsi="Arial" w:cs="Arial"/>
                <w:b/>
                <w:bCs/>
                <w:sz w:val="16"/>
                <w:szCs w:val="16"/>
              </w:rPr>
              <w:t>Total for Program 1.1</w:t>
            </w:r>
          </w:p>
        </w:tc>
        <w:tc>
          <w:tcPr>
            <w:tcW w:w="960" w:type="dxa"/>
            <w:tcBorders>
              <w:top w:val="nil"/>
              <w:left w:val="nil"/>
              <w:bottom w:val="single" w:sz="4" w:space="0" w:color="auto"/>
              <w:right w:val="nil"/>
            </w:tcBorders>
            <w:shd w:val="clear" w:color="auto" w:fill="auto"/>
            <w:noWrap/>
            <w:vAlign w:val="bottom"/>
            <w:hideMark/>
          </w:tcPr>
          <w:p w14:paraId="394FB12C"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219,362</w:t>
            </w:r>
          </w:p>
        </w:tc>
        <w:tc>
          <w:tcPr>
            <w:tcW w:w="960" w:type="dxa"/>
            <w:tcBorders>
              <w:top w:val="nil"/>
              <w:left w:val="nil"/>
              <w:bottom w:val="single" w:sz="4" w:space="0" w:color="auto"/>
              <w:right w:val="nil"/>
            </w:tcBorders>
            <w:shd w:val="clear" w:color="000000" w:fill="D9D9D9"/>
            <w:noWrap/>
            <w:vAlign w:val="bottom"/>
            <w:hideMark/>
          </w:tcPr>
          <w:p w14:paraId="414CAECA"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307,422</w:t>
            </w:r>
          </w:p>
        </w:tc>
        <w:tc>
          <w:tcPr>
            <w:tcW w:w="960" w:type="dxa"/>
            <w:tcBorders>
              <w:top w:val="nil"/>
              <w:left w:val="nil"/>
              <w:bottom w:val="single" w:sz="4" w:space="0" w:color="auto"/>
              <w:right w:val="nil"/>
            </w:tcBorders>
            <w:shd w:val="clear" w:color="auto" w:fill="auto"/>
            <w:noWrap/>
            <w:vAlign w:val="bottom"/>
            <w:hideMark/>
          </w:tcPr>
          <w:p w14:paraId="35DA5200"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241,423</w:t>
            </w:r>
          </w:p>
        </w:tc>
        <w:tc>
          <w:tcPr>
            <w:tcW w:w="960" w:type="dxa"/>
            <w:tcBorders>
              <w:top w:val="nil"/>
              <w:left w:val="nil"/>
              <w:bottom w:val="single" w:sz="4" w:space="0" w:color="auto"/>
              <w:right w:val="nil"/>
            </w:tcBorders>
            <w:shd w:val="clear" w:color="auto" w:fill="auto"/>
            <w:noWrap/>
            <w:vAlign w:val="bottom"/>
            <w:hideMark/>
          </w:tcPr>
          <w:p w14:paraId="1388A2F1"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242,892</w:t>
            </w:r>
          </w:p>
        </w:tc>
        <w:tc>
          <w:tcPr>
            <w:tcW w:w="960" w:type="dxa"/>
            <w:tcBorders>
              <w:top w:val="nil"/>
              <w:left w:val="nil"/>
              <w:bottom w:val="single" w:sz="4" w:space="0" w:color="auto"/>
              <w:right w:val="nil"/>
            </w:tcBorders>
            <w:shd w:val="clear" w:color="auto" w:fill="auto"/>
            <w:noWrap/>
            <w:vAlign w:val="bottom"/>
            <w:hideMark/>
          </w:tcPr>
          <w:p w14:paraId="7BDFC253"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214,612</w:t>
            </w:r>
          </w:p>
        </w:tc>
      </w:tr>
      <w:tr w:rsidR="00B167E1" w:rsidRPr="00B167E1" w14:paraId="7062271A" w14:textId="77777777" w:rsidTr="00FF1A2B">
        <w:trPr>
          <w:trHeight w:val="283"/>
          <w:jc w:val="center"/>
        </w:trPr>
        <w:tc>
          <w:tcPr>
            <w:tcW w:w="3124" w:type="dxa"/>
            <w:tcBorders>
              <w:top w:val="nil"/>
              <w:left w:val="nil"/>
              <w:bottom w:val="single" w:sz="4" w:space="0" w:color="auto"/>
              <w:right w:val="nil"/>
            </w:tcBorders>
            <w:shd w:val="clear" w:color="auto" w:fill="auto"/>
            <w:noWrap/>
            <w:vAlign w:val="bottom"/>
            <w:hideMark/>
          </w:tcPr>
          <w:p w14:paraId="6E79A470" w14:textId="77777777" w:rsidR="00B167E1" w:rsidRPr="00B167E1" w:rsidRDefault="00B167E1" w:rsidP="00B167E1">
            <w:pPr>
              <w:spacing w:before="0" w:after="0" w:line="240" w:lineRule="auto"/>
              <w:rPr>
                <w:rFonts w:ascii="Arial" w:hAnsi="Arial" w:cs="Arial"/>
                <w:b/>
                <w:bCs/>
                <w:color w:val="000000"/>
                <w:sz w:val="16"/>
                <w:szCs w:val="16"/>
              </w:rPr>
            </w:pPr>
            <w:r w:rsidRPr="00B167E1">
              <w:rPr>
                <w:rFonts w:ascii="Arial" w:hAnsi="Arial" w:cs="Arial"/>
                <w:b/>
                <w:bCs/>
                <w:color w:val="000000"/>
                <w:sz w:val="16"/>
                <w:szCs w:val="16"/>
              </w:rPr>
              <w:t>Total expenses for Outcome 1</w:t>
            </w:r>
          </w:p>
        </w:tc>
        <w:tc>
          <w:tcPr>
            <w:tcW w:w="960" w:type="dxa"/>
            <w:tcBorders>
              <w:top w:val="nil"/>
              <w:left w:val="nil"/>
              <w:bottom w:val="single" w:sz="4" w:space="0" w:color="auto"/>
              <w:right w:val="nil"/>
            </w:tcBorders>
            <w:shd w:val="clear" w:color="auto" w:fill="auto"/>
            <w:noWrap/>
            <w:vAlign w:val="bottom"/>
            <w:hideMark/>
          </w:tcPr>
          <w:p w14:paraId="4BA659AB"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219,362</w:t>
            </w:r>
          </w:p>
        </w:tc>
        <w:tc>
          <w:tcPr>
            <w:tcW w:w="960" w:type="dxa"/>
            <w:tcBorders>
              <w:top w:val="nil"/>
              <w:left w:val="nil"/>
              <w:bottom w:val="single" w:sz="4" w:space="0" w:color="auto"/>
              <w:right w:val="nil"/>
            </w:tcBorders>
            <w:shd w:val="clear" w:color="000000" w:fill="D9D9D9"/>
            <w:noWrap/>
            <w:vAlign w:val="bottom"/>
            <w:hideMark/>
          </w:tcPr>
          <w:p w14:paraId="47CACE10"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307,422</w:t>
            </w:r>
          </w:p>
        </w:tc>
        <w:tc>
          <w:tcPr>
            <w:tcW w:w="960" w:type="dxa"/>
            <w:tcBorders>
              <w:top w:val="nil"/>
              <w:left w:val="nil"/>
              <w:bottom w:val="single" w:sz="4" w:space="0" w:color="auto"/>
              <w:right w:val="nil"/>
            </w:tcBorders>
            <w:shd w:val="clear" w:color="auto" w:fill="auto"/>
            <w:noWrap/>
            <w:vAlign w:val="bottom"/>
            <w:hideMark/>
          </w:tcPr>
          <w:p w14:paraId="4A500697"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241,423</w:t>
            </w:r>
          </w:p>
        </w:tc>
        <w:tc>
          <w:tcPr>
            <w:tcW w:w="960" w:type="dxa"/>
            <w:tcBorders>
              <w:top w:val="nil"/>
              <w:left w:val="nil"/>
              <w:bottom w:val="single" w:sz="4" w:space="0" w:color="auto"/>
              <w:right w:val="nil"/>
            </w:tcBorders>
            <w:shd w:val="clear" w:color="auto" w:fill="auto"/>
            <w:noWrap/>
            <w:vAlign w:val="bottom"/>
            <w:hideMark/>
          </w:tcPr>
          <w:p w14:paraId="7B19B355"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242,892</w:t>
            </w:r>
          </w:p>
        </w:tc>
        <w:tc>
          <w:tcPr>
            <w:tcW w:w="960" w:type="dxa"/>
            <w:tcBorders>
              <w:top w:val="nil"/>
              <w:left w:val="nil"/>
              <w:bottom w:val="single" w:sz="4" w:space="0" w:color="auto"/>
              <w:right w:val="nil"/>
            </w:tcBorders>
            <w:shd w:val="clear" w:color="auto" w:fill="auto"/>
            <w:noWrap/>
            <w:vAlign w:val="bottom"/>
            <w:hideMark/>
          </w:tcPr>
          <w:p w14:paraId="2401B3F9" w14:textId="77777777" w:rsidR="00B167E1" w:rsidRPr="00B167E1" w:rsidRDefault="00B167E1" w:rsidP="00B167E1">
            <w:pPr>
              <w:spacing w:before="0" w:after="0" w:line="240" w:lineRule="auto"/>
              <w:jc w:val="right"/>
              <w:rPr>
                <w:rFonts w:ascii="Arial" w:hAnsi="Arial" w:cs="Arial"/>
                <w:b/>
                <w:bCs/>
                <w:sz w:val="16"/>
                <w:szCs w:val="16"/>
              </w:rPr>
            </w:pPr>
            <w:r w:rsidRPr="00B167E1">
              <w:rPr>
                <w:rFonts w:ascii="Arial" w:hAnsi="Arial" w:cs="Arial"/>
                <w:b/>
                <w:bCs/>
                <w:sz w:val="16"/>
                <w:szCs w:val="16"/>
              </w:rPr>
              <w:t>214,612</w:t>
            </w:r>
          </w:p>
        </w:tc>
      </w:tr>
      <w:tr w:rsidR="00B167E1" w:rsidRPr="00B167E1" w14:paraId="5A4943EF" w14:textId="77777777" w:rsidTr="00B167E1">
        <w:trPr>
          <w:trHeight w:val="225"/>
          <w:jc w:val="center"/>
        </w:trPr>
        <w:tc>
          <w:tcPr>
            <w:tcW w:w="3124" w:type="dxa"/>
            <w:tcBorders>
              <w:top w:val="nil"/>
              <w:left w:val="nil"/>
              <w:bottom w:val="nil"/>
              <w:right w:val="nil"/>
            </w:tcBorders>
            <w:shd w:val="clear" w:color="auto" w:fill="auto"/>
            <w:noWrap/>
            <w:vAlign w:val="center"/>
            <w:hideMark/>
          </w:tcPr>
          <w:p w14:paraId="008313E0" w14:textId="77777777" w:rsidR="00B167E1" w:rsidRPr="00B167E1" w:rsidRDefault="00B167E1" w:rsidP="00B167E1">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3F9E1C91" w14:textId="77777777" w:rsidR="00B167E1" w:rsidRPr="00B167E1" w:rsidRDefault="00B167E1" w:rsidP="00B167E1">
            <w:pPr>
              <w:spacing w:before="0" w:after="0" w:line="240" w:lineRule="auto"/>
              <w:ind w:firstLineChars="100" w:firstLine="20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FBAB641" w14:textId="77777777" w:rsidR="00B167E1" w:rsidRPr="00B167E1" w:rsidRDefault="00B167E1" w:rsidP="00B167E1">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28EE96CF" w14:textId="77777777" w:rsidR="00B167E1" w:rsidRPr="00B167E1" w:rsidRDefault="00B167E1" w:rsidP="00B167E1">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641C49B4" w14:textId="77777777" w:rsidR="00B167E1" w:rsidRPr="00B167E1" w:rsidRDefault="00B167E1" w:rsidP="00B167E1">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2C447BAC" w14:textId="77777777" w:rsidR="00B167E1" w:rsidRPr="00B167E1" w:rsidRDefault="00B167E1" w:rsidP="00B167E1">
            <w:pPr>
              <w:spacing w:before="0" w:after="0" w:line="240" w:lineRule="auto"/>
              <w:rPr>
                <w:rFonts w:ascii="Times New Roman" w:hAnsi="Times New Roman"/>
                <w:sz w:val="20"/>
              </w:rPr>
            </w:pPr>
          </w:p>
        </w:tc>
      </w:tr>
      <w:tr w:rsidR="00B167E1" w:rsidRPr="00B167E1" w14:paraId="449F9FE7" w14:textId="77777777" w:rsidTr="00FF1A2B">
        <w:trPr>
          <w:trHeight w:val="425"/>
          <w:jc w:val="center"/>
        </w:trPr>
        <w:tc>
          <w:tcPr>
            <w:tcW w:w="3124" w:type="dxa"/>
            <w:tcBorders>
              <w:top w:val="single" w:sz="4" w:space="0" w:color="auto"/>
              <w:left w:val="nil"/>
              <w:bottom w:val="nil"/>
              <w:right w:val="nil"/>
            </w:tcBorders>
            <w:shd w:val="clear" w:color="auto" w:fill="auto"/>
            <w:noWrap/>
            <w:vAlign w:val="center"/>
            <w:hideMark/>
          </w:tcPr>
          <w:p w14:paraId="47C0087B" w14:textId="77777777" w:rsidR="00B167E1" w:rsidRPr="00B167E1" w:rsidRDefault="00B167E1" w:rsidP="00B167E1">
            <w:pPr>
              <w:spacing w:before="0" w:after="0" w:line="240" w:lineRule="auto"/>
              <w:ind w:firstLineChars="100" w:firstLine="160"/>
              <w:rPr>
                <w:rFonts w:ascii="Arial" w:hAnsi="Arial" w:cs="Arial"/>
                <w:sz w:val="16"/>
                <w:szCs w:val="16"/>
              </w:rPr>
            </w:pPr>
            <w:r w:rsidRPr="00B167E1">
              <w:rPr>
                <w:rFonts w:ascii="Arial" w:hAnsi="Arial" w:cs="Arial"/>
                <w:sz w:val="16"/>
                <w:szCs w:val="16"/>
              </w:rPr>
              <w:t> </w:t>
            </w:r>
          </w:p>
        </w:tc>
        <w:tc>
          <w:tcPr>
            <w:tcW w:w="960" w:type="dxa"/>
            <w:tcBorders>
              <w:top w:val="single" w:sz="4" w:space="0" w:color="auto"/>
              <w:left w:val="nil"/>
              <w:bottom w:val="nil"/>
              <w:right w:val="nil"/>
            </w:tcBorders>
            <w:shd w:val="clear" w:color="auto" w:fill="auto"/>
            <w:vAlign w:val="bottom"/>
            <w:hideMark/>
          </w:tcPr>
          <w:p w14:paraId="2D123CAA" w14:textId="6B7CD728" w:rsidR="00B167E1" w:rsidRPr="00B167E1" w:rsidRDefault="00B167E1" w:rsidP="00B167E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2022–</w:t>
            </w:r>
            <w:r w:rsidRPr="00B167E1">
              <w:rPr>
                <w:rFonts w:ascii="Arial" w:hAnsi="Arial" w:cs="Arial"/>
                <w:b/>
                <w:bCs/>
                <w:color w:val="000000"/>
                <w:sz w:val="16"/>
                <w:szCs w:val="16"/>
              </w:rPr>
              <w:t>23</w:t>
            </w:r>
            <w:r w:rsidRPr="00B167E1">
              <w:rPr>
                <w:rFonts w:ascii="Arial" w:hAnsi="Arial" w:cs="Arial"/>
                <w:b/>
                <w:bCs/>
                <w:color w:val="000000"/>
                <w:sz w:val="16"/>
                <w:szCs w:val="16"/>
              </w:rPr>
              <w:br/>
              <w:t>Actual</w:t>
            </w:r>
          </w:p>
        </w:tc>
        <w:tc>
          <w:tcPr>
            <w:tcW w:w="960" w:type="dxa"/>
            <w:tcBorders>
              <w:top w:val="single" w:sz="4" w:space="0" w:color="auto"/>
              <w:left w:val="nil"/>
              <w:bottom w:val="nil"/>
              <w:right w:val="nil"/>
            </w:tcBorders>
            <w:shd w:val="clear" w:color="000000" w:fill="D9D9D9"/>
            <w:vAlign w:val="bottom"/>
            <w:hideMark/>
          </w:tcPr>
          <w:p w14:paraId="2FAE0167" w14:textId="3A9F9BB7" w:rsidR="00B167E1" w:rsidRPr="00B167E1" w:rsidRDefault="00B167E1" w:rsidP="00B167E1">
            <w:pPr>
              <w:spacing w:before="0" w:after="0" w:line="240" w:lineRule="auto"/>
              <w:jc w:val="right"/>
              <w:rPr>
                <w:rFonts w:ascii="Arial" w:hAnsi="Arial" w:cs="Arial"/>
                <w:b/>
                <w:bCs/>
                <w:sz w:val="16"/>
                <w:szCs w:val="16"/>
              </w:rPr>
            </w:pPr>
            <w:r>
              <w:rPr>
                <w:rFonts w:ascii="Arial" w:hAnsi="Arial" w:cs="Arial"/>
                <w:b/>
                <w:bCs/>
                <w:sz w:val="16"/>
                <w:szCs w:val="16"/>
              </w:rPr>
              <w:t>2023–</w:t>
            </w:r>
            <w:r w:rsidRPr="00B167E1">
              <w:rPr>
                <w:rFonts w:ascii="Arial" w:hAnsi="Arial" w:cs="Arial"/>
                <w:b/>
                <w:bCs/>
                <w:sz w:val="16"/>
                <w:szCs w:val="16"/>
              </w:rPr>
              <w:t>24</w:t>
            </w:r>
            <w:r w:rsidRPr="00B167E1">
              <w:rPr>
                <w:rFonts w:ascii="Arial" w:hAnsi="Arial" w:cs="Arial"/>
                <w:b/>
                <w:bCs/>
                <w:sz w:val="16"/>
                <w:szCs w:val="16"/>
              </w:rPr>
              <w:br/>
              <w:t>Revised</w:t>
            </w:r>
          </w:p>
        </w:tc>
        <w:tc>
          <w:tcPr>
            <w:tcW w:w="960" w:type="dxa"/>
            <w:tcBorders>
              <w:top w:val="nil"/>
              <w:left w:val="nil"/>
              <w:bottom w:val="nil"/>
              <w:right w:val="nil"/>
            </w:tcBorders>
            <w:shd w:val="clear" w:color="auto" w:fill="auto"/>
            <w:noWrap/>
            <w:vAlign w:val="center"/>
            <w:hideMark/>
          </w:tcPr>
          <w:p w14:paraId="4178965F" w14:textId="77777777" w:rsidR="00B167E1" w:rsidRPr="00B167E1" w:rsidRDefault="00B167E1" w:rsidP="00B167E1">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14:paraId="4A2D9F11" w14:textId="77777777" w:rsidR="00B167E1" w:rsidRPr="00B167E1" w:rsidRDefault="00B167E1" w:rsidP="00B167E1">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533C1FDF" w14:textId="77777777" w:rsidR="00B167E1" w:rsidRPr="00B167E1" w:rsidRDefault="00B167E1" w:rsidP="00B167E1">
            <w:pPr>
              <w:spacing w:before="0" w:after="0" w:line="240" w:lineRule="auto"/>
              <w:rPr>
                <w:rFonts w:ascii="Times New Roman" w:hAnsi="Times New Roman"/>
                <w:sz w:val="20"/>
              </w:rPr>
            </w:pPr>
          </w:p>
        </w:tc>
      </w:tr>
      <w:tr w:rsidR="00B167E1" w:rsidRPr="00B167E1" w14:paraId="2B9D4C7A" w14:textId="77777777" w:rsidTr="00B167E1">
        <w:trPr>
          <w:trHeight w:val="225"/>
          <w:jc w:val="center"/>
        </w:trPr>
        <w:tc>
          <w:tcPr>
            <w:tcW w:w="3124" w:type="dxa"/>
            <w:tcBorders>
              <w:top w:val="nil"/>
              <w:left w:val="nil"/>
              <w:bottom w:val="single" w:sz="4" w:space="0" w:color="auto"/>
              <w:right w:val="nil"/>
            </w:tcBorders>
            <w:shd w:val="clear" w:color="auto" w:fill="auto"/>
            <w:noWrap/>
            <w:vAlign w:val="bottom"/>
            <w:hideMark/>
          </w:tcPr>
          <w:p w14:paraId="3AC63E5B" w14:textId="77777777" w:rsidR="00B167E1" w:rsidRPr="00B167E1" w:rsidRDefault="00B167E1" w:rsidP="00B167E1">
            <w:pPr>
              <w:spacing w:before="0" w:after="0" w:line="240" w:lineRule="auto"/>
              <w:rPr>
                <w:rFonts w:ascii="Arial" w:hAnsi="Arial" w:cs="Arial"/>
                <w:b/>
                <w:bCs/>
                <w:color w:val="000000"/>
                <w:sz w:val="16"/>
                <w:szCs w:val="16"/>
              </w:rPr>
            </w:pPr>
            <w:r w:rsidRPr="00B167E1">
              <w:rPr>
                <w:rFonts w:ascii="Arial" w:hAnsi="Arial" w:cs="Arial"/>
                <w:b/>
                <w:bCs/>
                <w:color w:val="000000"/>
                <w:sz w:val="16"/>
                <w:szCs w:val="16"/>
              </w:rPr>
              <w:t xml:space="preserve">Average </w:t>
            </w:r>
            <w:r w:rsidRPr="00B167E1">
              <w:rPr>
                <w:rFonts w:ascii="Arial" w:hAnsi="Arial" w:cs="Arial"/>
                <w:b/>
                <w:bCs/>
                <w:sz w:val="16"/>
                <w:szCs w:val="16"/>
              </w:rPr>
              <w:t>s</w:t>
            </w:r>
            <w:r w:rsidRPr="00B167E1">
              <w:rPr>
                <w:rFonts w:ascii="Arial" w:hAnsi="Arial" w:cs="Arial"/>
                <w:b/>
                <w:bCs/>
                <w:color w:val="000000"/>
                <w:sz w:val="16"/>
                <w:szCs w:val="16"/>
              </w:rPr>
              <w:t xml:space="preserve">taffing </w:t>
            </w:r>
            <w:r w:rsidRPr="00B167E1">
              <w:rPr>
                <w:rFonts w:ascii="Arial" w:hAnsi="Arial" w:cs="Arial"/>
                <w:b/>
                <w:bCs/>
                <w:sz w:val="16"/>
                <w:szCs w:val="16"/>
              </w:rPr>
              <w:t>l</w:t>
            </w:r>
            <w:r w:rsidRPr="00B167E1">
              <w:rPr>
                <w:rFonts w:ascii="Arial" w:hAnsi="Arial" w:cs="Arial"/>
                <w:b/>
                <w:bCs/>
                <w:color w:val="000000"/>
                <w:sz w:val="16"/>
                <w:szCs w:val="16"/>
              </w:rPr>
              <w:t>evel (number)</w:t>
            </w:r>
          </w:p>
        </w:tc>
        <w:tc>
          <w:tcPr>
            <w:tcW w:w="960" w:type="dxa"/>
            <w:tcBorders>
              <w:top w:val="single" w:sz="4" w:space="0" w:color="auto"/>
              <w:left w:val="nil"/>
              <w:bottom w:val="single" w:sz="4" w:space="0" w:color="auto"/>
              <w:right w:val="nil"/>
            </w:tcBorders>
            <w:shd w:val="clear" w:color="auto" w:fill="auto"/>
            <w:noWrap/>
            <w:vAlign w:val="bottom"/>
            <w:hideMark/>
          </w:tcPr>
          <w:p w14:paraId="6252EFF0"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920</w:t>
            </w:r>
          </w:p>
        </w:tc>
        <w:tc>
          <w:tcPr>
            <w:tcW w:w="960" w:type="dxa"/>
            <w:tcBorders>
              <w:top w:val="single" w:sz="4" w:space="0" w:color="auto"/>
              <w:left w:val="nil"/>
              <w:bottom w:val="single" w:sz="4" w:space="0" w:color="auto"/>
              <w:right w:val="nil"/>
            </w:tcBorders>
            <w:shd w:val="clear" w:color="000000" w:fill="D9D9D9"/>
            <w:noWrap/>
            <w:vAlign w:val="bottom"/>
            <w:hideMark/>
          </w:tcPr>
          <w:p w14:paraId="22CBC3F3" w14:textId="77777777" w:rsidR="00B167E1" w:rsidRPr="00B167E1" w:rsidRDefault="00B167E1" w:rsidP="00B167E1">
            <w:pPr>
              <w:spacing w:before="0" w:after="0" w:line="240" w:lineRule="auto"/>
              <w:jc w:val="right"/>
              <w:rPr>
                <w:rFonts w:ascii="Arial" w:hAnsi="Arial" w:cs="Arial"/>
                <w:sz w:val="16"/>
                <w:szCs w:val="16"/>
              </w:rPr>
            </w:pPr>
            <w:r w:rsidRPr="00B167E1">
              <w:rPr>
                <w:rFonts w:ascii="Arial" w:hAnsi="Arial" w:cs="Arial"/>
                <w:sz w:val="16"/>
                <w:szCs w:val="16"/>
              </w:rPr>
              <w:t>1,475</w:t>
            </w:r>
          </w:p>
        </w:tc>
        <w:tc>
          <w:tcPr>
            <w:tcW w:w="960" w:type="dxa"/>
            <w:tcBorders>
              <w:top w:val="nil"/>
              <w:left w:val="nil"/>
              <w:bottom w:val="nil"/>
              <w:right w:val="nil"/>
            </w:tcBorders>
            <w:shd w:val="clear" w:color="auto" w:fill="auto"/>
            <w:noWrap/>
            <w:vAlign w:val="center"/>
            <w:hideMark/>
          </w:tcPr>
          <w:p w14:paraId="7E28FB1E" w14:textId="77777777" w:rsidR="00B167E1" w:rsidRPr="00B167E1" w:rsidRDefault="00B167E1" w:rsidP="00B167E1">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0536B6CC" w14:textId="77777777" w:rsidR="00B167E1" w:rsidRPr="00B167E1" w:rsidRDefault="00B167E1" w:rsidP="00B167E1">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1F0F5E31" w14:textId="77777777" w:rsidR="00B167E1" w:rsidRPr="00B167E1" w:rsidRDefault="00B167E1" w:rsidP="00B167E1">
            <w:pPr>
              <w:spacing w:before="0" w:after="0" w:line="240" w:lineRule="auto"/>
              <w:rPr>
                <w:rFonts w:ascii="Times New Roman" w:hAnsi="Times New Roman"/>
                <w:sz w:val="20"/>
              </w:rPr>
            </w:pPr>
          </w:p>
        </w:tc>
      </w:tr>
    </w:tbl>
    <w:p w14:paraId="01E0055B" w14:textId="6DD2CCF1" w:rsidR="00B167E1" w:rsidRPr="00B167E1" w:rsidRDefault="00B167E1" w:rsidP="00F7135C">
      <w:pPr>
        <w:pStyle w:val="FootnoteText"/>
        <w:spacing w:before="120"/>
      </w:pPr>
      <w:r w:rsidRPr="00B167E1">
        <w:rPr>
          <w:vertAlign w:val="superscript"/>
        </w:rPr>
        <w:t>(a)</w:t>
      </w:r>
      <w:r w:rsidRPr="00B167E1">
        <w:t xml:space="preserve"> </w:t>
      </w:r>
      <w:r>
        <w:tab/>
      </w:r>
      <w:r w:rsidRPr="00B167E1">
        <w:t>Departmental appropriation combines 'Ordinary annual services' and 'Revenue from independent sources (s74)'.</w:t>
      </w:r>
    </w:p>
    <w:p w14:paraId="1258D68B" w14:textId="59C5DAF8" w:rsidR="00A76841" w:rsidRPr="00B167E1" w:rsidRDefault="00B167E1" w:rsidP="00B167E1">
      <w:pPr>
        <w:pStyle w:val="FootnoteText"/>
      </w:pPr>
      <w:r w:rsidRPr="00B167E1">
        <w:rPr>
          <w:vertAlign w:val="superscript"/>
        </w:rPr>
        <w:t>(b)</w:t>
      </w:r>
      <w:r w:rsidRPr="00B167E1">
        <w:t xml:space="preserve"> </w:t>
      </w:r>
      <w:r>
        <w:tab/>
      </w:r>
      <w:r w:rsidRPr="00B167E1">
        <w:t>Expenses not requiring appropriation in the Budget year are made up of depreciation expense, amortisation expense, makegood expense and audit fees.</w:t>
      </w:r>
    </w:p>
    <w:p w14:paraId="559DB5D0" w14:textId="77777777" w:rsidR="00B167E1" w:rsidRPr="00B9146F" w:rsidRDefault="00B167E1" w:rsidP="00A76841">
      <w:pPr>
        <w:pStyle w:val="FootnoteText"/>
      </w:pPr>
    </w:p>
    <w:p w14:paraId="252B8B77" w14:textId="42A64911" w:rsidR="00275707" w:rsidRPr="00310CC6" w:rsidRDefault="00275707" w:rsidP="00275707">
      <w:pPr>
        <w:pStyle w:val="Heading5"/>
        <w:rPr>
          <w:b/>
          <w:i w:val="0"/>
        </w:rPr>
      </w:pPr>
      <w:r w:rsidRPr="00310CC6">
        <w:rPr>
          <w:b/>
          <w:i w:val="0"/>
        </w:rPr>
        <w:t>Performance measure</w:t>
      </w:r>
      <w:r w:rsidR="002F6406" w:rsidRPr="00310CC6">
        <w:rPr>
          <w:b/>
          <w:i w:val="0"/>
        </w:rPr>
        <w:t xml:space="preserve"> for </w:t>
      </w:r>
      <w:r w:rsidR="00B6537D">
        <w:rPr>
          <w:b/>
          <w:i w:val="0"/>
        </w:rPr>
        <w:t>ACQSC</w:t>
      </w:r>
    </w:p>
    <w:p w14:paraId="13E4EB80" w14:textId="77777777" w:rsidR="002F6406" w:rsidRPr="00310CC6" w:rsidRDefault="002F6406" w:rsidP="002F6406">
      <w:pPr>
        <w:autoSpaceDE w:val="0"/>
        <w:autoSpaceDN w:val="0"/>
        <w:adjustRightInd w:val="0"/>
        <w:spacing w:before="0" w:after="0" w:line="240" w:lineRule="auto"/>
        <w:rPr>
          <w:rFonts w:cs="BookAntiqua"/>
          <w:sz w:val="20"/>
        </w:rPr>
      </w:pPr>
      <w:r w:rsidRPr="00310CC6">
        <w:rPr>
          <w:rFonts w:cs="BookAntiqua"/>
          <w:sz w:val="20"/>
        </w:rPr>
        <w:t>There have been no changes to performance information for the ACQSC since the</w:t>
      </w:r>
    </w:p>
    <w:p w14:paraId="38108917" w14:textId="0C04B84F" w:rsidR="00FE4E5D" w:rsidRDefault="002F6406" w:rsidP="00A76841">
      <w:pPr>
        <w:autoSpaceDE w:val="0"/>
        <w:autoSpaceDN w:val="0"/>
        <w:adjustRightInd w:val="0"/>
        <w:spacing w:before="0" w:after="0" w:line="240" w:lineRule="auto"/>
        <w:rPr>
          <w:rFonts w:cs="BookAntiqua"/>
          <w:sz w:val="20"/>
        </w:rPr>
      </w:pPr>
      <w:r w:rsidRPr="00A76841">
        <w:rPr>
          <w:rFonts w:cs="BookAntiqua"/>
          <w:sz w:val="20"/>
        </w:rPr>
        <w:t>2023–24 Budget which require new or</w:t>
      </w:r>
      <w:r w:rsidR="00FE4E5D">
        <w:rPr>
          <w:rFonts w:cs="BookAntiqua"/>
          <w:sz w:val="20"/>
        </w:rPr>
        <w:t xml:space="preserve"> modified performance measures.</w:t>
      </w:r>
    </w:p>
    <w:p w14:paraId="3A7390B9" w14:textId="76A1CBB3" w:rsidR="002F6406" w:rsidRPr="00FE4E5D" w:rsidRDefault="002F6406" w:rsidP="00A76841">
      <w:pPr>
        <w:autoSpaceDE w:val="0"/>
        <w:autoSpaceDN w:val="0"/>
        <w:adjustRightInd w:val="0"/>
        <w:spacing w:before="0" w:after="0" w:line="240" w:lineRule="auto"/>
        <w:rPr>
          <w:rFonts w:cs="BookAntiqua"/>
          <w:sz w:val="20"/>
        </w:rPr>
      </w:pPr>
      <w:r w:rsidRPr="00A76841">
        <w:rPr>
          <w:rFonts w:cs="BookAntiqua"/>
          <w:sz w:val="20"/>
        </w:rPr>
        <w:t xml:space="preserve">Refer page 139 of the </w:t>
      </w:r>
      <w:r w:rsidRPr="00A76841">
        <w:rPr>
          <w:rFonts w:cs="BookAntiqua-Italic"/>
          <w:i/>
          <w:iCs/>
          <w:sz w:val="20"/>
        </w:rPr>
        <w:t xml:space="preserve">Health and Aged Care Portfolio Budget Statements 2023–24 </w:t>
      </w:r>
      <w:r w:rsidRPr="00A76841">
        <w:rPr>
          <w:rFonts w:cs="BookAntiqua"/>
          <w:sz w:val="20"/>
        </w:rPr>
        <w:t>for current performance information.</w:t>
      </w:r>
    </w:p>
    <w:p w14:paraId="3B5A98E3" w14:textId="77777777" w:rsidR="00275707" w:rsidRDefault="00275707" w:rsidP="00275707">
      <w:pPr>
        <w:pStyle w:val="ChartandTableFootnoteAlpha"/>
        <w:numPr>
          <w:ilvl w:val="0"/>
          <w:numId w:val="0"/>
        </w:numPr>
      </w:pPr>
    </w:p>
    <w:p w14:paraId="549A8967" w14:textId="1F85509E" w:rsidR="00275707" w:rsidRPr="00E41681" w:rsidRDefault="00D91D52" w:rsidP="00275707">
      <w:pPr>
        <w:pStyle w:val="Heading2-TOC"/>
      </w:pPr>
      <w:r>
        <w:fldChar w:fldCharType="begin"/>
      </w:r>
      <w:r>
        <w:instrText xml:space="preserve"> </w:instrText>
      </w:r>
      <w:proofErr w:type="gramStart"/>
      <w:r>
        <w:instrText>TC  "</w:instrText>
      </w:r>
      <w:bookmarkStart w:id="419" w:name="_Toc155883134"/>
      <w:bookmarkStart w:id="420" w:name="_Toc157421329"/>
      <w:bookmarkStart w:id="421" w:name="_Toc157421374"/>
      <w:bookmarkStart w:id="422" w:name="_Toc157596653"/>
      <w:proofErr w:type="gramEnd"/>
      <w:r>
        <w:instrText>Section 3: Special account flows and budgeted financial statements</w:instrText>
      </w:r>
      <w:bookmarkEnd w:id="419"/>
      <w:bookmarkEnd w:id="420"/>
      <w:bookmarkEnd w:id="421"/>
      <w:bookmarkEnd w:id="422"/>
      <w:r>
        <w:instrText xml:space="preserve">" \f </w:instrText>
      </w:r>
      <w:proofErr w:type="spellStart"/>
      <w:r>
        <w:instrText>acq</w:instrText>
      </w:r>
      <w:proofErr w:type="spellEnd"/>
      <w:r>
        <w:instrText xml:space="preserve"> \l 1 </w:instrText>
      </w:r>
      <w:r>
        <w:fldChar w:fldCharType="end"/>
      </w:r>
      <w:bookmarkStart w:id="423" w:name="_Toc157592010"/>
      <w:bookmarkStart w:id="424" w:name="_Toc157592193"/>
      <w:r w:rsidR="00275707" w:rsidRPr="00E41681">
        <w:t>Section 3: Special account flows and budgeted financial statements</w:t>
      </w:r>
      <w:bookmarkEnd w:id="423"/>
      <w:bookmarkEnd w:id="424"/>
    </w:p>
    <w:p w14:paraId="47961094" w14:textId="54B36440" w:rsidR="00275707" w:rsidRPr="004D3E2B" w:rsidRDefault="00D91D52" w:rsidP="00275707">
      <w:pPr>
        <w:pStyle w:val="Heading3"/>
      </w:pPr>
      <w:r>
        <w:fldChar w:fldCharType="begin"/>
      </w:r>
      <w:r>
        <w:instrText xml:space="preserve"> </w:instrText>
      </w:r>
      <w:proofErr w:type="gramStart"/>
      <w:r>
        <w:instrText>TC  "</w:instrText>
      </w:r>
      <w:bookmarkStart w:id="425" w:name="_Toc155883135"/>
      <w:bookmarkStart w:id="426" w:name="_Toc157421330"/>
      <w:bookmarkStart w:id="427" w:name="_Toc157421375"/>
      <w:bookmarkStart w:id="428" w:name="_Toc157596654"/>
      <w:proofErr w:type="gramEnd"/>
      <w:r>
        <w:instrText>3.1</w:instrText>
      </w:r>
      <w:r>
        <w:tab/>
        <w:instrText>Special account flows and balances</w:instrText>
      </w:r>
      <w:bookmarkEnd w:id="425"/>
      <w:bookmarkEnd w:id="426"/>
      <w:bookmarkEnd w:id="427"/>
      <w:bookmarkEnd w:id="428"/>
      <w:r>
        <w:instrText xml:space="preserve">" \f </w:instrText>
      </w:r>
      <w:proofErr w:type="spellStart"/>
      <w:r>
        <w:instrText>acq</w:instrText>
      </w:r>
      <w:proofErr w:type="spellEnd"/>
      <w:r>
        <w:instrText xml:space="preserve"> \l 2 </w:instrText>
      </w:r>
      <w:r>
        <w:fldChar w:fldCharType="end"/>
      </w:r>
      <w:bookmarkStart w:id="429" w:name="_Toc157592011"/>
      <w:bookmarkStart w:id="430" w:name="_Toc157592194"/>
      <w:r w:rsidR="00275707" w:rsidRPr="004D3E2B">
        <w:t>3.1</w:t>
      </w:r>
      <w:r w:rsidR="00275707" w:rsidRPr="004D3E2B">
        <w:tab/>
        <w:t>Special account flows</w:t>
      </w:r>
      <w:r w:rsidR="00275707">
        <w:t xml:space="preserve"> and balances</w:t>
      </w:r>
      <w:bookmarkEnd w:id="429"/>
      <w:bookmarkEnd w:id="430"/>
    </w:p>
    <w:p w14:paraId="6306E7A3" w14:textId="77777777" w:rsidR="00275707" w:rsidRDefault="00275707" w:rsidP="00275707">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53727468" w14:textId="75FE1766" w:rsidR="002F6406" w:rsidRPr="00B3169B" w:rsidRDefault="002F6406" w:rsidP="002F6406">
      <w:pPr>
        <w:pStyle w:val="Heading3"/>
        <w:rPr>
          <w:rFonts w:ascii="Book Antiqua" w:hAnsi="Book Antiqua"/>
          <w:b w:val="0"/>
          <w:sz w:val="20"/>
        </w:rPr>
      </w:pPr>
      <w:bookmarkStart w:id="431" w:name="_Toc157592012"/>
      <w:bookmarkStart w:id="432" w:name="_Toc157592195"/>
      <w:r w:rsidRPr="00B3169B">
        <w:rPr>
          <w:rFonts w:ascii="Book Antiqua" w:hAnsi="Book Antiqua"/>
          <w:b w:val="0"/>
          <w:sz w:val="20"/>
        </w:rPr>
        <w:t xml:space="preserve">Table 3.1 is not applicable to the </w:t>
      </w:r>
      <w:r w:rsidR="00597D43">
        <w:rPr>
          <w:rFonts w:ascii="Book Antiqua" w:hAnsi="Book Antiqua"/>
          <w:b w:val="0"/>
          <w:sz w:val="20"/>
        </w:rPr>
        <w:t>ACQSC</w:t>
      </w:r>
      <w:r w:rsidRPr="00B3169B">
        <w:rPr>
          <w:rFonts w:ascii="Book Antiqua" w:hAnsi="Book Antiqua"/>
          <w:b w:val="0"/>
          <w:sz w:val="20"/>
        </w:rPr>
        <w:t xml:space="preserve"> in 2023–24 as it does not manage any special accounts.</w:t>
      </w:r>
      <w:bookmarkEnd w:id="431"/>
      <w:bookmarkEnd w:id="432"/>
    </w:p>
    <w:p w14:paraId="518BA76F" w14:textId="649F81AA" w:rsidR="00275707" w:rsidRDefault="00D91D52" w:rsidP="002F6406">
      <w:pPr>
        <w:pStyle w:val="Heading3"/>
        <w:spacing w:before="240"/>
      </w:pPr>
      <w:r>
        <w:fldChar w:fldCharType="begin"/>
      </w:r>
      <w:r>
        <w:instrText xml:space="preserve"> </w:instrText>
      </w:r>
      <w:proofErr w:type="gramStart"/>
      <w:r>
        <w:instrText>TC  "</w:instrText>
      </w:r>
      <w:bookmarkStart w:id="433" w:name="_Toc155883136"/>
      <w:bookmarkStart w:id="434" w:name="_Toc157421331"/>
      <w:bookmarkStart w:id="435" w:name="_Toc157421376"/>
      <w:bookmarkStart w:id="436" w:name="_Toc157596655"/>
      <w:proofErr w:type="gramEnd"/>
      <w:r>
        <w:instrText>3.2</w:instrText>
      </w:r>
      <w:r>
        <w:tab/>
        <w:instrText>Budgeted financial statements</w:instrText>
      </w:r>
      <w:bookmarkEnd w:id="433"/>
      <w:bookmarkEnd w:id="434"/>
      <w:bookmarkEnd w:id="435"/>
      <w:bookmarkEnd w:id="436"/>
      <w:r>
        <w:instrText xml:space="preserve">" \f </w:instrText>
      </w:r>
      <w:proofErr w:type="spellStart"/>
      <w:r>
        <w:instrText>acq</w:instrText>
      </w:r>
      <w:proofErr w:type="spellEnd"/>
      <w:r>
        <w:instrText xml:space="preserve"> \l 2 </w:instrText>
      </w:r>
      <w:r>
        <w:fldChar w:fldCharType="end"/>
      </w:r>
      <w:bookmarkStart w:id="437" w:name="_Toc157592013"/>
      <w:bookmarkStart w:id="438" w:name="_Toc157592196"/>
      <w:r w:rsidR="00275707" w:rsidRPr="005554F9">
        <w:t>3.2</w:t>
      </w:r>
      <w:r w:rsidR="00275707">
        <w:tab/>
        <w:t>Budgeted financial statements</w:t>
      </w:r>
      <w:bookmarkEnd w:id="437"/>
      <w:bookmarkEnd w:id="438"/>
    </w:p>
    <w:p w14:paraId="75A33FBD" w14:textId="77777777" w:rsidR="00275707" w:rsidRPr="004928FF" w:rsidRDefault="00275707" w:rsidP="00275707">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27959DE5" w14:textId="53D44D4A" w:rsidR="00FE4E5D" w:rsidRPr="008800D6" w:rsidRDefault="00C63061" w:rsidP="00BD65F1">
      <w:pPr>
        <w:spacing w:before="120" w:after="0" w:line="240" w:lineRule="auto"/>
        <w:rPr>
          <w:rFonts w:ascii="Arial" w:hAnsi="Arial" w:cs="Arial"/>
          <w:b/>
          <w:sz w:val="22"/>
          <w:szCs w:val="22"/>
        </w:rPr>
      </w:pPr>
      <w:r w:rsidRPr="008800D6">
        <w:rPr>
          <w:rFonts w:ascii="Arial" w:hAnsi="Arial" w:cs="Arial"/>
          <w:b/>
          <w:sz w:val="22"/>
          <w:szCs w:val="22"/>
        </w:rPr>
        <w:t>Departmental resources</w:t>
      </w:r>
      <w:r w:rsidRPr="008800D6">
        <w:rPr>
          <w:rFonts w:ascii="Arial" w:hAnsi="Arial" w:cs="Arial"/>
          <w:b/>
          <w:sz w:val="22"/>
        </w:rPr>
        <w:t xml:space="preserve"> </w:t>
      </w:r>
    </w:p>
    <w:p w14:paraId="31D7353B" w14:textId="77777777" w:rsidR="00FE4E5D" w:rsidRPr="00FE4E5D" w:rsidRDefault="00FE4E5D" w:rsidP="00FE4E5D">
      <w:pPr>
        <w:pStyle w:val="BodyText"/>
        <w:spacing w:before="120" w:after="0"/>
        <w:rPr>
          <w:rFonts w:ascii="Book Antiqua" w:hAnsi="Book Antiqua"/>
          <w:sz w:val="20"/>
          <w:szCs w:val="20"/>
        </w:rPr>
      </w:pPr>
      <w:r w:rsidRPr="00FE4E5D">
        <w:rPr>
          <w:rFonts w:ascii="Book Antiqua" w:hAnsi="Book Antiqua"/>
          <w:sz w:val="20"/>
          <w:szCs w:val="20"/>
        </w:rPr>
        <w:t xml:space="preserve">The Aged Care Quality and Safety Commission (ACQSC) is the national regulator of Commonwealth subsidised aged care services. </w:t>
      </w:r>
    </w:p>
    <w:p w14:paraId="2821E683" w14:textId="77777777" w:rsidR="00FE4E5D" w:rsidRPr="00FE4E5D" w:rsidRDefault="00FE4E5D" w:rsidP="00FE4E5D">
      <w:pPr>
        <w:pStyle w:val="BodyText"/>
        <w:spacing w:before="120" w:after="0"/>
        <w:rPr>
          <w:rFonts w:ascii="Book Antiqua" w:hAnsi="Book Antiqua"/>
          <w:sz w:val="20"/>
          <w:szCs w:val="20"/>
        </w:rPr>
      </w:pPr>
      <w:r w:rsidRPr="00FE4E5D">
        <w:rPr>
          <w:rFonts w:ascii="Book Antiqua" w:hAnsi="Book Antiqua"/>
          <w:sz w:val="20"/>
          <w:szCs w:val="20"/>
        </w:rPr>
        <w:t>The ACQSC is primarily funded by appropriations and generates own-source revenue by providing accreditation audits and by cost recovering new provider application fees.</w:t>
      </w:r>
    </w:p>
    <w:p w14:paraId="3794ED68" w14:textId="77777777" w:rsidR="00FE4E5D" w:rsidRPr="00FE4E5D" w:rsidRDefault="00FE4E5D" w:rsidP="00FE4E5D">
      <w:pPr>
        <w:pStyle w:val="BodyText"/>
        <w:spacing w:before="120" w:after="0"/>
        <w:rPr>
          <w:rFonts w:ascii="Book Antiqua" w:hAnsi="Book Antiqua"/>
          <w:sz w:val="20"/>
          <w:szCs w:val="20"/>
        </w:rPr>
      </w:pPr>
      <w:r w:rsidRPr="00FE4E5D">
        <w:rPr>
          <w:rFonts w:ascii="Book Antiqua" w:hAnsi="Book Antiqua"/>
          <w:sz w:val="20"/>
          <w:szCs w:val="20"/>
        </w:rPr>
        <w:t>Resources are provided to the ACQSC to:</w:t>
      </w:r>
    </w:p>
    <w:p w14:paraId="67648300" w14:textId="02B2F925" w:rsidR="00FE4E5D" w:rsidRPr="00FE4E5D" w:rsidRDefault="00FE4E5D" w:rsidP="00C5253F">
      <w:pPr>
        <w:pStyle w:val="BodyText"/>
        <w:numPr>
          <w:ilvl w:val="0"/>
          <w:numId w:val="50"/>
        </w:numPr>
        <w:spacing w:before="40" w:after="0"/>
        <w:rPr>
          <w:rFonts w:ascii="Book Antiqua" w:hAnsi="Book Antiqua"/>
          <w:sz w:val="20"/>
          <w:szCs w:val="20"/>
        </w:rPr>
      </w:pPr>
      <w:r w:rsidRPr="00FE4E5D">
        <w:rPr>
          <w:rFonts w:ascii="Book Antiqua" w:hAnsi="Book Antiqua"/>
          <w:sz w:val="20"/>
          <w:szCs w:val="20"/>
        </w:rPr>
        <w:t>provi</w:t>
      </w:r>
      <w:r w:rsidR="00E92FC1">
        <w:rPr>
          <w:rFonts w:ascii="Book Antiqua" w:hAnsi="Book Antiqua"/>
          <w:sz w:val="20"/>
          <w:szCs w:val="20"/>
        </w:rPr>
        <w:t>de surge workforce to finalise ‘</w:t>
      </w:r>
      <w:r w:rsidRPr="00FE4E5D">
        <w:rPr>
          <w:rFonts w:ascii="Book Antiqua" w:hAnsi="Book Antiqua"/>
          <w:sz w:val="20"/>
          <w:szCs w:val="20"/>
        </w:rPr>
        <w:t>on-foot’ regulatory matters and ready the regulator for the implementation of a new rights-based, person-centred Aged Care Act which will inc</w:t>
      </w:r>
      <w:r w:rsidR="00F32B65">
        <w:rPr>
          <w:rFonts w:ascii="Book Antiqua" w:hAnsi="Book Antiqua"/>
          <w:sz w:val="20"/>
          <w:szCs w:val="20"/>
        </w:rPr>
        <w:t>lude a new regulatory framework</w:t>
      </w:r>
    </w:p>
    <w:p w14:paraId="16027723" w14:textId="734BE26A" w:rsidR="00FE4E5D" w:rsidRPr="00FE4E5D" w:rsidRDefault="00FE4E5D" w:rsidP="00C5253F">
      <w:pPr>
        <w:pStyle w:val="BodyText"/>
        <w:numPr>
          <w:ilvl w:val="0"/>
          <w:numId w:val="50"/>
        </w:numPr>
        <w:spacing w:before="40" w:after="0"/>
        <w:rPr>
          <w:rFonts w:ascii="Book Antiqua" w:hAnsi="Book Antiqua"/>
          <w:sz w:val="20"/>
          <w:szCs w:val="20"/>
        </w:rPr>
      </w:pPr>
      <w:r w:rsidRPr="00FE4E5D">
        <w:rPr>
          <w:rFonts w:ascii="Book Antiqua" w:hAnsi="Book Antiqua"/>
          <w:sz w:val="20"/>
          <w:szCs w:val="20"/>
        </w:rPr>
        <w:t xml:space="preserve">undertake design and build work to ensure an initial minimum viable product required for the ICT changes needed to enable reform and </w:t>
      </w:r>
      <w:r w:rsidR="00F32B65">
        <w:rPr>
          <w:rFonts w:ascii="Book Antiqua" w:hAnsi="Book Antiqua"/>
          <w:sz w:val="20"/>
          <w:szCs w:val="20"/>
        </w:rPr>
        <w:t>deliver the new Aged Care Act</w:t>
      </w:r>
    </w:p>
    <w:p w14:paraId="77A12EE9" w14:textId="6A9BEEC9" w:rsidR="00FE4E5D" w:rsidRPr="00FE4E5D" w:rsidRDefault="00FE4E5D" w:rsidP="00C5253F">
      <w:pPr>
        <w:pStyle w:val="BodyText"/>
        <w:numPr>
          <w:ilvl w:val="0"/>
          <w:numId w:val="50"/>
        </w:numPr>
        <w:spacing w:before="40" w:after="0"/>
        <w:rPr>
          <w:rFonts w:ascii="Book Antiqua" w:hAnsi="Book Antiqua"/>
          <w:sz w:val="20"/>
          <w:szCs w:val="20"/>
        </w:rPr>
      </w:pPr>
      <w:r w:rsidRPr="00FE4E5D">
        <w:rPr>
          <w:rFonts w:ascii="Book Antiqua" w:hAnsi="Book Antiqua"/>
          <w:sz w:val="20"/>
          <w:szCs w:val="20"/>
        </w:rPr>
        <w:t>commence implementation of the recommendations of the Final Report of the Independent Capability Review of the Aged Care Quality and Safety Commission.  Resources are to fund work with the Department of Health and Aged Care and other relevant agencies on the development of an appropriate funding model for regulato</w:t>
      </w:r>
      <w:r w:rsidR="00F32B65">
        <w:rPr>
          <w:rFonts w:ascii="Book Antiqua" w:hAnsi="Book Antiqua"/>
          <w:sz w:val="20"/>
          <w:szCs w:val="20"/>
        </w:rPr>
        <w:t xml:space="preserve">ry activities into the future. </w:t>
      </w:r>
      <w:r w:rsidRPr="00FE4E5D">
        <w:rPr>
          <w:rFonts w:ascii="Book Antiqua" w:hAnsi="Book Antiqua"/>
          <w:sz w:val="20"/>
          <w:szCs w:val="20"/>
        </w:rPr>
        <w:t>Resources are also provided to undertake critical uplift activities to ensure the ACQSC’s ICT capability appropriately supports delivery of regulatory operations, and its cyber security complies with Austral</w:t>
      </w:r>
      <w:r w:rsidR="00F32B65">
        <w:rPr>
          <w:rFonts w:ascii="Book Antiqua" w:hAnsi="Book Antiqua"/>
          <w:sz w:val="20"/>
          <w:szCs w:val="20"/>
        </w:rPr>
        <w:t>ian Government requirements</w:t>
      </w:r>
    </w:p>
    <w:p w14:paraId="7D919F7F" w14:textId="5342C4D4" w:rsidR="00FE4E5D" w:rsidRPr="00FE4E5D" w:rsidRDefault="00FE4E5D" w:rsidP="00C5253F">
      <w:pPr>
        <w:pStyle w:val="BodyText"/>
        <w:numPr>
          <w:ilvl w:val="0"/>
          <w:numId w:val="50"/>
        </w:numPr>
        <w:spacing w:before="40" w:after="0"/>
        <w:rPr>
          <w:rFonts w:ascii="Book Antiqua" w:hAnsi="Book Antiqua"/>
          <w:sz w:val="20"/>
          <w:szCs w:val="20"/>
        </w:rPr>
      </w:pPr>
      <w:r w:rsidRPr="00FE4E5D">
        <w:rPr>
          <w:rFonts w:ascii="Book Antiqua" w:hAnsi="Book Antiqua"/>
          <w:sz w:val="20"/>
          <w:szCs w:val="20"/>
        </w:rPr>
        <w:t>develop and deliver sector education on the 24/7 registered nurse and care minutes requirements and undertake a</w:t>
      </w:r>
      <w:r w:rsidR="00F32B65">
        <w:rPr>
          <w:rFonts w:ascii="Book Antiqua" w:hAnsi="Book Antiqua"/>
          <w:sz w:val="20"/>
          <w:szCs w:val="20"/>
        </w:rPr>
        <w:t>ssociated regulatory activities</w:t>
      </w:r>
    </w:p>
    <w:p w14:paraId="56A0B8E8" w14:textId="29AF585A" w:rsidR="00FE4E5D" w:rsidRPr="00FE4E5D" w:rsidRDefault="00FE4E5D" w:rsidP="00C5253F">
      <w:pPr>
        <w:pStyle w:val="BodyText"/>
        <w:numPr>
          <w:ilvl w:val="0"/>
          <w:numId w:val="50"/>
        </w:numPr>
        <w:spacing w:before="40" w:after="0"/>
        <w:rPr>
          <w:rFonts w:ascii="Book Antiqua" w:hAnsi="Book Antiqua"/>
          <w:sz w:val="20"/>
          <w:szCs w:val="20"/>
        </w:rPr>
      </w:pPr>
      <w:r w:rsidRPr="00FE4E5D">
        <w:rPr>
          <w:rFonts w:ascii="Book Antiqua" w:hAnsi="Book Antiqua"/>
          <w:sz w:val="20"/>
          <w:szCs w:val="20"/>
        </w:rPr>
        <w:t>sustain and expand the ACQSC’s risk-based targeting and information sharing data system, which supports the identification and analysis of risk, driving the regulators activities to safeguard and protect older people accessing aged care.</w:t>
      </w:r>
    </w:p>
    <w:p w14:paraId="1C43AA1C" w14:textId="01758DF4" w:rsidR="00FE4E5D" w:rsidRPr="00FE4E5D" w:rsidRDefault="00FE4E5D" w:rsidP="00FE4E5D">
      <w:pPr>
        <w:pStyle w:val="Heading4"/>
        <w:spacing w:before="120" w:after="0"/>
        <w:rPr>
          <w:rFonts w:ascii="Book Antiqua" w:hAnsi="Book Antiqua"/>
          <w:b w:val="0"/>
        </w:rPr>
      </w:pPr>
      <w:r w:rsidRPr="00FE4E5D">
        <w:rPr>
          <w:rFonts w:ascii="Book Antiqua" w:hAnsi="Book Antiqua"/>
          <w:b w:val="0"/>
        </w:rPr>
        <w:t>In this context, the ACQSC workforce, and associated costs and provisions, continue to grow to enable the ACQSC to deliver on its purpose.</w:t>
      </w:r>
    </w:p>
    <w:p w14:paraId="14A1FE5F" w14:textId="77777777" w:rsidR="00FE4E5D" w:rsidRDefault="00FE4E5D">
      <w:pPr>
        <w:spacing w:before="0" w:after="0" w:line="240" w:lineRule="auto"/>
        <w:rPr>
          <w:rFonts w:ascii="Arial Bold" w:hAnsi="Arial Bold"/>
          <w:b/>
          <w:sz w:val="20"/>
        </w:rPr>
      </w:pPr>
      <w:r>
        <w:br w:type="page"/>
      </w:r>
    </w:p>
    <w:p w14:paraId="7B65FB22" w14:textId="36DB42E4" w:rsidR="00275707" w:rsidRPr="004928FF" w:rsidRDefault="00275707" w:rsidP="00275707">
      <w:pPr>
        <w:pStyle w:val="Heading4"/>
      </w:pPr>
      <w:r w:rsidRPr="00EC73D1">
        <w:t>3.2.2</w:t>
      </w:r>
      <w:r>
        <w:tab/>
      </w:r>
      <w:r w:rsidRPr="004928FF">
        <w:t xml:space="preserve">Budgeted </w:t>
      </w:r>
      <w:r>
        <w:t>f</w:t>
      </w:r>
      <w:r w:rsidRPr="004928FF">
        <w:t xml:space="preserve">inancial </w:t>
      </w:r>
      <w:r>
        <w:t>s</w:t>
      </w:r>
      <w:r w:rsidRPr="004928FF">
        <w:t>tatements</w:t>
      </w:r>
    </w:p>
    <w:p w14:paraId="126051AC" w14:textId="6BB1E4C9" w:rsidR="00275707" w:rsidRDefault="00275707" w:rsidP="00275707">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840" w:type="dxa"/>
        <w:jc w:val="center"/>
        <w:tblLayout w:type="fixed"/>
        <w:tblLook w:val="04A0" w:firstRow="1" w:lastRow="0" w:firstColumn="1" w:lastColumn="0" w:noHBand="0" w:noVBand="1"/>
      </w:tblPr>
      <w:tblGrid>
        <w:gridCol w:w="3080"/>
        <w:gridCol w:w="960"/>
        <w:gridCol w:w="920"/>
        <w:gridCol w:w="960"/>
        <w:gridCol w:w="960"/>
        <w:gridCol w:w="960"/>
      </w:tblGrid>
      <w:tr w:rsidR="003F550B" w:rsidRPr="003F550B" w14:paraId="386ADB1E" w14:textId="77777777" w:rsidTr="00FF1A2B">
        <w:trPr>
          <w:trHeight w:val="680"/>
          <w:jc w:val="center"/>
        </w:trPr>
        <w:tc>
          <w:tcPr>
            <w:tcW w:w="3080" w:type="dxa"/>
            <w:tcBorders>
              <w:top w:val="single" w:sz="4" w:space="0" w:color="auto"/>
              <w:left w:val="nil"/>
              <w:bottom w:val="nil"/>
              <w:right w:val="nil"/>
            </w:tcBorders>
            <w:shd w:val="clear" w:color="auto" w:fill="auto"/>
            <w:hideMark/>
          </w:tcPr>
          <w:p w14:paraId="4ECDA18D" w14:textId="77777777" w:rsidR="003F550B" w:rsidRPr="003F550B" w:rsidRDefault="003F550B" w:rsidP="00FF1A2B">
            <w:pPr>
              <w:spacing w:before="24"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41BB8BD8" w14:textId="4272BD59" w:rsidR="003F550B" w:rsidRPr="003F550B" w:rsidRDefault="003F550B" w:rsidP="00FF1A2B">
            <w:pPr>
              <w:spacing w:before="24" w:after="0" w:line="240" w:lineRule="auto"/>
              <w:jc w:val="right"/>
              <w:rPr>
                <w:rFonts w:ascii="Arial" w:hAnsi="Arial" w:cs="Arial"/>
                <w:b/>
                <w:bCs/>
                <w:sz w:val="16"/>
                <w:szCs w:val="16"/>
              </w:rPr>
            </w:pPr>
            <w:r>
              <w:rPr>
                <w:rFonts w:ascii="Arial" w:hAnsi="Arial" w:cs="Arial"/>
                <w:b/>
                <w:bCs/>
                <w:sz w:val="16"/>
                <w:szCs w:val="16"/>
              </w:rPr>
              <w:t>2022–</w:t>
            </w:r>
            <w:r w:rsidRPr="003F550B">
              <w:rPr>
                <w:rFonts w:ascii="Arial" w:hAnsi="Arial" w:cs="Arial"/>
                <w:b/>
                <w:bCs/>
                <w:sz w:val="16"/>
                <w:szCs w:val="16"/>
              </w:rPr>
              <w:t>23</w:t>
            </w:r>
            <w:r w:rsidRPr="003F550B">
              <w:rPr>
                <w:rFonts w:ascii="Arial" w:hAnsi="Arial" w:cs="Arial"/>
                <w:b/>
                <w:bCs/>
                <w:sz w:val="16"/>
                <w:szCs w:val="16"/>
              </w:rPr>
              <w:br/>
              <w:t>Actual</w:t>
            </w:r>
            <w:r w:rsidRPr="003F550B">
              <w:rPr>
                <w:rFonts w:ascii="Arial" w:hAnsi="Arial" w:cs="Arial"/>
                <w:b/>
                <w:bCs/>
                <w:sz w:val="16"/>
                <w:szCs w:val="16"/>
              </w:rPr>
              <w:br/>
            </w:r>
            <w:r w:rsidRPr="003F550B">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000000" w:fill="D9D9D9"/>
            <w:hideMark/>
          </w:tcPr>
          <w:p w14:paraId="52F0AD57" w14:textId="5315791E" w:rsidR="003F550B" w:rsidRPr="003F550B" w:rsidRDefault="003F550B" w:rsidP="00FF1A2B">
            <w:pPr>
              <w:spacing w:before="24" w:after="0" w:line="240" w:lineRule="auto"/>
              <w:jc w:val="right"/>
              <w:rPr>
                <w:rFonts w:ascii="Arial" w:hAnsi="Arial" w:cs="Arial"/>
                <w:b/>
                <w:bCs/>
                <w:sz w:val="16"/>
                <w:szCs w:val="16"/>
              </w:rPr>
            </w:pPr>
            <w:r w:rsidRPr="003F550B">
              <w:rPr>
                <w:rFonts w:ascii="Arial" w:hAnsi="Arial" w:cs="Arial"/>
                <w:b/>
                <w:bCs/>
                <w:sz w:val="16"/>
                <w:szCs w:val="16"/>
              </w:rPr>
              <w:t>2023</w:t>
            </w:r>
            <w:r>
              <w:rPr>
                <w:rFonts w:ascii="Arial" w:hAnsi="Arial" w:cs="Arial"/>
                <w:b/>
                <w:bCs/>
                <w:sz w:val="16"/>
                <w:szCs w:val="16"/>
              </w:rPr>
              <w:t>–</w:t>
            </w:r>
            <w:r w:rsidRPr="003F550B">
              <w:rPr>
                <w:rFonts w:ascii="Arial" w:hAnsi="Arial" w:cs="Arial"/>
                <w:b/>
                <w:bCs/>
                <w:sz w:val="16"/>
                <w:szCs w:val="16"/>
              </w:rPr>
              <w:t>24</w:t>
            </w:r>
            <w:r w:rsidRPr="003F550B">
              <w:rPr>
                <w:rFonts w:ascii="Arial" w:hAnsi="Arial" w:cs="Arial"/>
                <w:b/>
                <w:bCs/>
                <w:sz w:val="16"/>
                <w:szCs w:val="16"/>
              </w:rPr>
              <w:br/>
              <w:t>Revised</w:t>
            </w:r>
            <w:r w:rsidRPr="003F550B">
              <w:rPr>
                <w:rFonts w:ascii="Arial" w:hAnsi="Arial" w:cs="Arial"/>
                <w:b/>
                <w:bCs/>
                <w:sz w:val="16"/>
                <w:szCs w:val="16"/>
              </w:rPr>
              <w:br/>
              <w:t>Budget</w:t>
            </w:r>
            <w:r w:rsidRPr="003F550B">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7636D492" w14:textId="5A43C78E" w:rsidR="003F550B" w:rsidRPr="003F550B" w:rsidRDefault="003F550B" w:rsidP="00FF1A2B">
            <w:pPr>
              <w:spacing w:before="24" w:after="0" w:line="240" w:lineRule="auto"/>
              <w:jc w:val="right"/>
              <w:rPr>
                <w:rFonts w:ascii="Arial" w:hAnsi="Arial" w:cs="Arial"/>
                <w:b/>
                <w:bCs/>
                <w:sz w:val="16"/>
                <w:szCs w:val="16"/>
              </w:rPr>
            </w:pPr>
            <w:r>
              <w:rPr>
                <w:rFonts w:ascii="Arial" w:hAnsi="Arial" w:cs="Arial"/>
                <w:b/>
                <w:bCs/>
                <w:sz w:val="16"/>
                <w:szCs w:val="16"/>
              </w:rPr>
              <w:t>2024–</w:t>
            </w:r>
            <w:r w:rsidRPr="003F550B">
              <w:rPr>
                <w:rFonts w:ascii="Arial" w:hAnsi="Arial" w:cs="Arial"/>
                <w:b/>
                <w:bCs/>
                <w:sz w:val="16"/>
                <w:szCs w:val="16"/>
              </w:rPr>
              <w:t>25 Forward Estimate</w:t>
            </w:r>
            <w:r w:rsidRPr="003F550B">
              <w:rPr>
                <w:rFonts w:ascii="Arial" w:hAnsi="Arial" w:cs="Arial"/>
                <w:b/>
                <w:bCs/>
                <w:sz w:val="16"/>
                <w:szCs w:val="16"/>
              </w:rPr>
              <w:br/>
            </w:r>
            <w:r w:rsidRPr="003F550B">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3085C972" w14:textId="7F4655A6" w:rsidR="003F550B" w:rsidRPr="003F550B" w:rsidRDefault="003F550B" w:rsidP="00FF1A2B">
            <w:pPr>
              <w:spacing w:before="24" w:after="0" w:line="240" w:lineRule="auto"/>
              <w:jc w:val="right"/>
              <w:rPr>
                <w:rFonts w:ascii="Arial" w:hAnsi="Arial" w:cs="Arial"/>
                <w:b/>
                <w:bCs/>
                <w:sz w:val="16"/>
                <w:szCs w:val="16"/>
              </w:rPr>
            </w:pPr>
            <w:r>
              <w:rPr>
                <w:rFonts w:ascii="Arial" w:hAnsi="Arial" w:cs="Arial"/>
                <w:b/>
                <w:bCs/>
                <w:sz w:val="16"/>
                <w:szCs w:val="16"/>
              </w:rPr>
              <w:t>2025–</w:t>
            </w:r>
            <w:r w:rsidRPr="003F550B">
              <w:rPr>
                <w:rFonts w:ascii="Arial" w:hAnsi="Arial" w:cs="Arial"/>
                <w:b/>
                <w:bCs/>
                <w:sz w:val="16"/>
                <w:szCs w:val="16"/>
              </w:rPr>
              <w:t>26 Forward Estimate</w:t>
            </w:r>
            <w:r w:rsidRPr="003F550B">
              <w:rPr>
                <w:rFonts w:ascii="Arial" w:hAnsi="Arial" w:cs="Arial"/>
                <w:b/>
                <w:bCs/>
                <w:sz w:val="16"/>
                <w:szCs w:val="16"/>
              </w:rPr>
              <w:br/>
            </w:r>
            <w:r w:rsidRPr="003F550B">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178DDD2E" w14:textId="3AE2A316" w:rsidR="003F550B" w:rsidRPr="003F550B" w:rsidRDefault="003F550B" w:rsidP="00FF1A2B">
            <w:pPr>
              <w:spacing w:before="24" w:after="0" w:line="240" w:lineRule="auto"/>
              <w:jc w:val="right"/>
              <w:rPr>
                <w:rFonts w:ascii="Arial" w:hAnsi="Arial" w:cs="Arial"/>
                <w:b/>
                <w:bCs/>
                <w:sz w:val="16"/>
                <w:szCs w:val="16"/>
              </w:rPr>
            </w:pPr>
            <w:r>
              <w:rPr>
                <w:rFonts w:ascii="Arial" w:hAnsi="Arial" w:cs="Arial"/>
                <w:b/>
                <w:bCs/>
                <w:sz w:val="16"/>
                <w:szCs w:val="16"/>
              </w:rPr>
              <w:t>2026–</w:t>
            </w:r>
            <w:r w:rsidRPr="003F550B">
              <w:rPr>
                <w:rFonts w:ascii="Arial" w:hAnsi="Arial" w:cs="Arial"/>
                <w:b/>
                <w:bCs/>
                <w:sz w:val="16"/>
                <w:szCs w:val="16"/>
              </w:rPr>
              <w:t>27 Forward Estimate</w:t>
            </w:r>
            <w:r w:rsidRPr="003F550B">
              <w:rPr>
                <w:rFonts w:ascii="Arial" w:hAnsi="Arial" w:cs="Arial"/>
                <w:b/>
                <w:bCs/>
                <w:sz w:val="16"/>
                <w:szCs w:val="16"/>
              </w:rPr>
              <w:br/>
            </w:r>
            <w:r w:rsidRPr="003F550B">
              <w:rPr>
                <w:rFonts w:ascii="Arial" w:hAnsi="Arial" w:cs="Arial"/>
                <w:sz w:val="16"/>
                <w:szCs w:val="16"/>
              </w:rPr>
              <w:t>$'000</w:t>
            </w:r>
          </w:p>
        </w:tc>
      </w:tr>
      <w:tr w:rsidR="003F550B" w:rsidRPr="003F550B" w14:paraId="7E3CBF92"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7664EA95"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EXPENSES</w:t>
            </w:r>
          </w:p>
        </w:tc>
        <w:tc>
          <w:tcPr>
            <w:tcW w:w="960" w:type="dxa"/>
            <w:tcBorders>
              <w:top w:val="single" w:sz="4" w:space="0" w:color="auto"/>
              <w:left w:val="nil"/>
              <w:bottom w:val="nil"/>
              <w:right w:val="nil"/>
            </w:tcBorders>
            <w:shd w:val="clear" w:color="auto" w:fill="auto"/>
            <w:noWrap/>
            <w:vAlign w:val="bottom"/>
            <w:hideMark/>
          </w:tcPr>
          <w:p w14:paraId="18884A6C"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20" w:type="dxa"/>
            <w:tcBorders>
              <w:top w:val="single" w:sz="4" w:space="0" w:color="auto"/>
              <w:left w:val="nil"/>
              <w:bottom w:val="nil"/>
              <w:right w:val="nil"/>
            </w:tcBorders>
            <w:shd w:val="clear" w:color="000000" w:fill="D9D9D9"/>
            <w:noWrap/>
            <w:vAlign w:val="bottom"/>
            <w:hideMark/>
          </w:tcPr>
          <w:p w14:paraId="3F9BC11D"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554C51F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BF28305" w14:textId="77777777" w:rsidR="003F550B" w:rsidRPr="003F550B" w:rsidRDefault="003F550B" w:rsidP="003F550B">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199396C"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7CBA819B"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7B8E2DFC"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188716C2"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113,558</w:t>
            </w:r>
          </w:p>
        </w:tc>
        <w:tc>
          <w:tcPr>
            <w:tcW w:w="920" w:type="dxa"/>
            <w:tcBorders>
              <w:top w:val="nil"/>
              <w:left w:val="nil"/>
              <w:bottom w:val="nil"/>
              <w:right w:val="nil"/>
            </w:tcBorders>
            <w:shd w:val="clear" w:color="000000" w:fill="D9D9D9"/>
            <w:noWrap/>
            <w:vAlign w:val="bottom"/>
            <w:hideMark/>
          </w:tcPr>
          <w:p w14:paraId="1180CDD9"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187,633</w:t>
            </w:r>
          </w:p>
        </w:tc>
        <w:tc>
          <w:tcPr>
            <w:tcW w:w="960" w:type="dxa"/>
            <w:tcBorders>
              <w:top w:val="nil"/>
              <w:left w:val="nil"/>
              <w:bottom w:val="nil"/>
              <w:right w:val="nil"/>
            </w:tcBorders>
            <w:shd w:val="clear" w:color="auto" w:fill="auto"/>
            <w:noWrap/>
            <w:vAlign w:val="bottom"/>
            <w:hideMark/>
          </w:tcPr>
          <w:p w14:paraId="1565A83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171,252</w:t>
            </w:r>
          </w:p>
        </w:tc>
        <w:tc>
          <w:tcPr>
            <w:tcW w:w="960" w:type="dxa"/>
            <w:tcBorders>
              <w:top w:val="nil"/>
              <w:left w:val="nil"/>
              <w:bottom w:val="nil"/>
              <w:right w:val="nil"/>
            </w:tcBorders>
            <w:shd w:val="clear" w:color="auto" w:fill="auto"/>
            <w:noWrap/>
            <w:vAlign w:val="bottom"/>
            <w:hideMark/>
          </w:tcPr>
          <w:p w14:paraId="77F4250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177,207</w:t>
            </w:r>
          </w:p>
        </w:tc>
        <w:tc>
          <w:tcPr>
            <w:tcW w:w="960" w:type="dxa"/>
            <w:tcBorders>
              <w:top w:val="nil"/>
              <w:left w:val="nil"/>
              <w:bottom w:val="nil"/>
              <w:right w:val="nil"/>
            </w:tcBorders>
            <w:shd w:val="clear" w:color="auto" w:fill="auto"/>
            <w:noWrap/>
            <w:vAlign w:val="bottom"/>
            <w:hideMark/>
          </w:tcPr>
          <w:p w14:paraId="6C3D0A21"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173,374</w:t>
            </w:r>
          </w:p>
        </w:tc>
      </w:tr>
      <w:tr w:rsidR="003F550B" w:rsidRPr="003F550B" w14:paraId="26C4F2A2"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1A0B0D9F"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Supplier expenses</w:t>
            </w:r>
          </w:p>
        </w:tc>
        <w:tc>
          <w:tcPr>
            <w:tcW w:w="960" w:type="dxa"/>
            <w:tcBorders>
              <w:top w:val="nil"/>
              <w:left w:val="nil"/>
              <w:bottom w:val="nil"/>
              <w:right w:val="nil"/>
            </w:tcBorders>
            <w:shd w:val="clear" w:color="auto" w:fill="auto"/>
            <w:noWrap/>
            <w:vAlign w:val="bottom"/>
            <w:hideMark/>
          </w:tcPr>
          <w:p w14:paraId="35165F69"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98,263</w:t>
            </w:r>
          </w:p>
        </w:tc>
        <w:tc>
          <w:tcPr>
            <w:tcW w:w="920" w:type="dxa"/>
            <w:tcBorders>
              <w:top w:val="nil"/>
              <w:left w:val="nil"/>
              <w:bottom w:val="nil"/>
              <w:right w:val="nil"/>
            </w:tcBorders>
            <w:shd w:val="clear" w:color="000000" w:fill="D9D9D9"/>
            <w:noWrap/>
            <w:vAlign w:val="bottom"/>
            <w:hideMark/>
          </w:tcPr>
          <w:p w14:paraId="36570009"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108,147</w:t>
            </w:r>
          </w:p>
        </w:tc>
        <w:tc>
          <w:tcPr>
            <w:tcW w:w="960" w:type="dxa"/>
            <w:tcBorders>
              <w:top w:val="nil"/>
              <w:left w:val="nil"/>
              <w:bottom w:val="nil"/>
              <w:right w:val="nil"/>
            </w:tcBorders>
            <w:shd w:val="clear" w:color="auto" w:fill="auto"/>
            <w:noWrap/>
            <w:vAlign w:val="bottom"/>
            <w:hideMark/>
          </w:tcPr>
          <w:p w14:paraId="42A91849"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57,826</w:t>
            </w:r>
          </w:p>
        </w:tc>
        <w:tc>
          <w:tcPr>
            <w:tcW w:w="960" w:type="dxa"/>
            <w:tcBorders>
              <w:top w:val="nil"/>
              <w:left w:val="nil"/>
              <w:bottom w:val="nil"/>
              <w:right w:val="nil"/>
            </w:tcBorders>
            <w:shd w:val="clear" w:color="auto" w:fill="auto"/>
            <w:noWrap/>
            <w:vAlign w:val="bottom"/>
            <w:hideMark/>
          </w:tcPr>
          <w:p w14:paraId="6C15792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52,395</w:t>
            </w:r>
          </w:p>
        </w:tc>
        <w:tc>
          <w:tcPr>
            <w:tcW w:w="960" w:type="dxa"/>
            <w:tcBorders>
              <w:top w:val="nil"/>
              <w:left w:val="nil"/>
              <w:bottom w:val="nil"/>
              <w:right w:val="nil"/>
            </w:tcBorders>
            <w:shd w:val="clear" w:color="auto" w:fill="auto"/>
            <w:noWrap/>
            <w:vAlign w:val="bottom"/>
            <w:hideMark/>
          </w:tcPr>
          <w:p w14:paraId="0ED54501"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25,693</w:t>
            </w:r>
          </w:p>
        </w:tc>
      </w:tr>
      <w:tr w:rsidR="003F550B" w:rsidRPr="003F550B" w14:paraId="2C0EE191"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6C9CFE53"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Depreciation and amortisation</w:t>
            </w:r>
          </w:p>
        </w:tc>
        <w:tc>
          <w:tcPr>
            <w:tcW w:w="960" w:type="dxa"/>
            <w:tcBorders>
              <w:top w:val="nil"/>
              <w:left w:val="nil"/>
              <w:bottom w:val="nil"/>
              <w:right w:val="nil"/>
            </w:tcBorders>
            <w:shd w:val="clear" w:color="auto" w:fill="auto"/>
            <w:noWrap/>
            <w:vAlign w:val="bottom"/>
            <w:hideMark/>
          </w:tcPr>
          <w:p w14:paraId="5DD5AF4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7,223</w:t>
            </w:r>
          </w:p>
        </w:tc>
        <w:tc>
          <w:tcPr>
            <w:tcW w:w="920" w:type="dxa"/>
            <w:tcBorders>
              <w:top w:val="nil"/>
              <w:left w:val="nil"/>
              <w:bottom w:val="nil"/>
              <w:right w:val="nil"/>
            </w:tcBorders>
            <w:shd w:val="clear" w:color="000000" w:fill="D9D9D9"/>
            <w:noWrap/>
            <w:vAlign w:val="bottom"/>
            <w:hideMark/>
          </w:tcPr>
          <w:p w14:paraId="69B35EF6"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10,914</w:t>
            </w:r>
          </w:p>
        </w:tc>
        <w:tc>
          <w:tcPr>
            <w:tcW w:w="960" w:type="dxa"/>
            <w:tcBorders>
              <w:top w:val="nil"/>
              <w:left w:val="nil"/>
              <w:bottom w:val="nil"/>
              <w:right w:val="nil"/>
            </w:tcBorders>
            <w:shd w:val="clear" w:color="auto" w:fill="auto"/>
            <w:noWrap/>
            <w:vAlign w:val="bottom"/>
            <w:hideMark/>
          </w:tcPr>
          <w:p w14:paraId="214EE779"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11,681</w:t>
            </w:r>
          </w:p>
        </w:tc>
        <w:tc>
          <w:tcPr>
            <w:tcW w:w="960" w:type="dxa"/>
            <w:tcBorders>
              <w:top w:val="nil"/>
              <w:left w:val="nil"/>
              <w:bottom w:val="nil"/>
              <w:right w:val="nil"/>
            </w:tcBorders>
            <w:shd w:val="clear" w:color="auto" w:fill="auto"/>
            <w:noWrap/>
            <w:vAlign w:val="bottom"/>
            <w:hideMark/>
          </w:tcPr>
          <w:p w14:paraId="6B12DA35"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12,684</w:t>
            </w:r>
          </w:p>
        </w:tc>
        <w:tc>
          <w:tcPr>
            <w:tcW w:w="960" w:type="dxa"/>
            <w:tcBorders>
              <w:top w:val="nil"/>
              <w:left w:val="nil"/>
              <w:bottom w:val="nil"/>
              <w:right w:val="nil"/>
            </w:tcBorders>
            <w:shd w:val="clear" w:color="auto" w:fill="auto"/>
            <w:noWrap/>
            <w:vAlign w:val="bottom"/>
            <w:hideMark/>
          </w:tcPr>
          <w:p w14:paraId="4D4A0782"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14,963</w:t>
            </w:r>
          </w:p>
        </w:tc>
      </w:tr>
      <w:tr w:rsidR="003F550B" w:rsidRPr="003F550B" w14:paraId="2D075044"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51F03B43"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 xml:space="preserve">Interest on </w:t>
            </w:r>
            <w:proofErr w:type="spellStart"/>
            <w:r w:rsidRPr="003F550B">
              <w:rPr>
                <w:rFonts w:ascii="Arial" w:hAnsi="Arial" w:cs="Arial"/>
                <w:sz w:val="16"/>
                <w:szCs w:val="16"/>
              </w:rPr>
              <w:t>RoU</w:t>
            </w:r>
            <w:proofErr w:type="spellEnd"/>
          </w:p>
        </w:tc>
        <w:tc>
          <w:tcPr>
            <w:tcW w:w="960" w:type="dxa"/>
            <w:tcBorders>
              <w:top w:val="nil"/>
              <w:left w:val="nil"/>
              <w:bottom w:val="nil"/>
              <w:right w:val="nil"/>
            </w:tcBorders>
            <w:shd w:val="clear" w:color="auto" w:fill="auto"/>
            <w:noWrap/>
            <w:vAlign w:val="bottom"/>
            <w:hideMark/>
          </w:tcPr>
          <w:p w14:paraId="081E4D0A"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318</w:t>
            </w:r>
          </w:p>
        </w:tc>
        <w:tc>
          <w:tcPr>
            <w:tcW w:w="920" w:type="dxa"/>
            <w:tcBorders>
              <w:top w:val="nil"/>
              <w:left w:val="nil"/>
              <w:bottom w:val="nil"/>
              <w:right w:val="nil"/>
            </w:tcBorders>
            <w:shd w:val="clear" w:color="000000" w:fill="D9D9D9"/>
            <w:noWrap/>
            <w:vAlign w:val="bottom"/>
            <w:hideMark/>
          </w:tcPr>
          <w:p w14:paraId="0D7E27FE"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712</w:t>
            </w:r>
          </w:p>
        </w:tc>
        <w:tc>
          <w:tcPr>
            <w:tcW w:w="960" w:type="dxa"/>
            <w:tcBorders>
              <w:top w:val="nil"/>
              <w:left w:val="nil"/>
              <w:bottom w:val="nil"/>
              <w:right w:val="nil"/>
            </w:tcBorders>
            <w:shd w:val="clear" w:color="auto" w:fill="auto"/>
            <w:noWrap/>
            <w:vAlign w:val="bottom"/>
            <w:hideMark/>
          </w:tcPr>
          <w:p w14:paraId="3BD0E6F5"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664</w:t>
            </w:r>
          </w:p>
        </w:tc>
        <w:tc>
          <w:tcPr>
            <w:tcW w:w="960" w:type="dxa"/>
            <w:tcBorders>
              <w:top w:val="nil"/>
              <w:left w:val="nil"/>
              <w:bottom w:val="nil"/>
              <w:right w:val="nil"/>
            </w:tcBorders>
            <w:shd w:val="clear" w:color="auto" w:fill="auto"/>
            <w:noWrap/>
            <w:vAlign w:val="bottom"/>
            <w:hideMark/>
          </w:tcPr>
          <w:p w14:paraId="58391AD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606</w:t>
            </w:r>
          </w:p>
        </w:tc>
        <w:tc>
          <w:tcPr>
            <w:tcW w:w="960" w:type="dxa"/>
            <w:tcBorders>
              <w:top w:val="nil"/>
              <w:left w:val="nil"/>
              <w:bottom w:val="nil"/>
              <w:right w:val="nil"/>
            </w:tcBorders>
            <w:shd w:val="clear" w:color="auto" w:fill="auto"/>
            <w:noWrap/>
            <w:vAlign w:val="bottom"/>
            <w:hideMark/>
          </w:tcPr>
          <w:p w14:paraId="21C8BCF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582</w:t>
            </w:r>
          </w:p>
        </w:tc>
      </w:tr>
      <w:tr w:rsidR="003F550B" w:rsidRPr="003F550B" w14:paraId="4D194EF3"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0C9EFB13"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Other expenses</w:t>
            </w:r>
          </w:p>
        </w:tc>
        <w:tc>
          <w:tcPr>
            <w:tcW w:w="960" w:type="dxa"/>
            <w:tcBorders>
              <w:top w:val="nil"/>
              <w:left w:val="nil"/>
              <w:bottom w:val="nil"/>
              <w:right w:val="nil"/>
            </w:tcBorders>
            <w:shd w:val="clear" w:color="auto" w:fill="auto"/>
            <w:noWrap/>
            <w:vAlign w:val="bottom"/>
            <w:hideMark/>
          </w:tcPr>
          <w:p w14:paraId="4A12CE7C"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4E8848EE"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16</w:t>
            </w:r>
          </w:p>
        </w:tc>
        <w:tc>
          <w:tcPr>
            <w:tcW w:w="960" w:type="dxa"/>
            <w:tcBorders>
              <w:top w:val="nil"/>
              <w:left w:val="nil"/>
              <w:bottom w:val="nil"/>
              <w:right w:val="nil"/>
            </w:tcBorders>
            <w:shd w:val="clear" w:color="auto" w:fill="auto"/>
            <w:noWrap/>
            <w:vAlign w:val="bottom"/>
            <w:hideMark/>
          </w:tcPr>
          <w:p w14:paraId="5D62C327"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0E5903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71D9D6FB"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r>
      <w:tr w:rsidR="003F550B" w:rsidRPr="003F550B" w14:paraId="5BA2D872"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5EF68C2E" w14:textId="77777777" w:rsidR="003F550B" w:rsidRPr="003F550B" w:rsidRDefault="003F550B" w:rsidP="003F550B">
            <w:pPr>
              <w:spacing w:before="0" w:after="0" w:line="240" w:lineRule="auto"/>
              <w:ind w:leftChars="75" w:left="143"/>
              <w:rPr>
                <w:rFonts w:ascii="Arial" w:hAnsi="Arial" w:cs="Arial"/>
                <w:b/>
                <w:bCs/>
                <w:sz w:val="16"/>
                <w:szCs w:val="16"/>
              </w:rPr>
            </w:pPr>
            <w:r w:rsidRPr="003F550B">
              <w:rPr>
                <w:rFonts w:ascii="Arial" w:hAnsi="Arial" w:cs="Arial"/>
                <w:b/>
                <w:bCs/>
                <w:sz w:val="16"/>
                <w:szCs w:val="16"/>
              </w:rPr>
              <w:t>Total expenses</w:t>
            </w:r>
          </w:p>
        </w:tc>
        <w:tc>
          <w:tcPr>
            <w:tcW w:w="960" w:type="dxa"/>
            <w:tcBorders>
              <w:top w:val="nil"/>
              <w:left w:val="nil"/>
              <w:bottom w:val="single" w:sz="4" w:space="0" w:color="auto"/>
              <w:right w:val="nil"/>
            </w:tcBorders>
            <w:shd w:val="clear" w:color="auto" w:fill="auto"/>
            <w:noWrap/>
            <w:vAlign w:val="bottom"/>
            <w:hideMark/>
          </w:tcPr>
          <w:p w14:paraId="336C9AA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219,362</w:t>
            </w:r>
          </w:p>
        </w:tc>
        <w:tc>
          <w:tcPr>
            <w:tcW w:w="920" w:type="dxa"/>
            <w:tcBorders>
              <w:top w:val="nil"/>
              <w:left w:val="nil"/>
              <w:bottom w:val="single" w:sz="4" w:space="0" w:color="auto"/>
              <w:right w:val="nil"/>
            </w:tcBorders>
            <w:shd w:val="clear" w:color="000000" w:fill="D9D9D9"/>
            <w:noWrap/>
            <w:vAlign w:val="bottom"/>
            <w:hideMark/>
          </w:tcPr>
          <w:p w14:paraId="6874C4C3"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307,422</w:t>
            </w:r>
          </w:p>
        </w:tc>
        <w:tc>
          <w:tcPr>
            <w:tcW w:w="960" w:type="dxa"/>
            <w:tcBorders>
              <w:top w:val="nil"/>
              <w:left w:val="nil"/>
              <w:bottom w:val="single" w:sz="4" w:space="0" w:color="auto"/>
              <w:right w:val="nil"/>
            </w:tcBorders>
            <w:shd w:val="clear" w:color="auto" w:fill="auto"/>
            <w:noWrap/>
            <w:vAlign w:val="bottom"/>
            <w:hideMark/>
          </w:tcPr>
          <w:p w14:paraId="62AD6878"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241,423</w:t>
            </w:r>
          </w:p>
        </w:tc>
        <w:tc>
          <w:tcPr>
            <w:tcW w:w="960" w:type="dxa"/>
            <w:tcBorders>
              <w:top w:val="nil"/>
              <w:left w:val="nil"/>
              <w:bottom w:val="single" w:sz="4" w:space="0" w:color="auto"/>
              <w:right w:val="nil"/>
            </w:tcBorders>
            <w:shd w:val="clear" w:color="auto" w:fill="auto"/>
            <w:noWrap/>
            <w:vAlign w:val="bottom"/>
            <w:hideMark/>
          </w:tcPr>
          <w:p w14:paraId="318DB88F"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242,892</w:t>
            </w:r>
          </w:p>
        </w:tc>
        <w:tc>
          <w:tcPr>
            <w:tcW w:w="960" w:type="dxa"/>
            <w:tcBorders>
              <w:top w:val="nil"/>
              <w:left w:val="nil"/>
              <w:bottom w:val="single" w:sz="4" w:space="0" w:color="auto"/>
              <w:right w:val="nil"/>
            </w:tcBorders>
            <w:shd w:val="clear" w:color="auto" w:fill="auto"/>
            <w:noWrap/>
            <w:vAlign w:val="bottom"/>
            <w:hideMark/>
          </w:tcPr>
          <w:p w14:paraId="24EE0E2F"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214,612</w:t>
            </w:r>
          </w:p>
        </w:tc>
      </w:tr>
      <w:tr w:rsidR="003F550B" w:rsidRPr="003F550B" w14:paraId="38923FF9" w14:textId="77777777" w:rsidTr="00FF1A2B">
        <w:trPr>
          <w:trHeight w:val="283"/>
          <w:jc w:val="center"/>
        </w:trPr>
        <w:tc>
          <w:tcPr>
            <w:tcW w:w="3080" w:type="dxa"/>
            <w:tcBorders>
              <w:top w:val="nil"/>
              <w:left w:val="nil"/>
              <w:bottom w:val="nil"/>
              <w:right w:val="nil"/>
            </w:tcBorders>
            <w:shd w:val="clear" w:color="auto" w:fill="auto"/>
            <w:noWrap/>
            <w:vAlign w:val="bottom"/>
            <w:hideMark/>
          </w:tcPr>
          <w:p w14:paraId="1156702C"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 xml:space="preserve">LESS: </w:t>
            </w:r>
          </w:p>
        </w:tc>
        <w:tc>
          <w:tcPr>
            <w:tcW w:w="960" w:type="dxa"/>
            <w:tcBorders>
              <w:top w:val="nil"/>
              <w:left w:val="nil"/>
              <w:bottom w:val="nil"/>
              <w:right w:val="nil"/>
            </w:tcBorders>
            <w:shd w:val="clear" w:color="auto" w:fill="auto"/>
            <w:noWrap/>
            <w:vAlign w:val="bottom"/>
            <w:hideMark/>
          </w:tcPr>
          <w:p w14:paraId="3C1A0AE5" w14:textId="77777777" w:rsidR="003F550B" w:rsidRPr="003F550B" w:rsidRDefault="003F550B" w:rsidP="003F550B">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4E20D4E6"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5C944FFF" w14:textId="77777777" w:rsidR="003F550B" w:rsidRPr="003F550B" w:rsidRDefault="003F550B" w:rsidP="003F550B">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40CDDEAD" w14:textId="77777777" w:rsidR="003F550B" w:rsidRPr="003F550B" w:rsidRDefault="003F550B" w:rsidP="003F550B">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4E4620C"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031307B2"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5DAD1696"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OWN-SOURCE INCOME</w:t>
            </w:r>
          </w:p>
        </w:tc>
        <w:tc>
          <w:tcPr>
            <w:tcW w:w="960" w:type="dxa"/>
            <w:tcBorders>
              <w:top w:val="nil"/>
              <w:left w:val="nil"/>
              <w:bottom w:val="nil"/>
              <w:right w:val="nil"/>
            </w:tcBorders>
            <w:shd w:val="clear" w:color="auto" w:fill="auto"/>
            <w:noWrap/>
            <w:vAlign w:val="bottom"/>
            <w:hideMark/>
          </w:tcPr>
          <w:p w14:paraId="54485E3E" w14:textId="77777777" w:rsidR="003F550B" w:rsidRPr="003F550B" w:rsidRDefault="003F550B" w:rsidP="003F550B">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775463FC"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7B8CB739" w14:textId="77777777" w:rsidR="003F550B" w:rsidRPr="003F550B" w:rsidRDefault="003F550B" w:rsidP="003F550B">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05E0F80" w14:textId="77777777" w:rsidR="003F550B" w:rsidRPr="003F550B" w:rsidRDefault="003F550B" w:rsidP="003F550B">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3857CD7"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4DF9DFC9"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0C1AE500" w14:textId="77777777" w:rsidR="003F550B" w:rsidRPr="003F550B" w:rsidRDefault="003F550B" w:rsidP="003F550B">
            <w:pPr>
              <w:spacing w:before="0" w:after="0" w:line="240" w:lineRule="auto"/>
              <w:ind w:leftChars="75" w:left="143"/>
              <w:rPr>
                <w:rFonts w:ascii="Arial" w:hAnsi="Arial" w:cs="Arial"/>
                <w:b/>
                <w:bCs/>
                <w:sz w:val="16"/>
                <w:szCs w:val="16"/>
              </w:rPr>
            </w:pPr>
            <w:r w:rsidRPr="003F550B">
              <w:rPr>
                <w:rFonts w:ascii="Arial" w:hAnsi="Arial" w:cs="Arial"/>
                <w:b/>
                <w:bCs/>
                <w:sz w:val="16"/>
                <w:szCs w:val="16"/>
              </w:rPr>
              <w:t>Revenue</w:t>
            </w:r>
          </w:p>
        </w:tc>
        <w:tc>
          <w:tcPr>
            <w:tcW w:w="960" w:type="dxa"/>
            <w:tcBorders>
              <w:top w:val="nil"/>
              <w:left w:val="nil"/>
              <w:bottom w:val="nil"/>
              <w:right w:val="nil"/>
            </w:tcBorders>
            <w:shd w:val="clear" w:color="auto" w:fill="auto"/>
            <w:noWrap/>
            <w:vAlign w:val="bottom"/>
            <w:hideMark/>
          </w:tcPr>
          <w:p w14:paraId="7ECFE05B" w14:textId="77777777" w:rsidR="003F550B" w:rsidRPr="003F550B" w:rsidRDefault="003F550B" w:rsidP="003F550B">
            <w:pPr>
              <w:spacing w:before="0" w:after="0" w:line="240" w:lineRule="auto"/>
              <w:ind w:firstLineChars="100" w:firstLine="161"/>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07DEEC1A"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0E145F1D" w14:textId="77777777" w:rsidR="003F550B" w:rsidRPr="003F550B" w:rsidRDefault="003F550B" w:rsidP="003F550B">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3E91A1D1" w14:textId="77777777" w:rsidR="003F550B" w:rsidRPr="003F550B" w:rsidRDefault="003F550B" w:rsidP="003F550B">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3F9B74C"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6649BCBF" w14:textId="77777777" w:rsidTr="00FF1A2B">
        <w:trPr>
          <w:trHeight w:val="425"/>
          <w:jc w:val="center"/>
        </w:trPr>
        <w:tc>
          <w:tcPr>
            <w:tcW w:w="3080" w:type="dxa"/>
            <w:tcBorders>
              <w:top w:val="nil"/>
              <w:left w:val="nil"/>
              <w:bottom w:val="nil"/>
              <w:right w:val="nil"/>
            </w:tcBorders>
            <w:shd w:val="clear" w:color="auto" w:fill="auto"/>
            <w:vAlign w:val="bottom"/>
            <w:hideMark/>
          </w:tcPr>
          <w:p w14:paraId="060B018F" w14:textId="77777777" w:rsidR="003F550B" w:rsidRPr="003F550B" w:rsidRDefault="003F550B" w:rsidP="003F550B">
            <w:pPr>
              <w:spacing w:before="0" w:after="0" w:line="240" w:lineRule="auto"/>
              <w:ind w:leftChars="150" w:left="285"/>
              <w:rPr>
                <w:rFonts w:ascii="Arial" w:hAnsi="Arial" w:cs="Arial"/>
                <w:sz w:val="16"/>
                <w:szCs w:val="16"/>
              </w:rPr>
            </w:pPr>
            <w:r w:rsidRPr="003F550B">
              <w:rPr>
                <w:rFonts w:ascii="Arial" w:hAnsi="Arial" w:cs="Arial"/>
                <w:sz w:val="16"/>
                <w:szCs w:val="16"/>
              </w:rPr>
              <w:t>Sale of goods and rendering of services</w:t>
            </w:r>
          </w:p>
        </w:tc>
        <w:tc>
          <w:tcPr>
            <w:tcW w:w="960" w:type="dxa"/>
            <w:tcBorders>
              <w:top w:val="nil"/>
              <w:left w:val="nil"/>
              <w:bottom w:val="nil"/>
              <w:right w:val="nil"/>
            </w:tcBorders>
            <w:shd w:val="clear" w:color="auto" w:fill="auto"/>
            <w:noWrap/>
            <w:vAlign w:val="bottom"/>
            <w:hideMark/>
          </w:tcPr>
          <w:p w14:paraId="6F476EC3"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26,043</w:t>
            </w:r>
          </w:p>
        </w:tc>
        <w:tc>
          <w:tcPr>
            <w:tcW w:w="920" w:type="dxa"/>
            <w:tcBorders>
              <w:top w:val="nil"/>
              <w:left w:val="nil"/>
              <w:bottom w:val="nil"/>
              <w:right w:val="nil"/>
            </w:tcBorders>
            <w:shd w:val="clear" w:color="000000" w:fill="D9D9D9"/>
            <w:noWrap/>
            <w:vAlign w:val="bottom"/>
            <w:hideMark/>
          </w:tcPr>
          <w:p w14:paraId="2271284D"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19,271</w:t>
            </w:r>
          </w:p>
        </w:tc>
        <w:tc>
          <w:tcPr>
            <w:tcW w:w="960" w:type="dxa"/>
            <w:tcBorders>
              <w:top w:val="nil"/>
              <w:left w:val="nil"/>
              <w:bottom w:val="nil"/>
              <w:right w:val="nil"/>
            </w:tcBorders>
            <w:shd w:val="clear" w:color="auto" w:fill="auto"/>
            <w:noWrap/>
            <w:vAlign w:val="bottom"/>
            <w:hideMark/>
          </w:tcPr>
          <w:p w14:paraId="6A23D661"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19,351</w:t>
            </w:r>
          </w:p>
        </w:tc>
        <w:tc>
          <w:tcPr>
            <w:tcW w:w="960" w:type="dxa"/>
            <w:tcBorders>
              <w:top w:val="nil"/>
              <w:left w:val="nil"/>
              <w:bottom w:val="nil"/>
              <w:right w:val="nil"/>
            </w:tcBorders>
            <w:shd w:val="clear" w:color="auto" w:fill="auto"/>
            <w:noWrap/>
            <w:vAlign w:val="bottom"/>
            <w:hideMark/>
          </w:tcPr>
          <w:p w14:paraId="7BE44138"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16,150</w:t>
            </w:r>
          </w:p>
        </w:tc>
        <w:tc>
          <w:tcPr>
            <w:tcW w:w="960" w:type="dxa"/>
            <w:tcBorders>
              <w:top w:val="nil"/>
              <w:left w:val="nil"/>
              <w:bottom w:val="nil"/>
              <w:right w:val="nil"/>
            </w:tcBorders>
            <w:shd w:val="clear" w:color="auto" w:fill="auto"/>
            <w:noWrap/>
            <w:vAlign w:val="bottom"/>
            <w:hideMark/>
          </w:tcPr>
          <w:p w14:paraId="7EA6F67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16,014</w:t>
            </w:r>
          </w:p>
        </w:tc>
      </w:tr>
      <w:tr w:rsidR="003F550B" w:rsidRPr="003F550B" w14:paraId="2C7C7079"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35DAC7ED" w14:textId="77777777" w:rsidR="003F550B" w:rsidRPr="003F550B" w:rsidRDefault="003F550B" w:rsidP="003F550B">
            <w:pPr>
              <w:spacing w:before="0" w:after="0" w:line="240" w:lineRule="auto"/>
              <w:ind w:leftChars="150" w:left="285"/>
              <w:rPr>
                <w:rFonts w:ascii="Arial" w:hAnsi="Arial" w:cs="Arial"/>
                <w:b/>
                <w:bCs/>
                <w:sz w:val="16"/>
                <w:szCs w:val="16"/>
              </w:rPr>
            </w:pPr>
            <w:r w:rsidRPr="003F550B">
              <w:rPr>
                <w:rFonts w:ascii="Arial" w:hAnsi="Arial" w:cs="Arial"/>
                <w:b/>
                <w:bCs/>
                <w:sz w:val="16"/>
                <w:szCs w:val="16"/>
              </w:rPr>
              <w:t>Total revenue</w:t>
            </w:r>
          </w:p>
        </w:tc>
        <w:tc>
          <w:tcPr>
            <w:tcW w:w="960" w:type="dxa"/>
            <w:tcBorders>
              <w:top w:val="nil"/>
              <w:left w:val="nil"/>
              <w:bottom w:val="single" w:sz="4" w:space="0" w:color="auto"/>
              <w:right w:val="nil"/>
            </w:tcBorders>
            <w:shd w:val="clear" w:color="auto" w:fill="auto"/>
            <w:noWrap/>
            <w:vAlign w:val="bottom"/>
            <w:hideMark/>
          </w:tcPr>
          <w:p w14:paraId="25348F17"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26,043</w:t>
            </w:r>
          </w:p>
        </w:tc>
        <w:tc>
          <w:tcPr>
            <w:tcW w:w="920" w:type="dxa"/>
            <w:tcBorders>
              <w:top w:val="nil"/>
              <w:left w:val="nil"/>
              <w:bottom w:val="single" w:sz="4" w:space="0" w:color="auto"/>
              <w:right w:val="nil"/>
            </w:tcBorders>
            <w:shd w:val="clear" w:color="000000" w:fill="D9D9D9"/>
            <w:noWrap/>
            <w:vAlign w:val="bottom"/>
            <w:hideMark/>
          </w:tcPr>
          <w:p w14:paraId="6C621D79"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19,271</w:t>
            </w:r>
          </w:p>
        </w:tc>
        <w:tc>
          <w:tcPr>
            <w:tcW w:w="960" w:type="dxa"/>
            <w:tcBorders>
              <w:top w:val="nil"/>
              <w:left w:val="nil"/>
              <w:bottom w:val="single" w:sz="4" w:space="0" w:color="auto"/>
              <w:right w:val="nil"/>
            </w:tcBorders>
            <w:shd w:val="clear" w:color="auto" w:fill="auto"/>
            <w:noWrap/>
            <w:vAlign w:val="bottom"/>
            <w:hideMark/>
          </w:tcPr>
          <w:p w14:paraId="0B11AD09"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19,351</w:t>
            </w:r>
          </w:p>
        </w:tc>
        <w:tc>
          <w:tcPr>
            <w:tcW w:w="960" w:type="dxa"/>
            <w:tcBorders>
              <w:top w:val="nil"/>
              <w:left w:val="nil"/>
              <w:bottom w:val="single" w:sz="4" w:space="0" w:color="auto"/>
              <w:right w:val="nil"/>
            </w:tcBorders>
            <w:shd w:val="clear" w:color="auto" w:fill="auto"/>
            <w:noWrap/>
            <w:vAlign w:val="bottom"/>
            <w:hideMark/>
          </w:tcPr>
          <w:p w14:paraId="4027F25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16,150</w:t>
            </w:r>
          </w:p>
        </w:tc>
        <w:tc>
          <w:tcPr>
            <w:tcW w:w="960" w:type="dxa"/>
            <w:tcBorders>
              <w:top w:val="nil"/>
              <w:left w:val="nil"/>
              <w:bottom w:val="single" w:sz="4" w:space="0" w:color="auto"/>
              <w:right w:val="nil"/>
            </w:tcBorders>
            <w:shd w:val="clear" w:color="auto" w:fill="auto"/>
            <w:noWrap/>
            <w:vAlign w:val="bottom"/>
            <w:hideMark/>
          </w:tcPr>
          <w:p w14:paraId="57888C5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16,014</w:t>
            </w:r>
          </w:p>
        </w:tc>
      </w:tr>
      <w:tr w:rsidR="003F550B" w:rsidRPr="003F550B" w14:paraId="6FB61ACE" w14:textId="77777777" w:rsidTr="00FF1A2B">
        <w:trPr>
          <w:trHeight w:val="283"/>
          <w:jc w:val="center"/>
        </w:trPr>
        <w:tc>
          <w:tcPr>
            <w:tcW w:w="3080" w:type="dxa"/>
            <w:tcBorders>
              <w:top w:val="nil"/>
              <w:left w:val="nil"/>
              <w:bottom w:val="nil"/>
              <w:right w:val="nil"/>
            </w:tcBorders>
            <w:shd w:val="clear" w:color="auto" w:fill="auto"/>
            <w:noWrap/>
            <w:vAlign w:val="bottom"/>
            <w:hideMark/>
          </w:tcPr>
          <w:p w14:paraId="3CF39265" w14:textId="77777777" w:rsidR="003F550B" w:rsidRPr="003F550B" w:rsidRDefault="003F550B" w:rsidP="003F550B">
            <w:pPr>
              <w:spacing w:before="0" w:after="0" w:line="240" w:lineRule="auto"/>
              <w:ind w:leftChars="75" w:left="143"/>
              <w:rPr>
                <w:rFonts w:ascii="Arial" w:hAnsi="Arial" w:cs="Arial"/>
                <w:b/>
                <w:bCs/>
                <w:sz w:val="16"/>
                <w:szCs w:val="16"/>
              </w:rPr>
            </w:pPr>
            <w:r w:rsidRPr="003F550B">
              <w:rPr>
                <w:rFonts w:ascii="Arial" w:hAnsi="Arial" w:cs="Arial"/>
                <w:b/>
                <w:bCs/>
                <w:sz w:val="16"/>
                <w:szCs w:val="16"/>
              </w:rPr>
              <w:t>Gains</w:t>
            </w:r>
          </w:p>
        </w:tc>
        <w:tc>
          <w:tcPr>
            <w:tcW w:w="960" w:type="dxa"/>
            <w:tcBorders>
              <w:top w:val="nil"/>
              <w:left w:val="nil"/>
              <w:bottom w:val="nil"/>
              <w:right w:val="nil"/>
            </w:tcBorders>
            <w:shd w:val="clear" w:color="auto" w:fill="auto"/>
            <w:noWrap/>
            <w:vAlign w:val="bottom"/>
            <w:hideMark/>
          </w:tcPr>
          <w:p w14:paraId="67440E9F" w14:textId="77777777" w:rsidR="003F550B" w:rsidRPr="003F550B" w:rsidRDefault="003F550B" w:rsidP="003F550B">
            <w:pPr>
              <w:spacing w:before="0" w:after="0" w:line="240" w:lineRule="auto"/>
              <w:ind w:firstLineChars="100" w:firstLine="161"/>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38F1D31D"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303CC1D9" w14:textId="77777777" w:rsidR="003F550B" w:rsidRPr="003F550B" w:rsidRDefault="003F550B" w:rsidP="003F550B">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25E57228" w14:textId="77777777" w:rsidR="003F550B" w:rsidRPr="003F550B" w:rsidRDefault="003F550B" w:rsidP="003F550B">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E593794"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42832A93" w14:textId="77777777" w:rsidTr="00FF1A2B">
        <w:trPr>
          <w:trHeight w:val="227"/>
          <w:jc w:val="center"/>
        </w:trPr>
        <w:tc>
          <w:tcPr>
            <w:tcW w:w="3080" w:type="dxa"/>
            <w:tcBorders>
              <w:top w:val="nil"/>
              <w:left w:val="nil"/>
              <w:bottom w:val="nil"/>
              <w:right w:val="nil"/>
            </w:tcBorders>
            <w:shd w:val="clear" w:color="auto" w:fill="auto"/>
            <w:noWrap/>
            <w:vAlign w:val="bottom"/>
            <w:hideMark/>
          </w:tcPr>
          <w:p w14:paraId="382F3C5C" w14:textId="77777777" w:rsidR="003F550B" w:rsidRPr="003F550B" w:rsidRDefault="003F550B" w:rsidP="003F550B">
            <w:pPr>
              <w:spacing w:before="0" w:after="0" w:line="240" w:lineRule="auto"/>
              <w:ind w:leftChars="150" w:left="285"/>
              <w:rPr>
                <w:rFonts w:ascii="Arial" w:hAnsi="Arial" w:cs="Arial"/>
                <w:sz w:val="16"/>
                <w:szCs w:val="16"/>
              </w:rPr>
            </w:pPr>
            <w:r w:rsidRPr="003F550B">
              <w:rPr>
                <w:rFonts w:ascii="Arial" w:hAnsi="Arial" w:cs="Arial"/>
                <w:sz w:val="16"/>
                <w:szCs w:val="16"/>
              </w:rPr>
              <w:t>Other</w:t>
            </w:r>
          </w:p>
        </w:tc>
        <w:tc>
          <w:tcPr>
            <w:tcW w:w="960" w:type="dxa"/>
            <w:tcBorders>
              <w:top w:val="nil"/>
              <w:left w:val="nil"/>
              <w:bottom w:val="nil"/>
              <w:right w:val="nil"/>
            </w:tcBorders>
            <w:shd w:val="clear" w:color="auto" w:fill="auto"/>
            <w:noWrap/>
            <w:vAlign w:val="bottom"/>
            <w:hideMark/>
          </w:tcPr>
          <w:p w14:paraId="072B621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54</w:t>
            </w:r>
          </w:p>
        </w:tc>
        <w:tc>
          <w:tcPr>
            <w:tcW w:w="920" w:type="dxa"/>
            <w:tcBorders>
              <w:top w:val="nil"/>
              <w:left w:val="nil"/>
              <w:bottom w:val="nil"/>
              <w:right w:val="nil"/>
            </w:tcBorders>
            <w:shd w:val="clear" w:color="000000" w:fill="D9D9D9"/>
            <w:noWrap/>
            <w:vAlign w:val="bottom"/>
            <w:hideMark/>
          </w:tcPr>
          <w:p w14:paraId="265E45C6"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54</w:t>
            </w:r>
          </w:p>
        </w:tc>
        <w:tc>
          <w:tcPr>
            <w:tcW w:w="960" w:type="dxa"/>
            <w:tcBorders>
              <w:top w:val="nil"/>
              <w:left w:val="nil"/>
              <w:bottom w:val="nil"/>
              <w:right w:val="nil"/>
            </w:tcBorders>
            <w:shd w:val="clear" w:color="auto" w:fill="auto"/>
            <w:noWrap/>
            <w:vAlign w:val="bottom"/>
            <w:hideMark/>
          </w:tcPr>
          <w:p w14:paraId="09A792BA"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54</w:t>
            </w:r>
          </w:p>
        </w:tc>
        <w:tc>
          <w:tcPr>
            <w:tcW w:w="960" w:type="dxa"/>
            <w:tcBorders>
              <w:top w:val="nil"/>
              <w:left w:val="nil"/>
              <w:bottom w:val="nil"/>
              <w:right w:val="nil"/>
            </w:tcBorders>
            <w:shd w:val="clear" w:color="auto" w:fill="auto"/>
            <w:noWrap/>
            <w:vAlign w:val="bottom"/>
            <w:hideMark/>
          </w:tcPr>
          <w:p w14:paraId="7CB49C38"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54</w:t>
            </w:r>
          </w:p>
        </w:tc>
        <w:tc>
          <w:tcPr>
            <w:tcW w:w="960" w:type="dxa"/>
            <w:tcBorders>
              <w:top w:val="nil"/>
              <w:left w:val="nil"/>
              <w:bottom w:val="nil"/>
              <w:right w:val="nil"/>
            </w:tcBorders>
            <w:shd w:val="clear" w:color="auto" w:fill="auto"/>
            <w:noWrap/>
            <w:vAlign w:val="bottom"/>
            <w:hideMark/>
          </w:tcPr>
          <w:p w14:paraId="37DA087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60</w:t>
            </w:r>
          </w:p>
        </w:tc>
      </w:tr>
      <w:tr w:rsidR="003F550B" w:rsidRPr="003F550B" w14:paraId="44B5C6F8" w14:textId="77777777" w:rsidTr="00FF1A2B">
        <w:trPr>
          <w:trHeight w:val="227"/>
          <w:jc w:val="center"/>
        </w:trPr>
        <w:tc>
          <w:tcPr>
            <w:tcW w:w="3080" w:type="dxa"/>
            <w:tcBorders>
              <w:top w:val="nil"/>
              <w:left w:val="nil"/>
              <w:bottom w:val="nil"/>
              <w:right w:val="nil"/>
            </w:tcBorders>
            <w:shd w:val="clear" w:color="auto" w:fill="auto"/>
            <w:noWrap/>
            <w:vAlign w:val="bottom"/>
            <w:hideMark/>
          </w:tcPr>
          <w:p w14:paraId="3D051A7A" w14:textId="77777777" w:rsidR="003F550B" w:rsidRPr="003F550B" w:rsidRDefault="003F550B" w:rsidP="003F550B">
            <w:pPr>
              <w:spacing w:before="0" w:after="0" w:line="240" w:lineRule="auto"/>
              <w:ind w:leftChars="150" w:left="285"/>
              <w:rPr>
                <w:rFonts w:ascii="Arial" w:hAnsi="Arial" w:cs="Arial"/>
                <w:b/>
                <w:bCs/>
                <w:sz w:val="16"/>
                <w:szCs w:val="16"/>
              </w:rPr>
            </w:pPr>
            <w:r w:rsidRPr="003F550B">
              <w:rPr>
                <w:rFonts w:ascii="Arial" w:hAnsi="Arial" w:cs="Arial"/>
                <w:b/>
                <w:bCs/>
                <w:sz w:val="16"/>
                <w:szCs w:val="16"/>
              </w:rPr>
              <w:t>Total gains</w:t>
            </w:r>
          </w:p>
        </w:tc>
        <w:tc>
          <w:tcPr>
            <w:tcW w:w="960" w:type="dxa"/>
            <w:tcBorders>
              <w:top w:val="nil"/>
              <w:left w:val="nil"/>
              <w:bottom w:val="nil"/>
              <w:right w:val="nil"/>
            </w:tcBorders>
            <w:shd w:val="clear" w:color="auto" w:fill="auto"/>
            <w:noWrap/>
            <w:vAlign w:val="bottom"/>
            <w:hideMark/>
          </w:tcPr>
          <w:p w14:paraId="07D5825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54</w:t>
            </w:r>
          </w:p>
        </w:tc>
        <w:tc>
          <w:tcPr>
            <w:tcW w:w="920" w:type="dxa"/>
            <w:tcBorders>
              <w:top w:val="nil"/>
              <w:left w:val="nil"/>
              <w:bottom w:val="nil"/>
              <w:right w:val="nil"/>
            </w:tcBorders>
            <w:shd w:val="clear" w:color="000000" w:fill="D9D9D9"/>
            <w:noWrap/>
            <w:vAlign w:val="bottom"/>
            <w:hideMark/>
          </w:tcPr>
          <w:p w14:paraId="24F59959"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54</w:t>
            </w:r>
          </w:p>
        </w:tc>
        <w:tc>
          <w:tcPr>
            <w:tcW w:w="960" w:type="dxa"/>
            <w:tcBorders>
              <w:top w:val="nil"/>
              <w:left w:val="nil"/>
              <w:bottom w:val="nil"/>
              <w:right w:val="nil"/>
            </w:tcBorders>
            <w:shd w:val="clear" w:color="auto" w:fill="auto"/>
            <w:noWrap/>
            <w:vAlign w:val="bottom"/>
            <w:hideMark/>
          </w:tcPr>
          <w:p w14:paraId="7D08B416"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54</w:t>
            </w:r>
          </w:p>
        </w:tc>
        <w:tc>
          <w:tcPr>
            <w:tcW w:w="960" w:type="dxa"/>
            <w:tcBorders>
              <w:top w:val="nil"/>
              <w:left w:val="nil"/>
              <w:bottom w:val="nil"/>
              <w:right w:val="nil"/>
            </w:tcBorders>
            <w:shd w:val="clear" w:color="auto" w:fill="auto"/>
            <w:noWrap/>
            <w:vAlign w:val="bottom"/>
            <w:hideMark/>
          </w:tcPr>
          <w:p w14:paraId="51F19824"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54</w:t>
            </w:r>
          </w:p>
        </w:tc>
        <w:tc>
          <w:tcPr>
            <w:tcW w:w="960" w:type="dxa"/>
            <w:tcBorders>
              <w:top w:val="nil"/>
              <w:left w:val="nil"/>
              <w:bottom w:val="nil"/>
              <w:right w:val="nil"/>
            </w:tcBorders>
            <w:shd w:val="clear" w:color="auto" w:fill="auto"/>
            <w:noWrap/>
            <w:vAlign w:val="bottom"/>
            <w:hideMark/>
          </w:tcPr>
          <w:p w14:paraId="3C66898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60</w:t>
            </w:r>
          </w:p>
        </w:tc>
      </w:tr>
      <w:tr w:rsidR="003F550B" w:rsidRPr="003F550B" w14:paraId="221047DD" w14:textId="77777777" w:rsidTr="003F550B">
        <w:trPr>
          <w:trHeight w:val="225"/>
          <w:jc w:val="center"/>
        </w:trPr>
        <w:tc>
          <w:tcPr>
            <w:tcW w:w="3080" w:type="dxa"/>
            <w:tcBorders>
              <w:top w:val="nil"/>
              <w:left w:val="nil"/>
              <w:bottom w:val="nil"/>
              <w:right w:val="nil"/>
            </w:tcBorders>
            <w:shd w:val="clear" w:color="auto" w:fill="auto"/>
            <w:noWrap/>
            <w:vAlign w:val="bottom"/>
            <w:hideMark/>
          </w:tcPr>
          <w:p w14:paraId="0C9EFF46" w14:textId="77777777" w:rsidR="003F550B" w:rsidRPr="003F550B" w:rsidRDefault="003F550B" w:rsidP="003F550B">
            <w:pPr>
              <w:spacing w:before="0" w:after="0" w:line="240" w:lineRule="auto"/>
              <w:ind w:leftChars="75" w:left="143"/>
              <w:rPr>
                <w:rFonts w:ascii="Arial" w:hAnsi="Arial" w:cs="Arial"/>
                <w:b/>
                <w:bCs/>
                <w:sz w:val="16"/>
                <w:szCs w:val="16"/>
              </w:rPr>
            </w:pPr>
            <w:r w:rsidRPr="003F550B">
              <w:rPr>
                <w:rFonts w:ascii="Arial" w:hAnsi="Arial" w:cs="Arial"/>
                <w:b/>
                <w:bCs/>
                <w:sz w:val="16"/>
                <w:szCs w:val="16"/>
              </w:rPr>
              <w:t>Total own-source income</w:t>
            </w:r>
          </w:p>
        </w:tc>
        <w:tc>
          <w:tcPr>
            <w:tcW w:w="960" w:type="dxa"/>
            <w:tcBorders>
              <w:top w:val="single" w:sz="4" w:space="0" w:color="auto"/>
              <w:left w:val="nil"/>
              <w:bottom w:val="single" w:sz="4" w:space="0" w:color="auto"/>
              <w:right w:val="nil"/>
            </w:tcBorders>
            <w:shd w:val="clear" w:color="auto" w:fill="auto"/>
            <w:noWrap/>
            <w:vAlign w:val="bottom"/>
            <w:hideMark/>
          </w:tcPr>
          <w:p w14:paraId="4AB3D87A"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26,097</w:t>
            </w:r>
          </w:p>
        </w:tc>
        <w:tc>
          <w:tcPr>
            <w:tcW w:w="920" w:type="dxa"/>
            <w:tcBorders>
              <w:top w:val="single" w:sz="4" w:space="0" w:color="auto"/>
              <w:left w:val="nil"/>
              <w:bottom w:val="single" w:sz="4" w:space="0" w:color="auto"/>
              <w:right w:val="nil"/>
            </w:tcBorders>
            <w:shd w:val="clear" w:color="000000" w:fill="D9D9D9"/>
            <w:noWrap/>
            <w:vAlign w:val="bottom"/>
            <w:hideMark/>
          </w:tcPr>
          <w:p w14:paraId="7084951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19,325</w:t>
            </w:r>
          </w:p>
        </w:tc>
        <w:tc>
          <w:tcPr>
            <w:tcW w:w="960" w:type="dxa"/>
            <w:tcBorders>
              <w:top w:val="single" w:sz="4" w:space="0" w:color="auto"/>
              <w:left w:val="nil"/>
              <w:bottom w:val="single" w:sz="4" w:space="0" w:color="auto"/>
              <w:right w:val="nil"/>
            </w:tcBorders>
            <w:shd w:val="clear" w:color="auto" w:fill="auto"/>
            <w:noWrap/>
            <w:vAlign w:val="bottom"/>
            <w:hideMark/>
          </w:tcPr>
          <w:p w14:paraId="2957715D"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19,405</w:t>
            </w:r>
          </w:p>
        </w:tc>
        <w:tc>
          <w:tcPr>
            <w:tcW w:w="960" w:type="dxa"/>
            <w:tcBorders>
              <w:top w:val="single" w:sz="4" w:space="0" w:color="auto"/>
              <w:left w:val="nil"/>
              <w:bottom w:val="single" w:sz="4" w:space="0" w:color="auto"/>
              <w:right w:val="nil"/>
            </w:tcBorders>
            <w:shd w:val="clear" w:color="auto" w:fill="auto"/>
            <w:noWrap/>
            <w:vAlign w:val="bottom"/>
            <w:hideMark/>
          </w:tcPr>
          <w:p w14:paraId="1AA4BBA7"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16,204</w:t>
            </w:r>
          </w:p>
        </w:tc>
        <w:tc>
          <w:tcPr>
            <w:tcW w:w="960" w:type="dxa"/>
            <w:tcBorders>
              <w:top w:val="single" w:sz="4" w:space="0" w:color="auto"/>
              <w:left w:val="nil"/>
              <w:bottom w:val="single" w:sz="4" w:space="0" w:color="auto"/>
              <w:right w:val="nil"/>
            </w:tcBorders>
            <w:shd w:val="clear" w:color="auto" w:fill="auto"/>
            <w:noWrap/>
            <w:vAlign w:val="bottom"/>
            <w:hideMark/>
          </w:tcPr>
          <w:p w14:paraId="3CBFB85B"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16,074</w:t>
            </w:r>
          </w:p>
        </w:tc>
      </w:tr>
      <w:tr w:rsidR="003F550B" w:rsidRPr="003F550B" w14:paraId="73D295A6" w14:textId="77777777" w:rsidTr="00FF1A2B">
        <w:trPr>
          <w:trHeight w:val="454"/>
          <w:jc w:val="center"/>
        </w:trPr>
        <w:tc>
          <w:tcPr>
            <w:tcW w:w="3080" w:type="dxa"/>
            <w:tcBorders>
              <w:top w:val="nil"/>
              <w:left w:val="nil"/>
              <w:bottom w:val="nil"/>
              <w:right w:val="nil"/>
            </w:tcBorders>
            <w:shd w:val="clear" w:color="auto" w:fill="auto"/>
            <w:vAlign w:val="bottom"/>
            <w:hideMark/>
          </w:tcPr>
          <w:p w14:paraId="65A1A3BA"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 xml:space="preserve">Net cost of (contribution by) services </w:t>
            </w:r>
          </w:p>
        </w:tc>
        <w:tc>
          <w:tcPr>
            <w:tcW w:w="960" w:type="dxa"/>
            <w:tcBorders>
              <w:top w:val="nil"/>
              <w:left w:val="nil"/>
              <w:bottom w:val="single" w:sz="4" w:space="0" w:color="auto"/>
              <w:right w:val="nil"/>
            </w:tcBorders>
            <w:shd w:val="clear" w:color="auto" w:fill="auto"/>
            <w:noWrap/>
            <w:vAlign w:val="bottom"/>
            <w:hideMark/>
          </w:tcPr>
          <w:p w14:paraId="05130A7D"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193,265</w:t>
            </w:r>
          </w:p>
        </w:tc>
        <w:tc>
          <w:tcPr>
            <w:tcW w:w="920" w:type="dxa"/>
            <w:tcBorders>
              <w:top w:val="nil"/>
              <w:left w:val="nil"/>
              <w:bottom w:val="single" w:sz="4" w:space="0" w:color="auto"/>
              <w:right w:val="nil"/>
            </w:tcBorders>
            <w:shd w:val="clear" w:color="000000" w:fill="D9D9D9"/>
            <w:noWrap/>
            <w:vAlign w:val="bottom"/>
            <w:hideMark/>
          </w:tcPr>
          <w:p w14:paraId="468610D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288,097</w:t>
            </w:r>
          </w:p>
        </w:tc>
        <w:tc>
          <w:tcPr>
            <w:tcW w:w="960" w:type="dxa"/>
            <w:tcBorders>
              <w:top w:val="nil"/>
              <w:left w:val="nil"/>
              <w:bottom w:val="single" w:sz="4" w:space="0" w:color="auto"/>
              <w:right w:val="nil"/>
            </w:tcBorders>
            <w:shd w:val="clear" w:color="auto" w:fill="auto"/>
            <w:noWrap/>
            <w:vAlign w:val="bottom"/>
            <w:hideMark/>
          </w:tcPr>
          <w:p w14:paraId="203FC64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222,018</w:t>
            </w:r>
          </w:p>
        </w:tc>
        <w:tc>
          <w:tcPr>
            <w:tcW w:w="960" w:type="dxa"/>
            <w:tcBorders>
              <w:top w:val="nil"/>
              <w:left w:val="nil"/>
              <w:bottom w:val="single" w:sz="4" w:space="0" w:color="auto"/>
              <w:right w:val="nil"/>
            </w:tcBorders>
            <w:shd w:val="clear" w:color="auto" w:fill="auto"/>
            <w:noWrap/>
            <w:vAlign w:val="bottom"/>
            <w:hideMark/>
          </w:tcPr>
          <w:p w14:paraId="49A5FC37"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226,688</w:t>
            </w:r>
          </w:p>
        </w:tc>
        <w:tc>
          <w:tcPr>
            <w:tcW w:w="960" w:type="dxa"/>
            <w:tcBorders>
              <w:top w:val="nil"/>
              <w:left w:val="nil"/>
              <w:bottom w:val="single" w:sz="4" w:space="0" w:color="auto"/>
              <w:right w:val="nil"/>
            </w:tcBorders>
            <w:shd w:val="clear" w:color="auto" w:fill="auto"/>
            <w:noWrap/>
            <w:vAlign w:val="bottom"/>
            <w:hideMark/>
          </w:tcPr>
          <w:p w14:paraId="7FC997D4"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198,538</w:t>
            </w:r>
          </w:p>
        </w:tc>
      </w:tr>
      <w:tr w:rsidR="003F550B" w:rsidRPr="003F550B" w14:paraId="5B36F66D" w14:textId="77777777" w:rsidTr="00FF1A2B">
        <w:trPr>
          <w:trHeight w:val="283"/>
          <w:jc w:val="center"/>
        </w:trPr>
        <w:tc>
          <w:tcPr>
            <w:tcW w:w="3080" w:type="dxa"/>
            <w:tcBorders>
              <w:top w:val="nil"/>
              <w:left w:val="nil"/>
              <w:bottom w:val="nil"/>
              <w:right w:val="nil"/>
            </w:tcBorders>
            <w:shd w:val="clear" w:color="auto" w:fill="auto"/>
            <w:noWrap/>
            <w:vAlign w:val="bottom"/>
            <w:hideMark/>
          </w:tcPr>
          <w:p w14:paraId="70C40866"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Revenue from Government</w:t>
            </w:r>
          </w:p>
        </w:tc>
        <w:tc>
          <w:tcPr>
            <w:tcW w:w="960" w:type="dxa"/>
            <w:tcBorders>
              <w:top w:val="nil"/>
              <w:left w:val="nil"/>
              <w:bottom w:val="nil"/>
              <w:right w:val="nil"/>
            </w:tcBorders>
            <w:shd w:val="clear" w:color="auto" w:fill="auto"/>
            <w:noWrap/>
            <w:vAlign w:val="bottom"/>
            <w:hideMark/>
          </w:tcPr>
          <w:p w14:paraId="2B831E1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204,905</w:t>
            </w:r>
          </w:p>
        </w:tc>
        <w:tc>
          <w:tcPr>
            <w:tcW w:w="920" w:type="dxa"/>
            <w:tcBorders>
              <w:top w:val="nil"/>
              <w:left w:val="nil"/>
              <w:bottom w:val="nil"/>
              <w:right w:val="nil"/>
            </w:tcBorders>
            <w:shd w:val="clear" w:color="000000" w:fill="D9D9D9"/>
            <w:noWrap/>
            <w:vAlign w:val="bottom"/>
            <w:hideMark/>
          </w:tcPr>
          <w:p w14:paraId="6025A3D4"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282,821</w:t>
            </w:r>
          </w:p>
        </w:tc>
        <w:tc>
          <w:tcPr>
            <w:tcW w:w="960" w:type="dxa"/>
            <w:tcBorders>
              <w:top w:val="nil"/>
              <w:left w:val="nil"/>
              <w:bottom w:val="nil"/>
              <w:right w:val="nil"/>
            </w:tcBorders>
            <w:shd w:val="clear" w:color="auto" w:fill="auto"/>
            <w:noWrap/>
            <w:vAlign w:val="bottom"/>
            <w:hideMark/>
          </w:tcPr>
          <w:p w14:paraId="1F0AEF8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215,970</w:t>
            </w:r>
          </w:p>
        </w:tc>
        <w:tc>
          <w:tcPr>
            <w:tcW w:w="960" w:type="dxa"/>
            <w:tcBorders>
              <w:top w:val="nil"/>
              <w:left w:val="nil"/>
              <w:bottom w:val="nil"/>
              <w:right w:val="nil"/>
            </w:tcBorders>
            <w:shd w:val="clear" w:color="auto" w:fill="auto"/>
            <w:noWrap/>
            <w:vAlign w:val="bottom"/>
            <w:hideMark/>
          </w:tcPr>
          <w:p w14:paraId="0194F7E0"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219,797</w:t>
            </w:r>
          </w:p>
        </w:tc>
        <w:tc>
          <w:tcPr>
            <w:tcW w:w="960" w:type="dxa"/>
            <w:tcBorders>
              <w:top w:val="nil"/>
              <w:left w:val="nil"/>
              <w:bottom w:val="nil"/>
              <w:right w:val="nil"/>
            </w:tcBorders>
            <w:shd w:val="clear" w:color="auto" w:fill="auto"/>
            <w:noWrap/>
            <w:vAlign w:val="bottom"/>
            <w:hideMark/>
          </w:tcPr>
          <w:p w14:paraId="4AF60552"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189,556</w:t>
            </w:r>
          </w:p>
        </w:tc>
      </w:tr>
      <w:tr w:rsidR="003F550B" w:rsidRPr="003F550B" w14:paraId="7D4EFB65" w14:textId="77777777" w:rsidTr="00FF1A2B">
        <w:trPr>
          <w:trHeight w:val="283"/>
          <w:jc w:val="center"/>
        </w:trPr>
        <w:tc>
          <w:tcPr>
            <w:tcW w:w="3080" w:type="dxa"/>
            <w:tcBorders>
              <w:top w:val="nil"/>
              <w:left w:val="nil"/>
              <w:bottom w:val="nil"/>
              <w:right w:val="nil"/>
            </w:tcBorders>
            <w:shd w:val="clear" w:color="auto" w:fill="auto"/>
            <w:noWrap/>
            <w:vAlign w:val="bottom"/>
            <w:hideMark/>
          </w:tcPr>
          <w:p w14:paraId="66989E85"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Surplus (Deficit)</w:t>
            </w:r>
          </w:p>
        </w:tc>
        <w:tc>
          <w:tcPr>
            <w:tcW w:w="960" w:type="dxa"/>
            <w:tcBorders>
              <w:top w:val="nil"/>
              <w:left w:val="nil"/>
              <w:bottom w:val="single" w:sz="4" w:space="0" w:color="auto"/>
              <w:right w:val="nil"/>
            </w:tcBorders>
            <w:shd w:val="clear" w:color="auto" w:fill="auto"/>
            <w:noWrap/>
            <w:vAlign w:val="bottom"/>
            <w:hideMark/>
          </w:tcPr>
          <w:p w14:paraId="080635E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11,640</w:t>
            </w:r>
          </w:p>
        </w:tc>
        <w:tc>
          <w:tcPr>
            <w:tcW w:w="920" w:type="dxa"/>
            <w:tcBorders>
              <w:top w:val="nil"/>
              <w:left w:val="nil"/>
              <w:bottom w:val="single" w:sz="4" w:space="0" w:color="auto"/>
              <w:right w:val="nil"/>
            </w:tcBorders>
            <w:shd w:val="clear" w:color="000000" w:fill="D9D9D9"/>
            <w:noWrap/>
            <w:vAlign w:val="bottom"/>
            <w:hideMark/>
          </w:tcPr>
          <w:p w14:paraId="714D98E1"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(5,276)</w:t>
            </w:r>
          </w:p>
        </w:tc>
        <w:tc>
          <w:tcPr>
            <w:tcW w:w="960" w:type="dxa"/>
            <w:tcBorders>
              <w:top w:val="nil"/>
              <w:left w:val="nil"/>
              <w:bottom w:val="single" w:sz="4" w:space="0" w:color="auto"/>
              <w:right w:val="nil"/>
            </w:tcBorders>
            <w:shd w:val="clear" w:color="auto" w:fill="auto"/>
            <w:noWrap/>
            <w:vAlign w:val="bottom"/>
            <w:hideMark/>
          </w:tcPr>
          <w:p w14:paraId="48EEED0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(6,048)</w:t>
            </w:r>
          </w:p>
        </w:tc>
        <w:tc>
          <w:tcPr>
            <w:tcW w:w="960" w:type="dxa"/>
            <w:tcBorders>
              <w:top w:val="nil"/>
              <w:left w:val="nil"/>
              <w:bottom w:val="single" w:sz="4" w:space="0" w:color="auto"/>
              <w:right w:val="nil"/>
            </w:tcBorders>
            <w:shd w:val="clear" w:color="auto" w:fill="auto"/>
            <w:noWrap/>
            <w:vAlign w:val="bottom"/>
            <w:hideMark/>
          </w:tcPr>
          <w:p w14:paraId="1107A74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(6,891)</w:t>
            </w:r>
          </w:p>
        </w:tc>
        <w:tc>
          <w:tcPr>
            <w:tcW w:w="960" w:type="dxa"/>
            <w:tcBorders>
              <w:top w:val="nil"/>
              <w:left w:val="nil"/>
              <w:bottom w:val="single" w:sz="4" w:space="0" w:color="auto"/>
              <w:right w:val="nil"/>
            </w:tcBorders>
            <w:shd w:val="clear" w:color="auto" w:fill="auto"/>
            <w:noWrap/>
            <w:vAlign w:val="bottom"/>
            <w:hideMark/>
          </w:tcPr>
          <w:p w14:paraId="6DA8BC5C"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(8,982)</w:t>
            </w:r>
          </w:p>
        </w:tc>
      </w:tr>
      <w:tr w:rsidR="003F550B" w:rsidRPr="003F550B" w14:paraId="1D25EB82" w14:textId="77777777" w:rsidTr="00FF1A2B">
        <w:trPr>
          <w:trHeight w:val="454"/>
          <w:jc w:val="center"/>
        </w:trPr>
        <w:tc>
          <w:tcPr>
            <w:tcW w:w="3080" w:type="dxa"/>
            <w:tcBorders>
              <w:top w:val="nil"/>
              <w:left w:val="nil"/>
              <w:bottom w:val="nil"/>
              <w:right w:val="nil"/>
            </w:tcBorders>
            <w:shd w:val="clear" w:color="auto" w:fill="auto"/>
            <w:vAlign w:val="bottom"/>
            <w:hideMark/>
          </w:tcPr>
          <w:p w14:paraId="5A0F5A22"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Surplus (Deficit)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1A01C1B7"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11,640</w:t>
            </w:r>
          </w:p>
        </w:tc>
        <w:tc>
          <w:tcPr>
            <w:tcW w:w="920" w:type="dxa"/>
            <w:tcBorders>
              <w:top w:val="nil"/>
              <w:left w:val="nil"/>
              <w:bottom w:val="single" w:sz="4" w:space="0" w:color="auto"/>
              <w:right w:val="nil"/>
            </w:tcBorders>
            <w:shd w:val="clear" w:color="000000" w:fill="D9D9D9"/>
            <w:noWrap/>
            <w:vAlign w:val="bottom"/>
            <w:hideMark/>
          </w:tcPr>
          <w:p w14:paraId="50714A84"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(5,276)</w:t>
            </w:r>
          </w:p>
        </w:tc>
        <w:tc>
          <w:tcPr>
            <w:tcW w:w="960" w:type="dxa"/>
            <w:tcBorders>
              <w:top w:val="nil"/>
              <w:left w:val="nil"/>
              <w:bottom w:val="single" w:sz="4" w:space="0" w:color="auto"/>
              <w:right w:val="nil"/>
            </w:tcBorders>
            <w:shd w:val="clear" w:color="auto" w:fill="auto"/>
            <w:noWrap/>
            <w:vAlign w:val="bottom"/>
            <w:hideMark/>
          </w:tcPr>
          <w:p w14:paraId="25449D4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(6,048)</w:t>
            </w:r>
          </w:p>
        </w:tc>
        <w:tc>
          <w:tcPr>
            <w:tcW w:w="960" w:type="dxa"/>
            <w:tcBorders>
              <w:top w:val="nil"/>
              <w:left w:val="nil"/>
              <w:bottom w:val="single" w:sz="4" w:space="0" w:color="auto"/>
              <w:right w:val="nil"/>
            </w:tcBorders>
            <w:shd w:val="clear" w:color="auto" w:fill="auto"/>
            <w:noWrap/>
            <w:vAlign w:val="bottom"/>
            <w:hideMark/>
          </w:tcPr>
          <w:p w14:paraId="54522872"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(6,891)</w:t>
            </w:r>
          </w:p>
        </w:tc>
        <w:tc>
          <w:tcPr>
            <w:tcW w:w="960" w:type="dxa"/>
            <w:tcBorders>
              <w:top w:val="nil"/>
              <w:left w:val="nil"/>
              <w:bottom w:val="single" w:sz="4" w:space="0" w:color="auto"/>
              <w:right w:val="nil"/>
            </w:tcBorders>
            <w:shd w:val="clear" w:color="auto" w:fill="auto"/>
            <w:noWrap/>
            <w:vAlign w:val="bottom"/>
            <w:hideMark/>
          </w:tcPr>
          <w:p w14:paraId="6EE68915"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(8,982)</w:t>
            </w:r>
          </w:p>
        </w:tc>
      </w:tr>
      <w:tr w:rsidR="003F550B" w:rsidRPr="003F550B" w14:paraId="1FDD9077" w14:textId="77777777" w:rsidTr="00FF1A2B">
        <w:trPr>
          <w:trHeight w:val="283"/>
          <w:jc w:val="center"/>
        </w:trPr>
        <w:tc>
          <w:tcPr>
            <w:tcW w:w="3080" w:type="dxa"/>
            <w:tcBorders>
              <w:top w:val="nil"/>
              <w:left w:val="nil"/>
              <w:bottom w:val="nil"/>
              <w:right w:val="nil"/>
            </w:tcBorders>
            <w:shd w:val="clear" w:color="auto" w:fill="auto"/>
            <w:noWrap/>
            <w:vAlign w:val="bottom"/>
            <w:hideMark/>
          </w:tcPr>
          <w:p w14:paraId="52C89DE3"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OTHER COMPREHENSIVE INCOME</w:t>
            </w:r>
          </w:p>
        </w:tc>
        <w:tc>
          <w:tcPr>
            <w:tcW w:w="960" w:type="dxa"/>
            <w:tcBorders>
              <w:top w:val="nil"/>
              <w:left w:val="nil"/>
              <w:bottom w:val="nil"/>
              <w:right w:val="nil"/>
            </w:tcBorders>
            <w:shd w:val="clear" w:color="auto" w:fill="auto"/>
            <w:noWrap/>
            <w:vAlign w:val="bottom"/>
            <w:hideMark/>
          </w:tcPr>
          <w:p w14:paraId="755DE820" w14:textId="77777777" w:rsidR="003F550B" w:rsidRPr="003F550B" w:rsidRDefault="003F550B" w:rsidP="003F550B">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000000" w:fill="D9D9D9"/>
            <w:noWrap/>
            <w:vAlign w:val="bottom"/>
            <w:hideMark/>
          </w:tcPr>
          <w:p w14:paraId="2E9F0B96"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268C4BFD" w14:textId="77777777" w:rsidR="003F550B" w:rsidRPr="003F550B" w:rsidRDefault="003F550B" w:rsidP="003F550B">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F4C0239" w14:textId="77777777" w:rsidR="003F550B" w:rsidRPr="003F550B" w:rsidRDefault="003F550B" w:rsidP="003F550B">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1FE3254" w14:textId="77777777" w:rsidR="003F550B" w:rsidRPr="003F550B" w:rsidRDefault="003F550B" w:rsidP="003F550B">
            <w:pPr>
              <w:spacing w:before="0" w:after="0" w:line="240" w:lineRule="auto"/>
              <w:jc w:val="right"/>
              <w:rPr>
                <w:rFonts w:ascii="Times New Roman" w:hAnsi="Times New Roman"/>
                <w:sz w:val="20"/>
              </w:rPr>
            </w:pPr>
          </w:p>
        </w:tc>
      </w:tr>
      <w:tr w:rsidR="003F550B" w:rsidRPr="003F550B" w14:paraId="662AC205" w14:textId="77777777" w:rsidTr="00FF1A2B">
        <w:trPr>
          <w:trHeight w:val="227"/>
          <w:jc w:val="center"/>
        </w:trPr>
        <w:tc>
          <w:tcPr>
            <w:tcW w:w="3080" w:type="dxa"/>
            <w:tcBorders>
              <w:top w:val="nil"/>
              <w:left w:val="nil"/>
              <w:bottom w:val="nil"/>
              <w:right w:val="nil"/>
            </w:tcBorders>
            <w:shd w:val="clear" w:color="auto" w:fill="auto"/>
            <w:vAlign w:val="bottom"/>
            <w:hideMark/>
          </w:tcPr>
          <w:p w14:paraId="11FBF7CE" w14:textId="77777777" w:rsidR="003F550B" w:rsidRPr="003F550B" w:rsidRDefault="003F550B" w:rsidP="003F550B">
            <w:pPr>
              <w:spacing w:before="0" w:after="0" w:line="240" w:lineRule="auto"/>
              <w:ind w:leftChars="75" w:left="143"/>
              <w:rPr>
                <w:rFonts w:ascii="Arial" w:hAnsi="Arial" w:cs="Arial"/>
                <w:sz w:val="16"/>
                <w:szCs w:val="16"/>
              </w:rPr>
            </w:pPr>
            <w:r w:rsidRPr="003F550B">
              <w:rPr>
                <w:rFonts w:ascii="Arial" w:hAnsi="Arial" w:cs="Arial"/>
                <w:sz w:val="16"/>
                <w:szCs w:val="16"/>
              </w:rPr>
              <w:t>Changes in asset revaluation reserves</w:t>
            </w:r>
          </w:p>
        </w:tc>
        <w:tc>
          <w:tcPr>
            <w:tcW w:w="960" w:type="dxa"/>
            <w:tcBorders>
              <w:top w:val="nil"/>
              <w:left w:val="nil"/>
              <w:bottom w:val="nil"/>
              <w:right w:val="nil"/>
            </w:tcBorders>
            <w:shd w:val="clear" w:color="auto" w:fill="auto"/>
            <w:noWrap/>
            <w:vAlign w:val="bottom"/>
            <w:hideMark/>
          </w:tcPr>
          <w:p w14:paraId="0A5E53C2"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20" w:type="dxa"/>
            <w:tcBorders>
              <w:top w:val="nil"/>
              <w:left w:val="nil"/>
              <w:bottom w:val="nil"/>
              <w:right w:val="nil"/>
            </w:tcBorders>
            <w:shd w:val="clear" w:color="000000" w:fill="D9D9D9"/>
            <w:noWrap/>
            <w:vAlign w:val="bottom"/>
            <w:hideMark/>
          </w:tcPr>
          <w:p w14:paraId="5FBFFC9C"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34AE348"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AFE2F9A"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474F6BF" w14:textId="77777777" w:rsidR="003F550B" w:rsidRPr="003F550B" w:rsidRDefault="003F550B" w:rsidP="003F550B">
            <w:pPr>
              <w:spacing w:before="0" w:after="0" w:line="240" w:lineRule="auto"/>
              <w:jc w:val="right"/>
              <w:rPr>
                <w:rFonts w:ascii="Arial" w:hAnsi="Arial" w:cs="Arial"/>
                <w:sz w:val="16"/>
                <w:szCs w:val="16"/>
              </w:rPr>
            </w:pPr>
            <w:r w:rsidRPr="003F550B">
              <w:rPr>
                <w:rFonts w:ascii="Arial" w:hAnsi="Arial" w:cs="Arial"/>
                <w:sz w:val="16"/>
                <w:szCs w:val="16"/>
              </w:rPr>
              <w:t>-</w:t>
            </w:r>
          </w:p>
        </w:tc>
      </w:tr>
      <w:tr w:rsidR="003F550B" w:rsidRPr="003F550B" w14:paraId="63D6E220" w14:textId="77777777" w:rsidTr="00FF1A2B">
        <w:trPr>
          <w:trHeight w:val="454"/>
          <w:jc w:val="center"/>
        </w:trPr>
        <w:tc>
          <w:tcPr>
            <w:tcW w:w="3080" w:type="dxa"/>
            <w:tcBorders>
              <w:top w:val="nil"/>
              <w:left w:val="nil"/>
              <w:bottom w:val="nil"/>
              <w:right w:val="nil"/>
            </w:tcBorders>
            <w:shd w:val="clear" w:color="auto" w:fill="auto"/>
            <w:vAlign w:val="bottom"/>
            <w:hideMark/>
          </w:tcPr>
          <w:p w14:paraId="11622258" w14:textId="77777777" w:rsidR="003F550B" w:rsidRPr="003F550B" w:rsidRDefault="003F550B" w:rsidP="003F550B">
            <w:pPr>
              <w:spacing w:before="0" w:after="0" w:line="240" w:lineRule="auto"/>
              <w:ind w:leftChars="75" w:left="143"/>
              <w:rPr>
                <w:rFonts w:ascii="Arial" w:hAnsi="Arial" w:cs="Arial"/>
                <w:b/>
                <w:bCs/>
                <w:sz w:val="16"/>
                <w:szCs w:val="16"/>
              </w:rPr>
            </w:pPr>
            <w:r w:rsidRPr="003F550B">
              <w:rPr>
                <w:rFonts w:ascii="Arial" w:hAnsi="Arial" w:cs="Arial"/>
                <w:b/>
                <w:bCs/>
                <w:sz w:val="16"/>
                <w:szCs w:val="16"/>
              </w:rPr>
              <w:t>Total other comprehensive income (loss)</w:t>
            </w:r>
          </w:p>
        </w:tc>
        <w:tc>
          <w:tcPr>
            <w:tcW w:w="960" w:type="dxa"/>
            <w:tcBorders>
              <w:top w:val="nil"/>
              <w:left w:val="nil"/>
              <w:bottom w:val="single" w:sz="4" w:space="0" w:color="auto"/>
              <w:right w:val="nil"/>
            </w:tcBorders>
            <w:shd w:val="clear" w:color="auto" w:fill="auto"/>
            <w:noWrap/>
            <w:vAlign w:val="bottom"/>
            <w:hideMark/>
          </w:tcPr>
          <w:p w14:paraId="7CCC4C5A"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w:t>
            </w:r>
          </w:p>
        </w:tc>
        <w:tc>
          <w:tcPr>
            <w:tcW w:w="920" w:type="dxa"/>
            <w:tcBorders>
              <w:top w:val="nil"/>
              <w:left w:val="nil"/>
              <w:bottom w:val="single" w:sz="4" w:space="0" w:color="auto"/>
              <w:right w:val="nil"/>
            </w:tcBorders>
            <w:shd w:val="clear" w:color="000000" w:fill="D9D9D9"/>
            <w:noWrap/>
            <w:vAlign w:val="bottom"/>
            <w:hideMark/>
          </w:tcPr>
          <w:p w14:paraId="449A165A"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665845B2"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6376B70C"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5C592B16"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w:t>
            </w:r>
          </w:p>
        </w:tc>
      </w:tr>
      <w:tr w:rsidR="003F550B" w:rsidRPr="003F550B" w14:paraId="7DBD2ACF" w14:textId="77777777" w:rsidTr="00FF1A2B">
        <w:trPr>
          <w:trHeight w:val="624"/>
          <w:jc w:val="center"/>
        </w:trPr>
        <w:tc>
          <w:tcPr>
            <w:tcW w:w="3080" w:type="dxa"/>
            <w:tcBorders>
              <w:top w:val="nil"/>
              <w:left w:val="nil"/>
              <w:bottom w:val="single" w:sz="4" w:space="0" w:color="auto"/>
              <w:right w:val="nil"/>
            </w:tcBorders>
            <w:shd w:val="clear" w:color="auto" w:fill="auto"/>
            <w:vAlign w:val="bottom"/>
            <w:hideMark/>
          </w:tcPr>
          <w:p w14:paraId="45ADDE7C" w14:textId="77777777" w:rsidR="003F550B" w:rsidRPr="003F550B" w:rsidRDefault="003F550B" w:rsidP="003F550B">
            <w:pPr>
              <w:spacing w:before="0" w:after="0" w:line="240" w:lineRule="auto"/>
              <w:rPr>
                <w:rFonts w:ascii="Arial" w:hAnsi="Arial" w:cs="Arial"/>
                <w:b/>
                <w:bCs/>
                <w:sz w:val="16"/>
                <w:szCs w:val="16"/>
              </w:rPr>
            </w:pPr>
            <w:r w:rsidRPr="003F550B">
              <w:rPr>
                <w:rFonts w:ascii="Arial" w:hAnsi="Arial" w:cs="Arial"/>
                <w:b/>
                <w:bCs/>
                <w:sz w:val="16"/>
                <w:szCs w:val="16"/>
              </w:rPr>
              <w:t>Total comprehensive income (loss)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3A3D145D"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11,640</w:t>
            </w:r>
          </w:p>
        </w:tc>
        <w:tc>
          <w:tcPr>
            <w:tcW w:w="920" w:type="dxa"/>
            <w:tcBorders>
              <w:top w:val="nil"/>
              <w:left w:val="nil"/>
              <w:bottom w:val="single" w:sz="4" w:space="0" w:color="auto"/>
              <w:right w:val="nil"/>
            </w:tcBorders>
            <w:shd w:val="clear" w:color="000000" w:fill="D9D9D9"/>
            <w:noWrap/>
            <w:vAlign w:val="bottom"/>
            <w:hideMark/>
          </w:tcPr>
          <w:p w14:paraId="5442FB0B"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(5,276)</w:t>
            </w:r>
          </w:p>
        </w:tc>
        <w:tc>
          <w:tcPr>
            <w:tcW w:w="960" w:type="dxa"/>
            <w:tcBorders>
              <w:top w:val="nil"/>
              <w:left w:val="nil"/>
              <w:bottom w:val="single" w:sz="4" w:space="0" w:color="auto"/>
              <w:right w:val="nil"/>
            </w:tcBorders>
            <w:shd w:val="clear" w:color="auto" w:fill="auto"/>
            <w:noWrap/>
            <w:vAlign w:val="bottom"/>
            <w:hideMark/>
          </w:tcPr>
          <w:p w14:paraId="28A5A4DF"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(6,048)</w:t>
            </w:r>
          </w:p>
        </w:tc>
        <w:tc>
          <w:tcPr>
            <w:tcW w:w="960" w:type="dxa"/>
            <w:tcBorders>
              <w:top w:val="nil"/>
              <w:left w:val="nil"/>
              <w:bottom w:val="single" w:sz="4" w:space="0" w:color="auto"/>
              <w:right w:val="nil"/>
            </w:tcBorders>
            <w:shd w:val="clear" w:color="auto" w:fill="auto"/>
            <w:noWrap/>
            <w:vAlign w:val="bottom"/>
            <w:hideMark/>
          </w:tcPr>
          <w:p w14:paraId="75B2CA9D"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(6,891)</w:t>
            </w:r>
          </w:p>
        </w:tc>
        <w:tc>
          <w:tcPr>
            <w:tcW w:w="960" w:type="dxa"/>
            <w:tcBorders>
              <w:top w:val="nil"/>
              <w:left w:val="nil"/>
              <w:bottom w:val="single" w:sz="4" w:space="0" w:color="auto"/>
              <w:right w:val="nil"/>
            </w:tcBorders>
            <w:shd w:val="clear" w:color="auto" w:fill="auto"/>
            <w:noWrap/>
            <w:vAlign w:val="bottom"/>
            <w:hideMark/>
          </w:tcPr>
          <w:p w14:paraId="6713CD70" w14:textId="77777777" w:rsidR="003F550B" w:rsidRPr="003F550B" w:rsidRDefault="003F550B" w:rsidP="003F550B">
            <w:pPr>
              <w:spacing w:before="0" w:after="0" w:line="240" w:lineRule="auto"/>
              <w:jc w:val="right"/>
              <w:rPr>
                <w:rFonts w:ascii="Arial" w:hAnsi="Arial" w:cs="Arial"/>
                <w:b/>
                <w:bCs/>
                <w:sz w:val="16"/>
                <w:szCs w:val="16"/>
              </w:rPr>
            </w:pPr>
            <w:r w:rsidRPr="003F550B">
              <w:rPr>
                <w:rFonts w:ascii="Arial" w:hAnsi="Arial" w:cs="Arial"/>
                <w:b/>
                <w:bCs/>
                <w:sz w:val="16"/>
                <w:szCs w:val="16"/>
              </w:rPr>
              <w:t>(8,982)</w:t>
            </w:r>
          </w:p>
        </w:tc>
      </w:tr>
    </w:tbl>
    <w:p w14:paraId="22A2DF71" w14:textId="713433FD" w:rsidR="00FE4E5D" w:rsidRDefault="00FE4E5D" w:rsidP="00FE4E5D">
      <w:pPr>
        <w:pStyle w:val="TableGraphic"/>
      </w:pPr>
    </w:p>
    <w:p w14:paraId="2894869C" w14:textId="030BBE4F" w:rsidR="003F550B" w:rsidRDefault="003F550B">
      <w:pPr>
        <w:spacing w:before="0" w:after="0" w:line="240" w:lineRule="auto"/>
        <w:rPr>
          <w:rFonts w:ascii="Arial" w:hAnsi="Arial"/>
          <w:sz w:val="16"/>
        </w:rPr>
      </w:pPr>
      <w:r>
        <w:br w:type="page"/>
      </w:r>
    </w:p>
    <w:p w14:paraId="6F74A633" w14:textId="46BE5995" w:rsidR="00FE4E5D" w:rsidRDefault="00FE4E5D" w:rsidP="00FE4E5D">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 (continued)</w:t>
      </w:r>
    </w:p>
    <w:tbl>
      <w:tblPr>
        <w:tblW w:w="7840" w:type="dxa"/>
        <w:jc w:val="center"/>
        <w:tblLayout w:type="fixed"/>
        <w:tblLook w:val="04A0" w:firstRow="1" w:lastRow="0" w:firstColumn="1" w:lastColumn="0" w:noHBand="0" w:noVBand="1"/>
      </w:tblPr>
      <w:tblGrid>
        <w:gridCol w:w="3080"/>
        <w:gridCol w:w="960"/>
        <w:gridCol w:w="920"/>
        <w:gridCol w:w="960"/>
        <w:gridCol w:w="960"/>
        <w:gridCol w:w="960"/>
      </w:tblGrid>
      <w:tr w:rsidR="00C823E1" w:rsidRPr="00FE4E5D" w14:paraId="2E6513CC" w14:textId="77777777" w:rsidTr="00C823E1">
        <w:trPr>
          <w:trHeight w:val="227"/>
          <w:jc w:val="center"/>
        </w:trPr>
        <w:tc>
          <w:tcPr>
            <w:tcW w:w="7840" w:type="dxa"/>
            <w:gridSpan w:val="6"/>
            <w:tcBorders>
              <w:top w:val="single" w:sz="4" w:space="0" w:color="auto"/>
              <w:left w:val="nil"/>
              <w:bottom w:val="nil"/>
              <w:right w:val="nil"/>
            </w:tcBorders>
            <w:shd w:val="clear" w:color="auto" w:fill="auto"/>
          </w:tcPr>
          <w:p w14:paraId="0760FA0A" w14:textId="1DB0ED1E" w:rsidR="00C823E1" w:rsidRDefault="00C823E1" w:rsidP="00C823E1">
            <w:pPr>
              <w:spacing w:before="24" w:after="24" w:line="240" w:lineRule="auto"/>
              <w:rPr>
                <w:rFonts w:ascii="Arial" w:hAnsi="Arial" w:cs="Arial"/>
                <w:b/>
                <w:bCs/>
                <w:sz w:val="16"/>
                <w:szCs w:val="16"/>
              </w:rPr>
            </w:pPr>
            <w:r w:rsidRPr="003F550B">
              <w:rPr>
                <w:rFonts w:ascii="Arial" w:hAnsi="Arial" w:cs="Arial"/>
                <w:b/>
                <w:bCs/>
                <w:color w:val="000000"/>
                <w:sz w:val="16"/>
                <w:szCs w:val="16"/>
              </w:rPr>
              <w:t>Note: Reconciliation of comprehensive income attributable to the agency</w:t>
            </w:r>
          </w:p>
        </w:tc>
      </w:tr>
      <w:tr w:rsidR="00FE4E5D" w:rsidRPr="00FE4E5D" w14:paraId="077FB5FB" w14:textId="77777777" w:rsidTr="00FE4E5D">
        <w:trPr>
          <w:trHeight w:val="397"/>
          <w:jc w:val="center"/>
        </w:trPr>
        <w:tc>
          <w:tcPr>
            <w:tcW w:w="3080" w:type="dxa"/>
            <w:tcBorders>
              <w:top w:val="single" w:sz="4" w:space="0" w:color="auto"/>
              <w:left w:val="nil"/>
              <w:bottom w:val="nil"/>
              <w:right w:val="nil"/>
            </w:tcBorders>
            <w:shd w:val="clear" w:color="auto" w:fill="auto"/>
            <w:hideMark/>
          </w:tcPr>
          <w:p w14:paraId="30066A05" w14:textId="77777777" w:rsidR="00FE4E5D" w:rsidRPr="00FE4E5D" w:rsidRDefault="00FE4E5D" w:rsidP="00FE4E5D">
            <w:pPr>
              <w:spacing w:before="24" w:after="0" w:line="240" w:lineRule="auto"/>
              <w:jc w:val="right"/>
              <w:rPr>
                <w:rFonts w:ascii="Arial" w:hAnsi="Arial" w:cs="Arial"/>
                <w:sz w:val="16"/>
                <w:szCs w:val="16"/>
              </w:rPr>
            </w:pPr>
            <w:r w:rsidRPr="00FE4E5D">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hideMark/>
          </w:tcPr>
          <w:p w14:paraId="011E08ED" w14:textId="483C5E4A" w:rsidR="00FE4E5D" w:rsidRPr="00FE4E5D" w:rsidRDefault="00FE4E5D" w:rsidP="00FE4E5D">
            <w:pPr>
              <w:spacing w:before="24" w:after="0" w:line="240" w:lineRule="auto"/>
              <w:jc w:val="right"/>
              <w:rPr>
                <w:rFonts w:ascii="Arial" w:hAnsi="Arial" w:cs="Arial"/>
                <w:b/>
                <w:bCs/>
                <w:sz w:val="16"/>
                <w:szCs w:val="16"/>
              </w:rPr>
            </w:pPr>
            <w:r>
              <w:rPr>
                <w:rFonts w:ascii="Arial" w:hAnsi="Arial" w:cs="Arial"/>
                <w:b/>
                <w:bCs/>
                <w:sz w:val="16"/>
                <w:szCs w:val="16"/>
              </w:rPr>
              <w:t>2022–</w:t>
            </w:r>
            <w:r w:rsidRPr="00FE4E5D">
              <w:rPr>
                <w:rFonts w:ascii="Arial" w:hAnsi="Arial" w:cs="Arial"/>
                <w:b/>
                <w:bCs/>
                <w:sz w:val="16"/>
                <w:szCs w:val="16"/>
              </w:rPr>
              <w:t xml:space="preserve">23 </w:t>
            </w:r>
            <w:r w:rsidRPr="00FE4E5D">
              <w:rPr>
                <w:rFonts w:ascii="Arial" w:hAnsi="Arial" w:cs="Arial"/>
                <w:sz w:val="16"/>
                <w:szCs w:val="16"/>
              </w:rPr>
              <w:t>$'000</w:t>
            </w:r>
          </w:p>
        </w:tc>
        <w:tc>
          <w:tcPr>
            <w:tcW w:w="920" w:type="dxa"/>
            <w:tcBorders>
              <w:top w:val="single" w:sz="4" w:space="0" w:color="auto"/>
              <w:left w:val="nil"/>
              <w:bottom w:val="single" w:sz="4" w:space="0" w:color="auto"/>
              <w:right w:val="nil"/>
            </w:tcBorders>
            <w:shd w:val="clear" w:color="000000" w:fill="D9D9D9"/>
            <w:hideMark/>
          </w:tcPr>
          <w:p w14:paraId="78492E08" w14:textId="39473EEB" w:rsidR="00FE4E5D" w:rsidRPr="00FE4E5D" w:rsidRDefault="00FE4E5D" w:rsidP="00FE4E5D">
            <w:pPr>
              <w:spacing w:before="24" w:after="0" w:line="240" w:lineRule="auto"/>
              <w:jc w:val="right"/>
              <w:rPr>
                <w:rFonts w:ascii="Arial" w:hAnsi="Arial" w:cs="Arial"/>
                <w:b/>
                <w:bCs/>
                <w:sz w:val="16"/>
                <w:szCs w:val="16"/>
              </w:rPr>
            </w:pPr>
            <w:r>
              <w:rPr>
                <w:rFonts w:ascii="Arial" w:hAnsi="Arial" w:cs="Arial"/>
                <w:b/>
                <w:bCs/>
                <w:sz w:val="16"/>
                <w:szCs w:val="16"/>
              </w:rPr>
              <w:t>2023–</w:t>
            </w:r>
            <w:r w:rsidRPr="00FE4E5D">
              <w:rPr>
                <w:rFonts w:ascii="Arial" w:hAnsi="Arial" w:cs="Arial"/>
                <w:b/>
                <w:bCs/>
                <w:sz w:val="16"/>
                <w:szCs w:val="16"/>
              </w:rPr>
              <w:t>24</w:t>
            </w:r>
            <w:r w:rsidRPr="00FE4E5D">
              <w:rPr>
                <w:rFonts w:ascii="Arial" w:hAnsi="Arial" w:cs="Arial"/>
                <w:b/>
                <w:bCs/>
                <w:sz w:val="16"/>
                <w:szCs w:val="16"/>
              </w:rPr>
              <w:br/>
            </w:r>
            <w:r w:rsidRPr="00FE4E5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2A77E31E" w14:textId="0A7EE92D" w:rsidR="00FE4E5D" w:rsidRPr="00FE4E5D" w:rsidRDefault="00FE4E5D" w:rsidP="00FE4E5D">
            <w:pPr>
              <w:spacing w:before="24" w:after="0" w:line="240" w:lineRule="auto"/>
              <w:jc w:val="right"/>
              <w:rPr>
                <w:rFonts w:ascii="Arial" w:hAnsi="Arial" w:cs="Arial"/>
                <w:b/>
                <w:bCs/>
                <w:sz w:val="16"/>
                <w:szCs w:val="16"/>
              </w:rPr>
            </w:pPr>
            <w:r>
              <w:rPr>
                <w:rFonts w:ascii="Arial" w:hAnsi="Arial" w:cs="Arial"/>
                <w:b/>
                <w:bCs/>
                <w:sz w:val="16"/>
                <w:szCs w:val="16"/>
              </w:rPr>
              <w:t>2024–</w:t>
            </w:r>
            <w:r w:rsidRPr="00FE4E5D">
              <w:rPr>
                <w:rFonts w:ascii="Arial" w:hAnsi="Arial" w:cs="Arial"/>
                <w:b/>
                <w:bCs/>
                <w:sz w:val="16"/>
                <w:szCs w:val="16"/>
              </w:rPr>
              <w:t>25</w:t>
            </w:r>
            <w:r w:rsidRPr="00FE4E5D">
              <w:rPr>
                <w:rFonts w:ascii="Arial" w:hAnsi="Arial" w:cs="Arial"/>
                <w:b/>
                <w:bCs/>
                <w:sz w:val="16"/>
                <w:szCs w:val="16"/>
              </w:rPr>
              <w:br/>
            </w:r>
            <w:r w:rsidRPr="00FE4E5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450BECE" w14:textId="6ED4F6F3" w:rsidR="00FE4E5D" w:rsidRPr="00FE4E5D" w:rsidRDefault="00FE4E5D" w:rsidP="00FE4E5D">
            <w:pPr>
              <w:spacing w:before="24" w:after="0" w:line="240" w:lineRule="auto"/>
              <w:jc w:val="right"/>
              <w:rPr>
                <w:rFonts w:ascii="Arial" w:hAnsi="Arial" w:cs="Arial"/>
                <w:b/>
                <w:bCs/>
                <w:sz w:val="16"/>
                <w:szCs w:val="16"/>
              </w:rPr>
            </w:pPr>
            <w:r>
              <w:rPr>
                <w:rFonts w:ascii="Arial" w:hAnsi="Arial" w:cs="Arial"/>
                <w:b/>
                <w:bCs/>
                <w:sz w:val="16"/>
                <w:szCs w:val="16"/>
              </w:rPr>
              <w:t>2025–</w:t>
            </w:r>
            <w:r w:rsidRPr="00FE4E5D">
              <w:rPr>
                <w:rFonts w:ascii="Arial" w:hAnsi="Arial" w:cs="Arial"/>
                <w:b/>
                <w:bCs/>
                <w:sz w:val="16"/>
                <w:szCs w:val="16"/>
              </w:rPr>
              <w:t>26</w:t>
            </w:r>
            <w:r w:rsidRPr="00FE4E5D">
              <w:rPr>
                <w:rFonts w:ascii="Arial" w:hAnsi="Arial" w:cs="Arial"/>
                <w:b/>
                <w:bCs/>
                <w:sz w:val="16"/>
                <w:szCs w:val="16"/>
              </w:rPr>
              <w:br/>
            </w:r>
            <w:r w:rsidRPr="00FE4E5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38B4B48F" w14:textId="078F80CD" w:rsidR="00FE4E5D" w:rsidRPr="00FE4E5D" w:rsidRDefault="00FE4E5D" w:rsidP="00FE4E5D">
            <w:pPr>
              <w:spacing w:before="24" w:after="0" w:line="240" w:lineRule="auto"/>
              <w:jc w:val="right"/>
              <w:rPr>
                <w:rFonts w:ascii="Arial" w:hAnsi="Arial" w:cs="Arial"/>
                <w:b/>
                <w:bCs/>
                <w:sz w:val="16"/>
                <w:szCs w:val="16"/>
              </w:rPr>
            </w:pPr>
            <w:r>
              <w:rPr>
                <w:rFonts w:ascii="Arial" w:hAnsi="Arial" w:cs="Arial"/>
                <w:b/>
                <w:bCs/>
                <w:sz w:val="16"/>
                <w:szCs w:val="16"/>
              </w:rPr>
              <w:t>2026–</w:t>
            </w:r>
            <w:r w:rsidRPr="00FE4E5D">
              <w:rPr>
                <w:rFonts w:ascii="Arial" w:hAnsi="Arial" w:cs="Arial"/>
                <w:b/>
                <w:bCs/>
                <w:sz w:val="16"/>
                <w:szCs w:val="16"/>
              </w:rPr>
              <w:t>27</w:t>
            </w:r>
            <w:r w:rsidRPr="00FE4E5D">
              <w:rPr>
                <w:rFonts w:ascii="Arial" w:hAnsi="Arial" w:cs="Arial"/>
                <w:b/>
                <w:bCs/>
                <w:sz w:val="16"/>
                <w:szCs w:val="16"/>
              </w:rPr>
              <w:br/>
            </w:r>
            <w:r w:rsidRPr="00FE4E5D">
              <w:rPr>
                <w:rFonts w:ascii="Arial" w:hAnsi="Arial" w:cs="Arial"/>
                <w:sz w:val="16"/>
                <w:szCs w:val="16"/>
              </w:rPr>
              <w:t>$'000</w:t>
            </w:r>
          </w:p>
        </w:tc>
      </w:tr>
      <w:tr w:rsidR="00FE4E5D" w:rsidRPr="00FE4E5D" w14:paraId="7CC63842" w14:textId="77777777" w:rsidTr="004412E5">
        <w:trPr>
          <w:trHeight w:val="595"/>
          <w:jc w:val="center"/>
        </w:trPr>
        <w:tc>
          <w:tcPr>
            <w:tcW w:w="3080" w:type="dxa"/>
            <w:tcBorders>
              <w:top w:val="nil"/>
              <w:left w:val="nil"/>
              <w:bottom w:val="nil"/>
              <w:right w:val="nil"/>
            </w:tcBorders>
            <w:shd w:val="clear" w:color="auto" w:fill="auto"/>
            <w:vAlign w:val="bottom"/>
            <w:hideMark/>
          </w:tcPr>
          <w:p w14:paraId="49752477" w14:textId="77777777" w:rsidR="00FE4E5D" w:rsidRPr="00FE4E5D" w:rsidRDefault="00FE4E5D" w:rsidP="00FE4E5D">
            <w:pPr>
              <w:spacing w:before="0" w:after="0" w:line="240" w:lineRule="auto"/>
              <w:rPr>
                <w:rFonts w:ascii="Arial" w:hAnsi="Arial" w:cs="Arial"/>
                <w:b/>
                <w:bCs/>
                <w:sz w:val="16"/>
                <w:szCs w:val="16"/>
              </w:rPr>
            </w:pPr>
            <w:r w:rsidRPr="00FE4E5D">
              <w:rPr>
                <w:rFonts w:ascii="Arial" w:hAnsi="Arial" w:cs="Arial"/>
                <w:b/>
                <w:bCs/>
                <w:sz w:val="16"/>
                <w:szCs w:val="16"/>
              </w:rPr>
              <w:t>Total comprehensive income (loss) attributable to the Australian Government</w:t>
            </w:r>
          </w:p>
        </w:tc>
        <w:tc>
          <w:tcPr>
            <w:tcW w:w="960" w:type="dxa"/>
            <w:tcBorders>
              <w:top w:val="nil"/>
              <w:left w:val="nil"/>
              <w:bottom w:val="nil"/>
              <w:right w:val="nil"/>
            </w:tcBorders>
            <w:shd w:val="clear" w:color="auto" w:fill="auto"/>
            <w:noWrap/>
            <w:vAlign w:val="bottom"/>
            <w:hideMark/>
          </w:tcPr>
          <w:p w14:paraId="2E04D19B" w14:textId="77777777" w:rsidR="00FE4E5D" w:rsidRPr="00FE4E5D" w:rsidRDefault="00FE4E5D" w:rsidP="00FE4E5D">
            <w:pPr>
              <w:spacing w:before="0" w:after="0" w:line="240" w:lineRule="auto"/>
              <w:jc w:val="right"/>
              <w:rPr>
                <w:rFonts w:ascii="Arial" w:hAnsi="Arial" w:cs="Arial"/>
                <w:b/>
                <w:bCs/>
                <w:color w:val="000000"/>
                <w:sz w:val="16"/>
                <w:szCs w:val="16"/>
              </w:rPr>
            </w:pPr>
            <w:r w:rsidRPr="00FE4E5D">
              <w:rPr>
                <w:rFonts w:ascii="Arial" w:hAnsi="Arial" w:cs="Arial"/>
                <w:b/>
                <w:bCs/>
                <w:color w:val="000000"/>
                <w:sz w:val="16"/>
                <w:szCs w:val="16"/>
              </w:rPr>
              <w:t>11,640</w:t>
            </w:r>
          </w:p>
        </w:tc>
        <w:tc>
          <w:tcPr>
            <w:tcW w:w="920" w:type="dxa"/>
            <w:tcBorders>
              <w:top w:val="nil"/>
              <w:left w:val="nil"/>
              <w:bottom w:val="nil"/>
              <w:right w:val="nil"/>
            </w:tcBorders>
            <w:shd w:val="clear" w:color="000000" w:fill="D9D9D9"/>
            <w:vAlign w:val="bottom"/>
            <w:hideMark/>
          </w:tcPr>
          <w:p w14:paraId="09EA0220"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(5,276)</w:t>
            </w:r>
          </w:p>
        </w:tc>
        <w:tc>
          <w:tcPr>
            <w:tcW w:w="960" w:type="dxa"/>
            <w:tcBorders>
              <w:top w:val="nil"/>
              <w:left w:val="nil"/>
              <w:bottom w:val="nil"/>
              <w:right w:val="nil"/>
            </w:tcBorders>
            <w:shd w:val="clear" w:color="auto" w:fill="auto"/>
            <w:vAlign w:val="bottom"/>
            <w:hideMark/>
          </w:tcPr>
          <w:p w14:paraId="71603ECB"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(6,048)</w:t>
            </w:r>
          </w:p>
        </w:tc>
        <w:tc>
          <w:tcPr>
            <w:tcW w:w="960" w:type="dxa"/>
            <w:tcBorders>
              <w:top w:val="nil"/>
              <w:left w:val="nil"/>
              <w:bottom w:val="nil"/>
              <w:right w:val="nil"/>
            </w:tcBorders>
            <w:shd w:val="clear" w:color="auto" w:fill="auto"/>
            <w:vAlign w:val="bottom"/>
            <w:hideMark/>
          </w:tcPr>
          <w:p w14:paraId="1455E24B"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(6,891)</w:t>
            </w:r>
          </w:p>
        </w:tc>
        <w:tc>
          <w:tcPr>
            <w:tcW w:w="960" w:type="dxa"/>
            <w:tcBorders>
              <w:top w:val="nil"/>
              <w:left w:val="nil"/>
              <w:bottom w:val="nil"/>
              <w:right w:val="nil"/>
            </w:tcBorders>
            <w:shd w:val="clear" w:color="auto" w:fill="auto"/>
            <w:vAlign w:val="bottom"/>
            <w:hideMark/>
          </w:tcPr>
          <w:p w14:paraId="3DD70421"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(8,982)</w:t>
            </w:r>
          </w:p>
        </w:tc>
      </w:tr>
      <w:tr w:rsidR="00FE4E5D" w:rsidRPr="00FE4E5D" w14:paraId="4D1CDF78" w14:textId="77777777" w:rsidTr="004412E5">
        <w:trPr>
          <w:trHeight w:val="595"/>
          <w:jc w:val="center"/>
        </w:trPr>
        <w:tc>
          <w:tcPr>
            <w:tcW w:w="3080" w:type="dxa"/>
            <w:tcBorders>
              <w:top w:val="nil"/>
              <w:left w:val="nil"/>
              <w:bottom w:val="nil"/>
              <w:right w:val="nil"/>
            </w:tcBorders>
            <w:shd w:val="clear" w:color="auto" w:fill="auto"/>
            <w:vAlign w:val="bottom"/>
            <w:hideMark/>
          </w:tcPr>
          <w:p w14:paraId="5B6926BF" w14:textId="77777777" w:rsidR="00FE4E5D" w:rsidRPr="00FE4E5D" w:rsidRDefault="00FE4E5D" w:rsidP="00FE4E5D">
            <w:pPr>
              <w:spacing w:before="0" w:after="0" w:line="240" w:lineRule="auto"/>
              <w:ind w:leftChars="75" w:left="143"/>
              <w:rPr>
                <w:rFonts w:ascii="Arial" w:hAnsi="Arial" w:cs="Arial"/>
                <w:color w:val="000000"/>
                <w:sz w:val="16"/>
                <w:szCs w:val="16"/>
              </w:rPr>
            </w:pPr>
            <w:proofErr w:type="gramStart"/>
            <w:r w:rsidRPr="00FE4E5D">
              <w:rPr>
                <w:rFonts w:ascii="Arial" w:hAnsi="Arial" w:cs="Arial"/>
                <w:color w:val="000000"/>
                <w:sz w:val="16"/>
                <w:szCs w:val="16"/>
              </w:rPr>
              <w:t>plus</w:t>
            </w:r>
            <w:proofErr w:type="gramEnd"/>
            <w:r w:rsidRPr="00FE4E5D">
              <w:rPr>
                <w:rFonts w:ascii="Arial" w:hAnsi="Arial" w:cs="Arial"/>
                <w:color w:val="000000"/>
                <w:sz w:val="16"/>
                <w:szCs w:val="16"/>
              </w:rPr>
              <w:t xml:space="preserve"> non-appropriated expenses depreciation and amortisation expenses</w:t>
            </w:r>
          </w:p>
        </w:tc>
        <w:tc>
          <w:tcPr>
            <w:tcW w:w="960" w:type="dxa"/>
            <w:tcBorders>
              <w:top w:val="nil"/>
              <w:left w:val="nil"/>
              <w:bottom w:val="nil"/>
              <w:right w:val="nil"/>
            </w:tcBorders>
            <w:shd w:val="clear" w:color="auto" w:fill="auto"/>
            <w:noWrap/>
            <w:vAlign w:val="bottom"/>
            <w:hideMark/>
          </w:tcPr>
          <w:p w14:paraId="6C006771"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1,474</w:t>
            </w:r>
          </w:p>
        </w:tc>
        <w:tc>
          <w:tcPr>
            <w:tcW w:w="920" w:type="dxa"/>
            <w:tcBorders>
              <w:top w:val="nil"/>
              <w:left w:val="nil"/>
              <w:bottom w:val="nil"/>
              <w:right w:val="nil"/>
            </w:tcBorders>
            <w:shd w:val="clear" w:color="000000" w:fill="D9D9D9"/>
            <w:noWrap/>
            <w:vAlign w:val="bottom"/>
            <w:hideMark/>
          </w:tcPr>
          <w:p w14:paraId="668D5621"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4,175</w:t>
            </w:r>
          </w:p>
        </w:tc>
        <w:tc>
          <w:tcPr>
            <w:tcW w:w="960" w:type="dxa"/>
            <w:tcBorders>
              <w:top w:val="nil"/>
              <w:left w:val="nil"/>
              <w:bottom w:val="nil"/>
              <w:right w:val="nil"/>
            </w:tcBorders>
            <w:shd w:val="clear" w:color="auto" w:fill="auto"/>
            <w:noWrap/>
            <w:vAlign w:val="bottom"/>
            <w:hideMark/>
          </w:tcPr>
          <w:p w14:paraId="572E2866"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4,755</w:t>
            </w:r>
          </w:p>
        </w:tc>
        <w:tc>
          <w:tcPr>
            <w:tcW w:w="960" w:type="dxa"/>
            <w:tcBorders>
              <w:top w:val="nil"/>
              <w:left w:val="nil"/>
              <w:bottom w:val="nil"/>
              <w:right w:val="nil"/>
            </w:tcBorders>
            <w:shd w:val="clear" w:color="auto" w:fill="auto"/>
            <w:noWrap/>
            <w:vAlign w:val="bottom"/>
            <w:hideMark/>
          </w:tcPr>
          <w:p w14:paraId="20D0A6ED"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5,161</w:t>
            </w:r>
          </w:p>
        </w:tc>
        <w:tc>
          <w:tcPr>
            <w:tcW w:w="960" w:type="dxa"/>
            <w:tcBorders>
              <w:top w:val="nil"/>
              <w:left w:val="nil"/>
              <w:bottom w:val="nil"/>
              <w:right w:val="nil"/>
            </w:tcBorders>
            <w:shd w:val="clear" w:color="auto" w:fill="auto"/>
            <w:noWrap/>
            <w:vAlign w:val="bottom"/>
            <w:hideMark/>
          </w:tcPr>
          <w:p w14:paraId="7FA08BB7"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5,773</w:t>
            </w:r>
          </w:p>
        </w:tc>
      </w:tr>
      <w:tr w:rsidR="00FE4E5D" w:rsidRPr="00FE4E5D" w14:paraId="2D8F694C" w14:textId="77777777" w:rsidTr="004412E5">
        <w:trPr>
          <w:trHeight w:val="425"/>
          <w:jc w:val="center"/>
        </w:trPr>
        <w:tc>
          <w:tcPr>
            <w:tcW w:w="3080" w:type="dxa"/>
            <w:tcBorders>
              <w:top w:val="nil"/>
              <w:left w:val="nil"/>
              <w:bottom w:val="nil"/>
              <w:right w:val="nil"/>
            </w:tcBorders>
            <w:shd w:val="clear" w:color="auto" w:fill="auto"/>
            <w:vAlign w:val="bottom"/>
            <w:hideMark/>
          </w:tcPr>
          <w:p w14:paraId="67B5DF53" w14:textId="77777777" w:rsidR="00FE4E5D" w:rsidRPr="00FE4E5D" w:rsidRDefault="00FE4E5D" w:rsidP="00FE4E5D">
            <w:pPr>
              <w:spacing w:before="0" w:after="0" w:line="240" w:lineRule="auto"/>
              <w:ind w:leftChars="75" w:left="143"/>
              <w:rPr>
                <w:rFonts w:ascii="Arial" w:hAnsi="Arial" w:cs="Arial"/>
                <w:color w:val="000000"/>
                <w:sz w:val="16"/>
                <w:szCs w:val="16"/>
              </w:rPr>
            </w:pPr>
            <w:proofErr w:type="gramStart"/>
            <w:r w:rsidRPr="00FE4E5D">
              <w:rPr>
                <w:rFonts w:ascii="Arial" w:hAnsi="Arial" w:cs="Arial"/>
                <w:color w:val="000000"/>
                <w:sz w:val="16"/>
                <w:szCs w:val="16"/>
              </w:rPr>
              <w:t>plus</w:t>
            </w:r>
            <w:proofErr w:type="gramEnd"/>
            <w:r w:rsidRPr="00FE4E5D">
              <w:rPr>
                <w:rFonts w:ascii="Arial" w:hAnsi="Arial" w:cs="Arial"/>
                <w:color w:val="000000"/>
                <w:sz w:val="16"/>
                <w:szCs w:val="16"/>
              </w:rPr>
              <w:t xml:space="preserve"> depreciation and amortisation expenses for </w:t>
            </w:r>
            <w:proofErr w:type="spellStart"/>
            <w:r w:rsidRPr="00FE4E5D">
              <w:rPr>
                <w:rFonts w:ascii="Arial" w:hAnsi="Arial" w:cs="Arial"/>
                <w:color w:val="000000"/>
                <w:sz w:val="16"/>
                <w:szCs w:val="16"/>
              </w:rPr>
              <w:t>RoU</w:t>
            </w:r>
            <w:proofErr w:type="spellEnd"/>
          </w:p>
        </w:tc>
        <w:tc>
          <w:tcPr>
            <w:tcW w:w="960" w:type="dxa"/>
            <w:tcBorders>
              <w:top w:val="nil"/>
              <w:left w:val="nil"/>
              <w:bottom w:val="nil"/>
              <w:right w:val="nil"/>
            </w:tcBorders>
            <w:shd w:val="clear" w:color="auto" w:fill="auto"/>
            <w:noWrap/>
            <w:vAlign w:val="bottom"/>
            <w:hideMark/>
          </w:tcPr>
          <w:p w14:paraId="47456019"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5,752</w:t>
            </w:r>
          </w:p>
        </w:tc>
        <w:tc>
          <w:tcPr>
            <w:tcW w:w="920" w:type="dxa"/>
            <w:tcBorders>
              <w:top w:val="nil"/>
              <w:left w:val="nil"/>
              <w:bottom w:val="nil"/>
              <w:right w:val="nil"/>
            </w:tcBorders>
            <w:shd w:val="clear" w:color="000000" w:fill="D9D9D9"/>
            <w:noWrap/>
            <w:vAlign w:val="bottom"/>
            <w:hideMark/>
          </w:tcPr>
          <w:p w14:paraId="4B847CF8"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6,739</w:t>
            </w:r>
          </w:p>
        </w:tc>
        <w:tc>
          <w:tcPr>
            <w:tcW w:w="960" w:type="dxa"/>
            <w:tcBorders>
              <w:top w:val="nil"/>
              <w:left w:val="nil"/>
              <w:bottom w:val="nil"/>
              <w:right w:val="nil"/>
            </w:tcBorders>
            <w:shd w:val="clear" w:color="auto" w:fill="auto"/>
            <w:noWrap/>
            <w:vAlign w:val="bottom"/>
            <w:hideMark/>
          </w:tcPr>
          <w:p w14:paraId="34BB006C"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6,926</w:t>
            </w:r>
          </w:p>
        </w:tc>
        <w:tc>
          <w:tcPr>
            <w:tcW w:w="960" w:type="dxa"/>
            <w:tcBorders>
              <w:top w:val="nil"/>
              <w:left w:val="nil"/>
              <w:bottom w:val="nil"/>
              <w:right w:val="nil"/>
            </w:tcBorders>
            <w:shd w:val="clear" w:color="auto" w:fill="auto"/>
            <w:noWrap/>
            <w:vAlign w:val="bottom"/>
            <w:hideMark/>
          </w:tcPr>
          <w:p w14:paraId="050C1045"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7,523</w:t>
            </w:r>
          </w:p>
        </w:tc>
        <w:tc>
          <w:tcPr>
            <w:tcW w:w="960" w:type="dxa"/>
            <w:tcBorders>
              <w:top w:val="nil"/>
              <w:left w:val="nil"/>
              <w:bottom w:val="nil"/>
              <w:right w:val="nil"/>
            </w:tcBorders>
            <w:shd w:val="clear" w:color="auto" w:fill="auto"/>
            <w:noWrap/>
            <w:vAlign w:val="bottom"/>
            <w:hideMark/>
          </w:tcPr>
          <w:p w14:paraId="3AD8E329"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9,190</w:t>
            </w:r>
          </w:p>
        </w:tc>
      </w:tr>
      <w:tr w:rsidR="00FE4E5D" w:rsidRPr="00FE4E5D" w14:paraId="30836FD5" w14:textId="77777777" w:rsidTr="004412E5">
        <w:trPr>
          <w:trHeight w:val="283"/>
          <w:jc w:val="center"/>
        </w:trPr>
        <w:tc>
          <w:tcPr>
            <w:tcW w:w="3080" w:type="dxa"/>
            <w:tcBorders>
              <w:top w:val="nil"/>
              <w:left w:val="nil"/>
              <w:bottom w:val="nil"/>
              <w:right w:val="nil"/>
            </w:tcBorders>
            <w:shd w:val="clear" w:color="auto" w:fill="auto"/>
            <w:vAlign w:val="bottom"/>
            <w:hideMark/>
          </w:tcPr>
          <w:p w14:paraId="71C7546F" w14:textId="77777777" w:rsidR="00FE4E5D" w:rsidRPr="00FE4E5D" w:rsidRDefault="00FE4E5D" w:rsidP="00FE4E5D">
            <w:pPr>
              <w:spacing w:before="0" w:after="0" w:line="240" w:lineRule="auto"/>
              <w:ind w:leftChars="75" w:left="143"/>
              <w:rPr>
                <w:rFonts w:ascii="Arial" w:hAnsi="Arial" w:cs="Arial"/>
                <w:color w:val="000000"/>
                <w:sz w:val="16"/>
                <w:szCs w:val="16"/>
              </w:rPr>
            </w:pPr>
            <w:r w:rsidRPr="00FE4E5D">
              <w:rPr>
                <w:rFonts w:ascii="Arial" w:hAnsi="Arial" w:cs="Arial"/>
                <w:color w:val="000000"/>
                <w:sz w:val="16"/>
                <w:szCs w:val="16"/>
              </w:rPr>
              <w:t>less lease principal repayments</w:t>
            </w:r>
          </w:p>
        </w:tc>
        <w:tc>
          <w:tcPr>
            <w:tcW w:w="960" w:type="dxa"/>
            <w:tcBorders>
              <w:top w:val="nil"/>
              <w:left w:val="nil"/>
              <w:bottom w:val="nil"/>
              <w:right w:val="nil"/>
            </w:tcBorders>
            <w:shd w:val="clear" w:color="auto" w:fill="auto"/>
            <w:noWrap/>
            <w:vAlign w:val="bottom"/>
            <w:hideMark/>
          </w:tcPr>
          <w:p w14:paraId="06FF1FA3"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(5,852)</w:t>
            </w:r>
          </w:p>
        </w:tc>
        <w:tc>
          <w:tcPr>
            <w:tcW w:w="920" w:type="dxa"/>
            <w:tcBorders>
              <w:top w:val="nil"/>
              <w:left w:val="nil"/>
              <w:bottom w:val="nil"/>
              <w:right w:val="nil"/>
            </w:tcBorders>
            <w:shd w:val="clear" w:color="000000" w:fill="D9D9D9"/>
            <w:noWrap/>
            <w:vAlign w:val="bottom"/>
            <w:hideMark/>
          </w:tcPr>
          <w:p w14:paraId="046D66B1"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(5,638)</w:t>
            </w:r>
          </w:p>
        </w:tc>
        <w:tc>
          <w:tcPr>
            <w:tcW w:w="960" w:type="dxa"/>
            <w:tcBorders>
              <w:top w:val="nil"/>
              <w:left w:val="nil"/>
              <w:bottom w:val="nil"/>
              <w:right w:val="nil"/>
            </w:tcBorders>
            <w:shd w:val="clear" w:color="auto" w:fill="auto"/>
            <w:noWrap/>
            <w:vAlign w:val="bottom"/>
            <w:hideMark/>
          </w:tcPr>
          <w:p w14:paraId="740949CC"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(5,633)</w:t>
            </w:r>
          </w:p>
        </w:tc>
        <w:tc>
          <w:tcPr>
            <w:tcW w:w="960" w:type="dxa"/>
            <w:tcBorders>
              <w:top w:val="nil"/>
              <w:left w:val="nil"/>
              <w:bottom w:val="nil"/>
              <w:right w:val="nil"/>
            </w:tcBorders>
            <w:shd w:val="clear" w:color="auto" w:fill="auto"/>
            <w:noWrap/>
            <w:vAlign w:val="bottom"/>
            <w:hideMark/>
          </w:tcPr>
          <w:p w14:paraId="23610B7A"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(5,793)</w:t>
            </w:r>
          </w:p>
        </w:tc>
        <w:tc>
          <w:tcPr>
            <w:tcW w:w="960" w:type="dxa"/>
            <w:tcBorders>
              <w:top w:val="nil"/>
              <w:left w:val="nil"/>
              <w:bottom w:val="nil"/>
              <w:right w:val="nil"/>
            </w:tcBorders>
            <w:shd w:val="clear" w:color="auto" w:fill="auto"/>
            <w:noWrap/>
            <w:vAlign w:val="bottom"/>
            <w:hideMark/>
          </w:tcPr>
          <w:p w14:paraId="5D01FE3E" w14:textId="77777777" w:rsidR="00FE4E5D" w:rsidRPr="00FE4E5D" w:rsidRDefault="00FE4E5D" w:rsidP="00FE4E5D">
            <w:pPr>
              <w:spacing w:before="0" w:after="0" w:line="240" w:lineRule="auto"/>
              <w:jc w:val="right"/>
              <w:rPr>
                <w:rFonts w:ascii="Arial" w:hAnsi="Arial" w:cs="Arial"/>
                <w:sz w:val="16"/>
                <w:szCs w:val="16"/>
              </w:rPr>
            </w:pPr>
            <w:r w:rsidRPr="00FE4E5D">
              <w:rPr>
                <w:rFonts w:ascii="Arial" w:hAnsi="Arial" w:cs="Arial"/>
                <w:sz w:val="16"/>
                <w:szCs w:val="16"/>
              </w:rPr>
              <w:t>(5,981)</w:t>
            </w:r>
          </w:p>
        </w:tc>
      </w:tr>
      <w:tr w:rsidR="00FE4E5D" w:rsidRPr="00FE4E5D" w14:paraId="5D82E96B" w14:textId="77777777" w:rsidTr="004412E5">
        <w:trPr>
          <w:trHeight w:val="454"/>
          <w:jc w:val="center"/>
        </w:trPr>
        <w:tc>
          <w:tcPr>
            <w:tcW w:w="3080" w:type="dxa"/>
            <w:tcBorders>
              <w:top w:val="nil"/>
              <w:left w:val="nil"/>
              <w:bottom w:val="single" w:sz="4" w:space="0" w:color="auto"/>
              <w:right w:val="nil"/>
            </w:tcBorders>
            <w:shd w:val="clear" w:color="auto" w:fill="auto"/>
            <w:vAlign w:val="bottom"/>
            <w:hideMark/>
          </w:tcPr>
          <w:p w14:paraId="3D661A04" w14:textId="77777777" w:rsidR="00FE4E5D" w:rsidRPr="00FE4E5D" w:rsidRDefault="00FE4E5D" w:rsidP="00FE4E5D">
            <w:pPr>
              <w:spacing w:before="0" w:after="0" w:line="240" w:lineRule="auto"/>
              <w:rPr>
                <w:rFonts w:ascii="Arial" w:hAnsi="Arial" w:cs="Arial"/>
                <w:b/>
                <w:bCs/>
                <w:sz w:val="16"/>
                <w:szCs w:val="16"/>
              </w:rPr>
            </w:pPr>
            <w:r w:rsidRPr="00FE4E5D">
              <w:rPr>
                <w:rFonts w:ascii="Arial" w:hAnsi="Arial" w:cs="Arial"/>
                <w:b/>
                <w:bCs/>
                <w:sz w:val="16"/>
                <w:szCs w:val="16"/>
              </w:rPr>
              <w:t>Total comprehensive income (loss) attributable to the agency</w:t>
            </w:r>
          </w:p>
        </w:tc>
        <w:tc>
          <w:tcPr>
            <w:tcW w:w="960" w:type="dxa"/>
            <w:tcBorders>
              <w:top w:val="nil"/>
              <w:left w:val="nil"/>
              <w:bottom w:val="single" w:sz="4" w:space="0" w:color="auto"/>
              <w:right w:val="nil"/>
            </w:tcBorders>
            <w:shd w:val="clear" w:color="auto" w:fill="auto"/>
            <w:noWrap/>
            <w:vAlign w:val="bottom"/>
            <w:hideMark/>
          </w:tcPr>
          <w:p w14:paraId="1100EAEA"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13,014</w:t>
            </w:r>
          </w:p>
        </w:tc>
        <w:tc>
          <w:tcPr>
            <w:tcW w:w="920" w:type="dxa"/>
            <w:tcBorders>
              <w:top w:val="nil"/>
              <w:left w:val="nil"/>
              <w:bottom w:val="single" w:sz="4" w:space="0" w:color="auto"/>
              <w:right w:val="nil"/>
            </w:tcBorders>
            <w:shd w:val="clear" w:color="000000" w:fill="D9D9D9"/>
            <w:noWrap/>
            <w:vAlign w:val="bottom"/>
            <w:hideMark/>
          </w:tcPr>
          <w:p w14:paraId="6B40D637"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3166F990"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5680CD45"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264FC69B" w14:textId="77777777" w:rsidR="00FE4E5D" w:rsidRPr="00FE4E5D" w:rsidRDefault="00FE4E5D" w:rsidP="00FE4E5D">
            <w:pPr>
              <w:spacing w:before="0" w:after="0" w:line="240" w:lineRule="auto"/>
              <w:jc w:val="right"/>
              <w:rPr>
                <w:rFonts w:ascii="Arial" w:hAnsi="Arial" w:cs="Arial"/>
                <w:b/>
                <w:bCs/>
                <w:sz w:val="16"/>
                <w:szCs w:val="16"/>
              </w:rPr>
            </w:pPr>
            <w:r w:rsidRPr="00FE4E5D">
              <w:rPr>
                <w:rFonts w:ascii="Arial" w:hAnsi="Arial" w:cs="Arial"/>
                <w:b/>
                <w:bCs/>
                <w:sz w:val="16"/>
                <w:szCs w:val="16"/>
              </w:rPr>
              <w:t>-</w:t>
            </w:r>
          </w:p>
        </w:tc>
      </w:tr>
    </w:tbl>
    <w:p w14:paraId="6BF366DE" w14:textId="77777777" w:rsidR="003F550B" w:rsidRDefault="003F550B" w:rsidP="003F550B">
      <w:pPr>
        <w:pStyle w:val="FootnoteText"/>
        <w:spacing w:before="120"/>
      </w:pPr>
      <w:proofErr w:type="spellStart"/>
      <w:r w:rsidRPr="00845828">
        <w:t>RoU</w:t>
      </w:r>
      <w:proofErr w:type="spellEnd"/>
      <w:r w:rsidRPr="00845828">
        <w:t xml:space="preserve"> = Right-of-Use asset</w:t>
      </w:r>
      <w:r w:rsidRPr="00845828">
        <w:tab/>
      </w:r>
    </w:p>
    <w:p w14:paraId="09537C70" w14:textId="77777777" w:rsidR="00FE4E5D" w:rsidRPr="00845828" w:rsidRDefault="00FE4E5D" w:rsidP="007E1D60">
      <w:pPr>
        <w:pStyle w:val="FootnoteText"/>
        <w:spacing w:before="120"/>
      </w:pPr>
    </w:p>
    <w:p w14:paraId="26338331" w14:textId="77777777" w:rsidR="00275707" w:rsidRPr="005B0398" w:rsidRDefault="00275707" w:rsidP="00275707">
      <w:pPr>
        <w:pStyle w:val="TableHeading"/>
        <w:spacing w:before="0"/>
      </w:pPr>
      <w:r>
        <w:br w:type="page"/>
      </w:r>
    </w:p>
    <w:p w14:paraId="31F30F62" w14:textId="77777777" w:rsidR="00275707" w:rsidRDefault="00275707" w:rsidP="00275707">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E042BD" w:rsidRPr="00E042BD" w14:paraId="60CE9738" w14:textId="77777777" w:rsidTr="00E042BD">
        <w:trPr>
          <w:trHeight w:val="765"/>
          <w:jc w:val="center"/>
        </w:trPr>
        <w:tc>
          <w:tcPr>
            <w:tcW w:w="3080" w:type="dxa"/>
            <w:tcBorders>
              <w:top w:val="single" w:sz="4" w:space="0" w:color="auto"/>
              <w:left w:val="nil"/>
              <w:bottom w:val="nil"/>
              <w:right w:val="nil"/>
            </w:tcBorders>
            <w:shd w:val="clear" w:color="auto" w:fill="auto"/>
            <w:vAlign w:val="bottom"/>
            <w:hideMark/>
          </w:tcPr>
          <w:p w14:paraId="4625719F" w14:textId="77777777" w:rsidR="00E042BD" w:rsidRPr="00E042BD" w:rsidRDefault="00E042BD" w:rsidP="00E042BD">
            <w:pPr>
              <w:spacing w:before="24" w:after="0" w:line="240" w:lineRule="auto"/>
              <w:jc w:val="right"/>
              <w:rPr>
                <w:rFonts w:ascii="Arial" w:hAnsi="Arial" w:cs="Arial"/>
                <w:b/>
                <w:bCs/>
                <w:sz w:val="16"/>
                <w:szCs w:val="16"/>
              </w:rPr>
            </w:pPr>
            <w:r w:rsidRPr="00E042BD">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2584BDE6" w14:textId="7C8D3AE0" w:rsidR="00E042BD" w:rsidRPr="00E042BD" w:rsidRDefault="00E042BD" w:rsidP="00E042BD">
            <w:pPr>
              <w:spacing w:before="24" w:after="0" w:line="240" w:lineRule="auto"/>
              <w:jc w:val="right"/>
              <w:rPr>
                <w:rFonts w:ascii="Arial" w:hAnsi="Arial" w:cs="Arial"/>
                <w:b/>
                <w:bCs/>
                <w:sz w:val="16"/>
                <w:szCs w:val="16"/>
              </w:rPr>
            </w:pPr>
            <w:r>
              <w:rPr>
                <w:rFonts w:ascii="Arial" w:hAnsi="Arial" w:cs="Arial"/>
                <w:b/>
                <w:bCs/>
                <w:sz w:val="16"/>
                <w:szCs w:val="16"/>
              </w:rPr>
              <w:t>2022–</w:t>
            </w:r>
            <w:r w:rsidRPr="00E042BD">
              <w:rPr>
                <w:rFonts w:ascii="Arial" w:hAnsi="Arial" w:cs="Arial"/>
                <w:b/>
                <w:bCs/>
                <w:sz w:val="16"/>
                <w:szCs w:val="16"/>
              </w:rPr>
              <w:t>23</w:t>
            </w:r>
            <w:r w:rsidRPr="00E042BD">
              <w:rPr>
                <w:rFonts w:ascii="Arial" w:hAnsi="Arial" w:cs="Arial"/>
                <w:b/>
                <w:bCs/>
                <w:sz w:val="16"/>
                <w:szCs w:val="16"/>
              </w:rPr>
              <w:br/>
              <w:t>Actual</w:t>
            </w:r>
            <w:r w:rsidRPr="00E042BD">
              <w:rPr>
                <w:rFonts w:ascii="Arial" w:hAnsi="Arial" w:cs="Arial"/>
                <w:b/>
                <w:bCs/>
                <w:sz w:val="16"/>
                <w:szCs w:val="16"/>
              </w:rPr>
              <w:br/>
            </w:r>
            <w:r w:rsidRPr="00E042BD">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7075F1ED" w14:textId="0A48EE1C" w:rsidR="00E042BD" w:rsidRPr="00E042BD" w:rsidRDefault="00E042BD" w:rsidP="00E042BD">
            <w:pPr>
              <w:spacing w:before="24" w:after="0" w:line="240" w:lineRule="auto"/>
              <w:jc w:val="right"/>
              <w:rPr>
                <w:rFonts w:ascii="Arial" w:hAnsi="Arial" w:cs="Arial"/>
                <w:b/>
                <w:bCs/>
                <w:sz w:val="16"/>
                <w:szCs w:val="16"/>
              </w:rPr>
            </w:pPr>
            <w:r w:rsidRPr="00E042BD">
              <w:rPr>
                <w:rFonts w:ascii="Arial" w:hAnsi="Arial" w:cs="Arial"/>
                <w:b/>
                <w:bCs/>
                <w:sz w:val="16"/>
                <w:szCs w:val="16"/>
              </w:rPr>
              <w:t>2023</w:t>
            </w:r>
            <w:r>
              <w:rPr>
                <w:rFonts w:ascii="Arial" w:hAnsi="Arial" w:cs="Arial"/>
                <w:b/>
                <w:bCs/>
                <w:sz w:val="16"/>
                <w:szCs w:val="16"/>
              </w:rPr>
              <w:t>–</w:t>
            </w:r>
            <w:r w:rsidRPr="00E042BD">
              <w:rPr>
                <w:rFonts w:ascii="Arial" w:hAnsi="Arial" w:cs="Arial"/>
                <w:b/>
                <w:bCs/>
                <w:sz w:val="16"/>
                <w:szCs w:val="16"/>
              </w:rPr>
              <w:t>24</w:t>
            </w:r>
            <w:r w:rsidRPr="00E042BD">
              <w:rPr>
                <w:rFonts w:ascii="Arial" w:hAnsi="Arial" w:cs="Arial"/>
                <w:b/>
                <w:bCs/>
                <w:sz w:val="16"/>
                <w:szCs w:val="16"/>
              </w:rPr>
              <w:br/>
              <w:t>Revised</w:t>
            </w:r>
            <w:r w:rsidRPr="00E042BD">
              <w:rPr>
                <w:rFonts w:ascii="Arial" w:hAnsi="Arial" w:cs="Arial"/>
                <w:b/>
                <w:bCs/>
                <w:sz w:val="16"/>
                <w:szCs w:val="16"/>
              </w:rPr>
              <w:br/>
              <w:t>Budget</w:t>
            </w:r>
            <w:r w:rsidRPr="00E042BD">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77CEF4F9" w14:textId="03187329" w:rsidR="00E042BD" w:rsidRPr="00E042BD" w:rsidRDefault="00E042BD" w:rsidP="00E042BD">
            <w:pPr>
              <w:spacing w:before="24" w:after="0" w:line="240" w:lineRule="auto"/>
              <w:jc w:val="right"/>
              <w:rPr>
                <w:rFonts w:ascii="Arial" w:hAnsi="Arial" w:cs="Arial"/>
                <w:b/>
                <w:bCs/>
                <w:sz w:val="16"/>
                <w:szCs w:val="16"/>
              </w:rPr>
            </w:pPr>
            <w:r>
              <w:rPr>
                <w:rFonts w:ascii="Arial" w:hAnsi="Arial" w:cs="Arial"/>
                <w:b/>
                <w:bCs/>
                <w:sz w:val="16"/>
                <w:szCs w:val="16"/>
              </w:rPr>
              <w:t>2024–</w:t>
            </w:r>
            <w:r w:rsidRPr="00E042BD">
              <w:rPr>
                <w:rFonts w:ascii="Arial" w:hAnsi="Arial" w:cs="Arial"/>
                <w:b/>
                <w:bCs/>
                <w:sz w:val="16"/>
                <w:szCs w:val="16"/>
              </w:rPr>
              <w:t>25 Forward Estimate</w:t>
            </w:r>
            <w:r w:rsidRPr="00E042BD">
              <w:rPr>
                <w:rFonts w:ascii="Arial" w:hAnsi="Arial" w:cs="Arial"/>
                <w:b/>
                <w:bCs/>
                <w:sz w:val="16"/>
                <w:szCs w:val="16"/>
              </w:rPr>
              <w:br/>
            </w:r>
            <w:r w:rsidRPr="00E042B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5998F99A" w14:textId="10D6EAA6" w:rsidR="00E042BD" w:rsidRPr="00E042BD" w:rsidRDefault="00E042BD" w:rsidP="00E042BD">
            <w:pPr>
              <w:spacing w:before="24" w:after="0" w:line="240" w:lineRule="auto"/>
              <w:jc w:val="right"/>
              <w:rPr>
                <w:rFonts w:ascii="Arial" w:hAnsi="Arial" w:cs="Arial"/>
                <w:b/>
                <w:bCs/>
                <w:sz w:val="16"/>
                <w:szCs w:val="16"/>
              </w:rPr>
            </w:pPr>
            <w:r>
              <w:rPr>
                <w:rFonts w:ascii="Arial" w:hAnsi="Arial" w:cs="Arial"/>
                <w:b/>
                <w:bCs/>
                <w:sz w:val="16"/>
                <w:szCs w:val="16"/>
              </w:rPr>
              <w:t>2025–</w:t>
            </w:r>
            <w:r w:rsidRPr="00E042BD">
              <w:rPr>
                <w:rFonts w:ascii="Arial" w:hAnsi="Arial" w:cs="Arial"/>
                <w:b/>
                <w:bCs/>
                <w:sz w:val="16"/>
                <w:szCs w:val="16"/>
              </w:rPr>
              <w:t>26 Forward Estimate</w:t>
            </w:r>
            <w:r w:rsidRPr="00E042BD">
              <w:rPr>
                <w:rFonts w:ascii="Arial" w:hAnsi="Arial" w:cs="Arial"/>
                <w:b/>
                <w:bCs/>
                <w:sz w:val="16"/>
                <w:szCs w:val="16"/>
              </w:rPr>
              <w:br/>
            </w:r>
            <w:r w:rsidRPr="00E042B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5CAC809B" w14:textId="11851579" w:rsidR="00E042BD" w:rsidRPr="00E042BD" w:rsidRDefault="00E042BD" w:rsidP="00E042BD">
            <w:pPr>
              <w:spacing w:before="24" w:after="0" w:line="240" w:lineRule="auto"/>
              <w:jc w:val="right"/>
              <w:rPr>
                <w:rFonts w:ascii="Arial" w:hAnsi="Arial" w:cs="Arial"/>
                <w:b/>
                <w:bCs/>
                <w:sz w:val="16"/>
                <w:szCs w:val="16"/>
              </w:rPr>
            </w:pPr>
            <w:r>
              <w:rPr>
                <w:rFonts w:ascii="Arial" w:hAnsi="Arial" w:cs="Arial"/>
                <w:b/>
                <w:bCs/>
                <w:sz w:val="16"/>
                <w:szCs w:val="16"/>
              </w:rPr>
              <w:t>2026–</w:t>
            </w:r>
            <w:r w:rsidRPr="00E042BD">
              <w:rPr>
                <w:rFonts w:ascii="Arial" w:hAnsi="Arial" w:cs="Arial"/>
                <w:b/>
                <w:bCs/>
                <w:sz w:val="16"/>
                <w:szCs w:val="16"/>
              </w:rPr>
              <w:t>27 Forward Estimate</w:t>
            </w:r>
            <w:r w:rsidRPr="00E042BD">
              <w:rPr>
                <w:rFonts w:ascii="Arial" w:hAnsi="Arial" w:cs="Arial"/>
                <w:b/>
                <w:bCs/>
                <w:sz w:val="16"/>
                <w:szCs w:val="16"/>
              </w:rPr>
              <w:br/>
            </w:r>
            <w:r w:rsidRPr="00E042BD">
              <w:rPr>
                <w:rFonts w:ascii="Arial" w:hAnsi="Arial" w:cs="Arial"/>
                <w:sz w:val="16"/>
                <w:szCs w:val="16"/>
              </w:rPr>
              <w:t>$'000</w:t>
            </w:r>
          </w:p>
        </w:tc>
      </w:tr>
      <w:tr w:rsidR="00E042BD" w:rsidRPr="00E042BD" w14:paraId="46614F0E"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708C222C" w14:textId="77777777" w:rsidR="00E042BD" w:rsidRPr="00E042BD" w:rsidRDefault="00E042BD" w:rsidP="00E042BD">
            <w:pPr>
              <w:spacing w:before="0" w:after="0" w:line="240" w:lineRule="auto"/>
              <w:rPr>
                <w:rFonts w:ascii="Arial" w:hAnsi="Arial" w:cs="Arial"/>
                <w:b/>
                <w:bCs/>
                <w:color w:val="000000"/>
                <w:sz w:val="16"/>
                <w:szCs w:val="16"/>
              </w:rPr>
            </w:pPr>
            <w:r w:rsidRPr="00E042BD">
              <w:rPr>
                <w:rFonts w:ascii="Arial" w:hAnsi="Arial" w:cs="Arial"/>
                <w:b/>
                <w:bCs/>
                <w:color w:val="000000"/>
                <w:sz w:val="16"/>
                <w:szCs w:val="16"/>
              </w:rPr>
              <w:t>ASSETS</w:t>
            </w:r>
          </w:p>
        </w:tc>
        <w:tc>
          <w:tcPr>
            <w:tcW w:w="960" w:type="dxa"/>
            <w:tcBorders>
              <w:top w:val="single" w:sz="4" w:space="0" w:color="auto"/>
              <w:left w:val="nil"/>
              <w:bottom w:val="nil"/>
              <w:right w:val="nil"/>
            </w:tcBorders>
            <w:shd w:val="clear" w:color="auto" w:fill="auto"/>
            <w:noWrap/>
            <w:vAlign w:val="bottom"/>
            <w:hideMark/>
          </w:tcPr>
          <w:p w14:paraId="4B07E23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single" w:sz="4" w:space="0" w:color="auto"/>
              <w:left w:val="nil"/>
              <w:bottom w:val="nil"/>
              <w:right w:val="nil"/>
            </w:tcBorders>
            <w:shd w:val="clear" w:color="000000" w:fill="D9D9D9"/>
            <w:noWrap/>
            <w:vAlign w:val="bottom"/>
            <w:hideMark/>
          </w:tcPr>
          <w:p w14:paraId="087EA8C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7E1EC997"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7E288F2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7507C6C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r>
      <w:tr w:rsidR="00E042BD" w:rsidRPr="00E042BD" w14:paraId="713F1B45"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E229DAF"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310814FF" w14:textId="77777777" w:rsidR="00E042BD" w:rsidRPr="00E042BD" w:rsidRDefault="00E042BD" w:rsidP="00E042B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E1A4CFC"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2082AEC"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3E639599"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D6EDDC9"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099745DB"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D060933"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Cash and cash equivalents</w:t>
            </w:r>
          </w:p>
        </w:tc>
        <w:tc>
          <w:tcPr>
            <w:tcW w:w="960" w:type="dxa"/>
            <w:tcBorders>
              <w:top w:val="nil"/>
              <w:left w:val="nil"/>
              <w:bottom w:val="nil"/>
              <w:right w:val="nil"/>
            </w:tcBorders>
            <w:shd w:val="clear" w:color="auto" w:fill="auto"/>
            <w:noWrap/>
            <w:vAlign w:val="bottom"/>
            <w:hideMark/>
          </w:tcPr>
          <w:p w14:paraId="0B9BA8F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1,703</w:t>
            </w:r>
          </w:p>
        </w:tc>
        <w:tc>
          <w:tcPr>
            <w:tcW w:w="960" w:type="dxa"/>
            <w:tcBorders>
              <w:top w:val="nil"/>
              <w:left w:val="nil"/>
              <w:bottom w:val="nil"/>
              <w:right w:val="nil"/>
            </w:tcBorders>
            <w:shd w:val="clear" w:color="000000" w:fill="D9D9D9"/>
            <w:noWrap/>
            <w:vAlign w:val="bottom"/>
            <w:hideMark/>
          </w:tcPr>
          <w:p w14:paraId="6DAEEC57"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1,603</w:t>
            </w:r>
          </w:p>
        </w:tc>
        <w:tc>
          <w:tcPr>
            <w:tcW w:w="960" w:type="dxa"/>
            <w:tcBorders>
              <w:top w:val="nil"/>
              <w:left w:val="nil"/>
              <w:bottom w:val="nil"/>
              <w:right w:val="nil"/>
            </w:tcBorders>
            <w:shd w:val="clear" w:color="auto" w:fill="auto"/>
            <w:noWrap/>
            <w:vAlign w:val="bottom"/>
            <w:hideMark/>
          </w:tcPr>
          <w:p w14:paraId="6AADBE2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1,282</w:t>
            </w:r>
          </w:p>
        </w:tc>
        <w:tc>
          <w:tcPr>
            <w:tcW w:w="960" w:type="dxa"/>
            <w:tcBorders>
              <w:top w:val="nil"/>
              <w:left w:val="nil"/>
              <w:bottom w:val="nil"/>
              <w:right w:val="nil"/>
            </w:tcBorders>
            <w:shd w:val="clear" w:color="auto" w:fill="auto"/>
            <w:noWrap/>
            <w:vAlign w:val="bottom"/>
            <w:hideMark/>
          </w:tcPr>
          <w:p w14:paraId="2665352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3,293</w:t>
            </w:r>
          </w:p>
        </w:tc>
        <w:tc>
          <w:tcPr>
            <w:tcW w:w="960" w:type="dxa"/>
            <w:tcBorders>
              <w:top w:val="nil"/>
              <w:left w:val="nil"/>
              <w:bottom w:val="nil"/>
              <w:right w:val="nil"/>
            </w:tcBorders>
            <w:shd w:val="clear" w:color="auto" w:fill="auto"/>
            <w:noWrap/>
            <w:vAlign w:val="bottom"/>
            <w:hideMark/>
          </w:tcPr>
          <w:p w14:paraId="13B45E6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4,028</w:t>
            </w:r>
          </w:p>
        </w:tc>
      </w:tr>
      <w:tr w:rsidR="00E042BD" w:rsidRPr="00E042BD" w14:paraId="01FB3F98"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0B5F9643"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Receivables</w:t>
            </w:r>
          </w:p>
        </w:tc>
        <w:tc>
          <w:tcPr>
            <w:tcW w:w="960" w:type="dxa"/>
            <w:tcBorders>
              <w:top w:val="nil"/>
              <w:left w:val="nil"/>
              <w:bottom w:val="nil"/>
              <w:right w:val="nil"/>
            </w:tcBorders>
            <w:shd w:val="clear" w:color="auto" w:fill="auto"/>
            <w:noWrap/>
            <w:vAlign w:val="bottom"/>
            <w:hideMark/>
          </w:tcPr>
          <w:p w14:paraId="6D14488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97,813</w:t>
            </w:r>
          </w:p>
        </w:tc>
        <w:tc>
          <w:tcPr>
            <w:tcW w:w="960" w:type="dxa"/>
            <w:tcBorders>
              <w:top w:val="nil"/>
              <w:left w:val="nil"/>
              <w:bottom w:val="nil"/>
              <w:right w:val="nil"/>
            </w:tcBorders>
            <w:shd w:val="clear" w:color="000000" w:fill="D9D9D9"/>
            <w:noWrap/>
            <w:vAlign w:val="bottom"/>
            <w:hideMark/>
          </w:tcPr>
          <w:p w14:paraId="3E303C9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85,050</w:t>
            </w:r>
          </w:p>
        </w:tc>
        <w:tc>
          <w:tcPr>
            <w:tcW w:w="960" w:type="dxa"/>
            <w:tcBorders>
              <w:top w:val="nil"/>
              <w:left w:val="nil"/>
              <w:bottom w:val="nil"/>
              <w:right w:val="nil"/>
            </w:tcBorders>
            <w:shd w:val="clear" w:color="auto" w:fill="auto"/>
            <w:noWrap/>
            <w:vAlign w:val="bottom"/>
            <w:hideMark/>
          </w:tcPr>
          <w:p w14:paraId="5B922262"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82,790</w:t>
            </w:r>
          </w:p>
        </w:tc>
        <w:tc>
          <w:tcPr>
            <w:tcW w:w="960" w:type="dxa"/>
            <w:tcBorders>
              <w:top w:val="nil"/>
              <w:left w:val="nil"/>
              <w:bottom w:val="nil"/>
              <w:right w:val="nil"/>
            </w:tcBorders>
            <w:shd w:val="clear" w:color="auto" w:fill="auto"/>
            <w:noWrap/>
            <w:vAlign w:val="bottom"/>
            <w:hideMark/>
          </w:tcPr>
          <w:p w14:paraId="103DF128"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82,646</w:t>
            </w:r>
          </w:p>
        </w:tc>
        <w:tc>
          <w:tcPr>
            <w:tcW w:w="960" w:type="dxa"/>
            <w:tcBorders>
              <w:top w:val="nil"/>
              <w:left w:val="nil"/>
              <w:bottom w:val="nil"/>
              <w:right w:val="nil"/>
            </w:tcBorders>
            <w:shd w:val="clear" w:color="auto" w:fill="auto"/>
            <w:noWrap/>
            <w:vAlign w:val="bottom"/>
            <w:hideMark/>
          </w:tcPr>
          <w:p w14:paraId="3359400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82,759</w:t>
            </w:r>
          </w:p>
        </w:tc>
      </w:tr>
      <w:tr w:rsidR="00E042BD" w:rsidRPr="00E042BD" w14:paraId="73FDEC22"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EC349EA" w14:textId="77777777" w:rsidR="00E042BD" w:rsidRPr="00E042BD" w:rsidRDefault="00E042BD" w:rsidP="00F06319">
            <w:pPr>
              <w:spacing w:before="0" w:after="0" w:line="240" w:lineRule="auto"/>
              <w:ind w:leftChars="150" w:left="285"/>
              <w:rPr>
                <w:rFonts w:ascii="Arial" w:hAnsi="Arial" w:cs="Arial"/>
                <w:b/>
                <w:bCs/>
                <w:color w:val="000000"/>
                <w:sz w:val="16"/>
                <w:szCs w:val="16"/>
              </w:rPr>
            </w:pPr>
            <w:r w:rsidRPr="00E042BD">
              <w:rPr>
                <w:rFonts w:ascii="Arial" w:hAnsi="Arial"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14:paraId="44F7697B"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99,516</w:t>
            </w:r>
          </w:p>
        </w:tc>
        <w:tc>
          <w:tcPr>
            <w:tcW w:w="960" w:type="dxa"/>
            <w:tcBorders>
              <w:top w:val="nil"/>
              <w:left w:val="nil"/>
              <w:bottom w:val="single" w:sz="4" w:space="0" w:color="auto"/>
              <w:right w:val="nil"/>
            </w:tcBorders>
            <w:shd w:val="clear" w:color="000000" w:fill="D9D9D9"/>
            <w:noWrap/>
            <w:vAlign w:val="bottom"/>
            <w:hideMark/>
          </w:tcPr>
          <w:p w14:paraId="62966B7F"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86,653</w:t>
            </w:r>
          </w:p>
        </w:tc>
        <w:tc>
          <w:tcPr>
            <w:tcW w:w="960" w:type="dxa"/>
            <w:tcBorders>
              <w:top w:val="nil"/>
              <w:left w:val="nil"/>
              <w:bottom w:val="single" w:sz="4" w:space="0" w:color="auto"/>
              <w:right w:val="nil"/>
            </w:tcBorders>
            <w:shd w:val="clear" w:color="auto" w:fill="auto"/>
            <w:noWrap/>
            <w:vAlign w:val="bottom"/>
            <w:hideMark/>
          </w:tcPr>
          <w:p w14:paraId="3FA6E2D8"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84,072</w:t>
            </w:r>
          </w:p>
        </w:tc>
        <w:tc>
          <w:tcPr>
            <w:tcW w:w="960" w:type="dxa"/>
            <w:tcBorders>
              <w:top w:val="nil"/>
              <w:left w:val="nil"/>
              <w:bottom w:val="single" w:sz="4" w:space="0" w:color="auto"/>
              <w:right w:val="nil"/>
            </w:tcBorders>
            <w:shd w:val="clear" w:color="auto" w:fill="auto"/>
            <w:noWrap/>
            <w:vAlign w:val="bottom"/>
            <w:hideMark/>
          </w:tcPr>
          <w:p w14:paraId="00594E0B"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85,939</w:t>
            </w:r>
          </w:p>
        </w:tc>
        <w:tc>
          <w:tcPr>
            <w:tcW w:w="960" w:type="dxa"/>
            <w:tcBorders>
              <w:top w:val="nil"/>
              <w:left w:val="nil"/>
              <w:bottom w:val="single" w:sz="4" w:space="0" w:color="auto"/>
              <w:right w:val="nil"/>
            </w:tcBorders>
            <w:shd w:val="clear" w:color="auto" w:fill="auto"/>
            <w:noWrap/>
            <w:vAlign w:val="bottom"/>
            <w:hideMark/>
          </w:tcPr>
          <w:p w14:paraId="7D1399BD"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86,787</w:t>
            </w:r>
          </w:p>
        </w:tc>
      </w:tr>
      <w:tr w:rsidR="00E042BD" w:rsidRPr="00E042BD" w14:paraId="60E8FE07"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6F58C1F8"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14:paraId="3B163D68" w14:textId="77777777" w:rsidR="00E042BD" w:rsidRPr="00E042BD" w:rsidRDefault="00E042BD" w:rsidP="00E042B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F3E916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E5DE9D8"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3E10F35"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C115B51"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0834D399"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656636F2"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14:paraId="1D56CB0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26,535</w:t>
            </w:r>
          </w:p>
        </w:tc>
        <w:tc>
          <w:tcPr>
            <w:tcW w:w="960" w:type="dxa"/>
            <w:tcBorders>
              <w:top w:val="nil"/>
              <w:left w:val="nil"/>
              <w:bottom w:val="nil"/>
              <w:right w:val="nil"/>
            </w:tcBorders>
            <w:shd w:val="clear" w:color="000000" w:fill="D9D9D9"/>
            <w:noWrap/>
            <w:vAlign w:val="bottom"/>
            <w:hideMark/>
          </w:tcPr>
          <w:p w14:paraId="25B81268"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31,017</w:t>
            </w:r>
          </w:p>
        </w:tc>
        <w:tc>
          <w:tcPr>
            <w:tcW w:w="960" w:type="dxa"/>
            <w:tcBorders>
              <w:top w:val="nil"/>
              <w:left w:val="nil"/>
              <w:bottom w:val="nil"/>
              <w:right w:val="nil"/>
            </w:tcBorders>
            <w:shd w:val="clear" w:color="auto" w:fill="auto"/>
            <w:noWrap/>
            <w:vAlign w:val="bottom"/>
            <w:hideMark/>
          </w:tcPr>
          <w:p w14:paraId="21A6D61B"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24,138</w:t>
            </w:r>
          </w:p>
        </w:tc>
        <w:tc>
          <w:tcPr>
            <w:tcW w:w="960" w:type="dxa"/>
            <w:tcBorders>
              <w:top w:val="nil"/>
              <w:left w:val="nil"/>
              <w:bottom w:val="nil"/>
              <w:right w:val="nil"/>
            </w:tcBorders>
            <w:shd w:val="clear" w:color="auto" w:fill="auto"/>
            <w:noWrap/>
            <w:vAlign w:val="bottom"/>
            <w:hideMark/>
          </w:tcPr>
          <w:p w14:paraId="187097B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18,547</w:t>
            </w:r>
          </w:p>
        </w:tc>
        <w:tc>
          <w:tcPr>
            <w:tcW w:w="960" w:type="dxa"/>
            <w:tcBorders>
              <w:top w:val="nil"/>
              <w:left w:val="nil"/>
              <w:bottom w:val="nil"/>
              <w:right w:val="nil"/>
            </w:tcBorders>
            <w:shd w:val="clear" w:color="auto" w:fill="auto"/>
            <w:noWrap/>
            <w:vAlign w:val="bottom"/>
            <w:hideMark/>
          </w:tcPr>
          <w:p w14:paraId="3279DD8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17,761</w:t>
            </w:r>
          </w:p>
        </w:tc>
      </w:tr>
      <w:tr w:rsidR="00E042BD" w:rsidRPr="00E042BD" w14:paraId="7369AD02"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6DA64D9A"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 xml:space="preserve">Property, </w:t>
            </w:r>
            <w:proofErr w:type="gramStart"/>
            <w:r w:rsidRPr="00E042BD">
              <w:rPr>
                <w:rFonts w:ascii="Arial" w:hAnsi="Arial" w:cs="Arial"/>
                <w:color w:val="000000"/>
                <w:sz w:val="16"/>
                <w:szCs w:val="16"/>
              </w:rPr>
              <w:t>plant</w:t>
            </w:r>
            <w:proofErr w:type="gramEnd"/>
            <w:r w:rsidRPr="00E042BD">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1FFBEF8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10,126</w:t>
            </w:r>
          </w:p>
        </w:tc>
        <w:tc>
          <w:tcPr>
            <w:tcW w:w="960" w:type="dxa"/>
            <w:tcBorders>
              <w:top w:val="nil"/>
              <w:left w:val="nil"/>
              <w:bottom w:val="nil"/>
              <w:right w:val="nil"/>
            </w:tcBorders>
            <w:shd w:val="clear" w:color="000000" w:fill="D9D9D9"/>
            <w:noWrap/>
            <w:vAlign w:val="bottom"/>
            <w:hideMark/>
          </w:tcPr>
          <w:p w14:paraId="1F21CF9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9,194</w:t>
            </w:r>
          </w:p>
        </w:tc>
        <w:tc>
          <w:tcPr>
            <w:tcW w:w="960" w:type="dxa"/>
            <w:tcBorders>
              <w:top w:val="nil"/>
              <w:left w:val="nil"/>
              <w:bottom w:val="nil"/>
              <w:right w:val="nil"/>
            </w:tcBorders>
            <w:shd w:val="clear" w:color="auto" w:fill="auto"/>
            <w:noWrap/>
            <w:vAlign w:val="bottom"/>
            <w:hideMark/>
          </w:tcPr>
          <w:p w14:paraId="6F248AE5"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8,149</w:t>
            </w:r>
          </w:p>
        </w:tc>
        <w:tc>
          <w:tcPr>
            <w:tcW w:w="960" w:type="dxa"/>
            <w:tcBorders>
              <w:top w:val="nil"/>
              <w:left w:val="nil"/>
              <w:bottom w:val="nil"/>
              <w:right w:val="nil"/>
            </w:tcBorders>
            <w:shd w:val="clear" w:color="auto" w:fill="auto"/>
            <w:noWrap/>
            <w:vAlign w:val="bottom"/>
            <w:hideMark/>
          </w:tcPr>
          <w:p w14:paraId="67F16D3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5,990</w:t>
            </w:r>
          </w:p>
        </w:tc>
        <w:tc>
          <w:tcPr>
            <w:tcW w:w="960" w:type="dxa"/>
            <w:tcBorders>
              <w:top w:val="nil"/>
              <w:left w:val="nil"/>
              <w:bottom w:val="nil"/>
              <w:right w:val="nil"/>
            </w:tcBorders>
            <w:shd w:val="clear" w:color="auto" w:fill="auto"/>
            <w:noWrap/>
            <w:vAlign w:val="bottom"/>
            <w:hideMark/>
          </w:tcPr>
          <w:p w14:paraId="33F9060B"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3,546</w:t>
            </w:r>
          </w:p>
        </w:tc>
      </w:tr>
      <w:tr w:rsidR="00E042BD" w:rsidRPr="00E042BD" w14:paraId="2DFA4EB7"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381F1DD6"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Intangibles</w:t>
            </w:r>
          </w:p>
        </w:tc>
        <w:tc>
          <w:tcPr>
            <w:tcW w:w="960" w:type="dxa"/>
            <w:tcBorders>
              <w:top w:val="nil"/>
              <w:left w:val="nil"/>
              <w:bottom w:val="nil"/>
              <w:right w:val="nil"/>
            </w:tcBorders>
            <w:shd w:val="clear" w:color="auto" w:fill="auto"/>
            <w:noWrap/>
            <w:vAlign w:val="bottom"/>
            <w:hideMark/>
          </w:tcPr>
          <w:p w14:paraId="1CC87B2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11</w:t>
            </w:r>
          </w:p>
        </w:tc>
        <w:tc>
          <w:tcPr>
            <w:tcW w:w="960" w:type="dxa"/>
            <w:tcBorders>
              <w:top w:val="nil"/>
              <w:left w:val="nil"/>
              <w:bottom w:val="nil"/>
              <w:right w:val="nil"/>
            </w:tcBorders>
            <w:shd w:val="clear" w:color="000000" w:fill="D9D9D9"/>
            <w:noWrap/>
            <w:vAlign w:val="bottom"/>
            <w:hideMark/>
          </w:tcPr>
          <w:p w14:paraId="522A3E6B"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638</w:t>
            </w:r>
          </w:p>
        </w:tc>
        <w:tc>
          <w:tcPr>
            <w:tcW w:w="960" w:type="dxa"/>
            <w:tcBorders>
              <w:top w:val="nil"/>
              <w:left w:val="nil"/>
              <w:bottom w:val="nil"/>
              <w:right w:val="nil"/>
            </w:tcBorders>
            <w:shd w:val="clear" w:color="auto" w:fill="auto"/>
            <w:noWrap/>
            <w:vAlign w:val="bottom"/>
            <w:hideMark/>
          </w:tcPr>
          <w:p w14:paraId="39A97D3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537</w:t>
            </w:r>
          </w:p>
        </w:tc>
        <w:tc>
          <w:tcPr>
            <w:tcW w:w="960" w:type="dxa"/>
            <w:tcBorders>
              <w:top w:val="nil"/>
              <w:left w:val="nil"/>
              <w:bottom w:val="nil"/>
              <w:right w:val="nil"/>
            </w:tcBorders>
            <w:shd w:val="clear" w:color="auto" w:fill="auto"/>
            <w:noWrap/>
            <w:vAlign w:val="bottom"/>
            <w:hideMark/>
          </w:tcPr>
          <w:p w14:paraId="36367C5B"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536</w:t>
            </w:r>
          </w:p>
        </w:tc>
        <w:tc>
          <w:tcPr>
            <w:tcW w:w="960" w:type="dxa"/>
            <w:tcBorders>
              <w:top w:val="nil"/>
              <w:left w:val="nil"/>
              <w:bottom w:val="nil"/>
              <w:right w:val="nil"/>
            </w:tcBorders>
            <w:shd w:val="clear" w:color="auto" w:fill="auto"/>
            <w:noWrap/>
            <w:vAlign w:val="bottom"/>
            <w:hideMark/>
          </w:tcPr>
          <w:p w14:paraId="634D77D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202</w:t>
            </w:r>
          </w:p>
        </w:tc>
      </w:tr>
      <w:tr w:rsidR="00E042BD" w:rsidRPr="00E042BD" w14:paraId="0C89432C"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76AA8863"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Other</w:t>
            </w:r>
          </w:p>
        </w:tc>
        <w:tc>
          <w:tcPr>
            <w:tcW w:w="960" w:type="dxa"/>
            <w:tcBorders>
              <w:top w:val="nil"/>
              <w:left w:val="nil"/>
              <w:bottom w:val="nil"/>
              <w:right w:val="nil"/>
            </w:tcBorders>
            <w:shd w:val="clear" w:color="auto" w:fill="auto"/>
            <w:noWrap/>
            <w:vAlign w:val="bottom"/>
            <w:hideMark/>
          </w:tcPr>
          <w:p w14:paraId="073F29D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3,333</w:t>
            </w:r>
          </w:p>
        </w:tc>
        <w:tc>
          <w:tcPr>
            <w:tcW w:w="960" w:type="dxa"/>
            <w:tcBorders>
              <w:top w:val="nil"/>
              <w:left w:val="nil"/>
              <w:bottom w:val="nil"/>
              <w:right w:val="nil"/>
            </w:tcBorders>
            <w:shd w:val="clear" w:color="000000" w:fill="D9D9D9"/>
            <w:noWrap/>
            <w:vAlign w:val="bottom"/>
            <w:hideMark/>
          </w:tcPr>
          <w:p w14:paraId="1D35CC58"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4,433</w:t>
            </w:r>
          </w:p>
        </w:tc>
        <w:tc>
          <w:tcPr>
            <w:tcW w:w="960" w:type="dxa"/>
            <w:tcBorders>
              <w:top w:val="nil"/>
              <w:left w:val="nil"/>
              <w:bottom w:val="nil"/>
              <w:right w:val="nil"/>
            </w:tcBorders>
            <w:shd w:val="clear" w:color="auto" w:fill="auto"/>
            <w:noWrap/>
            <w:vAlign w:val="bottom"/>
            <w:hideMark/>
          </w:tcPr>
          <w:p w14:paraId="33ED034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4,433</w:t>
            </w:r>
          </w:p>
        </w:tc>
        <w:tc>
          <w:tcPr>
            <w:tcW w:w="960" w:type="dxa"/>
            <w:tcBorders>
              <w:top w:val="nil"/>
              <w:left w:val="nil"/>
              <w:bottom w:val="nil"/>
              <w:right w:val="nil"/>
            </w:tcBorders>
            <w:shd w:val="clear" w:color="auto" w:fill="auto"/>
            <w:noWrap/>
            <w:vAlign w:val="bottom"/>
            <w:hideMark/>
          </w:tcPr>
          <w:p w14:paraId="26A3237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4,433</w:t>
            </w:r>
          </w:p>
        </w:tc>
        <w:tc>
          <w:tcPr>
            <w:tcW w:w="960" w:type="dxa"/>
            <w:tcBorders>
              <w:top w:val="nil"/>
              <w:left w:val="nil"/>
              <w:bottom w:val="nil"/>
              <w:right w:val="nil"/>
            </w:tcBorders>
            <w:shd w:val="clear" w:color="auto" w:fill="auto"/>
            <w:noWrap/>
            <w:vAlign w:val="bottom"/>
            <w:hideMark/>
          </w:tcPr>
          <w:p w14:paraId="5B955FC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4,433</w:t>
            </w:r>
          </w:p>
        </w:tc>
      </w:tr>
      <w:tr w:rsidR="00E042BD" w:rsidRPr="00E042BD" w14:paraId="183C01E9"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08E2A097" w14:textId="77777777" w:rsidR="00E042BD" w:rsidRPr="00E042BD" w:rsidRDefault="00E042BD" w:rsidP="00F06319">
            <w:pPr>
              <w:spacing w:before="0" w:after="0" w:line="240" w:lineRule="auto"/>
              <w:ind w:leftChars="150" w:left="285"/>
              <w:rPr>
                <w:rFonts w:ascii="Arial" w:hAnsi="Arial" w:cs="Arial"/>
                <w:b/>
                <w:bCs/>
                <w:color w:val="000000"/>
                <w:sz w:val="16"/>
                <w:szCs w:val="16"/>
              </w:rPr>
            </w:pPr>
            <w:r w:rsidRPr="00E042BD">
              <w:rPr>
                <w:rFonts w:ascii="Arial" w:hAnsi="Arial"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14:paraId="79377DC5"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40,005</w:t>
            </w:r>
          </w:p>
        </w:tc>
        <w:tc>
          <w:tcPr>
            <w:tcW w:w="960" w:type="dxa"/>
            <w:tcBorders>
              <w:top w:val="nil"/>
              <w:left w:val="nil"/>
              <w:bottom w:val="single" w:sz="4" w:space="0" w:color="auto"/>
              <w:right w:val="nil"/>
            </w:tcBorders>
            <w:shd w:val="clear" w:color="000000" w:fill="D9D9D9"/>
            <w:noWrap/>
            <w:vAlign w:val="bottom"/>
            <w:hideMark/>
          </w:tcPr>
          <w:p w14:paraId="60E0E241"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45,282</w:t>
            </w:r>
          </w:p>
        </w:tc>
        <w:tc>
          <w:tcPr>
            <w:tcW w:w="960" w:type="dxa"/>
            <w:tcBorders>
              <w:top w:val="nil"/>
              <w:left w:val="nil"/>
              <w:bottom w:val="single" w:sz="4" w:space="0" w:color="auto"/>
              <w:right w:val="nil"/>
            </w:tcBorders>
            <w:shd w:val="clear" w:color="auto" w:fill="auto"/>
            <w:noWrap/>
            <w:vAlign w:val="bottom"/>
            <w:hideMark/>
          </w:tcPr>
          <w:p w14:paraId="2E54C2D6"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37,257</w:t>
            </w:r>
          </w:p>
        </w:tc>
        <w:tc>
          <w:tcPr>
            <w:tcW w:w="960" w:type="dxa"/>
            <w:tcBorders>
              <w:top w:val="nil"/>
              <w:left w:val="nil"/>
              <w:bottom w:val="single" w:sz="4" w:space="0" w:color="auto"/>
              <w:right w:val="nil"/>
            </w:tcBorders>
            <w:shd w:val="clear" w:color="auto" w:fill="auto"/>
            <w:noWrap/>
            <w:vAlign w:val="bottom"/>
            <w:hideMark/>
          </w:tcPr>
          <w:p w14:paraId="04C362D0"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29,506</w:t>
            </w:r>
          </w:p>
        </w:tc>
        <w:tc>
          <w:tcPr>
            <w:tcW w:w="960" w:type="dxa"/>
            <w:tcBorders>
              <w:top w:val="nil"/>
              <w:left w:val="nil"/>
              <w:bottom w:val="single" w:sz="4" w:space="0" w:color="auto"/>
              <w:right w:val="nil"/>
            </w:tcBorders>
            <w:shd w:val="clear" w:color="auto" w:fill="auto"/>
            <w:noWrap/>
            <w:vAlign w:val="bottom"/>
            <w:hideMark/>
          </w:tcPr>
          <w:p w14:paraId="56B27B96"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25,942</w:t>
            </w:r>
          </w:p>
        </w:tc>
      </w:tr>
      <w:tr w:rsidR="00E042BD" w:rsidRPr="00E042BD" w14:paraId="1139D8D8"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51220802"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Total assets</w:t>
            </w:r>
          </w:p>
        </w:tc>
        <w:tc>
          <w:tcPr>
            <w:tcW w:w="960" w:type="dxa"/>
            <w:tcBorders>
              <w:top w:val="nil"/>
              <w:left w:val="nil"/>
              <w:bottom w:val="single" w:sz="4" w:space="0" w:color="auto"/>
              <w:right w:val="nil"/>
            </w:tcBorders>
            <w:shd w:val="clear" w:color="auto" w:fill="auto"/>
            <w:noWrap/>
            <w:vAlign w:val="bottom"/>
            <w:hideMark/>
          </w:tcPr>
          <w:p w14:paraId="219A0FB1"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139,521</w:t>
            </w:r>
          </w:p>
        </w:tc>
        <w:tc>
          <w:tcPr>
            <w:tcW w:w="960" w:type="dxa"/>
            <w:tcBorders>
              <w:top w:val="nil"/>
              <w:left w:val="nil"/>
              <w:bottom w:val="single" w:sz="4" w:space="0" w:color="auto"/>
              <w:right w:val="nil"/>
            </w:tcBorders>
            <w:shd w:val="clear" w:color="000000" w:fill="D9D9D9"/>
            <w:noWrap/>
            <w:vAlign w:val="bottom"/>
            <w:hideMark/>
          </w:tcPr>
          <w:p w14:paraId="2E58C069"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131,935</w:t>
            </w:r>
          </w:p>
        </w:tc>
        <w:tc>
          <w:tcPr>
            <w:tcW w:w="960" w:type="dxa"/>
            <w:tcBorders>
              <w:top w:val="nil"/>
              <w:left w:val="nil"/>
              <w:bottom w:val="single" w:sz="4" w:space="0" w:color="auto"/>
              <w:right w:val="nil"/>
            </w:tcBorders>
            <w:shd w:val="clear" w:color="auto" w:fill="auto"/>
            <w:noWrap/>
            <w:vAlign w:val="bottom"/>
            <w:hideMark/>
          </w:tcPr>
          <w:p w14:paraId="1DDA3E15"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121,329</w:t>
            </w:r>
          </w:p>
        </w:tc>
        <w:tc>
          <w:tcPr>
            <w:tcW w:w="960" w:type="dxa"/>
            <w:tcBorders>
              <w:top w:val="nil"/>
              <w:left w:val="nil"/>
              <w:bottom w:val="single" w:sz="4" w:space="0" w:color="auto"/>
              <w:right w:val="nil"/>
            </w:tcBorders>
            <w:shd w:val="clear" w:color="auto" w:fill="auto"/>
            <w:noWrap/>
            <w:vAlign w:val="bottom"/>
            <w:hideMark/>
          </w:tcPr>
          <w:p w14:paraId="588C7F79"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115,445</w:t>
            </w:r>
          </w:p>
        </w:tc>
        <w:tc>
          <w:tcPr>
            <w:tcW w:w="960" w:type="dxa"/>
            <w:tcBorders>
              <w:top w:val="nil"/>
              <w:left w:val="nil"/>
              <w:bottom w:val="single" w:sz="4" w:space="0" w:color="auto"/>
              <w:right w:val="nil"/>
            </w:tcBorders>
            <w:shd w:val="clear" w:color="auto" w:fill="auto"/>
            <w:noWrap/>
            <w:vAlign w:val="bottom"/>
            <w:hideMark/>
          </w:tcPr>
          <w:p w14:paraId="2103289D"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112,729</w:t>
            </w:r>
          </w:p>
        </w:tc>
      </w:tr>
      <w:tr w:rsidR="00E042BD" w:rsidRPr="00E042BD" w14:paraId="3A16917A"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734086B8" w14:textId="77777777" w:rsidR="00E042BD" w:rsidRPr="00E042BD" w:rsidRDefault="00E042BD" w:rsidP="00E042BD">
            <w:pPr>
              <w:spacing w:before="0" w:after="0" w:line="240" w:lineRule="auto"/>
              <w:rPr>
                <w:rFonts w:ascii="Arial" w:hAnsi="Arial" w:cs="Arial"/>
                <w:b/>
                <w:bCs/>
                <w:color w:val="000000"/>
                <w:sz w:val="16"/>
                <w:szCs w:val="16"/>
              </w:rPr>
            </w:pPr>
            <w:r w:rsidRPr="00E042BD">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14:paraId="0D7D4026" w14:textId="77777777" w:rsidR="00E042BD" w:rsidRPr="00E042BD" w:rsidRDefault="00E042BD" w:rsidP="00E042BD">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912BCA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EDC647A"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6807884A"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4047559"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39928F8B"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0ED7CD5D"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07EE2CAD" w14:textId="77777777" w:rsidR="00E042BD" w:rsidRPr="00E042BD" w:rsidRDefault="00E042BD" w:rsidP="00E042B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7348BB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5DFCA8A"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569BD51"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4909436"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737C5FE9"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46999C9D"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0E1A1A11"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11,267</w:t>
            </w:r>
          </w:p>
        </w:tc>
        <w:tc>
          <w:tcPr>
            <w:tcW w:w="960" w:type="dxa"/>
            <w:tcBorders>
              <w:top w:val="nil"/>
              <w:left w:val="nil"/>
              <w:bottom w:val="nil"/>
              <w:right w:val="nil"/>
            </w:tcBorders>
            <w:shd w:val="clear" w:color="000000" w:fill="D9D9D9"/>
            <w:noWrap/>
            <w:vAlign w:val="bottom"/>
            <w:hideMark/>
          </w:tcPr>
          <w:p w14:paraId="1A66A84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2,253</w:t>
            </w:r>
          </w:p>
        </w:tc>
        <w:tc>
          <w:tcPr>
            <w:tcW w:w="960" w:type="dxa"/>
            <w:tcBorders>
              <w:top w:val="nil"/>
              <w:left w:val="nil"/>
              <w:bottom w:val="nil"/>
              <w:right w:val="nil"/>
            </w:tcBorders>
            <w:shd w:val="clear" w:color="auto" w:fill="auto"/>
            <w:noWrap/>
            <w:vAlign w:val="bottom"/>
            <w:hideMark/>
          </w:tcPr>
          <w:p w14:paraId="6F52D581"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1,870</w:t>
            </w:r>
          </w:p>
        </w:tc>
        <w:tc>
          <w:tcPr>
            <w:tcW w:w="960" w:type="dxa"/>
            <w:tcBorders>
              <w:top w:val="nil"/>
              <w:left w:val="nil"/>
              <w:bottom w:val="nil"/>
              <w:right w:val="nil"/>
            </w:tcBorders>
            <w:shd w:val="clear" w:color="auto" w:fill="auto"/>
            <w:noWrap/>
            <w:vAlign w:val="bottom"/>
            <w:hideMark/>
          </w:tcPr>
          <w:p w14:paraId="57D59FA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1,325</w:t>
            </w:r>
          </w:p>
        </w:tc>
        <w:tc>
          <w:tcPr>
            <w:tcW w:w="960" w:type="dxa"/>
            <w:tcBorders>
              <w:top w:val="nil"/>
              <w:left w:val="nil"/>
              <w:bottom w:val="nil"/>
              <w:right w:val="nil"/>
            </w:tcBorders>
            <w:shd w:val="clear" w:color="auto" w:fill="auto"/>
            <w:noWrap/>
            <w:vAlign w:val="bottom"/>
            <w:hideMark/>
          </w:tcPr>
          <w:p w14:paraId="395B028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2,382</w:t>
            </w:r>
          </w:p>
        </w:tc>
      </w:tr>
      <w:tr w:rsidR="00E042BD" w:rsidRPr="00E042BD" w14:paraId="04BBC3BD"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0578654F"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Other payables</w:t>
            </w:r>
          </w:p>
        </w:tc>
        <w:tc>
          <w:tcPr>
            <w:tcW w:w="960" w:type="dxa"/>
            <w:tcBorders>
              <w:top w:val="nil"/>
              <w:left w:val="nil"/>
              <w:bottom w:val="nil"/>
              <w:right w:val="nil"/>
            </w:tcBorders>
            <w:shd w:val="clear" w:color="auto" w:fill="auto"/>
            <w:noWrap/>
            <w:vAlign w:val="bottom"/>
            <w:hideMark/>
          </w:tcPr>
          <w:p w14:paraId="76D33E52"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9,928</w:t>
            </w:r>
          </w:p>
        </w:tc>
        <w:tc>
          <w:tcPr>
            <w:tcW w:w="960" w:type="dxa"/>
            <w:tcBorders>
              <w:top w:val="nil"/>
              <w:left w:val="nil"/>
              <w:bottom w:val="nil"/>
              <w:right w:val="nil"/>
            </w:tcBorders>
            <w:shd w:val="clear" w:color="000000" w:fill="D9D9D9"/>
            <w:noWrap/>
            <w:vAlign w:val="bottom"/>
            <w:hideMark/>
          </w:tcPr>
          <w:p w14:paraId="210AB997"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8,832</w:t>
            </w:r>
          </w:p>
        </w:tc>
        <w:tc>
          <w:tcPr>
            <w:tcW w:w="960" w:type="dxa"/>
            <w:tcBorders>
              <w:top w:val="nil"/>
              <w:left w:val="nil"/>
              <w:bottom w:val="nil"/>
              <w:right w:val="nil"/>
            </w:tcBorders>
            <w:shd w:val="clear" w:color="auto" w:fill="auto"/>
            <w:noWrap/>
            <w:vAlign w:val="bottom"/>
            <w:hideMark/>
          </w:tcPr>
          <w:p w14:paraId="337E9B9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6,832</w:t>
            </w:r>
          </w:p>
        </w:tc>
        <w:tc>
          <w:tcPr>
            <w:tcW w:w="960" w:type="dxa"/>
            <w:tcBorders>
              <w:top w:val="nil"/>
              <w:left w:val="nil"/>
              <w:bottom w:val="nil"/>
              <w:right w:val="nil"/>
            </w:tcBorders>
            <w:shd w:val="clear" w:color="auto" w:fill="auto"/>
            <w:noWrap/>
            <w:vAlign w:val="bottom"/>
            <w:hideMark/>
          </w:tcPr>
          <w:p w14:paraId="1B24B3F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8,023</w:t>
            </w:r>
          </w:p>
        </w:tc>
        <w:tc>
          <w:tcPr>
            <w:tcW w:w="960" w:type="dxa"/>
            <w:tcBorders>
              <w:top w:val="nil"/>
              <w:left w:val="nil"/>
              <w:bottom w:val="nil"/>
              <w:right w:val="nil"/>
            </w:tcBorders>
            <w:shd w:val="clear" w:color="auto" w:fill="auto"/>
            <w:noWrap/>
            <w:vAlign w:val="bottom"/>
            <w:hideMark/>
          </w:tcPr>
          <w:p w14:paraId="6A1A0EE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8,717</w:t>
            </w:r>
          </w:p>
        </w:tc>
      </w:tr>
      <w:tr w:rsidR="00E042BD" w:rsidRPr="00E042BD" w14:paraId="42510312"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3250E621" w14:textId="77777777" w:rsidR="00E042BD" w:rsidRPr="00E042BD" w:rsidRDefault="00E042BD" w:rsidP="00F06319">
            <w:pPr>
              <w:spacing w:before="0" w:after="0" w:line="240" w:lineRule="auto"/>
              <w:ind w:leftChars="150" w:left="285"/>
              <w:rPr>
                <w:rFonts w:ascii="Arial" w:hAnsi="Arial" w:cs="Arial"/>
                <w:b/>
                <w:bCs/>
                <w:color w:val="000000"/>
                <w:sz w:val="16"/>
                <w:szCs w:val="16"/>
              </w:rPr>
            </w:pPr>
            <w:r w:rsidRPr="00E042BD">
              <w:rPr>
                <w:rFonts w:ascii="Arial" w:hAnsi="Arial"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14:paraId="649949DE"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21,195</w:t>
            </w:r>
          </w:p>
        </w:tc>
        <w:tc>
          <w:tcPr>
            <w:tcW w:w="960" w:type="dxa"/>
            <w:tcBorders>
              <w:top w:val="nil"/>
              <w:left w:val="nil"/>
              <w:bottom w:val="single" w:sz="4" w:space="0" w:color="auto"/>
              <w:right w:val="nil"/>
            </w:tcBorders>
            <w:shd w:val="clear" w:color="000000" w:fill="D9D9D9"/>
            <w:noWrap/>
            <w:vAlign w:val="bottom"/>
            <w:hideMark/>
          </w:tcPr>
          <w:p w14:paraId="67B3A73B"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11,085</w:t>
            </w:r>
          </w:p>
        </w:tc>
        <w:tc>
          <w:tcPr>
            <w:tcW w:w="960" w:type="dxa"/>
            <w:tcBorders>
              <w:top w:val="nil"/>
              <w:left w:val="nil"/>
              <w:bottom w:val="single" w:sz="4" w:space="0" w:color="auto"/>
              <w:right w:val="nil"/>
            </w:tcBorders>
            <w:shd w:val="clear" w:color="auto" w:fill="auto"/>
            <w:noWrap/>
            <w:vAlign w:val="bottom"/>
            <w:hideMark/>
          </w:tcPr>
          <w:p w14:paraId="72237D9D"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8,702</w:t>
            </w:r>
          </w:p>
        </w:tc>
        <w:tc>
          <w:tcPr>
            <w:tcW w:w="960" w:type="dxa"/>
            <w:tcBorders>
              <w:top w:val="nil"/>
              <w:left w:val="nil"/>
              <w:bottom w:val="single" w:sz="4" w:space="0" w:color="auto"/>
              <w:right w:val="nil"/>
            </w:tcBorders>
            <w:shd w:val="clear" w:color="auto" w:fill="auto"/>
            <w:noWrap/>
            <w:vAlign w:val="bottom"/>
            <w:hideMark/>
          </w:tcPr>
          <w:p w14:paraId="5696E18D"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9,348</w:t>
            </w:r>
          </w:p>
        </w:tc>
        <w:tc>
          <w:tcPr>
            <w:tcW w:w="960" w:type="dxa"/>
            <w:tcBorders>
              <w:top w:val="nil"/>
              <w:left w:val="nil"/>
              <w:bottom w:val="single" w:sz="4" w:space="0" w:color="auto"/>
              <w:right w:val="nil"/>
            </w:tcBorders>
            <w:shd w:val="clear" w:color="auto" w:fill="auto"/>
            <w:noWrap/>
            <w:vAlign w:val="bottom"/>
            <w:hideMark/>
          </w:tcPr>
          <w:p w14:paraId="7557BF40"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11,099</w:t>
            </w:r>
          </w:p>
        </w:tc>
      </w:tr>
      <w:tr w:rsidR="00E042BD" w:rsidRPr="00E042BD" w14:paraId="4412B38A"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38EF9717"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Interest bearing liabilities</w:t>
            </w:r>
          </w:p>
        </w:tc>
        <w:tc>
          <w:tcPr>
            <w:tcW w:w="960" w:type="dxa"/>
            <w:tcBorders>
              <w:top w:val="nil"/>
              <w:left w:val="nil"/>
              <w:bottom w:val="nil"/>
              <w:right w:val="nil"/>
            </w:tcBorders>
            <w:shd w:val="clear" w:color="auto" w:fill="auto"/>
            <w:noWrap/>
            <w:vAlign w:val="bottom"/>
            <w:hideMark/>
          </w:tcPr>
          <w:p w14:paraId="5A84271E" w14:textId="77777777" w:rsidR="00E042BD" w:rsidRPr="00E042BD" w:rsidRDefault="00E042BD" w:rsidP="00E042B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ADD9AF8"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bottom"/>
            <w:hideMark/>
          </w:tcPr>
          <w:p w14:paraId="428ED33E" w14:textId="77777777" w:rsidR="00E042BD" w:rsidRPr="00E042BD" w:rsidRDefault="00E042BD" w:rsidP="00E042BD">
            <w:pPr>
              <w:spacing w:before="0"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7C4ABF5F"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A9C9526"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5A2AB0A0"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C7E7BB8"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Leases</w:t>
            </w:r>
          </w:p>
        </w:tc>
        <w:tc>
          <w:tcPr>
            <w:tcW w:w="960" w:type="dxa"/>
            <w:tcBorders>
              <w:top w:val="nil"/>
              <w:left w:val="nil"/>
              <w:bottom w:val="nil"/>
              <w:right w:val="nil"/>
            </w:tcBorders>
            <w:shd w:val="clear" w:color="auto" w:fill="auto"/>
            <w:noWrap/>
            <w:vAlign w:val="bottom"/>
            <w:hideMark/>
          </w:tcPr>
          <w:p w14:paraId="3B5CF95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27,099</w:t>
            </w:r>
          </w:p>
        </w:tc>
        <w:tc>
          <w:tcPr>
            <w:tcW w:w="960" w:type="dxa"/>
            <w:tcBorders>
              <w:top w:val="nil"/>
              <w:left w:val="nil"/>
              <w:bottom w:val="nil"/>
              <w:right w:val="nil"/>
            </w:tcBorders>
            <w:shd w:val="clear" w:color="000000" w:fill="D9D9D9"/>
            <w:noWrap/>
            <w:vAlign w:val="bottom"/>
            <w:hideMark/>
          </w:tcPr>
          <w:p w14:paraId="78D7557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28,602</w:t>
            </w:r>
          </w:p>
        </w:tc>
        <w:tc>
          <w:tcPr>
            <w:tcW w:w="960" w:type="dxa"/>
            <w:tcBorders>
              <w:top w:val="nil"/>
              <w:left w:val="nil"/>
              <w:bottom w:val="nil"/>
              <w:right w:val="nil"/>
            </w:tcBorders>
            <w:shd w:val="clear" w:color="auto" w:fill="auto"/>
            <w:noWrap/>
            <w:vAlign w:val="bottom"/>
            <w:hideMark/>
          </w:tcPr>
          <w:p w14:paraId="77F70A5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23,717</w:t>
            </w:r>
          </w:p>
        </w:tc>
        <w:tc>
          <w:tcPr>
            <w:tcW w:w="960" w:type="dxa"/>
            <w:tcBorders>
              <w:top w:val="nil"/>
              <w:left w:val="nil"/>
              <w:bottom w:val="nil"/>
              <w:right w:val="nil"/>
            </w:tcBorders>
            <w:shd w:val="clear" w:color="auto" w:fill="auto"/>
            <w:noWrap/>
            <w:vAlign w:val="bottom"/>
            <w:hideMark/>
          </w:tcPr>
          <w:p w14:paraId="5B55013A"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20,909</w:t>
            </w:r>
          </w:p>
        </w:tc>
        <w:tc>
          <w:tcPr>
            <w:tcW w:w="960" w:type="dxa"/>
            <w:tcBorders>
              <w:top w:val="nil"/>
              <w:left w:val="nil"/>
              <w:bottom w:val="nil"/>
              <w:right w:val="nil"/>
            </w:tcBorders>
            <w:shd w:val="clear" w:color="auto" w:fill="auto"/>
            <w:noWrap/>
            <w:vAlign w:val="bottom"/>
            <w:hideMark/>
          </w:tcPr>
          <w:p w14:paraId="671CE283"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23,265</w:t>
            </w:r>
          </w:p>
        </w:tc>
      </w:tr>
      <w:tr w:rsidR="00E042BD" w:rsidRPr="00E042BD" w14:paraId="27C87463"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32C6DFB0" w14:textId="77777777" w:rsidR="00E042BD" w:rsidRPr="00E042BD" w:rsidRDefault="00E042BD" w:rsidP="00F06319">
            <w:pPr>
              <w:spacing w:before="0" w:after="0" w:line="240" w:lineRule="auto"/>
              <w:ind w:leftChars="150" w:left="285"/>
              <w:rPr>
                <w:rFonts w:ascii="Arial" w:hAnsi="Arial" w:cs="Arial"/>
                <w:b/>
                <w:bCs/>
                <w:color w:val="000000"/>
                <w:sz w:val="16"/>
                <w:szCs w:val="16"/>
              </w:rPr>
            </w:pPr>
            <w:r w:rsidRPr="00E042BD">
              <w:rPr>
                <w:rFonts w:ascii="Arial" w:hAnsi="Arial" w:cs="Arial"/>
                <w:b/>
                <w:bCs/>
                <w:color w:val="000000"/>
                <w:sz w:val="16"/>
                <w:szCs w:val="16"/>
              </w:rPr>
              <w:t xml:space="preserve">Total </w:t>
            </w:r>
            <w:proofErr w:type="gramStart"/>
            <w:r w:rsidRPr="00E042BD">
              <w:rPr>
                <w:rFonts w:ascii="Arial" w:hAnsi="Arial" w:cs="Arial"/>
                <w:b/>
                <w:bCs/>
                <w:color w:val="000000"/>
                <w:sz w:val="16"/>
                <w:szCs w:val="16"/>
              </w:rPr>
              <w:t>interest bearing</w:t>
            </w:r>
            <w:proofErr w:type="gramEnd"/>
            <w:r w:rsidRPr="00E042BD">
              <w:rPr>
                <w:rFonts w:ascii="Arial" w:hAnsi="Arial" w:cs="Arial"/>
                <w:b/>
                <w:bCs/>
                <w:color w:val="000000"/>
                <w:sz w:val="16"/>
                <w:szCs w:val="16"/>
              </w:rPr>
              <w:t xml:space="preserve"> liabilities</w:t>
            </w:r>
          </w:p>
        </w:tc>
        <w:tc>
          <w:tcPr>
            <w:tcW w:w="960" w:type="dxa"/>
            <w:tcBorders>
              <w:top w:val="nil"/>
              <w:left w:val="nil"/>
              <w:bottom w:val="single" w:sz="4" w:space="0" w:color="auto"/>
              <w:right w:val="nil"/>
            </w:tcBorders>
            <w:shd w:val="clear" w:color="auto" w:fill="auto"/>
            <w:noWrap/>
            <w:vAlign w:val="bottom"/>
            <w:hideMark/>
          </w:tcPr>
          <w:p w14:paraId="12803C8E"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27,099</w:t>
            </w:r>
          </w:p>
        </w:tc>
        <w:tc>
          <w:tcPr>
            <w:tcW w:w="960" w:type="dxa"/>
            <w:tcBorders>
              <w:top w:val="nil"/>
              <w:left w:val="nil"/>
              <w:bottom w:val="single" w:sz="4" w:space="0" w:color="auto"/>
              <w:right w:val="nil"/>
            </w:tcBorders>
            <w:shd w:val="clear" w:color="000000" w:fill="D9D9D9"/>
            <w:noWrap/>
            <w:vAlign w:val="bottom"/>
            <w:hideMark/>
          </w:tcPr>
          <w:p w14:paraId="5C9FD05A"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28,602</w:t>
            </w:r>
          </w:p>
        </w:tc>
        <w:tc>
          <w:tcPr>
            <w:tcW w:w="960" w:type="dxa"/>
            <w:tcBorders>
              <w:top w:val="nil"/>
              <w:left w:val="nil"/>
              <w:bottom w:val="single" w:sz="4" w:space="0" w:color="auto"/>
              <w:right w:val="nil"/>
            </w:tcBorders>
            <w:shd w:val="clear" w:color="auto" w:fill="auto"/>
            <w:noWrap/>
            <w:vAlign w:val="bottom"/>
            <w:hideMark/>
          </w:tcPr>
          <w:p w14:paraId="7A08F272"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23,717</w:t>
            </w:r>
          </w:p>
        </w:tc>
        <w:tc>
          <w:tcPr>
            <w:tcW w:w="960" w:type="dxa"/>
            <w:tcBorders>
              <w:top w:val="nil"/>
              <w:left w:val="nil"/>
              <w:bottom w:val="single" w:sz="4" w:space="0" w:color="auto"/>
              <w:right w:val="nil"/>
            </w:tcBorders>
            <w:shd w:val="clear" w:color="auto" w:fill="auto"/>
            <w:noWrap/>
            <w:vAlign w:val="bottom"/>
            <w:hideMark/>
          </w:tcPr>
          <w:p w14:paraId="4449F2E1"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20,909</w:t>
            </w:r>
          </w:p>
        </w:tc>
        <w:tc>
          <w:tcPr>
            <w:tcW w:w="960" w:type="dxa"/>
            <w:tcBorders>
              <w:top w:val="nil"/>
              <w:left w:val="nil"/>
              <w:bottom w:val="single" w:sz="4" w:space="0" w:color="auto"/>
              <w:right w:val="nil"/>
            </w:tcBorders>
            <w:shd w:val="clear" w:color="auto" w:fill="auto"/>
            <w:noWrap/>
            <w:vAlign w:val="bottom"/>
            <w:hideMark/>
          </w:tcPr>
          <w:p w14:paraId="63F77821"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23,265</w:t>
            </w:r>
          </w:p>
        </w:tc>
      </w:tr>
      <w:tr w:rsidR="00E042BD" w:rsidRPr="00E042BD" w14:paraId="1EB711CE"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5025D11B"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14:paraId="55D3DC2A" w14:textId="77777777" w:rsidR="00E042BD" w:rsidRPr="00E042BD" w:rsidRDefault="00E042BD" w:rsidP="00E042B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BB20B8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38720753"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98FD299"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D8EEA15"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0F62296D"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7032CE25"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Employees</w:t>
            </w:r>
          </w:p>
        </w:tc>
        <w:tc>
          <w:tcPr>
            <w:tcW w:w="960" w:type="dxa"/>
            <w:tcBorders>
              <w:top w:val="nil"/>
              <w:left w:val="nil"/>
              <w:bottom w:val="nil"/>
              <w:right w:val="nil"/>
            </w:tcBorders>
            <w:shd w:val="clear" w:color="auto" w:fill="auto"/>
            <w:noWrap/>
            <w:vAlign w:val="bottom"/>
            <w:hideMark/>
          </w:tcPr>
          <w:p w14:paraId="681B582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25,366</w:t>
            </w:r>
          </w:p>
        </w:tc>
        <w:tc>
          <w:tcPr>
            <w:tcW w:w="960" w:type="dxa"/>
            <w:tcBorders>
              <w:top w:val="nil"/>
              <w:left w:val="nil"/>
              <w:bottom w:val="nil"/>
              <w:right w:val="nil"/>
            </w:tcBorders>
            <w:shd w:val="clear" w:color="000000" w:fill="D9D9D9"/>
            <w:noWrap/>
            <w:vAlign w:val="bottom"/>
            <w:hideMark/>
          </w:tcPr>
          <w:p w14:paraId="7C10B90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28,892</w:t>
            </w:r>
          </w:p>
        </w:tc>
        <w:tc>
          <w:tcPr>
            <w:tcW w:w="960" w:type="dxa"/>
            <w:tcBorders>
              <w:top w:val="nil"/>
              <w:left w:val="nil"/>
              <w:bottom w:val="nil"/>
              <w:right w:val="nil"/>
            </w:tcBorders>
            <w:shd w:val="clear" w:color="auto" w:fill="auto"/>
            <w:noWrap/>
            <w:vAlign w:val="bottom"/>
            <w:hideMark/>
          </w:tcPr>
          <w:p w14:paraId="2897805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29,518</w:t>
            </w:r>
          </w:p>
        </w:tc>
        <w:tc>
          <w:tcPr>
            <w:tcW w:w="960" w:type="dxa"/>
            <w:tcBorders>
              <w:top w:val="nil"/>
              <w:left w:val="nil"/>
              <w:bottom w:val="nil"/>
              <w:right w:val="nil"/>
            </w:tcBorders>
            <w:shd w:val="clear" w:color="auto" w:fill="auto"/>
            <w:noWrap/>
            <w:vAlign w:val="bottom"/>
            <w:hideMark/>
          </w:tcPr>
          <w:p w14:paraId="57224238"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30,739</w:t>
            </w:r>
          </w:p>
        </w:tc>
        <w:tc>
          <w:tcPr>
            <w:tcW w:w="960" w:type="dxa"/>
            <w:tcBorders>
              <w:top w:val="nil"/>
              <w:left w:val="nil"/>
              <w:bottom w:val="nil"/>
              <w:right w:val="nil"/>
            </w:tcBorders>
            <w:shd w:val="clear" w:color="auto" w:fill="auto"/>
            <w:noWrap/>
            <w:vAlign w:val="bottom"/>
            <w:hideMark/>
          </w:tcPr>
          <w:p w14:paraId="58535148"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30,928</w:t>
            </w:r>
          </w:p>
        </w:tc>
      </w:tr>
      <w:tr w:rsidR="00E042BD" w:rsidRPr="00E042BD" w14:paraId="4CB07841"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43DBEE26" w14:textId="77777777" w:rsidR="00E042BD" w:rsidRPr="00E042BD" w:rsidRDefault="00E042BD" w:rsidP="00F06319">
            <w:pPr>
              <w:spacing w:before="0" w:after="0" w:line="240" w:lineRule="auto"/>
              <w:ind w:leftChars="150" w:left="285"/>
              <w:rPr>
                <w:rFonts w:ascii="Arial" w:hAnsi="Arial" w:cs="Arial"/>
                <w:color w:val="000000"/>
                <w:sz w:val="16"/>
                <w:szCs w:val="16"/>
              </w:rPr>
            </w:pPr>
            <w:r w:rsidRPr="00E042BD">
              <w:rPr>
                <w:rFonts w:ascii="Arial" w:hAnsi="Arial" w:cs="Arial"/>
                <w:color w:val="000000"/>
                <w:sz w:val="16"/>
                <w:szCs w:val="16"/>
              </w:rPr>
              <w:t>Other provisions</w:t>
            </w:r>
          </w:p>
        </w:tc>
        <w:tc>
          <w:tcPr>
            <w:tcW w:w="960" w:type="dxa"/>
            <w:tcBorders>
              <w:top w:val="nil"/>
              <w:left w:val="nil"/>
              <w:bottom w:val="nil"/>
              <w:right w:val="nil"/>
            </w:tcBorders>
            <w:shd w:val="clear" w:color="auto" w:fill="auto"/>
            <w:noWrap/>
            <w:vAlign w:val="bottom"/>
            <w:hideMark/>
          </w:tcPr>
          <w:p w14:paraId="674C0071"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181</w:t>
            </w:r>
          </w:p>
        </w:tc>
        <w:tc>
          <w:tcPr>
            <w:tcW w:w="960" w:type="dxa"/>
            <w:tcBorders>
              <w:top w:val="nil"/>
              <w:left w:val="nil"/>
              <w:bottom w:val="nil"/>
              <w:right w:val="nil"/>
            </w:tcBorders>
            <w:shd w:val="clear" w:color="000000" w:fill="D9D9D9"/>
            <w:noWrap/>
            <w:vAlign w:val="bottom"/>
            <w:hideMark/>
          </w:tcPr>
          <w:p w14:paraId="69B9EAA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197</w:t>
            </w:r>
          </w:p>
        </w:tc>
        <w:tc>
          <w:tcPr>
            <w:tcW w:w="960" w:type="dxa"/>
            <w:tcBorders>
              <w:top w:val="nil"/>
              <w:left w:val="nil"/>
              <w:bottom w:val="nil"/>
              <w:right w:val="nil"/>
            </w:tcBorders>
            <w:shd w:val="clear" w:color="auto" w:fill="auto"/>
            <w:noWrap/>
            <w:vAlign w:val="bottom"/>
            <w:hideMark/>
          </w:tcPr>
          <w:p w14:paraId="1C6D0A2D"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197</w:t>
            </w:r>
          </w:p>
        </w:tc>
        <w:tc>
          <w:tcPr>
            <w:tcW w:w="960" w:type="dxa"/>
            <w:tcBorders>
              <w:top w:val="nil"/>
              <w:left w:val="nil"/>
              <w:bottom w:val="nil"/>
              <w:right w:val="nil"/>
            </w:tcBorders>
            <w:shd w:val="clear" w:color="auto" w:fill="auto"/>
            <w:noWrap/>
            <w:vAlign w:val="bottom"/>
            <w:hideMark/>
          </w:tcPr>
          <w:p w14:paraId="1E2C2895"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142</w:t>
            </w:r>
          </w:p>
        </w:tc>
        <w:tc>
          <w:tcPr>
            <w:tcW w:w="960" w:type="dxa"/>
            <w:tcBorders>
              <w:top w:val="nil"/>
              <w:left w:val="nil"/>
              <w:bottom w:val="nil"/>
              <w:right w:val="nil"/>
            </w:tcBorders>
            <w:shd w:val="clear" w:color="auto" w:fill="auto"/>
            <w:noWrap/>
            <w:vAlign w:val="bottom"/>
            <w:hideMark/>
          </w:tcPr>
          <w:p w14:paraId="1F1D9381"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142</w:t>
            </w:r>
          </w:p>
        </w:tc>
      </w:tr>
      <w:tr w:rsidR="00E042BD" w:rsidRPr="00E042BD" w14:paraId="158E8A65"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29023EE4" w14:textId="77777777" w:rsidR="00E042BD" w:rsidRPr="00E042BD" w:rsidRDefault="00E042BD" w:rsidP="00F06319">
            <w:pPr>
              <w:spacing w:before="0" w:after="0" w:line="240" w:lineRule="auto"/>
              <w:ind w:leftChars="150" w:left="285"/>
              <w:rPr>
                <w:rFonts w:ascii="Arial" w:hAnsi="Arial" w:cs="Arial"/>
                <w:b/>
                <w:bCs/>
                <w:color w:val="000000"/>
                <w:sz w:val="16"/>
                <w:szCs w:val="16"/>
              </w:rPr>
            </w:pPr>
            <w:r w:rsidRPr="00E042BD">
              <w:rPr>
                <w:rFonts w:ascii="Arial" w:hAnsi="Arial"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14:paraId="56336C2C"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25,547</w:t>
            </w:r>
          </w:p>
        </w:tc>
        <w:tc>
          <w:tcPr>
            <w:tcW w:w="960" w:type="dxa"/>
            <w:tcBorders>
              <w:top w:val="nil"/>
              <w:left w:val="nil"/>
              <w:bottom w:val="single" w:sz="4" w:space="0" w:color="auto"/>
              <w:right w:val="nil"/>
            </w:tcBorders>
            <w:shd w:val="clear" w:color="000000" w:fill="D9D9D9"/>
            <w:noWrap/>
            <w:vAlign w:val="bottom"/>
            <w:hideMark/>
          </w:tcPr>
          <w:p w14:paraId="0DC9A86F"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29,089</w:t>
            </w:r>
          </w:p>
        </w:tc>
        <w:tc>
          <w:tcPr>
            <w:tcW w:w="960" w:type="dxa"/>
            <w:tcBorders>
              <w:top w:val="nil"/>
              <w:left w:val="nil"/>
              <w:bottom w:val="single" w:sz="4" w:space="0" w:color="auto"/>
              <w:right w:val="nil"/>
            </w:tcBorders>
            <w:shd w:val="clear" w:color="auto" w:fill="auto"/>
            <w:noWrap/>
            <w:vAlign w:val="bottom"/>
            <w:hideMark/>
          </w:tcPr>
          <w:p w14:paraId="0C4F52A4"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29,715</w:t>
            </w:r>
          </w:p>
        </w:tc>
        <w:tc>
          <w:tcPr>
            <w:tcW w:w="960" w:type="dxa"/>
            <w:tcBorders>
              <w:top w:val="nil"/>
              <w:left w:val="nil"/>
              <w:bottom w:val="single" w:sz="4" w:space="0" w:color="auto"/>
              <w:right w:val="nil"/>
            </w:tcBorders>
            <w:shd w:val="clear" w:color="auto" w:fill="auto"/>
            <w:noWrap/>
            <w:vAlign w:val="bottom"/>
            <w:hideMark/>
          </w:tcPr>
          <w:p w14:paraId="5A22066A"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30,881</w:t>
            </w:r>
          </w:p>
        </w:tc>
        <w:tc>
          <w:tcPr>
            <w:tcW w:w="960" w:type="dxa"/>
            <w:tcBorders>
              <w:top w:val="nil"/>
              <w:left w:val="nil"/>
              <w:bottom w:val="single" w:sz="4" w:space="0" w:color="auto"/>
              <w:right w:val="nil"/>
            </w:tcBorders>
            <w:shd w:val="clear" w:color="auto" w:fill="auto"/>
            <w:noWrap/>
            <w:vAlign w:val="bottom"/>
            <w:hideMark/>
          </w:tcPr>
          <w:p w14:paraId="665CEA1F"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31,070</w:t>
            </w:r>
          </w:p>
        </w:tc>
      </w:tr>
      <w:tr w:rsidR="00E042BD" w:rsidRPr="00E042BD" w14:paraId="2B0F8D01"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8600415"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Total liabilities</w:t>
            </w:r>
          </w:p>
        </w:tc>
        <w:tc>
          <w:tcPr>
            <w:tcW w:w="960" w:type="dxa"/>
            <w:tcBorders>
              <w:top w:val="nil"/>
              <w:left w:val="nil"/>
              <w:bottom w:val="single" w:sz="4" w:space="0" w:color="auto"/>
              <w:right w:val="nil"/>
            </w:tcBorders>
            <w:shd w:val="clear" w:color="auto" w:fill="auto"/>
            <w:noWrap/>
            <w:vAlign w:val="bottom"/>
            <w:hideMark/>
          </w:tcPr>
          <w:p w14:paraId="368966BB"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73,841</w:t>
            </w:r>
          </w:p>
        </w:tc>
        <w:tc>
          <w:tcPr>
            <w:tcW w:w="960" w:type="dxa"/>
            <w:tcBorders>
              <w:top w:val="nil"/>
              <w:left w:val="nil"/>
              <w:bottom w:val="single" w:sz="4" w:space="0" w:color="auto"/>
              <w:right w:val="nil"/>
            </w:tcBorders>
            <w:shd w:val="clear" w:color="000000" w:fill="D9D9D9"/>
            <w:noWrap/>
            <w:vAlign w:val="bottom"/>
            <w:hideMark/>
          </w:tcPr>
          <w:p w14:paraId="5036EA40"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68,776</w:t>
            </w:r>
          </w:p>
        </w:tc>
        <w:tc>
          <w:tcPr>
            <w:tcW w:w="960" w:type="dxa"/>
            <w:tcBorders>
              <w:top w:val="nil"/>
              <w:left w:val="nil"/>
              <w:bottom w:val="single" w:sz="4" w:space="0" w:color="auto"/>
              <w:right w:val="nil"/>
            </w:tcBorders>
            <w:shd w:val="clear" w:color="auto" w:fill="auto"/>
            <w:noWrap/>
            <w:vAlign w:val="bottom"/>
            <w:hideMark/>
          </w:tcPr>
          <w:p w14:paraId="65C57CAE"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62,134</w:t>
            </w:r>
          </w:p>
        </w:tc>
        <w:tc>
          <w:tcPr>
            <w:tcW w:w="960" w:type="dxa"/>
            <w:tcBorders>
              <w:top w:val="nil"/>
              <w:left w:val="nil"/>
              <w:bottom w:val="single" w:sz="4" w:space="0" w:color="auto"/>
              <w:right w:val="nil"/>
            </w:tcBorders>
            <w:shd w:val="clear" w:color="auto" w:fill="auto"/>
            <w:noWrap/>
            <w:vAlign w:val="bottom"/>
            <w:hideMark/>
          </w:tcPr>
          <w:p w14:paraId="644CFA79"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61,138</w:t>
            </w:r>
          </w:p>
        </w:tc>
        <w:tc>
          <w:tcPr>
            <w:tcW w:w="960" w:type="dxa"/>
            <w:tcBorders>
              <w:top w:val="nil"/>
              <w:left w:val="nil"/>
              <w:bottom w:val="single" w:sz="4" w:space="0" w:color="auto"/>
              <w:right w:val="nil"/>
            </w:tcBorders>
            <w:shd w:val="clear" w:color="auto" w:fill="auto"/>
            <w:noWrap/>
            <w:vAlign w:val="bottom"/>
            <w:hideMark/>
          </w:tcPr>
          <w:p w14:paraId="7831D6EF"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65,434</w:t>
            </w:r>
          </w:p>
        </w:tc>
      </w:tr>
      <w:tr w:rsidR="00E042BD" w:rsidRPr="00E042BD" w14:paraId="6732D50E"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0EA134B6" w14:textId="77777777" w:rsidR="00E042BD" w:rsidRPr="00E042BD" w:rsidRDefault="00E042BD" w:rsidP="00E042BD">
            <w:pPr>
              <w:spacing w:before="0" w:after="0" w:line="240" w:lineRule="auto"/>
              <w:rPr>
                <w:rFonts w:ascii="Arial" w:hAnsi="Arial" w:cs="Arial"/>
                <w:b/>
                <w:bCs/>
                <w:color w:val="000000"/>
                <w:sz w:val="16"/>
                <w:szCs w:val="16"/>
              </w:rPr>
            </w:pPr>
            <w:r w:rsidRPr="00E042BD">
              <w:rPr>
                <w:rFonts w:ascii="Arial" w:hAnsi="Arial" w:cs="Arial"/>
                <w:b/>
                <w:bCs/>
                <w:color w:val="000000"/>
                <w:sz w:val="16"/>
                <w:szCs w:val="16"/>
              </w:rPr>
              <w:t>Net assets</w:t>
            </w:r>
          </w:p>
        </w:tc>
        <w:tc>
          <w:tcPr>
            <w:tcW w:w="960" w:type="dxa"/>
            <w:tcBorders>
              <w:top w:val="nil"/>
              <w:left w:val="nil"/>
              <w:bottom w:val="single" w:sz="4" w:space="0" w:color="auto"/>
              <w:right w:val="nil"/>
            </w:tcBorders>
            <w:shd w:val="clear" w:color="auto" w:fill="auto"/>
            <w:noWrap/>
            <w:vAlign w:val="bottom"/>
            <w:hideMark/>
          </w:tcPr>
          <w:p w14:paraId="596FD952"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65,680</w:t>
            </w:r>
          </w:p>
        </w:tc>
        <w:tc>
          <w:tcPr>
            <w:tcW w:w="960" w:type="dxa"/>
            <w:tcBorders>
              <w:top w:val="nil"/>
              <w:left w:val="nil"/>
              <w:bottom w:val="single" w:sz="4" w:space="0" w:color="auto"/>
              <w:right w:val="nil"/>
            </w:tcBorders>
            <w:shd w:val="clear" w:color="000000" w:fill="D9D9D9"/>
            <w:noWrap/>
            <w:vAlign w:val="bottom"/>
            <w:hideMark/>
          </w:tcPr>
          <w:p w14:paraId="32F10943"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63,159</w:t>
            </w:r>
          </w:p>
        </w:tc>
        <w:tc>
          <w:tcPr>
            <w:tcW w:w="960" w:type="dxa"/>
            <w:tcBorders>
              <w:top w:val="nil"/>
              <w:left w:val="nil"/>
              <w:bottom w:val="single" w:sz="4" w:space="0" w:color="auto"/>
              <w:right w:val="nil"/>
            </w:tcBorders>
            <w:shd w:val="clear" w:color="auto" w:fill="auto"/>
            <w:noWrap/>
            <w:vAlign w:val="bottom"/>
            <w:hideMark/>
          </w:tcPr>
          <w:p w14:paraId="63FD2D73"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59,195</w:t>
            </w:r>
          </w:p>
        </w:tc>
        <w:tc>
          <w:tcPr>
            <w:tcW w:w="960" w:type="dxa"/>
            <w:tcBorders>
              <w:top w:val="nil"/>
              <w:left w:val="nil"/>
              <w:bottom w:val="single" w:sz="4" w:space="0" w:color="auto"/>
              <w:right w:val="nil"/>
            </w:tcBorders>
            <w:shd w:val="clear" w:color="auto" w:fill="auto"/>
            <w:noWrap/>
            <w:vAlign w:val="bottom"/>
            <w:hideMark/>
          </w:tcPr>
          <w:p w14:paraId="02C57404"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54,307</w:t>
            </w:r>
          </w:p>
        </w:tc>
        <w:tc>
          <w:tcPr>
            <w:tcW w:w="960" w:type="dxa"/>
            <w:tcBorders>
              <w:top w:val="nil"/>
              <w:left w:val="nil"/>
              <w:bottom w:val="single" w:sz="4" w:space="0" w:color="auto"/>
              <w:right w:val="nil"/>
            </w:tcBorders>
            <w:shd w:val="clear" w:color="auto" w:fill="auto"/>
            <w:noWrap/>
            <w:vAlign w:val="bottom"/>
            <w:hideMark/>
          </w:tcPr>
          <w:p w14:paraId="6C006BC2"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47,295</w:t>
            </w:r>
          </w:p>
        </w:tc>
      </w:tr>
      <w:tr w:rsidR="00E042BD" w:rsidRPr="00E042BD" w14:paraId="57311979" w14:textId="77777777" w:rsidTr="000F79BE">
        <w:trPr>
          <w:trHeight w:val="283"/>
          <w:jc w:val="center"/>
        </w:trPr>
        <w:tc>
          <w:tcPr>
            <w:tcW w:w="3080" w:type="dxa"/>
            <w:tcBorders>
              <w:top w:val="nil"/>
              <w:left w:val="nil"/>
              <w:bottom w:val="nil"/>
              <w:right w:val="nil"/>
            </w:tcBorders>
            <w:shd w:val="clear" w:color="auto" w:fill="auto"/>
            <w:noWrap/>
            <w:vAlign w:val="bottom"/>
            <w:hideMark/>
          </w:tcPr>
          <w:p w14:paraId="24247A4A" w14:textId="77777777" w:rsidR="00E042BD" w:rsidRPr="00E042BD" w:rsidRDefault="00E042BD" w:rsidP="00E042BD">
            <w:pPr>
              <w:spacing w:before="0" w:after="0" w:line="240" w:lineRule="auto"/>
              <w:rPr>
                <w:rFonts w:ascii="Arial" w:hAnsi="Arial" w:cs="Arial"/>
                <w:b/>
                <w:bCs/>
                <w:color w:val="000000"/>
                <w:sz w:val="16"/>
                <w:szCs w:val="16"/>
              </w:rPr>
            </w:pPr>
            <w:r w:rsidRPr="00E042BD">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bottom"/>
            <w:hideMark/>
          </w:tcPr>
          <w:p w14:paraId="26743A8E" w14:textId="77777777" w:rsidR="00E042BD" w:rsidRPr="00E042BD" w:rsidRDefault="00E042BD" w:rsidP="00E042BD">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3F732F9"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4D6B6F0C" w14:textId="77777777" w:rsidR="00E042BD" w:rsidRPr="00E042BD" w:rsidRDefault="00E042BD" w:rsidP="00E042B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2D8FEB1D" w14:textId="77777777" w:rsidR="00E042BD" w:rsidRPr="00E042BD" w:rsidRDefault="00E042BD" w:rsidP="00E042B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53B8384" w14:textId="77777777" w:rsidR="00E042BD" w:rsidRPr="00E042BD" w:rsidRDefault="00E042BD" w:rsidP="00E042BD">
            <w:pPr>
              <w:spacing w:before="0" w:after="0" w:line="240" w:lineRule="auto"/>
              <w:jc w:val="right"/>
              <w:rPr>
                <w:rFonts w:ascii="Times New Roman" w:hAnsi="Times New Roman"/>
                <w:sz w:val="20"/>
              </w:rPr>
            </w:pPr>
          </w:p>
        </w:tc>
      </w:tr>
      <w:tr w:rsidR="00E042BD" w:rsidRPr="00E042BD" w14:paraId="78AE8B17"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11AB0B7B" w14:textId="77777777" w:rsidR="00E042BD" w:rsidRPr="00E042BD" w:rsidRDefault="00E042BD" w:rsidP="00F06319">
            <w:pPr>
              <w:spacing w:before="0" w:after="0" w:line="240" w:lineRule="auto"/>
              <w:ind w:leftChars="75" w:left="143"/>
              <w:rPr>
                <w:rFonts w:ascii="Arial" w:hAnsi="Arial" w:cs="Arial"/>
                <w:color w:val="000000"/>
                <w:sz w:val="16"/>
                <w:szCs w:val="16"/>
              </w:rPr>
            </w:pPr>
            <w:r w:rsidRPr="00E042BD">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14:paraId="69E41CF6"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23,784</w:t>
            </w:r>
          </w:p>
        </w:tc>
        <w:tc>
          <w:tcPr>
            <w:tcW w:w="960" w:type="dxa"/>
            <w:tcBorders>
              <w:top w:val="nil"/>
              <w:left w:val="nil"/>
              <w:bottom w:val="nil"/>
              <w:right w:val="nil"/>
            </w:tcBorders>
            <w:shd w:val="clear" w:color="000000" w:fill="D9D9D9"/>
            <w:noWrap/>
            <w:vAlign w:val="bottom"/>
            <w:hideMark/>
          </w:tcPr>
          <w:p w14:paraId="6F37FACE"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26,539</w:t>
            </w:r>
          </w:p>
        </w:tc>
        <w:tc>
          <w:tcPr>
            <w:tcW w:w="960" w:type="dxa"/>
            <w:tcBorders>
              <w:top w:val="nil"/>
              <w:left w:val="nil"/>
              <w:bottom w:val="nil"/>
              <w:right w:val="nil"/>
            </w:tcBorders>
            <w:shd w:val="clear" w:color="auto" w:fill="auto"/>
            <w:noWrap/>
            <w:vAlign w:val="bottom"/>
            <w:hideMark/>
          </w:tcPr>
          <w:p w14:paraId="519DB13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28,623</w:t>
            </w:r>
          </w:p>
        </w:tc>
        <w:tc>
          <w:tcPr>
            <w:tcW w:w="960" w:type="dxa"/>
            <w:tcBorders>
              <w:top w:val="nil"/>
              <w:left w:val="nil"/>
              <w:bottom w:val="nil"/>
              <w:right w:val="nil"/>
            </w:tcBorders>
            <w:shd w:val="clear" w:color="auto" w:fill="auto"/>
            <w:noWrap/>
            <w:vAlign w:val="bottom"/>
            <w:hideMark/>
          </w:tcPr>
          <w:p w14:paraId="29A35E1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30,626</w:t>
            </w:r>
          </w:p>
        </w:tc>
        <w:tc>
          <w:tcPr>
            <w:tcW w:w="960" w:type="dxa"/>
            <w:tcBorders>
              <w:top w:val="nil"/>
              <w:left w:val="nil"/>
              <w:bottom w:val="nil"/>
              <w:right w:val="nil"/>
            </w:tcBorders>
            <w:shd w:val="clear" w:color="auto" w:fill="auto"/>
            <w:noWrap/>
            <w:vAlign w:val="bottom"/>
            <w:hideMark/>
          </w:tcPr>
          <w:p w14:paraId="7B5EA360"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32,596</w:t>
            </w:r>
          </w:p>
        </w:tc>
      </w:tr>
      <w:tr w:rsidR="00E042BD" w:rsidRPr="00E042BD" w14:paraId="7F0AE77C" w14:textId="77777777" w:rsidTr="00E042BD">
        <w:trPr>
          <w:trHeight w:val="225"/>
          <w:jc w:val="center"/>
        </w:trPr>
        <w:tc>
          <w:tcPr>
            <w:tcW w:w="3080" w:type="dxa"/>
            <w:tcBorders>
              <w:top w:val="nil"/>
              <w:left w:val="nil"/>
              <w:bottom w:val="nil"/>
              <w:right w:val="nil"/>
            </w:tcBorders>
            <w:shd w:val="clear" w:color="auto" w:fill="auto"/>
            <w:noWrap/>
            <w:vAlign w:val="bottom"/>
            <w:hideMark/>
          </w:tcPr>
          <w:p w14:paraId="5B1ADCE0" w14:textId="77777777" w:rsidR="00E042BD" w:rsidRPr="00E042BD" w:rsidRDefault="00E042BD" w:rsidP="00F06319">
            <w:pPr>
              <w:spacing w:before="0" w:after="0" w:line="240" w:lineRule="auto"/>
              <w:ind w:leftChars="75" w:left="143"/>
              <w:rPr>
                <w:rFonts w:ascii="Arial" w:hAnsi="Arial" w:cs="Arial"/>
                <w:color w:val="000000"/>
                <w:sz w:val="16"/>
                <w:szCs w:val="16"/>
              </w:rPr>
            </w:pPr>
            <w:r w:rsidRPr="00E042BD">
              <w:rPr>
                <w:rFonts w:ascii="Arial" w:hAnsi="Arial" w:cs="Arial"/>
                <w:color w:val="000000"/>
                <w:sz w:val="16"/>
                <w:szCs w:val="16"/>
              </w:rPr>
              <w:t>Reserves</w:t>
            </w:r>
          </w:p>
        </w:tc>
        <w:tc>
          <w:tcPr>
            <w:tcW w:w="960" w:type="dxa"/>
            <w:tcBorders>
              <w:top w:val="nil"/>
              <w:left w:val="nil"/>
              <w:bottom w:val="nil"/>
              <w:right w:val="nil"/>
            </w:tcBorders>
            <w:shd w:val="clear" w:color="auto" w:fill="auto"/>
            <w:noWrap/>
            <w:vAlign w:val="bottom"/>
            <w:hideMark/>
          </w:tcPr>
          <w:p w14:paraId="3098706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631C7F32"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106</w:t>
            </w:r>
          </w:p>
        </w:tc>
        <w:tc>
          <w:tcPr>
            <w:tcW w:w="960" w:type="dxa"/>
            <w:tcBorders>
              <w:top w:val="nil"/>
              <w:left w:val="nil"/>
              <w:bottom w:val="nil"/>
              <w:right w:val="nil"/>
            </w:tcBorders>
            <w:shd w:val="clear" w:color="auto" w:fill="auto"/>
            <w:noWrap/>
            <w:vAlign w:val="bottom"/>
            <w:hideMark/>
          </w:tcPr>
          <w:p w14:paraId="57489D52"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106</w:t>
            </w:r>
          </w:p>
        </w:tc>
        <w:tc>
          <w:tcPr>
            <w:tcW w:w="960" w:type="dxa"/>
            <w:tcBorders>
              <w:top w:val="nil"/>
              <w:left w:val="nil"/>
              <w:bottom w:val="nil"/>
              <w:right w:val="nil"/>
            </w:tcBorders>
            <w:shd w:val="clear" w:color="auto" w:fill="auto"/>
            <w:noWrap/>
            <w:vAlign w:val="bottom"/>
            <w:hideMark/>
          </w:tcPr>
          <w:p w14:paraId="17C82BCF"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106</w:t>
            </w:r>
          </w:p>
        </w:tc>
        <w:tc>
          <w:tcPr>
            <w:tcW w:w="960" w:type="dxa"/>
            <w:tcBorders>
              <w:top w:val="nil"/>
              <w:left w:val="nil"/>
              <w:bottom w:val="nil"/>
              <w:right w:val="nil"/>
            </w:tcBorders>
            <w:shd w:val="clear" w:color="auto" w:fill="auto"/>
            <w:noWrap/>
            <w:vAlign w:val="bottom"/>
            <w:hideMark/>
          </w:tcPr>
          <w:p w14:paraId="75454F94"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106</w:t>
            </w:r>
          </w:p>
        </w:tc>
      </w:tr>
      <w:tr w:rsidR="00E042BD" w:rsidRPr="00E042BD" w14:paraId="1624B147" w14:textId="77777777" w:rsidTr="000F79BE">
        <w:trPr>
          <w:trHeight w:val="425"/>
          <w:jc w:val="center"/>
        </w:trPr>
        <w:tc>
          <w:tcPr>
            <w:tcW w:w="3080" w:type="dxa"/>
            <w:tcBorders>
              <w:top w:val="nil"/>
              <w:left w:val="nil"/>
              <w:bottom w:val="nil"/>
              <w:right w:val="nil"/>
            </w:tcBorders>
            <w:shd w:val="clear" w:color="auto" w:fill="auto"/>
            <w:vAlign w:val="bottom"/>
            <w:hideMark/>
          </w:tcPr>
          <w:p w14:paraId="605F70AA" w14:textId="77777777" w:rsidR="00E042BD" w:rsidRPr="00E042BD" w:rsidRDefault="00E042BD" w:rsidP="00F06319">
            <w:pPr>
              <w:spacing w:before="0" w:after="0" w:line="240" w:lineRule="auto"/>
              <w:ind w:leftChars="75" w:left="143"/>
              <w:rPr>
                <w:rFonts w:ascii="Arial" w:hAnsi="Arial" w:cs="Arial"/>
                <w:color w:val="000000"/>
                <w:sz w:val="16"/>
                <w:szCs w:val="16"/>
              </w:rPr>
            </w:pPr>
            <w:r w:rsidRPr="00E042BD">
              <w:rPr>
                <w:rFonts w:ascii="Arial" w:hAnsi="Arial" w:cs="Arial"/>
                <w:color w:val="000000"/>
                <w:sz w:val="16"/>
                <w:szCs w:val="16"/>
              </w:rPr>
              <w:t>Retained surpluses or (accumulated deficits)</w:t>
            </w:r>
          </w:p>
        </w:tc>
        <w:tc>
          <w:tcPr>
            <w:tcW w:w="960" w:type="dxa"/>
            <w:tcBorders>
              <w:top w:val="nil"/>
              <w:left w:val="nil"/>
              <w:bottom w:val="single" w:sz="4" w:space="0" w:color="auto"/>
              <w:right w:val="nil"/>
            </w:tcBorders>
            <w:shd w:val="clear" w:color="auto" w:fill="auto"/>
            <w:noWrap/>
            <w:vAlign w:val="bottom"/>
            <w:hideMark/>
          </w:tcPr>
          <w:p w14:paraId="487203E5"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41,896</w:t>
            </w:r>
          </w:p>
        </w:tc>
        <w:tc>
          <w:tcPr>
            <w:tcW w:w="960" w:type="dxa"/>
            <w:tcBorders>
              <w:top w:val="nil"/>
              <w:left w:val="nil"/>
              <w:bottom w:val="single" w:sz="4" w:space="0" w:color="auto"/>
              <w:right w:val="nil"/>
            </w:tcBorders>
            <w:shd w:val="clear" w:color="000000" w:fill="D9D9D9"/>
            <w:noWrap/>
            <w:vAlign w:val="bottom"/>
            <w:hideMark/>
          </w:tcPr>
          <w:p w14:paraId="590C55BC"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36,514</w:t>
            </w:r>
          </w:p>
        </w:tc>
        <w:tc>
          <w:tcPr>
            <w:tcW w:w="960" w:type="dxa"/>
            <w:tcBorders>
              <w:top w:val="nil"/>
              <w:left w:val="nil"/>
              <w:bottom w:val="single" w:sz="4" w:space="0" w:color="auto"/>
              <w:right w:val="nil"/>
            </w:tcBorders>
            <w:shd w:val="clear" w:color="auto" w:fill="auto"/>
            <w:noWrap/>
            <w:vAlign w:val="bottom"/>
            <w:hideMark/>
          </w:tcPr>
          <w:p w14:paraId="4941FC91"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30,466</w:t>
            </w:r>
          </w:p>
        </w:tc>
        <w:tc>
          <w:tcPr>
            <w:tcW w:w="960" w:type="dxa"/>
            <w:tcBorders>
              <w:top w:val="nil"/>
              <w:left w:val="nil"/>
              <w:bottom w:val="single" w:sz="4" w:space="0" w:color="auto"/>
              <w:right w:val="nil"/>
            </w:tcBorders>
            <w:shd w:val="clear" w:color="auto" w:fill="auto"/>
            <w:noWrap/>
            <w:vAlign w:val="bottom"/>
            <w:hideMark/>
          </w:tcPr>
          <w:p w14:paraId="03831667"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23,575</w:t>
            </w:r>
          </w:p>
        </w:tc>
        <w:tc>
          <w:tcPr>
            <w:tcW w:w="960" w:type="dxa"/>
            <w:tcBorders>
              <w:top w:val="nil"/>
              <w:left w:val="nil"/>
              <w:bottom w:val="single" w:sz="4" w:space="0" w:color="auto"/>
              <w:right w:val="nil"/>
            </w:tcBorders>
            <w:shd w:val="clear" w:color="auto" w:fill="auto"/>
            <w:noWrap/>
            <w:vAlign w:val="bottom"/>
            <w:hideMark/>
          </w:tcPr>
          <w:p w14:paraId="56FF2B15" w14:textId="77777777" w:rsidR="00E042BD" w:rsidRPr="00E042BD" w:rsidRDefault="00E042BD" w:rsidP="00E042BD">
            <w:pPr>
              <w:spacing w:before="0" w:after="0" w:line="240" w:lineRule="auto"/>
              <w:jc w:val="right"/>
              <w:rPr>
                <w:rFonts w:ascii="Arial" w:hAnsi="Arial" w:cs="Arial"/>
                <w:color w:val="000000"/>
                <w:sz w:val="16"/>
                <w:szCs w:val="16"/>
              </w:rPr>
            </w:pPr>
            <w:r w:rsidRPr="00E042BD">
              <w:rPr>
                <w:rFonts w:ascii="Arial" w:hAnsi="Arial" w:cs="Arial"/>
                <w:color w:val="000000"/>
                <w:sz w:val="16"/>
                <w:szCs w:val="16"/>
              </w:rPr>
              <w:t>14,593</w:t>
            </w:r>
          </w:p>
        </w:tc>
      </w:tr>
      <w:tr w:rsidR="00E042BD" w:rsidRPr="00E042BD" w14:paraId="0783113B" w14:textId="77777777" w:rsidTr="00E042BD">
        <w:trPr>
          <w:trHeight w:val="225"/>
          <w:jc w:val="center"/>
        </w:trPr>
        <w:tc>
          <w:tcPr>
            <w:tcW w:w="3080" w:type="dxa"/>
            <w:tcBorders>
              <w:top w:val="nil"/>
              <w:left w:val="nil"/>
              <w:bottom w:val="single" w:sz="4" w:space="0" w:color="auto"/>
              <w:right w:val="nil"/>
            </w:tcBorders>
            <w:shd w:val="clear" w:color="auto" w:fill="auto"/>
            <w:noWrap/>
            <w:vAlign w:val="bottom"/>
            <w:hideMark/>
          </w:tcPr>
          <w:p w14:paraId="18B1B2CF" w14:textId="77777777" w:rsidR="00E042BD" w:rsidRPr="00E042BD" w:rsidRDefault="00E042BD" w:rsidP="00F06319">
            <w:pPr>
              <w:spacing w:before="0" w:after="0" w:line="240" w:lineRule="auto"/>
              <w:ind w:leftChars="75" w:left="143"/>
              <w:rPr>
                <w:rFonts w:ascii="Arial" w:hAnsi="Arial" w:cs="Arial"/>
                <w:b/>
                <w:bCs/>
                <w:color w:val="000000"/>
                <w:sz w:val="16"/>
                <w:szCs w:val="16"/>
              </w:rPr>
            </w:pPr>
            <w:r w:rsidRPr="00E042BD">
              <w:rPr>
                <w:rFonts w:ascii="Arial" w:hAnsi="Arial" w:cs="Arial"/>
                <w:b/>
                <w:bCs/>
                <w:color w:val="000000"/>
                <w:sz w:val="16"/>
                <w:szCs w:val="16"/>
              </w:rPr>
              <w:t>Total equity</w:t>
            </w:r>
          </w:p>
        </w:tc>
        <w:tc>
          <w:tcPr>
            <w:tcW w:w="960" w:type="dxa"/>
            <w:tcBorders>
              <w:top w:val="nil"/>
              <w:left w:val="nil"/>
              <w:bottom w:val="single" w:sz="4" w:space="0" w:color="auto"/>
              <w:right w:val="nil"/>
            </w:tcBorders>
            <w:shd w:val="clear" w:color="auto" w:fill="auto"/>
            <w:noWrap/>
            <w:vAlign w:val="bottom"/>
            <w:hideMark/>
          </w:tcPr>
          <w:p w14:paraId="742563A5"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65,680</w:t>
            </w:r>
          </w:p>
        </w:tc>
        <w:tc>
          <w:tcPr>
            <w:tcW w:w="960" w:type="dxa"/>
            <w:tcBorders>
              <w:top w:val="nil"/>
              <w:left w:val="nil"/>
              <w:bottom w:val="single" w:sz="4" w:space="0" w:color="auto"/>
              <w:right w:val="nil"/>
            </w:tcBorders>
            <w:shd w:val="clear" w:color="000000" w:fill="D9D9D9"/>
            <w:noWrap/>
            <w:vAlign w:val="bottom"/>
            <w:hideMark/>
          </w:tcPr>
          <w:p w14:paraId="596CB6D6"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63,159</w:t>
            </w:r>
          </w:p>
        </w:tc>
        <w:tc>
          <w:tcPr>
            <w:tcW w:w="960" w:type="dxa"/>
            <w:tcBorders>
              <w:top w:val="nil"/>
              <w:left w:val="nil"/>
              <w:bottom w:val="single" w:sz="4" w:space="0" w:color="auto"/>
              <w:right w:val="nil"/>
            </w:tcBorders>
            <w:shd w:val="clear" w:color="auto" w:fill="auto"/>
            <w:noWrap/>
            <w:vAlign w:val="bottom"/>
            <w:hideMark/>
          </w:tcPr>
          <w:p w14:paraId="3AAF205C"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59,195</w:t>
            </w:r>
          </w:p>
        </w:tc>
        <w:tc>
          <w:tcPr>
            <w:tcW w:w="960" w:type="dxa"/>
            <w:tcBorders>
              <w:top w:val="nil"/>
              <w:left w:val="nil"/>
              <w:bottom w:val="single" w:sz="4" w:space="0" w:color="auto"/>
              <w:right w:val="nil"/>
            </w:tcBorders>
            <w:shd w:val="clear" w:color="auto" w:fill="auto"/>
            <w:noWrap/>
            <w:vAlign w:val="bottom"/>
            <w:hideMark/>
          </w:tcPr>
          <w:p w14:paraId="6B79437C"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54,307</w:t>
            </w:r>
          </w:p>
        </w:tc>
        <w:tc>
          <w:tcPr>
            <w:tcW w:w="960" w:type="dxa"/>
            <w:tcBorders>
              <w:top w:val="nil"/>
              <w:left w:val="nil"/>
              <w:bottom w:val="single" w:sz="4" w:space="0" w:color="auto"/>
              <w:right w:val="nil"/>
            </w:tcBorders>
            <w:shd w:val="clear" w:color="auto" w:fill="auto"/>
            <w:noWrap/>
            <w:vAlign w:val="bottom"/>
            <w:hideMark/>
          </w:tcPr>
          <w:p w14:paraId="261ED2A0" w14:textId="77777777" w:rsidR="00E042BD" w:rsidRPr="00E042BD" w:rsidRDefault="00E042BD" w:rsidP="00E042BD">
            <w:pPr>
              <w:spacing w:before="0" w:after="0" w:line="240" w:lineRule="auto"/>
              <w:jc w:val="right"/>
              <w:rPr>
                <w:rFonts w:ascii="Arial" w:hAnsi="Arial" w:cs="Arial"/>
                <w:b/>
                <w:bCs/>
                <w:color w:val="000000"/>
                <w:sz w:val="16"/>
                <w:szCs w:val="16"/>
              </w:rPr>
            </w:pPr>
            <w:r w:rsidRPr="00E042BD">
              <w:rPr>
                <w:rFonts w:ascii="Arial" w:hAnsi="Arial" w:cs="Arial"/>
                <w:b/>
                <w:bCs/>
                <w:color w:val="000000"/>
                <w:sz w:val="16"/>
                <w:szCs w:val="16"/>
              </w:rPr>
              <w:t>47,295</w:t>
            </w:r>
          </w:p>
        </w:tc>
      </w:tr>
    </w:tbl>
    <w:p w14:paraId="53F1F9D6" w14:textId="77777777" w:rsidR="00275707" w:rsidRDefault="00275707" w:rsidP="00275707">
      <w:pPr>
        <w:pStyle w:val="SingleParagraph"/>
        <w:rPr>
          <w:snapToGrid w:val="0"/>
        </w:rPr>
      </w:pPr>
    </w:p>
    <w:p w14:paraId="050A612F" w14:textId="77777777" w:rsidR="00275707" w:rsidRPr="00014438" w:rsidRDefault="00275707" w:rsidP="00275707">
      <w:pPr>
        <w:pStyle w:val="SingleParagraph"/>
        <w:rPr>
          <w:snapToGrid w:val="0"/>
        </w:rPr>
      </w:pPr>
    </w:p>
    <w:p w14:paraId="7A3F04C3" w14:textId="77777777" w:rsidR="00275707" w:rsidRDefault="00275707" w:rsidP="00275707">
      <w:pPr>
        <w:spacing w:before="0" w:after="0" w:line="240" w:lineRule="auto"/>
        <w:rPr>
          <w:rFonts w:ascii="Arial" w:hAnsi="Arial"/>
          <w:b/>
          <w:snapToGrid w:val="0"/>
          <w:sz w:val="20"/>
        </w:rPr>
      </w:pPr>
      <w:r>
        <w:rPr>
          <w:snapToGrid w:val="0"/>
        </w:rPr>
        <w:br w:type="page"/>
      </w:r>
    </w:p>
    <w:p w14:paraId="5EA6B1FC" w14:textId="7D01CEE1" w:rsidR="00275707" w:rsidRDefault="00275707" w:rsidP="00275707">
      <w:pPr>
        <w:pStyle w:val="TableHeading"/>
        <w:spacing w:before="0"/>
        <w:rPr>
          <w:rFonts w:ascii="Book Antiqua" w:hAnsi="Book Antiqua"/>
          <w:bCs/>
          <w:color w:val="0000FF"/>
          <w:sz w:val="19"/>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0635C9">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880" w:type="dxa"/>
        <w:jc w:val="center"/>
        <w:tblLayout w:type="fixed"/>
        <w:tblLook w:val="04A0" w:firstRow="1" w:lastRow="0" w:firstColumn="1" w:lastColumn="0" w:noHBand="0" w:noVBand="1"/>
      </w:tblPr>
      <w:tblGrid>
        <w:gridCol w:w="3080"/>
        <w:gridCol w:w="1160"/>
        <w:gridCol w:w="1240"/>
        <w:gridCol w:w="1240"/>
        <w:gridCol w:w="1160"/>
      </w:tblGrid>
      <w:tr w:rsidR="00296F61" w:rsidRPr="00296F61" w14:paraId="21B2D152" w14:textId="77777777" w:rsidTr="00A35E54">
        <w:trPr>
          <w:trHeight w:val="765"/>
          <w:jc w:val="center"/>
        </w:trPr>
        <w:tc>
          <w:tcPr>
            <w:tcW w:w="3080" w:type="dxa"/>
            <w:tcBorders>
              <w:top w:val="single" w:sz="4" w:space="0" w:color="auto"/>
              <w:left w:val="nil"/>
              <w:bottom w:val="nil"/>
              <w:right w:val="nil"/>
            </w:tcBorders>
            <w:shd w:val="clear" w:color="auto" w:fill="auto"/>
            <w:vAlign w:val="bottom"/>
            <w:hideMark/>
          </w:tcPr>
          <w:p w14:paraId="3F3E756E" w14:textId="77777777" w:rsidR="00296F61" w:rsidRPr="00296F61" w:rsidRDefault="00296F61" w:rsidP="00296F61">
            <w:pPr>
              <w:spacing w:before="0" w:after="0" w:line="240" w:lineRule="auto"/>
              <w:jc w:val="right"/>
              <w:rPr>
                <w:rFonts w:ascii="Arial" w:hAnsi="Arial" w:cs="Arial"/>
                <w:color w:val="000000"/>
                <w:sz w:val="16"/>
                <w:szCs w:val="16"/>
              </w:rPr>
            </w:pPr>
          </w:p>
        </w:tc>
        <w:tc>
          <w:tcPr>
            <w:tcW w:w="1160" w:type="dxa"/>
            <w:tcBorders>
              <w:top w:val="single" w:sz="4" w:space="0" w:color="auto"/>
              <w:left w:val="nil"/>
              <w:bottom w:val="single" w:sz="4" w:space="0" w:color="auto"/>
              <w:right w:val="nil"/>
            </w:tcBorders>
            <w:shd w:val="clear" w:color="auto" w:fill="auto"/>
            <w:hideMark/>
          </w:tcPr>
          <w:p w14:paraId="5A2BCEEE" w14:textId="77777777" w:rsidR="00296F61" w:rsidRPr="00296F61" w:rsidRDefault="00296F61" w:rsidP="00A35E54">
            <w:pPr>
              <w:spacing w:before="24" w:after="0" w:line="240" w:lineRule="auto"/>
              <w:jc w:val="right"/>
              <w:rPr>
                <w:rFonts w:ascii="Arial" w:hAnsi="Arial" w:cs="Arial"/>
                <w:color w:val="000000"/>
                <w:sz w:val="16"/>
                <w:szCs w:val="16"/>
              </w:rPr>
            </w:pPr>
            <w:r w:rsidRPr="00296F61">
              <w:rPr>
                <w:rFonts w:ascii="Arial" w:hAnsi="Arial" w:cs="Arial"/>
                <w:b/>
                <w:bCs/>
                <w:color w:val="000000"/>
                <w:sz w:val="16"/>
                <w:szCs w:val="16"/>
              </w:rPr>
              <w:t xml:space="preserve">Retained earnings </w:t>
            </w:r>
            <w:r w:rsidRPr="00296F61">
              <w:rPr>
                <w:rFonts w:ascii="Arial" w:hAnsi="Arial" w:cs="Arial"/>
                <w:color w:val="000000"/>
                <w:sz w:val="16"/>
                <w:szCs w:val="16"/>
              </w:rPr>
              <w:br/>
            </w:r>
            <w:r w:rsidRPr="00296F61">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5DAE75B9" w14:textId="77777777" w:rsidR="00296F61" w:rsidRPr="00296F61" w:rsidRDefault="00296F61" w:rsidP="00A35E54">
            <w:pPr>
              <w:spacing w:before="24" w:after="0" w:line="240" w:lineRule="auto"/>
              <w:jc w:val="right"/>
              <w:rPr>
                <w:rFonts w:ascii="Arial" w:hAnsi="Arial" w:cs="Arial"/>
                <w:color w:val="000000"/>
                <w:sz w:val="16"/>
                <w:szCs w:val="16"/>
              </w:rPr>
            </w:pPr>
            <w:r w:rsidRPr="00296F61">
              <w:rPr>
                <w:rFonts w:ascii="Arial" w:hAnsi="Arial" w:cs="Arial"/>
                <w:b/>
                <w:bCs/>
                <w:color w:val="000000"/>
                <w:sz w:val="16"/>
                <w:szCs w:val="16"/>
              </w:rPr>
              <w:t xml:space="preserve">Asset revaluation reserve </w:t>
            </w:r>
            <w:r w:rsidRPr="00296F61">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08E71E51" w14:textId="77777777" w:rsidR="00296F61" w:rsidRPr="00296F61" w:rsidRDefault="00296F61" w:rsidP="00A35E54">
            <w:pPr>
              <w:spacing w:before="24" w:after="0" w:line="240" w:lineRule="auto"/>
              <w:jc w:val="right"/>
              <w:rPr>
                <w:rFonts w:ascii="Arial" w:hAnsi="Arial" w:cs="Arial"/>
                <w:color w:val="000000"/>
                <w:sz w:val="16"/>
                <w:szCs w:val="16"/>
              </w:rPr>
            </w:pPr>
            <w:r w:rsidRPr="00296F61">
              <w:rPr>
                <w:rFonts w:ascii="Arial" w:hAnsi="Arial" w:cs="Arial"/>
                <w:b/>
                <w:bCs/>
                <w:color w:val="000000"/>
                <w:sz w:val="16"/>
                <w:szCs w:val="16"/>
              </w:rPr>
              <w:t>Contributed equity/</w:t>
            </w:r>
            <w:r w:rsidRPr="00296F61">
              <w:rPr>
                <w:rFonts w:ascii="Arial" w:hAnsi="Arial" w:cs="Arial"/>
                <w:b/>
                <w:bCs/>
                <w:color w:val="000000"/>
                <w:sz w:val="16"/>
                <w:szCs w:val="16"/>
              </w:rPr>
              <w:br/>
              <w:t xml:space="preserve">capital </w:t>
            </w:r>
            <w:r w:rsidRPr="00296F61">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auto" w:fill="auto"/>
            <w:hideMark/>
          </w:tcPr>
          <w:p w14:paraId="2582B051" w14:textId="77777777" w:rsidR="00296F61" w:rsidRPr="00296F61" w:rsidRDefault="00296F61" w:rsidP="00A35E54">
            <w:pPr>
              <w:spacing w:before="24" w:after="0" w:line="240" w:lineRule="auto"/>
              <w:jc w:val="right"/>
              <w:rPr>
                <w:rFonts w:ascii="Arial" w:hAnsi="Arial" w:cs="Arial"/>
                <w:color w:val="000000"/>
                <w:sz w:val="16"/>
                <w:szCs w:val="16"/>
              </w:rPr>
            </w:pPr>
            <w:r w:rsidRPr="00296F61">
              <w:rPr>
                <w:rFonts w:ascii="Arial" w:hAnsi="Arial" w:cs="Arial"/>
                <w:b/>
                <w:bCs/>
                <w:color w:val="000000"/>
                <w:sz w:val="16"/>
                <w:szCs w:val="16"/>
              </w:rPr>
              <w:t xml:space="preserve">Total </w:t>
            </w:r>
            <w:r w:rsidRPr="00296F61">
              <w:rPr>
                <w:rFonts w:ascii="Arial" w:hAnsi="Arial" w:cs="Arial"/>
                <w:b/>
                <w:bCs/>
                <w:color w:val="000000"/>
                <w:sz w:val="16"/>
                <w:szCs w:val="16"/>
              </w:rPr>
              <w:br/>
              <w:t xml:space="preserve">equity </w:t>
            </w:r>
            <w:r w:rsidRPr="00296F61">
              <w:rPr>
                <w:rFonts w:ascii="Arial" w:hAnsi="Arial" w:cs="Arial"/>
                <w:color w:val="000000"/>
                <w:sz w:val="16"/>
                <w:szCs w:val="16"/>
              </w:rPr>
              <w:br/>
            </w:r>
            <w:r w:rsidRPr="00296F61">
              <w:rPr>
                <w:rFonts w:ascii="Arial" w:hAnsi="Arial" w:cs="Arial"/>
                <w:color w:val="000000"/>
                <w:sz w:val="16"/>
                <w:szCs w:val="16"/>
              </w:rPr>
              <w:br/>
              <w:t>$'000</w:t>
            </w:r>
          </w:p>
        </w:tc>
      </w:tr>
      <w:tr w:rsidR="00296F61" w:rsidRPr="00296F61" w14:paraId="762B7A45" w14:textId="77777777" w:rsidTr="00296F61">
        <w:trPr>
          <w:trHeight w:val="225"/>
          <w:jc w:val="center"/>
        </w:trPr>
        <w:tc>
          <w:tcPr>
            <w:tcW w:w="3080" w:type="dxa"/>
            <w:tcBorders>
              <w:top w:val="nil"/>
              <w:left w:val="nil"/>
              <w:bottom w:val="nil"/>
              <w:right w:val="nil"/>
            </w:tcBorders>
            <w:shd w:val="clear" w:color="auto" w:fill="auto"/>
            <w:noWrap/>
            <w:vAlign w:val="bottom"/>
            <w:hideMark/>
          </w:tcPr>
          <w:p w14:paraId="6414EB9D" w14:textId="77777777" w:rsidR="00296F61" w:rsidRPr="00296F61" w:rsidRDefault="00296F61" w:rsidP="00296F61">
            <w:pPr>
              <w:spacing w:before="0" w:after="0" w:line="240" w:lineRule="auto"/>
              <w:rPr>
                <w:rFonts w:ascii="Arial" w:hAnsi="Arial" w:cs="Arial"/>
                <w:b/>
                <w:bCs/>
                <w:color w:val="000000"/>
                <w:sz w:val="16"/>
                <w:szCs w:val="16"/>
              </w:rPr>
            </w:pPr>
            <w:r w:rsidRPr="00296F61">
              <w:rPr>
                <w:rFonts w:ascii="Arial" w:hAnsi="Arial" w:cs="Arial"/>
                <w:b/>
                <w:bCs/>
                <w:color w:val="000000"/>
                <w:sz w:val="16"/>
                <w:szCs w:val="16"/>
              </w:rPr>
              <w:t xml:space="preserve">Opening balance as </w:t>
            </w:r>
            <w:proofErr w:type="gramStart"/>
            <w:r w:rsidRPr="00296F61">
              <w:rPr>
                <w:rFonts w:ascii="Arial" w:hAnsi="Arial" w:cs="Arial"/>
                <w:b/>
                <w:bCs/>
                <w:color w:val="000000"/>
                <w:sz w:val="16"/>
                <w:szCs w:val="16"/>
              </w:rPr>
              <w:t>at</w:t>
            </w:r>
            <w:proofErr w:type="gramEnd"/>
            <w:r w:rsidRPr="00296F61">
              <w:rPr>
                <w:rFonts w:ascii="Arial" w:hAnsi="Arial" w:cs="Arial"/>
                <w:b/>
                <w:bCs/>
                <w:color w:val="000000"/>
                <w:sz w:val="16"/>
                <w:szCs w:val="16"/>
              </w:rPr>
              <w:t xml:space="preserve"> 1 July 2023</w:t>
            </w:r>
          </w:p>
        </w:tc>
        <w:tc>
          <w:tcPr>
            <w:tcW w:w="1160" w:type="dxa"/>
            <w:tcBorders>
              <w:top w:val="nil"/>
              <w:left w:val="nil"/>
              <w:bottom w:val="nil"/>
              <w:right w:val="nil"/>
            </w:tcBorders>
            <w:shd w:val="clear" w:color="auto" w:fill="auto"/>
            <w:noWrap/>
            <w:vAlign w:val="bottom"/>
            <w:hideMark/>
          </w:tcPr>
          <w:p w14:paraId="119FC20D" w14:textId="77777777" w:rsidR="00296F61" w:rsidRPr="00296F61" w:rsidRDefault="00296F61" w:rsidP="00296F61">
            <w:pPr>
              <w:spacing w:before="0" w:after="0" w:line="240" w:lineRule="auto"/>
              <w:rPr>
                <w:rFonts w:ascii="Arial" w:hAnsi="Arial" w:cs="Arial"/>
                <w:b/>
                <w:bCs/>
                <w:color w:val="000000"/>
                <w:sz w:val="16"/>
                <w:szCs w:val="16"/>
              </w:rPr>
            </w:pPr>
          </w:p>
        </w:tc>
        <w:tc>
          <w:tcPr>
            <w:tcW w:w="1240" w:type="dxa"/>
            <w:tcBorders>
              <w:top w:val="nil"/>
              <w:left w:val="nil"/>
              <w:bottom w:val="nil"/>
              <w:right w:val="nil"/>
            </w:tcBorders>
            <w:shd w:val="clear" w:color="auto" w:fill="auto"/>
            <w:noWrap/>
            <w:vAlign w:val="bottom"/>
            <w:hideMark/>
          </w:tcPr>
          <w:p w14:paraId="38E4224C" w14:textId="77777777" w:rsidR="00296F61" w:rsidRPr="00296F61" w:rsidRDefault="00296F61" w:rsidP="00296F61">
            <w:pPr>
              <w:spacing w:before="0" w:after="0" w:line="240" w:lineRule="auto"/>
              <w:jc w:val="righ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14:paraId="23049295" w14:textId="77777777" w:rsidR="00296F61" w:rsidRPr="00296F61" w:rsidRDefault="00296F61" w:rsidP="00296F61">
            <w:pPr>
              <w:spacing w:before="0" w:after="0" w:line="240" w:lineRule="auto"/>
              <w:jc w:val="right"/>
              <w:rPr>
                <w:rFonts w:ascii="Times New Roman" w:hAnsi="Times New Roman"/>
                <w:sz w:val="20"/>
              </w:rPr>
            </w:pPr>
          </w:p>
        </w:tc>
        <w:tc>
          <w:tcPr>
            <w:tcW w:w="1160" w:type="dxa"/>
            <w:tcBorders>
              <w:top w:val="nil"/>
              <w:left w:val="nil"/>
              <w:bottom w:val="nil"/>
              <w:right w:val="nil"/>
            </w:tcBorders>
            <w:shd w:val="clear" w:color="auto" w:fill="auto"/>
            <w:noWrap/>
            <w:vAlign w:val="bottom"/>
            <w:hideMark/>
          </w:tcPr>
          <w:p w14:paraId="017810DC" w14:textId="77777777" w:rsidR="00296F61" w:rsidRPr="00296F61" w:rsidRDefault="00296F61" w:rsidP="00296F61">
            <w:pPr>
              <w:spacing w:before="0" w:after="0" w:line="240" w:lineRule="auto"/>
              <w:jc w:val="right"/>
              <w:rPr>
                <w:rFonts w:ascii="Times New Roman" w:hAnsi="Times New Roman"/>
                <w:sz w:val="20"/>
              </w:rPr>
            </w:pPr>
          </w:p>
        </w:tc>
      </w:tr>
      <w:tr w:rsidR="00296F61" w:rsidRPr="00296F61" w14:paraId="3ECA694A" w14:textId="77777777" w:rsidTr="00A35E54">
        <w:trPr>
          <w:trHeight w:val="454"/>
          <w:jc w:val="center"/>
        </w:trPr>
        <w:tc>
          <w:tcPr>
            <w:tcW w:w="3080" w:type="dxa"/>
            <w:tcBorders>
              <w:top w:val="nil"/>
              <w:left w:val="nil"/>
              <w:bottom w:val="nil"/>
              <w:right w:val="nil"/>
            </w:tcBorders>
            <w:shd w:val="clear" w:color="auto" w:fill="auto"/>
            <w:vAlign w:val="bottom"/>
            <w:hideMark/>
          </w:tcPr>
          <w:p w14:paraId="7CFEABAA" w14:textId="77777777" w:rsidR="00296F61" w:rsidRPr="00296F61" w:rsidRDefault="00296F61" w:rsidP="00296F61">
            <w:pPr>
              <w:spacing w:before="0" w:after="0" w:line="240" w:lineRule="auto"/>
              <w:ind w:leftChars="75" w:left="143"/>
              <w:rPr>
                <w:rFonts w:ascii="Arial" w:hAnsi="Arial" w:cs="Arial"/>
                <w:color w:val="000000"/>
                <w:sz w:val="16"/>
                <w:szCs w:val="16"/>
              </w:rPr>
            </w:pPr>
            <w:r w:rsidRPr="00296F61">
              <w:rPr>
                <w:rFonts w:ascii="Arial" w:hAnsi="Arial" w:cs="Arial"/>
                <w:color w:val="000000"/>
                <w:sz w:val="16"/>
                <w:szCs w:val="16"/>
              </w:rPr>
              <w:t>Balance carried forward from previous period</w:t>
            </w:r>
          </w:p>
        </w:tc>
        <w:tc>
          <w:tcPr>
            <w:tcW w:w="1160" w:type="dxa"/>
            <w:tcBorders>
              <w:top w:val="nil"/>
              <w:left w:val="nil"/>
              <w:bottom w:val="nil"/>
              <w:right w:val="nil"/>
            </w:tcBorders>
            <w:shd w:val="clear" w:color="auto" w:fill="auto"/>
            <w:noWrap/>
            <w:vAlign w:val="bottom"/>
            <w:hideMark/>
          </w:tcPr>
          <w:p w14:paraId="510C9537"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41,790</w:t>
            </w:r>
          </w:p>
        </w:tc>
        <w:tc>
          <w:tcPr>
            <w:tcW w:w="1240" w:type="dxa"/>
            <w:tcBorders>
              <w:top w:val="nil"/>
              <w:left w:val="nil"/>
              <w:bottom w:val="nil"/>
              <w:right w:val="nil"/>
            </w:tcBorders>
            <w:shd w:val="clear" w:color="auto" w:fill="auto"/>
            <w:noWrap/>
            <w:vAlign w:val="bottom"/>
            <w:hideMark/>
          </w:tcPr>
          <w:p w14:paraId="6AC52D94"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106</w:t>
            </w:r>
          </w:p>
        </w:tc>
        <w:tc>
          <w:tcPr>
            <w:tcW w:w="1240" w:type="dxa"/>
            <w:tcBorders>
              <w:top w:val="nil"/>
              <w:left w:val="nil"/>
              <w:bottom w:val="nil"/>
              <w:right w:val="nil"/>
            </w:tcBorders>
            <w:shd w:val="clear" w:color="auto" w:fill="auto"/>
            <w:noWrap/>
            <w:vAlign w:val="bottom"/>
            <w:hideMark/>
          </w:tcPr>
          <w:p w14:paraId="2972755D"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23,784</w:t>
            </w:r>
          </w:p>
        </w:tc>
        <w:tc>
          <w:tcPr>
            <w:tcW w:w="1160" w:type="dxa"/>
            <w:tcBorders>
              <w:top w:val="nil"/>
              <w:left w:val="nil"/>
              <w:bottom w:val="nil"/>
              <w:right w:val="nil"/>
            </w:tcBorders>
            <w:shd w:val="clear" w:color="auto" w:fill="auto"/>
            <w:noWrap/>
            <w:vAlign w:val="bottom"/>
            <w:hideMark/>
          </w:tcPr>
          <w:p w14:paraId="270D2829"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65,680</w:t>
            </w:r>
          </w:p>
        </w:tc>
      </w:tr>
      <w:tr w:rsidR="00296F61" w:rsidRPr="00296F61" w14:paraId="37E3F3E7" w14:textId="77777777" w:rsidTr="00A35E54">
        <w:trPr>
          <w:trHeight w:val="283"/>
          <w:jc w:val="center"/>
        </w:trPr>
        <w:tc>
          <w:tcPr>
            <w:tcW w:w="3080" w:type="dxa"/>
            <w:tcBorders>
              <w:top w:val="nil"/>
              <w:left w:val="nil"/>
              <w:bottom w:val="nil"/>
              <w:right w:val="nil"/>
            </w:tcBorders>
            <w:shd w:val="clear" w:color="auto" w:fill="auto"/>
            <w:noWrap/>
            <w:vAlign w:val="bottom"/>
            <w:hideMark/>
          </w:tcPr>
          <w:p w14:paraId="7635FECA" w14:textId="77777777" w:rsidR="00296F61" w:rsidRPr="00296F61" w:rsidRDefault="00296F61" w:rsidP="00296F61">
            <w:pPr>
              <w:spacing w:before="0" w:after="0" w:line="240" w:lineRule="auto"/>
              <w:ind w:leftChars="75" w:left="143"/>
              <w:rPr>
                <w:rFonts w:ascii="Arial" w:hAnsi="Arial" w:cs="Arial"/>
                <w:sz w:val="16"/>
                <w:szCs w:val="16"/>
              </w:rPr>
            </w:pPr>
            <w:r w:rsidRPr="00296F61">
              <w:rPr>
                <w:rFonts w:ascii="Arial" w:hAnsi="Arial" w:cs="Arial"/>
                <w:sz w:val="16"/>
                <w:szCs w:val="16"/>
              </w:rPr>
              <w:t>Surplus (deficit) for the period</w:t>
            </w:r>
          </w:p>
        </w:tc>
        <w:tc>
          <w:tcPr>
            <w:tcW w:w="1160" w:type="dxa"/>
            <w:tcBorders>
              <w:top w:val="nil"/>
              <w:left w:val="nil"/>
              <w:bottom w:val="nil"/>
              <w:right w:val="nil"/>
            </w:tcBorders>
            <w:shd w:val="clear" w:color="auto" w:fill="auto"/>
            <w:noWrap/>
            <w:vAlign w:val="bottom"/>
            <w:hideMark/>
          </w:tcPr>
          <w:p w14:paraId="107C9375"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(5,276)</w:t>
            </w:r>
          </w:p>
        </w:tc>
        <w:tc>
          <w:tcPr>
            <w:tcW w:w="1240" w:type="dxa"/>
            <w:tcBorders>
              <w:top w:val="nil"/>
              <w:left w:val="nil"/>
              <w:bottom w:val="nil"/>
              <w:right w:val="nil"/>
            </w:tcBorders>
            <w:shd w:val="clear" w:color="auto" w:fill="auto"/>
            <w:noWrap/>
            <w:vAlign w:val="bottom"/>
            <w:hideMark/>
          </w:tcPr>
          <w:p w14:paraId="16319D96" w14:textId="77777777" w:rsidR="00296F61" w:rsidRPr="00296F61" w:rsidRDefault="00296F61" w:rsidP="00296F61">
            <w:pPr>
              <w:spacing w:before="0" w:after="0" w:line="240" w:lineRule="auto"/>
              <w:jc w:val="right"/>
              <w:rPr>
                <w:rFonts w:ascii="Arial" w:hAnsi="Arial" w:cs="Arial"/>
                <w:sz w:val="16"/>
                <w:szCs w:val="16"/>
              </w:rPr>
            </w:pPr>
            <w:r w:rsidRPr="00296F61">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0877522C" w14:textId="77777777" w:rsidR="00296F61" w:rsidRPr="00296F61" w:rsidRDefault="00296F61" w:rsidP="00296F61">
            <w:pPr>
              <w:spacing w:before="0" w:after="0" w:line="240" w:lineRule="auto"/>
              <w:jc w:val="right"/>
              <w:rPr>
                <w:rFonts w:ascii="Arial" w:hAnsi="Arial" w:cs="Arial"/>
                <w:sz w:val="16"/>
                <w:szCs w:val="16"/>
              </w:rPr>
            </w:pPr>
            <w:r w:rsidRPr="00296F61">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64980AD2"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(5,276)</w:t>
            </w:r>
          </w:p>
        </w:tc>
      </w:tr>
      <w:tr w:rsidR="00296F61" w:rsidRPr="00296F61" w14:paraId="0AC9E74E" w14:textId="77777777" w:rsidTr="00A35E54">
        <w:trPr>
          <w:trHeight w:val="283"/>
          <w:jc w:val="center"/>
        </w:trPr>
        <w:tc>
          <w:tcPr>
            <w:tcW w:w="3080" w:type="dxa"/>
            <w:tcBorders>
              <w:top w:val="nil"/>
              <w:left w:val="nil"/>
              <w:bottom w:val="nil"/>
              <w:right w:val="nil"/>
            </w:tcBorders>
            <w:shd w:val="clear" w:color="auto" w:fill="auto"/>
            <w:noWrap/>
            <w:vAlign w:val="bottom"/>
            <w:hideMark/>
          </w:tcPr>
          <w:p w14:paraId="3F10C80C" w14:textId="77777777" w:rsidR="00296F61" w:rsidRPr="00296F61" w:rsidRDefault="00296F61" w:rsidP="00296F61">
            <w:pPr>
              <w:spacing w:before="0" w:after="0" w:line="240" w:lineRule="auto"/>
              <w:ind w:leftChars="75" w:left="143"/>
              <w:rPr>
                <w:rFonts w:ascii="Arial" w:hAnsi="Arial" w:cs="Arial"/>
                <w:sz w:val="16"/>
                <w:szCs w:val="16"/>
              </w:rPr>
            </w:pPr>
            <w:r w:rsidRPr="00296F61">
              <w:rPr>
                <w:rFonts w:ascii="Arial" w:hAnsi="Arial" w:cs="Arial"/>
                <w:sz w:val="16"/>
                <w:szCs w:val="16"/>
              </w:rPr>
              <w:t>Capital budget - Bill 2</w:t>
            </w:r>
          </w:p>
        </w:tc>
        <w:tc>
          <w:tcPr>
            <w:tcW w:w="1160" w:type="dxa"/>
            <w:tcBorders>
              <w:top w:val="nil"/>
              <w:left w:val="nil"/>
              <w:bottom w:val="nil"/>
              <w:right w:val="nil"/>
            </w:tcBorders>
            <w:shd w:val="clear" w:color="auto" w:fill="auto"/>
            <w:noWrap/>
            <w:vAlign w:val="bottom"/>
            <w:hideMark/>
          </w:tcPr>
          <w:p w14:paraId="01D75A1E"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3DA8D7A3"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11655E8A"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850</w:t>
            </w:r>
          </w:p>
        </w:tc>
        <w:tc>
          <w:tcPr>
            <w:tcW w:w="1160" w:type="dxa"/>
            <w:tcBorders>
              <w:top w:val="nil"/>
              <w:left w:val="nil"/>
              <w:bottom w:val="nil"/>
              <w:right w:val="nil"/>
            </w:tcBorders>
            <w:shd w:val="clear" w:color="auto" w:fill="auto"/>
            <w:noWrap/>
            <w:vAlign w:val="bottom"/>
            <w:hideMark/>
          </w:tcPr>
          <w:p w14:paraId="78E881D6"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850</w:t>
            </w:r>
          </w:p>
        </w:tc>
      </w:tr>
      <w:tr w:rsidR="00296F61" w:rsidRPr="00296F61" w14:paraId="73D21AEB" w14:textId="77777777" w:rsidTr="00A35E54">
        <w:trPr>
          <w:trHeight w:val="283"/>
          <w:jc w:val="center"/>
        </w:trPr>
        <w:tc>
          <w:tcPr>
            <w:tcW w:w="3080" w:type="dxa"/>
            <w:tcBorders>
              <w:top w:val="nil"/>
              <w:left w:val="nil"/>
              <w:bottom w:val="nil"/>
              <w:right w:val="nil"/>
            </w:tcBorders>
            <w:shd w:val="clear" w:color="000000" w:fill="FFFFFF"/>
            <w:noWrap/>
            <w:vAlign w:val="bottom"/>
            <w:hideMark/>
          </w:tcPr>
          <w:p w14:paraId="7EBB58D9" w14:textId="77777777" w:rsidR="00296F61" w:rsidRPr="00296F61" w:rsidRDefault="00296F61" w:rsidP="00296F61">
            <w:pPr>
              <w:spacing w:before="0" w:after="0" w:line="240" w:lineRule="auto"/>
              <w:ind w:leftChars="75" w:left="143"/>
              <w:rPr>
                <w:rFonts w:ascii="Arial" w:hAnsi="Arial" w:cs="Arial"/>
                <w:sz w:val="16"/>
                <w:szCs w:val="16"/>
              </w:rPr>
            </w:pPr>
            <w:r w:rsidRPr="00296F61">
              <w:rPr>
                <w:rFonts w:ascii="Arial" w:hAnsi="Arial" w:cs="Arial"/>
                <w:sz w:val="16"/>
                <w:szCs w:val="16"/>
              </w:rPr>
              <w:t>Capital budget - Bill 1 (DCB)</w:t>
            </w:r>
          </w:p>
        </w:tc>
        <w:tc>
          <w:tcPr>
            <w:tcW w:w="1160" w:type="dxa"/>
            <w:tcBorders>
              <w:top w:val="nil"/>
              <w:left w:val="nil"/>
              <w:bottom w:val="nil"/>
              <w:right w:val="nil"/>
            </w:tcBorders>
            <w:shd w:val="clear" w:color="auto" w:fill="auto"/>
            <w:noWrap/>
            <w:vAlign w:val="bottom"/>
            <w:hideMark/>
          </w:tcPr>
          <w:p w14:paraId="744C81E7"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36206B89"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14CA40E9" w14:textId="77777777" w:rsidR="00296F61" w:rsidRPr="00296F61" w:rsidRDefault="00296F61" w:rsidP="00296F61">
            <w:pPr>
              <w:spacing w:before="0" w:after="0" w:line="240" w:lineRule="auto"/>
              <w:jc w:val="right"/>
              <w:rPr>
                <w:rFonts w:ascii="Arial" w:hAnsi="Arial" w:cs="Arial"/>
                <w:color w:val="000000"/>
                <w:sz w:val="16"/>
                <w:szCs w:val="16"/>
              </w:rPr>
            </w:pPr>
            <w:r w:rsidRPr="00296F61">
              <w:rPr>
                <w:rFonts w:ascii="Arial" w:hAnsi="Arial" w:cs="Arial"/>
                <w:color w:val="000000"/>
                <w:sz w:val="16"/>
                <w:szCs w:val="16"/>
              </w:rPr>
              <w:t>1,905</w:t>
            </w:r>
          </w:p>
        </w:tc>
        <w:tc>
          <w:tcPr>
            <w:tcW w:w="1160" w:type="dxa"/>
            <w:tcBorders>
              <w:top w:val="nil"/>
              <w:left w:val="nil"/>
              <w:bottom w:val="nil"/>
              <w:right w:val="nil"/>
            </w:tcBorders>
            <w:shd w:val="clear" w:color="auto" w:fill="auto"/>
            <w:noWrap/>
            <w:vAlign w:val="bottom"/>
            <w:hideMark/>
          </w:tcPr>
          <w:p w14:paraId="2E28F1D4"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1,905</w:t>
            </w:r>
          </w:p>
        </w:tc>
      </w:tr>
      <w:tr w:rsidR="00296F61" w:rsidRPr="00296F61" w14:paraId="63709DB9" w14:textId="77777777" w:rsidTr="00A35E54">
        <w:trPr>
          <w:trHeight w:val="454"/>
          <w:jc w:val="center"/>
        </w:trPr>
        <w:tc>
          <w:tcPr>
            <w:tcW w:w="3080" w:type="dxa"/>
            <w:tcBorders>
              <w:top w:val="nil"/>
              <w:left w:val="nil"/>
              <w:bottom w:val="single" w:sz="4" w:space="0" w:color="auto"/>
              <w:right w:val="nil"/>
            </w:tcBorders>
            <w:shd w:val="clear" w:color="auto" w:fill="auto"/>
            <w:vAlign w:val="bottom"/>
            <w:hideMark/>
          </w:tcPr>
          <w:p w14:paraId="5E5F9F75" w14:textId="77777777" w:rsidR="00296F61" w:rsidRPr="00296F61" w:rsidRDefault="00296F61" w:rsidP="00296F61">
            <w:pPr>
              <w:spacing w:before="0" w:after="0" w:line="240" w:lineRule="auto"/>
              <w:rPr>
                <w:rFonts w:ascii="Arial" w:hAnsi="Arial" w:cs="Arial"/>
                <w:b/>
                <w:bCs/>
                <w:color w:val="000000"/>
                <w:sz w:val="16"/>
                <w:szCs w:val="16"/>
              </w:rPr>
            </w:pPr>
            <w:r w:rsidRPr="00296F61">
              <w:rPr>
                <w:rFonts w:ascii="Arial" w:hAnsi="Arial" w:cs="Arial"/>
                <w:b/>
                <w:bCs/>
                <w:color w:val="000000"/>
                <w:sz w:val="16"/>
                <w:szCs w:val="16"/>
              </w:rPr>
              <w:t xml:space="preserve">Estimated closing balance as at </w:t>
            </w:r>
            <w:r w:rsidRPr="00296F61">
              <w:rPr>
                <w:rFonts w:ascii="Arial" w:hAnsi="Arial" w:cs="Arial"/>
                <w:b/>
                <w:bCs/>
                <w:color w:val="000000"/>
                <w:sz w:val="16"/>
                <w:szCs w:val="16"/>
              </w:rPr>
              <w:br/>
              <w:t>30 June 2024</w:t>
            </w:r>
          </w:p>
        </w:tc>
        <w:tc>
          <w:tcPr>
            <w:tcW w:w="1160" w:type="dxa"/>
            <w:tcBorders>
              <w:top w:val="nil"/>
              <w:left w:val="nil"/>
              <w:bottom w:val="single" w:sz="4" w:space="0" w:color="auto"/>
              <w:right w:val="nil"/>
            </w:tcBorders>
            <w:shd w:val="clear" w:color="auto" w:fill="auto"/>
            <w:noWrap/>
            <w:vAlign w:val="bottom"/>
            <w:hideMark/>
          </w:tcPr>
          <w:p w14:paraId="15752F89"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36,514</w:t>
            </w:r>
          </w:p>
        </w:tc>
        <w:tc>
          <w:tcPr>
            <w:tcW w:w="1240" w:type="dxa"/>
            <w:tcBorders>
              <w:top w:val="nil"/>
              <w:left w:val="nil"/>
              <w:bottom w:val="single" w:sz="4" w:space="0" w:color="auto"/>
              <w:right w:val="nil"/>
            </w:tcBorders>
            <w:shd w:val="clear" w:color="auto" w:fill="auto"/>
            <w:noWrap/>
            <w:vAlign w:val="bottom"/>
            <w:hideMark/>
          </w:tcPr>
          <w:p w14:paraId="4BAD610D"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106</w:t>
            </w:r>
          </w:p>
        </w:tc>
        <w:tc>
          <w:tcPr>
            <w:tcW w:w="1240" w:type="dxa"/>
            <w:tcBorders>
              <w:top w:val="nil"/>
              <w:left w:val="nil"/>
              <w:bottom w:val="single" w:sz="4" w:space="0" w:color="auto"/>
              <w:right w:val="nil"/>
            </w:tcBorders>
            <w:shd w:val="clear" w:color="auto" w:fill="auto"/>
            <w:noWrap/>
            <w:vAlign w:val="bottom"/>
            <w:hideMark/>
          </w:tcPr>
          <w:p w14:paraId="55711819"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26,539</w:t>
            </w:r>
          </w:p>
        </w:tc>
        <w:tc>
          <w:tcPr>
            <w:tcW w:w="1160" w:type="dxa"/>
            <w:tcBorders>
              <w:top w:val="nil"/>
              <w:left w:val="nil"/>
              <w:bottom w:val="single" w:sz="4" w:space="0" w:color="auto"/>
              <w:right w:val="nil"/>
            </w:tcBorders>
            <w:shd w:val="clear" w:color="auto" w:fill="auto"/>
            <w:noWrap/>
            <w:vAlign w:val="bottom"/>
            <w:hideMark/>
          </w:tcPr>
          <w:p w14:paraId="6EB651E5" w14:textId="77777777" w:rsidR="00296F61" w:rsidRPr="00296F61" w:rsidRDefault="00296F61" w:rsidP="00296F61">
            <w:pPr>
              <w:spacing w:before="0" w:after="0" w:line="240" w:lineRule="auto"/>
              <w:jc w:val="right"/>
              <w:rPr>
                <w:rFonts w:ascii="Arial" w:hAnsi="Arial" w:cs="Arial"/>
                <w:b/>
                <w:bCs/>
                <w:color w:val="000000"/>
                <w:sz w:val="16"/>
                <w:szCs w:val="16"/>
              </w:rPr>
            </w:pPr>
            <w:r w:rsidRPr="00296F61">
              <w:rPr>
                <w:rFonts w:ascii="Arial" w:hAnsi="Arial" w:cs="Arial"/>
                <w:b/>
                <w:bCs/>
                <w:color w:val="000000"/>
                <w:sz w:val="16"/>
                <w:szCs w:val="16"/>
              </w:rPr>
              <w:t>63,159</w:t>
            </w:r>
          </w:p>
        </w:tc>
      </w:tr>
    </w:tbl>
    <w:p w14:paraId="181A140E" w14:textId="7EFDB5D6" w:rsidR="00275707" w:rsidRPr="00197A83" w:rsidRDefault="00275707" w:rsidP="00296F61">
      <w:pPr>
        <w:pStyle w:val="FootnoteText"/>
        <w:spacing w:before="120"/>
      </w:pPr>
      <w:r w:rsidRPr="00296F61">
        <w:t>DCB = Departmental Capital Budget</w:t>
      </w:r>
    </w:p>
    <w:p w14:paraId="461765B4" w14:textId="77777777" w:rsidR="002F6406" w:rsidRDefault="002F6406">
      <w:pPr>
        <w:spacing w:before="0" w:after="0" w:line="240" w:lineRule="auto"/>
        <w:rPr>
          <w:rFonts w:ascii="Arial" w:hAnsi="Arial"/>
          <w:b/>
          <w:snapToGrid w:val="0"/>
          <w:sz w:val="20"/>
        </w:rPr>
      </w:pPr>
      <w:r>
        <w:rPr>
          <w:snapToGrid w:val="0"/>
        </w:rPr>
        <w:br w:type="page"/>
      </w:r>
    </w:p>
    <w:p w14:paraId="3B800912" w14:textId="72435596" w:rsidR="00275707" w:rsidRDefault="00275707" w:rsidP="00275707">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7941" w:type="dxa"/>
        <w:jc w:val="center"/>
        <w:tblLayout w:type="fixed"/>
        <w:tblLook w:val="04A0" w:firstRow="1" w:lastRow="0" w:firstColumn="1" w:lastColumn="0" w:noHBand="0" w:noVBand="1"/>
      </w:tblPr>
      <w:tblGrid>
        <w:gridCol w:w="3141"/>
        <w:gridCol w:w="960"/>
        <w:gridCol w:w="960"/>
        <w:gridCol w:w="960"/>
        <w:gridCol w:w="960"/>
        <w:gridCol w:w="960"/>
      </w:tblGrid>
      <w:tr w:rsidR="008770AF" w:rsidRPr="008770AF" w14:paraId="6761DCDE" w14:textId="77777777" w:rsidTr="00094246">
        <w:trPr>
          <w:trHeight w:val="765"/>
          <w:jc w:val="center"/>
        </w:trPr>
        <w:tc>
          <w:tcPr>
            <w:tcW w:w="3141" w:type="dxa"/>
            <w:tcBorders>
              <w:top w:val="single" w:sz="4" w:space="0" w:color="auto"/>
              <w:left w:val="nil"/>
              <w:bottom w:val="nil"/>
              <w:right w:val="nil"/>
            </w:tcBorders>
            <w:shd w:val="clear" w:color="auto" w:fill="auto"/>
            <w:hideMark/>
          </w:tcPr>
          <w:p w14:paraId="0582AFCF" w14:textId="77777777" w:rsidR="008770AF" w:rsidRPr="008770AF" w:rsidRDefault="008770AF" w:rsidP="00094246">
            <w:pPr>
              <w:spacing w:before="24" w:after="0" w:line="240" w:lineRule="auto"/>
              <w:jc w:val="right"/>
              <w:rPr>
                <w:rFonts w:ascii="Arial" w:hAnsi="Arial" w:cs="Arial"/>
                <w:b/>
                <w:bCs/>
                <w:sz w:val="16"/>
                <w:szCs w:val="16"/>
              </w:rPr>
            </w:pPr>
            <w:r w:rsidRPr="008770AF">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019F3CEB" w14:textId="224AF09F" w:rsidR="008770AF" w:rsidRPr="008770AF" w:rsidRDefault="008770AF" w:rsidP="00094246">
            <w:pPr>
              <w:spacing w:before="24" w:after="0" w:line="240" w:lineRule="auto"/>
              <w:jc w:val="right"/>
              <w:rPr>
                <w:rFonts w:ascii="Arial" w:hAnsi="Arial" w:cs="Arial"/>
                <w:b/>
                <w:bCs/>
                <w:sz w:val="16"/>
                <w:szCs w:val="16"/>
              </w:rPr>
            </w:pPr>
            <w:r>
              <w:rPr>
                <w:rFonts w:ascii="Arial" w:hAnsi="Arial" w:cs="Arial"/>
                <w:b/>
                <w:bCs/>
                <w:sz w:val="16"/>
                <w:szCs w:val="16"/>
              </w:rPr>
              <w:t>2022–</w:t>
            </w:r>
            <w:r w:rsidRPr="008770AF">
              <w:rPr>
                <w:rFonts w:ascii="Arial" w:hAnsi="Arial" w:cs="Arial"/>
                <w:b/>
                <w:bCs/>
                <w:sz w:val="16"/>
                <w:szCs w:val="16"/>
              </w:rPr>
              <w:t>23</w:t>
            </w:r>
            <w:r w:rsidRPr="008770AF">
              <w:rPr>
                <w:rFonts w:ascii="Arial" w:hAnsi="Arial" w:cs="Arial"/>
                <w:b/>
                <w:bCs/>
                <w:sz w:val="16"/>
                <w:szCs w:val="16"/>
              </w:rPr>
              <w:br/>
              <w:t>Actual</w:t>
            </w:r>
            <w:r w:rsidRPr="008770AF">
              <w:rPr>
                <w:rFonts w:ascii="Arial" w:hAnsi="Arial" w:cs="Arial"/>
                <w:b/>
                <w:bCs/>
                <w:sz w:val="16"/>
                <w:szCs w:val="16"/>
              </w:rPr>
              <w:br/>
            </w:r>
            <w:r w:rsidRPr="008770AF">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54F0B6FF" w14:textId="43D51201" w:rsidR="008770AF" w:rsidRPr="008770AF" w:rsidRDefault="008770AF" w:rsidP="00094246">
            <w:pPr>
              <w:spacing w:before="24" w:after="0" w:line="240" w:lineRule="auto"/>
              <w:jc w:val="right"/>
              <w:rPr>
                <w:rFonts w:ascii="Arial" w:hAnsi="Arial" w:cs="Arial"/>
                <w:b/>
                <w:bCs/>
                <w:sz w:val="16"/>
                <w:szCs w:val="16"/>
              </w:rPr>
            </w:pPr>
            <w:r>
              <w:rPr>
                <w:rFonts w:ascii="Arial" w:hAnsi="Arial" w:cs="Arial"/>
                <w:b/>
                <w:bCs/>
                <w:sz w:val="16"/>
                <w:szCs w:val="16"/>
              </w:rPr>
              <w:t>2023–</w:t>
            </w:r>
            <w:r w:rsidRPr="008770AF">
              <w:rPr>
                <w:rFonts w:ascii="Arial" w:hAnsi="Arial" w:cs="Arial"/>
                <w:b/>
                <w:bCs/>
                <w:sz w:val="16"/>
                <w:szCs w:val="16"/>
              </w:rPr>
              <w:t>24</w:t>
            </w:r>
            <w:r w:rsidRPr="008770AF">
              <w:rPr>
                <w:rFonts w:ascii="Arial" w:hAnsi="Arial" w:cs="Arial"/>
                <w:b/>
                <w:bCs/>
                <w:sz w:val="16"/>
                <w:szCs w:val="16"/>
              </w:rPr>
              <w:br/>
              <w:t>Revised</w:t>
            </w:r>
            <w:r w:rsidRPr="008770AF">
              <w:rPr>
                <w:rFonts w:ascii="Arial" w:hAnsi="Arial" w:cs="Arial"/>
                <w:b/>
                <w:bCs/>
                <w:sz w:val="16"/>
                <w:szCs w:val="16"/>
              </w:rPr>
              <w:br/>
              <w:t>Budget</w:t>
            </w:r>
            <w:r w:rsidRPr="008770AF">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31A9343F" w14:textId="547221D3" w:rsidR="008770AF" w:rsidRPr="008770AF" w:rsidRDefault="008770AF" w:rsidP="00094246">
            <w:pPr>
              <w:spacing w:before="24" w:after="0" w:line="240" w:lineRule="auto"/>
              <w:jc w:val="right"/>
              <w:rPr>
                <w:rFonts w:ascii="Arial" w:hAnsi="Arial" w:cs="Arial"/>
                <w:b/>
                <w:bCs/>
                <w:sz w:val="16"/>
                <w:szCs w:val="16"/>
              </w:rPr>
            </w:pPr>
            <w:r>
              <w:rPr>
                <w:rFonts w:ascii="Arial" w:hAnsi="Arial" w:cs="Arial"/>
                <w:b/>
                <w:bCs/>
                <w:sz w:val="16"/>
                <w:szCs w:val="16"/>
              </w:rPr>
              <w:t>2024–</w:t>
            </w:r>
            <w:r w:rsidRPr="008770AF">
              <w:rPr>
                <w:rFonts w:ascii="Arial" w:hAnsi="Arial" w:cs="Arial"/>
                <w:b/>
                <w:bCs/>
                <w:sz w:val="16"/>
                <w:szCs w:val="16"/>
              </w:rPr>
              <w:t>25 Forward Estimate</w:t>
            </w:r>
            <w:r w:rsidRPr="008770AF">
              <w:rPr>
                <w:rFonts w:ascii="Arial" w:hAnsi="Arial" w:cs="Arial"/>
                <w:b/>
                <w:bCs/>
                <w:sz w:val="16"/>
                <w:szCs w:val="16"/>
              </w:rPr>
              <w:br/>
            </w:r>
            <w:r w:rsidRPr="008770AF">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43463180" w14:textId="5E324108" w:rsidR="008770AF" w:rsidRPr="008770AF" w:rsidRDefault="008770AF" w:rsidP="00094246">
            <w:pPr>
              <w:spacing w:before="24" w:after="0" w:line="240" w:lineRule="auto"/>
              <w:jc w:val="right"/>
              <w:rPr>
                <w:rFonts w:ascii="Arial" w:hAnsi="Arial" w:cs="Arial"/>
                <w:b/>
                <w:bCs/>
                <w:sz w:val="16"/>
                <w:szCs w:val="16"/>
              </w:rPr>
            </w:pPr>
            <w:r w:rsidRPr="008770AF">
              <w:rPr>
                <w:rFonts w:ascii="Arial" w:hAnsi="Arial" w:cs="Arial"/>
                <w:b/>
                <w:bCs/>
                <w:sz w:val="16"/>
                <w:szCs w:val="16"/>
              </w:rPr>
              <w:t>2025</w:t>
            </w:r>
            <w:r>
              <w:rPr>
                <w:rFonts w:ascii="Arial" w:hAnsi="Arial" w:cs="Arial"/>
                <w:b/>
                <w:bCs/>
                <w:sz w:val="16"/>
                <w:szCs w:val="16"/>
              </w:rPr>
              <w:t>–</w:t>
            </w:r>
            <w:r w:rsidRPr="008770AF">
              <w:rPr>
                <w:rFonts w:ascii="Arial" w:hAnsi="Arial" w:cs="Arial"/>
                <w:b/>
                <w:bCs/>
                <w:sz w:val="16"/>
                <w:szCs w:val="16"/>
              </w:rPr>
              <w:t>26 Forward Estimate</w:t>
            </w:r>
            <w:r w:rsidRPr="008770AF">
              <w:rPr>
                <w:rFonts w:ascii="Arial" w:hAnsi="Arial" w:cs="Arial"/>
                <w:b/>
                <w:bCs/>
                <w:sz w:val="16"/>
                <w:szCs w:val="16"/>
              </w:rPr>
              <w:br/>
            </w:r>
            <w:r w:rsidRPr="008770AF">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76E5C274" w14:textId="5791508D" w:rsidR="008770AF" w:rsidRPr="008770AF" w:rsidRDefault="008770AF" w:rsidP="00094246">
            <w:pPr>
              <w:spacing w:before="24" w:after="0" w:line="240" w:lineRule="auto"/>
              <w:jc w:val="right"/>
              <w:rPr>
                <w:rFonts w:ascii="Arial" w:hAnsi="Arial" w:cs="Arial"/>
                <w:b/>
                <w:bCs/>
                <w:sz w:val="16"/>
                <w:szCs w:val="16"/>
              </w:rPr>
            </w:pPr>
            <w:r>
              <w:rPr>
                <w:rFonts w:ascii="Arial" w:hAnsi="Arial" w:cs="Arial"/>
                <w:b/>
                <w:bCs/>
                <w:sz w:val="16"/>
                <w:szCs w:val="16"/>
              </w:rPr>
              <w:t>2026–</w:t>
            </w:r>
            <w:r w:rsidRPr="008770AF">
              <w:rPr>
                <w:rFonts w:ascii="Arial" w:hAnsi="Arial" w:cs="Arial"/>
                <w:b/>
                <w:bCs/>
                <w:sz w:val="16"/>
                <w:szCs w:val="16"/>
              </w:rPr>
              <w:t>27 Forward Estimate</w:t>
            </w:r>
            <w:r w:rsidRPr="008770AF">
              <w:rPr>
                <w:rFonts w:ascii="Arial" w:hAnsi="Arial" w:cs="Arial"/>
                <w:b/>
                <w:bCs/>
                <w:sz w:val="16"/>
                <w:szCs w:val="16"/>
              </w:rPr>
              <w:br/>
            </w:r>
            <w:r w:rsidRPr="008770AF">
              <w:rPr>
                <w:rFonts w:ascii="Arial" w:hAnsi="Arial" w:cs="Arial"/>
                <w:sz w:val="16"/>
                <w:szCs w:val="16"/>
              </w:rPr>
              <w:t>$'000</w:t>
            </w:r>
          </w:p>
        </w:tc>
      </w:tr>
      <w:tr w:rsidR="008770AF" w:rsidRPr="008770AF" w14:paraId="4F8DA365"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30630CE3" w14:textId="77777777" w:rsidR="008770AF" w:rsidRPr="008770AF" w:rsidRDefault="008770AF" w:rsidP="008770AF">
            <w:pPr>
              <w:spacing w:before="0" w:after="0" w:line="240" w:lineRule="auto"/>
              <w:rPr>
                <w:rFonts w:ascii="Arial" w:hAnsi="Arial" w:cs="Arial"/>
                <w:b/>
                <w:bCs/>
                <w:color w:val="000000"/>
                <w:sz w:val="16"/>
                <w:szCs w:val="16"/>
              </w:rPr>
            </w:pPr>
            <w:r w:rsidRPr="008770AF">
              <w:rPr>
                <w:rFonts w:ascii="Arial" w:hAnsi="Arial" w:cs="Arial"/>
                <w:b/>
                <w:bCs/>
                <w:color w:val="000000"/>
                <w:sz w:val="16"/>
                <w:szCs w:val="16"/>
              </w:rPr>
              <w:t>OPERATING ACTIVITIES</w:t>
            </w:r>
          </w:p>
        </w:tc>
        <w:tc>
          <w:tcPr>
            <w:tcW w:w="960" w:type="dxa"/>
            <w:tcBorders>
              <w:top w:val="nil"/>
              <w:left w:val="nil"/>
              <w:bottom w:val="nil"/>
              <w:right w:val="nil"/>
            </w:tcBorders>
            <w:shd w:val="clear" w:color="auto" w:fill="auto"/>
            <w:noWrap/>
            <w:vAlign w:val="bottom"/>
            <w:hideMark/>
          </w:tcPr>
          <w:p w14:paraId="62F22AF1" w14:textId="77777777" w:rsidR="008770AF" w:rsidRPr="008770AF" w:rsidRDefault="008770AF" w:rsidP="008770AF">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F664E84"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2DF1E88"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14A3158F"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F7ED3BC"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27875E46"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07C23A34"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14:paraId="413F8E91"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E4D3AED"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33DA5F4E"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B86F891"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3FACC95"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0174D4EA"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0F387DB9"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Appropriations</w:t>
            </w:r>
          </w:p>
        </w:tc>
        <w:tc>
          <w:tcPr>
            <w:tcW w:w="960" w:type="dxa"/>
            <w:tcBorders>
              <w:top w:val="nil"/>
              <w:left w:val="nil"/>
              <w:bottom w:val="nil"/>
              <w:right w:val="nil"/>
            </w:tcBorders>
            <w:shd w:val="clear" w:color="auto" w:fill="auto"/>
            <w:noWrap/>
            <w:vAlign w:val="bottom"/>
            <w:hideMark/>
          </w:tcPr>
          <w:p w14:paraId="053BD0F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199,668</w:t>
            </w:r>
          </w:p>
        </w:tc>
        <w:tc>
          <w:tcPr>
            <w:tcW w:w="960" w:type="dxa"/>
            <w:tcBorders>
              <w:top w:val="nil"/>
              <w:left w:val="nil"/>
              <w:bottom w:val="nil"/>
              <w:right w:val="nil"/>
            </w:tcBorders>
            <w:shd w:val="clear" w:color="000000" w:fill="D9D9D9"/>
            <w:noWrap/>
            <w:vAlign w:val="bottom"/>
            <w:hideMark/>
          </w:tcPr>
          <w:p w14:paraId="62CC5464"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295,584</w:t>
            </w:r>
          </w:p>
        </w:tc>
        <w:tc>
          <w:tcPr>
            <w:tcW w:w="960" w:type="dxa"/>
            <w:tcBorders>
              <w:top w:val="nil"/>
              <w:left w:val="nil"/>
              <w:bottom w:val="nil"/>
              <w:right w:val="nil"/>
            </w:tcBorders>
            <w:shd w:val="clear" w:color="auto" w:fill="auto"/>
            <w:noWrap/>
            <w:vAlign w:val="bottom"/>
            <w:hideMark/>
          </w:tcPr>
          <w:p w14:paraId="53CE772A"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218,230</w:t>
            </w:r>
          </w:p>
        </w:tc>
        <w:tc>
          <w:tcPr>
            <w:tcW w:w="960" w:type="dxa"/>
            <w:tcBorders>
              <w:top w:val="nil"/>
              <w:left w:val="nil"/>
              <w:bottom w:val="nil"/>
              <w:right w:val="nil"/>
            </w:tcBorders>
            <w:shd w:val="clear" w:color="auto" w:fill="auto"/>
            <w:noWrap/>
            <w:vAlign w:val="bottom"/>
            <w:hideMark/>
          </w:tcPr>
          <w:p w14:paraId="32BE633F"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217,617</w:t>
            </w:r>
          </w:p>
        </w:tc>
        <w:tc>
          <w:tcPr>
            <w:tcW w:w="960" w:type="dxa"/>
            <w:tcBorders>
              <w:top w:val="nil"/>
              <w:left w:val="nil"/>
              <w:bottom w:val="nil"/>
              <w:right w:val="nil"/>
            </w:tcBorders>
            <w:shd w:val="clear" w:color="auto" w:fill="auto"/>
            <w:noWrap/>
            <w:vAlign w:val="bottom"/>
            <w:hideMark/>
          </w:tcPr>
          <w:p w14:paraId="4CF22B5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191,111</w:t>
            </w:r>
          </w:p>
        </w:tc>
      </w:tr>
      <w:tr w:rsidR="008770AF" w:rsidRPr="008770AF" w14:paraId="28670B0C"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7A18CC9A"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Goods and services</w:t>
            </w:r>
          </w:p>
        </w:tc>
        <w:tc>
          <w:tcPr>
            <w:tcW w:w="960" w:type="dxa"/>
            <w:tcBorders>
              <w:top w:val="nil"/>
              <w:left w:val="nil"/>
              <w:bottom w:val="nil"/>
              <w:right w:val="nil"/>
            </w:tcBorders>
            <w:shd w:val="clear" w:color="auto" w:fill="auto"/>
            <w:noWrap/>
            <w:vAlign w:val="bottom"/>
            <w:hideMark/>
          </w:tcPr>
          <w:p w14:paraId="246E279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17,303</w:t>
            </w:r>
          </w:p>
        </w:tc>
        <w:tc>
          <w:tcPr>
            <w:tcW w:w="960" w:type="dxa"/>
            <w:tcBorders>
              <w:top w:val="nil"/>
              <w:left w:val="nil"/>
              <w:bottom w:val="nil"/>
              <w:right w:val="nil"/>
            </w:tcBorders>
            <w:shd w:val="clear" w:color="000000" w:fill="D9D9D9"/>
            <w:noWrap/>
            <w:vAlign w:val="bottom"/>
            <w:hideMark/>
          </w:tcPr>
          <w:p w14:paraId="30F24DD6"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18,271</w:t>
            </w:r>
          </w:p>
        </w:tc>
        <w:tc>
          <w:tcPr>
            <w:tcW w:w="960" w:type="dxa"/>
            <w:tcBorders>
              <w:top w:val="nil"/>
              <w:left w:val="nil"/>
              <w:bottom w:val="nil"/>
              <w:right w:val="nil"/>
            </w:tcBorders>
            <w:shd w:val="clear" w:color="auto" w:fill="auto"/>
            <w:noWrap/>
            <w:vAlign w:val="bottom"/>
            <w:hideMark/>
          </w:tcPr>
          <w:p w14:paraId="5AA0CD2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17,351</w:t>
            </w:r>
          </w:p>
        </w:tc>
        <w:tc>
          <w:tcPr>
            <w:tcW w:w="960" w:type="dxa"/>
            <w:tcBorders>
              <w:top w:val="nil"/>
              <w:left w:val="nil"/>
              <w:bottom w:val="nil"/>
              <w:right w:val="nil"/>
            </w:tcBorders>
            <w:shd w:val="clear" w:color="auto" w:fill="auto"/>
            <w:noWrap/>
            <w:vAlign w:val="bottom"/>
            <w:hideMark/>
          </w:tcPr>
          <w:p w14:paraId="65EA424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17,884</w:t>
            </w:r>
          </w:p>
        </w:tc>
        <w:tc>
          <w:tcPr>
            <w:tcW w:w="960" w:type="dxa"/>
            <w:tcBorders>
              <w:top w:val="nil"/>
              <w:left w:val="nil"/>
              <w:bottom w:val="nil"/>
              <w:right w:val="nil"/>
            </w:tcBorders>
            <w:shd w:val="clear" w:color="auto" w:fill="auto"/>
            <w:noWrap/>
            <w:vAlign w:val="bottom"/>
            <w:hideMark/>
          </w:tcPr>
          <w:p w14:paraId="66FD8F15"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16,225</w:t>
            </w:r>
          </w:p>
        </w:tc>
      </w:tr>
      <w:tr w:rsidR="008770AF" w:rsidRPr="008770AF" w14:paraId="0F4AA808"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41F8CDA"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Other</w:t>
            </w:r>
          </w:p>
        </w:tc>
        <w:tc>
          <w:tcPr>
            <w:tcW w:w="960" w:type="dxa"/>
            <w:tcBorders>
              <w:top w:val="nil"/>
              <w:left w:val="nil"/>
              <w:bottom w:val="nil"/>
              <w:right w:val="nil"/>
            </w:tcBorders>
            <w:shd w:val="clear" w:color="auto" w:fill="auto"/>
            <w:noWrap/>
            <w:vAlign w:val="bottom"/>
            <w:hideMark/>
          </w:tcPr>
          <w:p w14:paraId="196B313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404C7A74"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1027BB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7504769"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DD068A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r>
      <w:tr w:rsidR="008770AF" w:rsidRPr="008770AF" w14:paraId="63D8427D"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3E1CEF95"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Net GST received</w:t>
            </w:r>
          </w:p>
        </w:tc>
        <w:tc>
          <w:tcPr>
            <w:tcW w:w="960" w:type="dxa"/>
            <w:tcBorders>
              <w:top w:val="nil"/>
              <w:left w:val="nil"/>
              <w:bottom w:val="nil"/>
              <w:right w:val="nil"/>
            </w:tcBorders>
            <w:shd w:val="clear" w:color="auto" w:fill="auto"/>
            <w:noWrap/>
            <w:vAlign w:val="bottom"/>
            <w:hideMark/>
          </w:tcPr>
          <w:p w14:paraId="771FF533"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12,169</w:t>
            </w:r>
          </w:p>
        </w:tc>
        <w:tc>
          <w:tcPr>
            <w:tcW w:w="960" w:type="dxa"/>
            <w:tcBorders>
              <w:top w:val="nil"/>
              <w:left w:val="nil"/>
              <w:bottom w:val="nil"/>
              <w:right w:val="nil"/>
            </w:tcBorders>
            <w:shd w:val="clear" w:color="000000" w:fill="D9D9D9"/>
            <w:noWrap/>
            <w:vAlign w:val="bottom"/>
            <w:hideMark/>
          </w:tcPr>
          <w:p w14:paraId="200EB01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10,841</w:t>
            </w:r>
          </w:p>
        </w:tc>
        <w:tc>
          <w:tcPr>
            <w:tcW w:w="960" w:type="dxa"/>
            <w:tcBorders>
              <w:top w:val="nil"/>
              <w:left w:val="nil"/>
              <w:bottom w:val="nil"/>
              <w:right w:val="nil"/>
            </w:tcBorders>
            <w:shd w:val="clear" w:color="auto" w:fill="auto"/>
            <w:noWrap/>
            <w:vAlign w:val="bottom"/>
            <w:hideMark/>
          </w:tcPr>
          <w:p w14:paraId="6E8576D5"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5,540</w:t>
            </w:r>
          </w:p>
        </w:tc>
        <w:tc>
          <w:tcPr>
            <w:tcW w:w="960" w:type="dxa"/>
            <w:tcBorders>
              <w:top w:val="nil"/>
              <w:left w:val="nil"/>
              <w:bottom w:val="nil"/>
              <w:right w:val="nil"/>
            </w:tcBorders>
            <w:shd w:val="clear" w:color="auto" w:fill="auto"/>
            <w:noWrap/>
            <w:vAlign w:val="bottom"/>
            <w:hideMark/>
          </w:tcPr>
          <w:p w14:paraId="112CB07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4,792</w:t>
            </w:r>
          </w:p>
        </w:tc>
        <w:tc>
          <w:tcPr>
            <w:tcW w:w="960" w:type="dxa"/>
            <w:tcBorders>
              <w:top w:val="nil"/>
              <w:left w:val="nil"/>
              <w:bottom w:val="nil"/>
              <w:right w:val="nil"/>
            </w:tcBorders>
            <w:shd w:val="clear" w:color="auto" w:fill="auto"/>
            <w:noWrap/>
            <w:vAlign w:val="bottom"/>
            <w:hideMark/>
          </w:tcPr>
          <w:p w14:paraId="7A7B361F"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4,457</w:t>
            </w:r>
          </w:p>
        </w:tc>
      </w:tr>
      <w:tr w:rsidR="008770AF" w:rsidRPr="008770AF" w14:paraId="48EB267E"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7A7B9FBB"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14:paraId="73ABBF78"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229,140</w:t>
            </w:r>
          </w:p>
        </w:tc>
        <w:tc>
          <w:tcPr>
            <w:tcW w:w="960" w:type="dxa"/>
            <w:tcBorders>
              <w:top w:val="nil"/>
              <w:left w:val="nil"/>
              <w:bottom w:val="single" w:sz="4" w:space="0" w:color="auto"/>
              <w:right w:val="nil"/>
            </w:tcBorders>
            <w:shd w:val="clear" w:color="000000" w:fill="D9D9D9"/>
            <w:noWrap/>
            <w:vAlign w:val="bottom"/>
            <w:hideMark/>
          </w:tcPr>
          <w:p w14:paraId="1EDD4639"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324,696</w:t>
            </w:r>
          </w:p>
        </w:tc>
        <w:tc>
          <w:tcPr>
            <w:tcW w:w="960" w:type="dxa"/>
            <w:tcBorders>
              <w:top w:val="nil"/>
              <w:left w:val="nil"/>
              <w:bottom w:val="single" w:sz="4" w:space="0" w:color="auto"/>
              <w:right w:val="nil"/>
            </w:tcBorders>
            <w:shd w:val="clear" w:color="auto" w:fill="auto"/>
            <w:noWrap/>
            <w:vAlign w:val="bottom"/>
            <w:hideMark/>
          </w:tcPr>
          <w:p w14:paraId="29DBB447"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241,121</w:t>
            </w:r>
          </w:p>
        </w:tc>
        <w:tc>
          <w:tcPr>
            <w:tcW w:w="960" w:type="dxa"/>
            <w:tcBorders>
              <w:top w:val="nil"/>
              <w:left w:val="nil"/>
              <w:bottom w:val="single" w:sz="4" w:space="0" w:color="auto"/>
              <w:right w:val="nil"/>
            </w:tcBorders>
            <w:shd w:val="clear" w:color="auto" w:fill="auto"/>
            <w:noWrap/>
            <w:vAlign w:val="bottom"/>
            <w:hideMark/>
          </w:tcPr>
          <w:p w14:paraId="6C9FCAC7"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240,293</w:t>
            </w:r>
          </w:p>
        </w:tc>
        <w:tc>
          <w:tcPr>
            <w:tcW w:w="960" w:type="dxa"/>
            <w:tcBorders>
              <w:top w:val="nil"/>
              <w:left w:val="nil"/>
              <w:bottom w:val="single" w:sz="4" w:space="0" w:color="auto"/>
              <w:right w:val="nil"/>
            </w:tcBorders>
            <w:shd w:val="clear" w:color="auto" w:fill="auto"/>
            <w:noWrap/>
            <w:vAlign w:val="bottom"/>
            <w:hideMark/>
          </w:tcPr>
          <w:p w14:paraId="49331CF8"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211,793</w:t>
            </w:r>
          </w:p>
        </w:tc>
      </w:tr>
      <w:tr w:rsidR="008770AF" w:rsidRPr="008770AF" w14:paraId="2F0AE7A2" w14:textId="77777777" w:rsidTr="00094246">
        <w:trPr>
          <w:trHeight w:val="283"/>
          <w:jc w:val="center"/>
        </w:trPr>
        <w:tc>
          <w:tcPr>
            <w:tcW w:w="3141" w:type="dxa"/>
            <w:tcBorders>
              <w:top w:val="nil"/>
              <w:left w:val="nil"/>
              <w:bottom w:val="nil"/>
              <w:right w:val="nil"/>
            </w:tcBorders>
            <w:shd w:val="clear" w:color="auto" w:fill="auto"/>
            <w:noWrap/>
            <w:vAlign w:val="bottom"/>
            <w:hideMark/>
          </w:tcPr>
          <w:p w14:paraId="003085CC"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14:paraId="6089844D"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6A569B9"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62D5A7B6"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398FD23A"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D80BE21"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3D68404A"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5064FE0E"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Employees</w:t>
            </w:r>
          </w:p>
        </w:tc>
        <w:tc>
          <w:tcPr>
            <w:tcW w:w="960" w:type="dxa"/>
            <w:tcBorders>
              <w:top w:val="nil"/>
              <w:left w:val="nil"/>
              <w:bottom w:val="nil"/>
              <w:right w:val="nil"/>
            </w:tcBorders>
            <w:shd w:val="clear" w:color="auto" w:fill="auto"/>
            <w:noWrap/>
            <w:vAlign w:val="bottom"/>
            <w:hideMark/>
          </w:tcPr>
          <w:p w14:paraId="4D732E8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108,256</w:t>
            </w:r>
          </w:p>
        </w:tc>
        <w:tc>
          <w:tcPr>
            <w:tcW w:w="960" w:type="dxa"/>
            <w:tcBorders>
              <w:top w:val="nil"/>
              <w:left w:val="nil"/>
              <w:bottom w:val="nil"/>
              <w:right w:val="nil"/>
            </w:tcBorders>
            <w:shd w:val="clear" w:color="000000" w:fill="D9D9D9"/>
            <w:noWrap/>
            <w:vAlign w:val="bottom"/>
            <w:hideMark/>
          </w:tcPr>
          <w:p w14:paraId="56CC1FBF"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184,107</w:t>
            </w:r>
          </w:p>
        </w:tc>
        <w:tc>
          <w:tcPr>
            <w:tcW w:w="960" w:type="dxa"/>
            <w:tcBorders>
              <w:top w:val="nil"/>
              <w:left w:val="nil"/>
              <w:bottom w:val="nil"/>
              <w:right w:val="nil"/>
            </w:tcBorders>
            <w:shd w:val="clear" w:color="auto" w:fill="auto"/>
            <w:noWrap/>
            <w:vAlign w:val="bottom"/>
            <w:hideMark/>
          </w:tcPr>
          <w:p w14:paraId="6FEAB92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170,626</w:t>
            </w:r>
          </w:p>
        </w:tc>
        <w:tc>
          <w:tcPr>
            <w:tcW w:w="960" w:type="dxa"/>
            <w:tcBorders>
              <w:top w:val="nil"/>
              <w:left w:val="nil"/>
              <w:bottom w:val="nil"/>
              <w:right w:val="nil"/>
            </w:tcBorders>
            <w:shd w:val="clear" w:color="auto" w:fill="auto"/>
            <w:noWrap/>
            <w:vAlign w:val="bottom"/>
            <w:hideMark/>
          </w:tcPr>
          <w:p w14:paraId="1ACDF40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175,986</w:t>
            </w:r>
          </w:p>
        </w:tc>
        <w:tc>
          <w:tcPr>
            <w:tcW w:w="960" w:type="dxa"/>
            <w:tcBorders>
              <w:top w:val="nil"/>
              <w:left w:val="nil"/>
              <w:bottom w:val="nil"/>
              <w:right w:val="nil"/>
            </w:tcBorders>
            <w:shd w:val="clear" w:color="auto" w:fill="auto"/>
            <w:noWrap/>
            <w:vAlign w:val="bottom"/>
            <w:hideMark/>
          </w:tcPr>
          <w:p w14:paraId="6A1832F8"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173,185</w:t>
            </w:r>
          </w:p>
        </w:tc>
      </w:tr>
      <w:tr w:rsidR="008770AF" w:rsidRPr="008770AF" w14:paraId="21758160"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63773BCF"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703E67B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113,975</w:t>
            </w:r>
          </w:p>
        </w:tc>
        <w:tc>
          <w:tcPr>
            <w:tcW w:w="960" w:type="dxa"/>
            <w:tcBorders>
              <w:top w:val="nil"/>
              <w:left w:val="nil"/>
              <w:bottom w:val="nil"/>
              <w:right w:val="nil"/>
            </w:tcBorders>
            <w:shd w:val="clear" w:color="000000" w:fill="D9D9D9"/>
            <w:noWrap/>
            <w:vAlign w:val="bottom"/>
            <w:hideMark/>
          </w:tcPr>
          <w:p w14:paraId="251E9AF3"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129,144</w:t>
            </w:r>
          </w:p>
        </w:tc>
        <w:tc>
          <w:tcPr>
            <w:tcW w:w="960" w:type="dxa"/>
            <w:tcBorders>
              <w:top w:val="nil"/>
              <w:left w:val="nil"/>
              <w:bottom w:val="nil"/>
              <w:right w:val="nil"/>
            </w:tcBorders>
            <w:shd w:val="clear" w:color="auto" w:fill="auto"/>
            <w:noWrap/>
            <w:vAlign w:val="bottom"/>
            <w:hideMark/>
          </w:tcPr>
          <w:p w14:paraId="222B154D"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63,695</w:t>
            </w:r>
          </w:p>
        </w:tc>
        <w:tc>
          <w:tcPr>
            <w:tcW w:w="960" w:type="dxa"/>
            <w:tcBorders>
              <w:top w:val="nil"/>
              <w:left w:val="nil"/>
              <w:bottom w:val="nil"/>
              <w:right w:val="nil"/>
            </w:tcBorders>
            <w:shd w:val="clear" w:color="auto" w:fill="auto"/>
            <w:noWrap/>
            <w:vAlign w:val="bottom"/>
            <w:hideMark/>
          </w:tcPr>
          <w:p w14:paraId="69DCE736"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55,897</w:t>
            </w:r>
          </w:p>
        </w:tc>
        <w:tc>
          <w:tcPr>
            <w:tcW w:w="960" w:type="dxa"/>
            <w:tcBorders>
              <w:top w:val="nil"/>
              <w:left w:val="nil"/>
              <w:bottom w:val="nil"/>
              <w:right w:val="nil"/>
            </w:tcBorders>
            <w:shd w:val="clear" w:color="auto" w:fill="auto"/>
            <w:noWrap/>
            <w:vAlign w:val="bottom"/>
            <w:hideMark/>
          </w:tcPr>
          <w:p w14:paraId="5A9F045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30,218</w:t>
            </w:r>
          </w:p>
        </w:tc>
      </w:tr>
      <w:tr w:rsidR="008770AF" w:rsidRPr="008770AF" w14:paraId="66B38E52"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33F11392"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Interest payments on lease liability</w:t>
            </w:r>
          </w:p>
        </w:tc>
        <w:tc>
          <w:tcPr>
            <w:tcW w:w="960" w:type="dxa"/>
            <w:tcBorders>
              <w:top w:val="nil"/>
              <w:left w:val="nil"/>
              <w:bottom w:val="nil"/>
              <w:right w:val="nil"/>
            </w:tcBorders>
            <w:shd w:val="clear" w:color="auto" w:fill="auto"/>
            <w:noWrap/>
            <w:vAlign w:val="bottom"/>
            <w:hideMark/>
          </w:tcPr>
          <w:p w14:paraId="42889DC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318</w:t>
            </w:r>
          </w:p>
        </w:tc>
        <w:tc>
          <w:tcPr>
            <w:tcW w:w="960" w:type="dxa"/>
            <w:tcBorders>
              <w:top w:val="nil"/>
              <w:left w:val="nil"/>
              <w:bottom w:val="nil"/>
              <w:right w:val="nil"/>
            </w:tcBorders>
            <w:shd w:val="clear" w:color="000000" w:fill="D9D9D9"/>
            <w:noWrap/>
            <w:vAlign w:val="bottom"/>
            <w:hideMark/>
          </w:tcPr>
          <w:p w14:paraId="0E18ED8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712</w:t>
            </w:r>
          </w:p>
        </w:tc>
        <w:tc>
          <w:tcPr>
            <w:tcW w:w="960" w:type="dxa"/>
            <w:tcBorders>
              <w:top w:val="nil"/>
              <w:left w:val="nil"/>
              <w:bottom w:val="nil"/>
              <w:right w:val="nil"/>
            </w:tcBorders>
            <w:shd w:val="clear" w:color="auto" w:fill="auto"/>
            <w:noWrap/>
            <w:vAlign w:val="bottom"/>
            <w:hideMark/>
          </w:tcPr>
          <w:p w14:paraId="6D5D038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664</w:t>
            </w:r>
          </w:p>
        </w:tc>
        <w:tc>
          <w:tcPr>
            <w:tcW w:w="960" w:type="dxa"/>
            <w:tcBorders>
              <w:top w:val="nil"/>
              <w:left w:val="nil"/>
              <w:bottom w:val="nil"/>
              <w:right w:val="nil"/>
            </w:tcBorders>
            <w:shd w:val="clear" w:color="auto" w:fill="auto"/>
            <w:noWrap/>
            <w:vAlign w:val="bottom"/>
            <w:hideMark/>
          </w:tcPr>
          <w:p w14:paraId="245DF1D8"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606</w:t>
            </w:r>
          </w:p>
        </w:tc>
        <w:tc>
          <w:tcPr>
            <w:tcW w:w="960" w:type="dxa"/>
            <w:tcBorders>
              <w:top w:val="nil"/>
              <w:left w:val="nil"/>
              <w:bottom w:val="nil"/>
              <w:right w:val="nil"/>
            </w:tcBorders>
            <w:shd w:val="clear" w:color="auto" w:fill="auto"/>
            <w:noWrap/>
            <w:vAlign w:val="bottom"/>
            <w:hideMark/>
          </w:tcPr>
          <w:p w14:paraId="4313B92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582</w:t>
            </w:r>
          </w:p>
        </w:tc>
      </w:tr>
      <w:tr w:rsidR="008770AF" w:rsidRPr="008770AF" w14:paraId="0AA217DD"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167C89E"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Cash to the OPA</w:t>
            </w:r>
          </w:p>
        </w:tc>
        <w:tc>
          <w:tcPr>
            <w:tcW w:w="960" w:type="dxa"/>
            <w:tcBorders>
              <w:top w:val="nil"/>
              <w:left w:val="nil"/>
              <w:bottom w:val="nil"/>
              <w:right w:val="nil"/>
            </w:tcBorders>
            <w:shd w:val="clear" w:color="auto" w:fill="auto"/>
            <w:noWrap/>
            <w:vAlign w:val="bottom"/>
            <w:hideMark/>
          </w:tcPr>
          <w:p w14:paraId="55880D4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5F72E36A"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58B4C4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BFAE3F0"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3075058"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r>
      <w:tr w:rsidR="008770AF" w:rsidRPr="008770AF" w14:paraId="34B43CDE"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077A2F3D"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14:paraId="7572E23E"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222,549</w:t>
            </w:r>
          </w:p>
        </w:tc>
        <w:tc>
          <w:tcPr>
            <w:tcW w:w="960" w:type="dxa"/>
            <w:tcBorders>
              <w:top w:val="nil"/>
              <w:left w:val="nil"/>
              <w:bottom w:val="single" w:sz="4" w:space="0" w:color="auto"/>
              <w:right w:val="nil"/>
            </w:tcBorders>
            <w:shd w:val="clear" w:color="000000" w:fill="D9D9D9"/>
            <w:noWrap/>
            <w:vAlign w:val="bottom"/>
            <w:hideMark/>
          </w:tcPr>
          <w:p w14:paraId="535E4F5F"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313,963</w:t>
            </w:r>
          </w:p>
        </w:tc>
        <w:tc>
          <w:tcPr>
            <w:tcW w:w="960" w:type="dxa"/>
            <w:tcBorders>
              <w:top w:val="nil"/>
              <w:left w:val="nil"/>
              <w:bottom w:val="single" w:sz="4" w:space="0" w:color="auto"/>
              <w:right w:val="nil"/>
            </w:tcBorders>
            <w:shd w:val="clear" w:color="auto" w:fill="auto"/>
            <w:noWrap/>
            <w:vAlign w:val="bottom"/>
            <w:hideMark/>
          </w:tcPr>
          <w:p w14:paraId="6417CA3F"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234,985</w:t>
            </w:r>
          </w:p>
        </w:tc>
        <w:tc>
          <w:tcPr>
            <w:tcW w:w="960" w:type="dxa"/>
            <w:tcBorders>
              <w:top w:val="nil"/>
              <w:left w:val="nil"/>
              <w:bottom w:val="single" w:sz="4" w:space="0" w:color="auto"/>
              <w:right w:val="nil"/>
            </w:tcBorders>
            <w:shd w:val="clear" w:color="auto" w:fill="auto"/>
            <w:noWrap/>
            <w:vAlign w:val="bottom"/>
            <w:hideMark/>
          </w:tcPr>
          <w:p w14:paraId="7FB6D1D0"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232,489</w:t>
            </w:r>
          </w:p>
        </w:tc>
        <w:tc>
          <w:tcPr>
            <w:tcW w:w="960" w:type="dxa"/>
            <w:tcBorders>
              <w:top w:val="nil"/>
              <w:left w:val="nil"/>
              <w:bottom w:val="single" w:sz="4" w:space="0" w:color="auto"/>
              <w:right w:val="nil"/>
            </w:tcBorders>
            <w:shd w:val="clear" w:color="auto" w:fill="auto"/>
            <w:noWrap/>
            <w:vAlign w:val="bottom"/>
            <w:hideMark/>
          </w:tcPr>
          <w:p w14:paraId="239C0D3A"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203,985</w:t>
            </w:r>
          </w:p>
        </w:tc>
      </w:tr>
      <w:tr w:rsidR="008770AF" w:rsidRPr="008770AF" w14:paraId="74D273D1" w14:textId="77777777" w:rsidTr="00094246">
        <w:trPr>
          <w:trHeight w:val="425"/>
          <w:jc w:val="center"/>
        </w:trPr>
        <w:tc>
          <w:tcPr>
            <w:tcW w:w="3141" w:type="dxa"/>
            <w:tcBorders>
              <w:top w:val="nil"/>
              <w:left w:val="nil"/>
              <w:bottom w:val="nil"/>
              <w:right w:val="nil"/>
            </w:tcBorders>
            <w:shd w:val="clear" w:color="auto" w:fill="auto"/>
            <w:vAlign w:val="bottom"/>
            <w:hideMark/>
          </w:tcPr>
          <w:p w14:paraId="018FDF7A"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Net cash from (or used by) operating activities</w:t>
            </w:r>
          </w:p>
        </w:tc>
        <w:tc>
          <w:tcPr>
            <w:tcW w:w="960" w:type="dxa"/>
            <w:tcBorders>
              <w:top w:val="nil"/>
              <w:left w:val="nil"/>
              <w:bottom w:val="single" w:sz="4" w:space="0" w:color="auto"/>
              <w:right w:val="nil"/>
            </w:tcBorders>
            <w:shd w:val="clear" w:color="auto" w:fill="auto"/>
            <w:noWrap/>
            <w:vAlign w:val="bottom"/>
            <w:hideMark/>
          </w:tcPr>
          <w:p w14:paraId="077D0219"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6,591</w:t>
            </w:r>
          </w:p>
        </w:tc>
        <w:tc>
          <w:tcPr>
            <w:tcW w:w="960" w:type="dxa"/>
            <w:tcBorders>
              <w:top w:val="nil"/>
              <w:left w:val="nil"/>
              <w:bottom w:val="single" w:sz="4" w:space="0" w:color="auto"/>
              <w:right w:val="nil"/>
            </w:tcBorders>
            <w:shd w:val="clear" w:color="000000" w:fill="D9D9D9"/>
            <w:noWrap/>
            <w:vAlign w:val="bottom"/>
            <w:hideMark/>
          </w:tcPr>
          <w:p w14:paraId="61C62417"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10,733</w:t>
            </w:r>
          </w:p>
        </w:tc>
        <w:tc>
          <w:tcPr>
            <w:tcW w:w="960" w:type="dxa"/>
            <w:tcBorders>
              <w:top w:val="nil"/>
              <w:left w:val="nil"/>
              <w:bottom w:val="single" w:sz="4" w:space="0" w:color="auto"/>
              <w:right w:val="nil"/>
            </w:tcBorders>
            <w:shd w:val="clear" w:color="auto" w:fill="auto"/>
            <w:noWrap/>
            <w:vAlign w:val="bottom"/>
            <w:hideMark/>
          </w:tcPr>
          <w:p w14:paraId="096375BD"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6,136</w:t>
            </w:r>
          </w:p>
        </w:tc>
        <w:tc>
          <w:tcPr>
            <w:tcW w:w="960" w:type="dxa"/>
            <w:tcBorders>
              <w:top w:val="nil"/>
              <w:left w:val="nil"/>
              <w:bottom w:val="single" w:sz="4" w:space="0" w:color="auto"/>
              <w:right w:val="nil"/>
            </w:tcBorders>
            <w:shd w:val="clear" w:color="auto" w:fill="auto"/>
            <w:noWrap/>
            <w:vAlign w:val="bottom"/>
            <w:hideMark/>
          </w:tcPr>
          <w:p w14:paraId="47A89AB1"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7,804</w:t>
            </w:r>
          </w:p>
        </w:tc>
        <w:tc>
          <w:tcPr>
            <w:tcW w:w="960" w:type="dxa"/>
            <w:tcBorders>
              <w:top w:val="nil"/>
              <w:left w:val="nil"/>
              <w:bottom w:val="single" w:sz="4" w:space="0" w:color="auto"/>
              <w:right w:val="nil"/>
            </w:tcBorders>
            <w:shd w:val="clear" w:color="auto" w:fill="auto"/>
            <w:noWrap/>
            <w:vAlign w:val="bottom"/>
            <w:hideMark/>
          </w:tcPr>
          <w:p w14:paraId="2A4359A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7,808</w:t>
            </w:r>
          </w:p>
        </w:tc>
      </w:tr>
      <w:tr w:rsidR="008770AF" w:rsidRPr="008770AF" w14:paraId="06E3D3D5" w14:textId="77777777" w:rsidTr="00094246">
        <w:trPr>
          <w:trHeight w:val="283"/>
          <w:jc w:val="center"/>
        </w:trPr>
        <w:tc>
          <w:tcPr>
            <w:tcW w:w="3141" w:type="dxa"/>
            <w:tcBorders>
              <w:top w:val="nil"/>
              <w:left w:val="nil"/>
              <w:bottom w:val="nil"/>
              <w:right w:val="nil"/>
            </w:tcBorders>
            <w:shd w:val="clear" w:color="auto" w:fill="auto"/>
            <w:noWrap/>
            <w:vAlign w:val="bottom"/>
            <w:hideMark/>
          </w:tcPr>
          <w:p w14:paraId="48B1FC35" w14:textId="77777777" w:rsidR="008770AF" w:rsidRPr="008770AF" w:rsidRDefault="008770AF" w:rsidP="008770AF">
            <w:pPr>
              <w:spacing w:before="0" w:after="0" w:line="240" w:lineRule="auto"/>
              <w:rPr>
                <w:rFonts w:ascii="Arial" w:hAnsi="Arial" w:cs="Arial"/>
                <w:b/>
                <w:bCs/>
                <w:color w:val="000000"/>
                <w:sz w:val="16"/>
                <w:szCs w:val="16"/>
              </w:rPr>
            </w:pPr>
            <w:r w:rsidRPr="008770AF">
              <w:rPr>
                <w:rFonts w:ascii="Arial" w:hAnsi="Arial" w:cs="Arial"/>
                <w:b/>
                <w:bCs/>
                <w:color w:val="000000"/>
                <w:sz w:val="16"/>
                <w:szCs w:val="16"/>
              </w:rPr>
              <w:t>INVESTING ACTIVITIES</w:t>
            </w:r>
          </w:p>
        </w:tc>
        <w:tc>
          <w:tcPr>
            <w:tcW w:w="960" w:type="dxa"/>
            <w:tcBorders>
              <w:top w:val="nil"/>
              <w:left w:val="nil"/>
              <w:bottom w:val="nil"/>
              <w:right w:val="nil"/>
            </w:tcBorders>
            <w:shd w:val="clear" w:color="auto" w:fill="auto"/>
            <w:noWrap/>
            <w:vAlign w:val="bottom"/>
            <w:hideMark/>
          </w:tcPr>
          <w:p w14:paraId="6F254AA7" w14:textId="77777777" w:rsidR="008770AF" w:rsidRPr="008770AF" w:rsidRDefault="008770AF" w:rsidP="008770AF">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4ADDADD"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CB1FCDF"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33EAD68"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68F6A0A"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773D768B"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6D424FD1"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14:paraId="23FD0308"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C6A185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4D353BB7"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E40C176"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54A8782"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1FEE7578" w14:textId="77777777" w:rsidTr="00094246">
        <w:trPr>
          <w:trHeight w:val="425"/>
          <w:jc w:val="center"/>
        </w:trPr>
        <w:tc>
          <w:tcPr>
            <w:tcW w:w="3141" w:type="dxa"/>
            <w:tcBorders>
              <w:top w:val="nil"/>
              <w:left w:val="nil"/>
              <w:bottom w:val="nil"/>
              <w:right w:val="nil"/>
            </w:tcBorders>
            <w:shd w:val="clear" w:color="auto" w:fill="auto"/>
            <w:vAlign w:val="bottom"/>
            <w:hideMark/>
          </w:tcPr>
          <w:p w14:paraId="0BF9970E"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 xml:space="preserve">Proceeds from sales of property, </w:t>
            </w:r>
            <w:proofErr w:type="gramStart"/>
            <w:r w:rsidRPr="008770AF">
              <w:rPr>
                <w:rFonts w:ascii="Arial" w:hAnsi="Arial" w:cs="Arial"/>
                <w:color w:val="000000"/>
                <w:sz w:val="16"/>
                <w:szCs w:val="16"/>
              </w:rPr>
              <w:t>plant</w:t>
            </w:r>
            <w:proofErr w:type="gramEnd"/>
            <w:r w:rsidRPr="008770AF">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01249E93" w14:textId="77777777" w:rsidR="008770AF" w:rsidRPr="008770AF" w:rsidRDefault="008770AF" w:rsidP="008770AF">
            <w:pPr>
              <w:spacing w:before="0" w:after="0" w:line="240" w:lineRule="auto"/>
              <w:jc w:val="right"/>
              <w:rPr>
                <w:rFonts w:ascii="Arial" w:hAnsi="Arial" w:cs="Arial"/>
                <w:sz w:val="16"/>
                <w:szCs w:val="16"/>
              </w:rPr>
            </w:pPr>
            <w:r w:rsidRPr="008770AF">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74E42080" w14:textId="77777777" w:rsidR="008770AF" w:rsidRPr="008770AF" w:rsidRDefault="008770AF" w:rsidP="008770AF">
            <w:pPr>
              <w:spacing w:before="0" w:after="0" w:line="240" w:lineRule="auto"/>
              <w:jc w:val="right"/>
              <w:rPr>
                <w:rFonts w:ascii="Arial" w:hAnsi="Arial" w:cs="Arial"/>
                <w:sz w:val="16"/>
                <w:szCs w:val="16"/>
              </w:rPr>
            </w:pPr>
            <w:r w:rsidRPr="008770A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EBFCA0E" w14:textId="77777777" w:rsidR="008770AF" w:rsidRPr="008770AF" w:rsidRDefault="008770AF" w:rsidP="008770AF">
            <w:pPr>
              <w:spacing w:before="0" w:after="0" w:line="240" w:lineRule="auto"/>
              <w:jc w:val="right"/>
              <w:rPr>
                <w:rFonts w:ascii="Arial" w:hAnsi="Arial" w:cs="Arial"/>
                <w:sz w:val="16"/>
                <w:szCs w:val="16"/>
              </w:rPr>
            </w:pPr>
            <w:r w:rsidRPr="008770A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EB774B2" w14:textId="77777777" w:rsidR="008770AF" w:rsidRPr="008770AF" w:rsidRDefault="008770AF" w:rsidP="008770AF">
            <w:pPr>
              <w:spacing w:before="0" w:after="0" w:line="240" w:lineRule="auto"/>
              <w:jc w:val="right"/>
              <w:rPr>
                <w:rFonts w:ascii="Arial" w:hAnsi="Arial" w:cs="Arial"/>
                <w:sz w:val="16"/>
                <w:szCs w:val="16"/>
              </w:rPr>
            </w:pPr>
            <w:r w:rsidRPr="008770AF">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F04A302" w14:textId="77777777" w:rsidR="008770AF" w:rsidRPr="008770AF" w:rsidRDefault="008770AF" w:rsidP="008770AF">
            <w:pPr>
              <w:spacing w:before="0" w:after="0" w:line="240" w:lineRule="auto"/>
              <w:jc w:val="right"/>
              <w:rPr>
                <w:rFonts w:ascii="Arial" w:hAnsi="Arial" w:cs="Arial"/>
                <w:sz w:val="16"/>
                <w:szCs w:val="16"/>
              </w:rPr>
            </w:pPr>
            <w:r w:rsidRPr="008770AF">
              <w:rPr>
                <w:rFonts w:ascii="Arial" w:hAnsi="Arial" w:cs="Arial"/>
                <w:sz w:val="16"/>
                <w:szCs w:val="16"/>
              </w:rPr>
              <w:t>-</w:t>
            </w:r>
          </w:p>
        </w:tc>
      </w:tr>
      <w:tr w:rsidR="008770AF" w:rsidRPr="008770AF" w14:paraId="0ADBE449"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A1D4C3F"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14:paraId="7102C39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12161BE6"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75390844"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27FEFE0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7C635C61"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w:t>
            </w:r>
          </w:p>
        </w:tc>
      </w:tr>
      <w:tr w:rsidR="008770AF" w:rsidRPr="008770AF" w14:paraId="44A94FCC" w14:textId="77777777" w:rsidTr="00094246">
        <w:trPr>
          <w:trHeight w:val="283"/>
          <w:jc w:val="center"/>
        </w:trPr>
        <w:tc>
          <w:tcPr>
            <w:tcW w:w="3141" w:type="dxa"/>
            <w:tcBorders>
              <w:top w:val="nil"/>
              <w:left w:val="nil"/>
              <w:bottom w:val="nil"/>
              <w:right w:val="nil"/>
            </w:tcBorders>
            <w:shd w:val="clear" w:color="auto" w:fill="auto"/>
            <w:noWrap/>
            <w:vAlign w:val="bottom"/>
            <w:hideMark/>
          </w:tcPr>
          <w:p w14:paraId="30D17F7D"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14:paraId="7014B660"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5A5642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5001FEF"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0D5DFA7"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7F1DC9D"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79EFF3C7" w14:textId="77777777" w:rsidTr="00094246">
        <w:trPr>
          <w:trHeight w:val="425"/>
          <w:jc w:val="center"/>
        </w:trPr>
        <w:tc>
          <w:tcPr>
            <w:tcW w:w="3141" w:type="dxa"/>
            <w:tcBorders>
              <w:top w:val="nil"/>
              <w:left w:val="nil"/>
              <w:bottom w:val="nil"/>
              <w:right w:val="nil"/>
            </w:tcBorders>
            <w:shd w:val="clear" w:color="auto" w:fill="auto"/>
            <w:vAlign w:val="bottom"/>
            <w:hideMark/>
          </w:tcPr>
          <w:p w14:paraId="2E671A01"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 xml:space="preserve">Purchase of property, </w:t>
            </w:r>
            <w:proofErr w:type="gramStart"/>
            <w:r w:rsidRPr="008770AF">
              <w:rPr>
                <w:rFonts w:ascii="Arial" w:hAnsi="Arial" w:cs="Arial"/>
                <w:color w:val="000000"/>
                <w:sz w:val="16"/>
                <w:szCs w:val="16"/>
              </w:rPr>
              <w:t>plant</w:t>
            </w:r>
            <w:proofErr w:type="gramEnd"/>
            <w:r w:rsidRPr="008770AF">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445D6A7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9,738</w:t>
            </w:r>
          </w:p>
        </w:tc>
        <w:tc>
          <w:tcPr>
            <w:tcW w:w="960" w:type="dxa"/>
            <w:tcBorders>
              <w:top w:val="nil"/>
              <w:left w:val="nil"/>
              <w:bottom w:val="nil"/>
              <w:right w:val="nil"/>
            </w:tcBorders>
            <w:shd w:val="clear" w:color="000000" w:fill="D9D9D9"/>
            <w:noWrap/>
            <w:vAlign w:val="bottom"/>
            <w:hideMark/>
          </w:tcPr>
          <w:p w14:paraId="4ECAF3E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7,950</w:t>
            </w:r>
          </w:p>
        </w:tc>
        <w:tc>
          <w:tcPr>
            <w:tcW w:w="960" w:type="dxa"/>
            <w:tcBorders>
              <w:top w:val="nil"/>
              <w:left w:val="nil"/>
              <w:bottom w:val="nil"/>
              <w:right w:val="nil"/>
            </w:tcBorders>
            <w:shd w:val="clear" w:color="auto" w:fill="auto"/>
            <w:noWrap/>
            <w:vAlign w:val="bottom"/>
            <w:hideMark/>
          </w:tcPr>
          <w:p w14:paraId="5AFB00F6"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2,908</w:t>
            </w:r>
          </w:p>
        </w:tc>
        <w:tc>
          <w:tcPr>
            <w:tcW w:w="960" w:type="dxa"/>
            <w:tcBorders>
              <w:top w:val="nil"/>
              <w:left w:val="nil"/>
              <w:bottom w:val="nil"/>
              <w:right w:val="nil"/>
            </w:tcBorders>
            <w:shd w:val="clear" w:color="auto" w:fill="auto"/>
            <w:noWrap/>
            <w:vAlign w:val="bottom"/>
            <w:hideMark/>
          </w:tcPr>
          <w:p w14:paraId="6A60D1B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2,003</w:t>
            </w:r>
          </w:p>
        </w:tc>
        <w:tc>
          <w:tcPr>
            <w:tcW w:w="960" w:type="dxa"/>
            <w:tcBorders>
              <w:top w:val="nil"/>
              <w:left w:val="nil"/>
              <w:bottom w:val="nil"/>
              <w:right w:val="nil"/>
            </w:tcBorders>
            <w:shd w:val="clear" w:color="auto" w:fill="auto"/>
            <w:noWrap/>
            <w:vAlign w:val="bottom"/>
            <w:hideMark/>
          </w:tcPr>
          <w:p w14:paraId="1F5AD026"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3,062</w:t>
            </w:r>
          </w:p>
        </w:tc>
      </w:tr>
      <w:tr w:rsidR="008770AF" w:rsidRPr="008770AF" w14:paraId="3529F18E" w14:textId="77777777" w:rsidTr="008770AF">
        <w:trPr>
          <w:trHeight w:val="225"/>
          <w:jc w:val="center"/>
        </w:trPr>
        <w:tc>
          <w:tcPr>
            <w:tcW w:w="3141" w:type="dxa"/>
            <w:tcBorders>
              <w:top w:val="nil"/>
              <w:left w:val="nil"/>
              <w:bottom w:val="nil"/>
              <w:right w:val="nil"/>
            </w:tcBorders>
            <w:shd w:val="clear" w:color="auto" w:fill="auto"/>
            <w:vAlign w:val="bottom"/>
            <w:hideMark/>
          </w:tcPr>
          <w:p w14:paraId="05681F6B" w14:textId="77777777" w:rsidR="008770AF" w:rsidRPr="008770AF" w:rsidRDefault="008770AF" w:rsidP="008770AF">
            <w:pPr>
              <w:spacing w:before="0" w:after="0" w:line="240" w:lineRule="auto"/>
              <w:ind w:leftChars="150" w:left="285"/>
              <w:rPr>
                <w:rFonts w:ascii="Arial" w:hAnsi="Arial" w:cs="Arial"/>
                <w:color w:val="000000"/>
                <w:sz w:val="16"/>
                <w:szCs w:val="16"/>
              </w:rPr>
            </w:pPr>
            <w:r w:rsidRPr="008770AF">
              <w:rPr>
                <w:rFonts w:ascii="Arial" w:hAnsi="Arial" w:cs="Arial"/>
                <w:color w:val="000000"/>
                <w:sz w:val="16"/>
                <w:szCs w:val="16"/>
              </w:rPr>
              <w:t>Purchase of computer software</w:t>
            </w:r>
          </w:p>
        </w:tc>
        <w:tc>
          <w:tcPr>
            <w:tcW w:w="960" w:type="dxa"/>
            <w:tcBorders>
              <w:top w:val="nil"/>
              <w:left w:val="nil"/>
              <w:bottom w:val="nil"/>
              <w:right w:val="nil"/>
            </w:tcBorders>
            <w:shd w:val="clear" w:color="auto" w:fill="auto"/>
            <w:noWrap/>
            <w:vAlign w:val="bottom"/>
            <w:hideMark/>
          </w:tcPr>
          <w:p w14:paraId="068A04BF"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77E4C1B0"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1DE786E2"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62E4F03"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99A07C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w:t>
            </w:r>
          </w:p>
        </w:tc>
      </w:tr>
      <w:tr w:rsidR="008770AF" w:rsidRPr="008770AF" w14:paraId="71ADC9E0"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2524A343"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14:paraId="0998108B"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9,738</w:t>
            </w:r>
          </w:p>
        </w:tc>
        <w:tc>
          <w:tcPr>
            <w:tcW w:w="960" w:type="dxa"/>
            <w:tcBorders>
              <w:top w:val="nil"/>
              <w:left w:val="nil"/>
              <w:bottom w:val="single" w:sz="4" w:space="0" w:color="auto"/>
              <w:right w:val="nil"/>
            </w:tcBorders>
            <w:shd w:val="clear" w:color="000000" w:fill="D9D9D9"/>
            <w:noWrap/>
            <w:vAlign w:val="bottom"/>
            <w:hideMark/>
          </w:tcPr>
          <w:p w14:paraId="29BF57C0"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7,950</w:t>
            </w:r>
          </w:p>
        </w:tc>
        <w:tc>
          <w:tcPr>
            <w:tcW w:w="960" w:type="dxa"/>
            <w:tcBorders>
              <w:top w:val="nil"/>
              <w:left w:val="nil"/>
              <w:bottom w:val="single" w:sz="4" w:space="0" w:color="auto"/>
              <w:right w:val="nil"/>
            </w:tcBorders>
            <w:shd w:val="clear" w:color="auto" w:fill="auto"/>
            <w:noWrap/>
            <w:vAlign w:val="bottom"/>
            <w:hideMark/>
          </w:tcPr>
          <w:p w14:paraId="2C961D8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2,908</w:t>
            </w:r>
          </w:p>
        </w:tc>
        <w:tc>
          <w:tcPr>
            <w:tcW w:w="960" w:type="dxa"/>
            <w:tcBorders>
              <w:top w:val="nil"/>
              <w:left w:val="nil"/>
              <w:bottom w:val="single" w:sz="4" w:space="0" w:color="auto"/>
              <w:right w:val="nil"/>
            </w:tcBorders>
            <w:shd w:val="clear" w:color="auto" w:fill="auto"/>
            <w:noWrap/>
            <w:vAlign w:val="bottom"/>
            <w:hideMark/>
          </w:tcPr>
          <w:p w14:paraId="15F736B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2,003</w:t>
            </w:r>
          </w:p>
        </w:tc>
        <w:tc>
          <w:tcPr>
            <w:tcW w:w="960" w:type="dxa"/>
            <w:tcBorders>
              <w:top w:val="nil"/>
              <w:left w:val="nil"/>
              <w:bottom w:val="single" w:sz="4" w:space="0" w:color="auto"/>
              <w:right w:val="nil"/>
            </w:tcBorders>
            <w:shd w:val="clear" w:color="auto" w:fill="auto"/>
            <w:noWrap/>
            <w:vAlign w:val="bottom"/>
            <w:hideMark/>
          </w:tcPr>
          <w:p w14:paraId="47FA8ADB"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3,062</w:t>
            </w:r>
          </w:p>
        </w:tc>
      </w:tr>
      <w:tr w:rsidR="008770AF" w:rsidRPr="008770AF" w14:paraId="591A045E" w14:textId="77777777" w:rsidTr="00094246">
        <w:trPr>
          <w:trHeight w:val="425"/>
          <w:jc w:val="center"/>
        </w:trPr>
        <w:tc>
          <w:tcPr>
            <w:tcW w:w="3141" w:type="dxa"/>
            <w:tcBorders>
              <w:top w:val="nil"/>
              <w:left w:val="nil"/>
              <w:bottom w:val="nil"/>
              <w:right w:val="nil"/>
            </w:tcBorders>
            <w:shd w:val="clear" w:color="auto" w:fill="auto"/>
            <w:vAlign w:val="bottom"/>
            <w:hideMark/>
          </w:tcPr>
          <w:p w14:paraId="332679CE"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Net cash from (or used by) investing activities</w:t>
            </w:r>
          </w:p>
        </w:tc>
        <w:tc>
          <w:tcPr>
            <w:tcW w:w="960" w:type="dxa"/>
            <w:tcBorders>
              <w:top w:val="nil"/>
              <w:left w:val="nil"/>
              <w:bottom w:val="single" w:sz="4" w:space="0" w:color="auto"/>
              <w:right w:val="nil"/>
            </w:tcBorders>
            <w:shd w:val="clear" w:color="auto" w:fill="auto"/>
            <w:noWrap/>
            <w:vAlign w:val="bottom"/>
            <w:hideMark/>
          </w:tcPr>
          <w:p w14:paraId="661BAF2C"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(9,738)</w:t>
            </w:r>
          </w:p>
        </w:tc>
        <w:tc>
          <w:tcPr>
            <w:tcW w:w="960" w:type="dxa"/>
            <w:tcBorders>
              <w:top w:val="nil"/>
              <w:left w:val="nil"/>
              <w:bottom w:val="single" w:sz="4" w:space="0" w:color="auto"/>
              <w:right w:val="nil"/>
            </w:tcBorders>
            <w:shd w:val="clear" w:color="000000" w:fill="D9D9D9"/>
            <w:noWrap/>
            <w:vAlign w:val="bottom"/>
            <w:hideMark/>
          </w:tcPr>
          <w:p w14:paraId="4F1C14EF"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(7,950)</w:t>
            </w:r>
          </w:p>
        </w:tc>
        <w:tc>
          <w:tcPr>
            <w:tcW w:w="960" w:type="dxa"/>
            <w:tcBorders>
              <w:top w:val="nil"/>
              <w:left w:val="nil"/>
              <w:bottom w:val="single" w:sz="4" w:space="0" w:color="auto"/>
              <w:right w:val="nil"/>
            </w:tcBorders>
            <w:shd w:val="clear" w:color="auto" w:fill="auto"/>
            <w:noWrap/>
            <w:vAlign w:val="bottom"/>
            <w:hideMark/>
          </w:tcPr>
          <w:p w14:paraId="035BE886"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(2,908)</w:t>
            </w:r>
          </w:p>
        </w:tc>
        <w:tc>
          <w:tcPr>
            <w:tcW w:w="960" w:type="dxa"/>
            <w:tcBorders>
              <w:top w:val="nil"/>
              <w:left w:val="nil"/>
              <w:bottom w:val="single" w:sz="4" w:space="0" w:color="auto"/>
              <w:right w:val="nil"/>
            </w:tcBorders>
            <w:shd w:val="clear" w:color="auto" w:fill="auto"/>
            <w:noWrap/>
            <w:vAlign w:val="bottom"/>
            <w:hideMark/>
          </w:tcPr>
          <w:p w14:paraId="77F40C08"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(2,003)</w:t>
            </w:r>
          </w:p>
        </w:tc>
        <w:tc>
          <w:tcPr>
            <w:tcW w:w="960" w:type="dxa"/>
            <w:tcBorders>
              <w:top w:val="nil"/>
              <w:left w:val="nil"/>
              <w:bottom w:val="single" w:sz="4" w:space="0" w:color="auto"/>
              <w:right w:val="nil"/>
            </w:tcBorders>
            <w:shd w:val="clear" w:color="auto" w:fill="auto"/>
            <w:noWrap/>
            <w:vAlign w:val="bottom"/>
            <w:hideMark/>
          </w:tcPr>
          <w:p w14:paraId="687E8750"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(3,062)</w:t>
            </w:r>
          </w:p>
        </w:tc>
      </w:tr>
      <w:tr w:rsidR="008770AF" w:rsidRPr="008770AF" w14:paraId="7870B6FB" w14:textId="77777777" w:rsidTr="00094246">
        <w:trPr>
          <w:trHeight w:val="283"/>
          <w:jc w:val="center"/>
        </w:trPr>
        <w:tc>
          <w:tcPr>
            <w:tcW w:w="3141" w:type="dxa"/>
            <w:tcBorders>
              <w:top w:val="nil"/>
              <w:left w:val="nil"/>
              <w:bottom w:val="nil"/>
              <w:right w:val="nil"/>
            </w:tcBorders>
            <w:shd w:val="clear" w:color="auto" w:fill="auto"/>
            <w:noWrap/>
            <w:vAlign w:val="bottom"/>
            <w:hideMark/>
          </w:tcPr>
          <w:p w14:paraId="56267119" w14:textId="77777777" w:rsidR="008770AF" w:rsidRPr="008770AF" w:rsidRDefault="008770AF" w:rsidP="008770AF">
            <w:pPr>
              <w:spacing w:before="0" w:after="0" w:line="240" w:lineRule="auto"/>
              <w:rPr>
                <w:rFonts w:ascii="Arial" w:hAnsi="Arial" w:cs="Arial"/>
                <w:b/>
                <w:bCs/>
                <w:color w:val="000000"/>
                <w:sz w:val="16"/>
                <w:szCs w:val="16"/>
              </w:rPr>
            </w:pPr>
            <w:r w:rsidRPr="008770AF">
              <w:rPr>
                <w:rFonts w:ascii="Arial" w:hAnsi="Arial" w:cs="Arial"/>
                <w:b/>
                <w:bCs/>
                <w:color w:val="000000"/>
                <w:sz w:val="16"/>
                <w:szCs w:val="16"/>
              </w:rPr>
              <w:t>FINANCING ACTIVITIES</w:t>
            </w:r>
          </w:p>
        </w:tc>
        <w:tc>
          <w:tcPr>
            <w:tcW w:w="960" w:type="dxa"/>
            <w:tcBorders>
              <w:top w:val="nil"/>
              <w:left w:val="nil"/>
              <w:bottom w:val="nil"/>
              <w:right w:val="nil"/>
            </w:tcBorders>
            <w:shd w:val="clear" w:color="auto" w:fill="auto"/>
            <w:noWrap/>
            <w:vAlign w:val="bottom"/>
            <w:hideMark/>
          </w:tcPr>
          <w:p w14:paraId="1BCDBBF4" w14:textId="77777777" w:rsidR="008770AF" w:rsidRPr="008770AF" w:rsidRDefault="008770AF" w:rsidP="008770AF">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EB03A63"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09BCAB08"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25F9F4D3"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1320EDC"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244BE2B4"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728A9B5"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14:paraId="0E0340C6"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DD8B25D"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6D3F69BB"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34C823DE"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D14DC14"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1C44FAFE" w14:textId="77777777" w:rsidTr="008770AF">
        <w:trPr>
          <w:trHeight w:val="225"/>
          <w:jc w:val="center"/>
        </w:trPr>
        <w:tc>
          <w:tcPr>
            <w:tcW w:w="3141" w:type="dxa"/>
            <w:tcBorders>
              <w:top w:val="nil"/>
              <w:left w:val="nil"/>
              <w:bottom w:val="nil"/>
              <w:right w:val="nil"/>
            </w:tcBorders>
            <w:shd w:val="clear" w:color="000000" w:fill="FFFFFF"/>
            <w:noWrap/>
            <w:vAlign w:val="bottom"/>
            <w:hideMark/>
          </w:tcPr>
          <w:p w14:paraId="0E44DB8D" w14:textId="77777777" w:rsidR="008770AF" w:rsidRPr="008770AF" w:rsidRDefault="008770AF" w:rsidP="008770AF">
            <w:pPr>
              <w:spacing w:before="0" w:after="0" w:line="240" w:lineRule="auto"/>
              <w:ind w:leftChars="150" w:left="285"/>
              <w:rPr>
                <w:rFonts w:ascii="Arial" w:hAnsi="Arial" w:cs="Arial"/>
                <w:sz w:val="16"/>
                <w:szCs w:val="16"/>
              </w:rPr>
            </w:pPr>
            <w:r w:rsidRPr="008770AF">
              <w:rPr>
                <w:rFonts w:ascii="Arial" w:hAnsi="Arial" w:cs="Arial"/>
                <w:sz w:val="16"/>
                <w:szCs w:val="16"/>
              </w:rPr>
              <w:t>Capital budget - Bill 1 (DCB)</w:t>
            </w:r>
          </w:p>
        </w:tc>
        <w:tc>
          <w:tcPr>
            <w:tcW w:w="960" w:type="dxa"/>
            <w:tcBorders>
              <w:top w:val="nil"/>
              <w:left w:val="nil"/>
              <w:bottom w:val="nil"/>
              <w:right w:val="nil"/>
            </w:tcBorders>
            <w:shd w:val="clear" w:color="auto" w:fill="auto"/>
            <w:noWrap/>
            <w:vAlign w:val="bottom"/>
            <w:hideMark/>
          </w:tcPr>
          <w:p w14:paraId="02A760A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6,747</w:t>
            </w:r>
          </w:p>
        </w:tc>
        <w:tc>
          <w:tcPr>
            <w:tcW w:w="960" w:type="dxa"/>
            <w:tcBorders>
              <w:top w:val="nil"/>
              <w:left w:val="nil"/>
              <w:bottom w:val="nil"/>
              <w:right w:val="nil"/>
            </w:tcBorders>
            <w:shd w:val="clear" w:color="000000" w:fill="D9D9D9"/>
            <w:noWrap/>
            <w:vAlign w:val="bottom"/>
            <w:hideMark/>
          </w:tcPr>
          <w:p w14:paraId="6A32C100"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2,755</w:t>
            </w:r>
          </w:p>
        </w:tc>
        <w:tc>
          <w:tcPr>
            <w:tcW w:w="960" w:type="dxa"/>
            <w:tcBorders>
              <w:top w:val="nil"/>
              <w:left w:val="nil"/>
              <w:bottom w:val="nil"/>
              <w:right w:val="nil"/>
            </w:tcBorders>
            <w:shd w:val="clear" w:color="auto" w:fill="auto"/>
            <w:noWrap/>
            <w:vAlign w:val="bottom"/>
            <w:hideMark/>
          </w:tcPr>
          <w:p w14:paraId="382305E7"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2,084</w:t>
            </w:r>
          </w:p>
        </w:tc>
        <w:tc>
          <w:tcPr>
            <w:tcW w:w="960" w:type="dxa"/>
            <w:tcBorders>
              <w:top w:val="nil"/>
              <w:left w:val="nil"/>
              <w:bottom w:val="nil"/>
              <w:right w:val="nil"/>
            </w:tcBorders>
            <w:shd w:val="clear" w:color="auto" w:fill="auto"/>
            <w:noWrap/>
            <w:vAlign w:val="bottom"/>
            <w:hideMark/>
          </w:tcPr>
          <w:p w14:paraId="32A644C9"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2,003</w:t>
            </w:r>
          </w:p>
        </w:tc>
        <w:tc>
          <w:tcPr>
            <w:tcW w:w="960" w:type="dxa"/>
            <w:tcBorders>
              <w:top w:val="nil"/>
              <w:left w:val="nil"/>
              <w:bottom w:val="nil"/>
              <w:right w:val="nil"/>
            </w:tcBorders>
            <w:shd w:val="clear" w:color="auto" w:fill="auto"/>
            <w:noWrap/>
            <w:vAlign w:val="bottom"/>
            <w:hideMark/>
          </w:tcPr>
          <w:p w14:paraId="2FA9B30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1,970</w:t>
            </w:r>
          </w:p>
        </w:tc>
      </w:tr>
      <w:tr w:rsidR="008770AF" w:rsidRPr="008770AF" w14:paraId="1BD7B635"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D5D9CA5"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14:paraId="2B4F2C87"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6,747</w:t>
            </w:r>
          </w:p>
        </w:tc>
        <w:tc>
          <w:tcPr>
            <w:tcW w:w="960" w:type="dxa"/>
            <w:tcBorders>
              <w:top w:val="nil"/>
              <w:left w:val="nil"/>
              <w:bottom w:val="single" w:sz="4" w:space="0" w:color="auto"/>
              <w:right w:val="nil"/>
            </w:tcBorders>
            <w:shd w:val="clear" w:color="000000" w:fill="D9D9D9"/>
            <w:noWrap/>
            <w:vAlign w:val="bottom"/>
            <w:hideMark/>
          </w:tcPr>
          <w:p w14:paraId="176BEE91"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2,755</w:t>
            </w:r>
          </w:p>
        </w:tc>
        <w:tc>
          <w:tcPr>
            <w:tcW w:w="960" w:type="dxa"/>
            <w:tcBorders>
              <w:top w:val="nil"/>
              <w:left w:val="nil"/>
              <w:bottom w:val="single" w:sz="4" w:space="0" w:color="auto"/>
              <w:right w:val="nil"/>
            </w:tcBorders>
            <w:shd w:val="clear" w:color="auto" w:fill="auto"/>
            <w:noWrap/>
            <w:vAlign w:val="bottom"/>
            <w:hideMark/>
          </w:tcPr>
          <w:p w14:paraId="22ABFB0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2,084</w:t>
            </w:r>
          </w:p>
        </w:tc>
        <w:tc>
          <w:tcPr>
            <w:tcW w:w="960" w:type="dxa"/>
            <w:tcBorders>
              <w:top w:val="nil"/>
              <w:left w:val="nil"/>
              <w:bottom w:val="single" w:sz="4" w:space="0" w:color="auto"/>
              <w:right w:val="nil"/>
            </w:tcBorders>
            <w:shd w:val="clear" w:color="auto" w:fill="auto"/>
            <w:noWrap/>
            <w:vAlign w:val="bottom"/>
            <w:hideMark/>
          </w:tcPr>
          <w:p w14:paraId="3AC9366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2,003</w:t>
            </w:r>
          </w:p>
        </w:tc>
        <w:tc>
          <w:tcPr>
            <w:tcW w:w="960" w:type="dxa"/>
            <w:tcBorders>
              <w:top w:val="nil"/>
              <w:left w:val="nil"/>
              <w:bottom w:val="single" w:sz="4" w:space="0" w:color="auto"/>
              <w:right w:val="nil"/>
            </w:tcBorders>
            <w:shd w:val="clear" w:color="auto" w:fill="auto"/>
            <w:noWrap/>
            <w:vAlign w:val="bottom"/>
            <w:hideMark/>
          </w:tcPr>
          <w:p w14:paraId="5438A32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1,970</w:t>
            </w:r>
          </w:p>
        </w:tc>
      </w:tr>
      <w:tr w:rsidR="008770AF" w:rsidRPr="008770AF" w14:paraId="3FEBD8DF" w14:textId="77777777" w:rsidTr="00094246">
        <w:trPr>
          <w:trHeight w:val="283"/>
          <w:jc w:val="center"/>
        </w:trPr>
        <w:tc>
          <w:tcPr>
            <w:tcW w:w="3141" w:type="dxa"/>
            <w:tcBorders>
              <w:top w:val="nil"/>
              <w:left w:val="nil"/>
              <w:bottom w:val="nil"/>
              <w:right w:val="nil"/>
            </w:tcBorders>
            <w:shd w:val="clear" w:color="auto" w:fill="auto"/>
            <w:noWrap/>
            <w:vAlign w:val="bottom"/>
            <w:hideMark/>
          </w:tcPr>
          <w:p w14:paraId="3D75DB15"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14:paraId="6D628792" w14:textId="77777777" w:rsidR="008770AF" w:rsidRPr="008770AF" w:rsidRDefault="008770AF" w:rsidP="008770AF">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7F7EF29"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D9EF34C" w14:textId="77777777" w:rsidR="008770AF" w:rsidRPr="008770AF" w:rsidRDefault="008770AF" w:rsidP="008770AF">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5E8B11B" w14:textId="77777777" w:rsidR="008770AF" w:rsidRPr="008770AF" w:rsidRDefault="008770AF" w:rsidP="008770AF">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ADF3472" w14:textId="77777777" w:rsidR="008770AF" w:rsidRPr="008770AF" w:rsidRDefault="008770AF" w:rsidP="008770AF">
            <w:pPr>
              <w:spacing w:before="0" w:after="0" w:line="240" w:lineRule="auto"/>
              <w:jc w:val="right"/>
              <w:rPr>
                <w:rFonts w:ascii="Times New Roman" w:hAnsi="Times New Roman"/>
                <w:sz w:val="20"/>
              </w:rPr>
            </w:pPr>
          </w:p>
        </w:tc>
      </w:tr>
      <w:tr w:rsidR="008770AF" w:rsidRPr="008770AF" w14:paraId="421E0DC1" w14:textId="77777777" w:rsidTr="008770AF">
        <w:trPr>
          <w:trHeight w:val="225"/>
          <w:jc w:val="center"/>
        </w:trPr>
        <w:tc>
          <w:tcPr>
            <w:tcW w:w="3141" w:type="dxa"/>
            <w:tcBorders>
              <w:top w:val="nil"/>
              <w:left w:val="nil"/>
              <w:bottom w:val="nil"/>
              <w:right w:val="nil"/>
            </w:tcBorders>
            <w:shd w:val="clear" w:color="000000" w:fill="FFFFFF"/>
            <w:noWrap/>
            <w:vAlign w:val="bottom"/>
            <w:hideMark/>
          </w:tcPr>
          <w:p w14:paraId="55EBCC96" w14:textId="77777777" w:rsidR="008770AF" w:rsidRPr="008770AF" w:rsidRDefault="008770AF" w:rsidP="008770AF">
            <w:pPr>
              <w:spacing w:before="0" w:after="0" w:line="240" w:lineRule="auto"/>
              <w:ind w:leftChars="150" w:left="285"/>
              <w:rPr>
                <w:rFonts w:ascii="Arial" w:hAnsi="Arial" w:cs="Arial"/>
                <w:sz w:val="16"/>
                <w:szCs w:val="16"/>
              </w:rPr>
            </w:pPr>
            <w:r w:rsidRPr="008770AF">
              <w:rPr>
                <w:rFonts w:ascii="Arial" w:hAnsi="Arial" w:cs="Arial"/>
                <w:sz w:val="16"/>
                <w:szCs w:val="16"/>
              </w:rPr>
              <w:t>Lease principal repayments</w:t>
            </w:r>
          </w:p>
        </w:tc>
        <w:tc>
          <w:tcPr>
            <w:tcW w:w="960" w:type="dxa"/>
            <w:tcBorders>
              <w:top w:val="nil"/>
              <w:left w:val="nil"/>
              <w:bottom w:val="nil"/>
              <w:right w:val="nil"/>
            </w:tcBorders>
            <w:shd w:val="clear" w:color="auto" w:fill="auto"/>
            <w:noWrap/>
            <w:vAlign w:val="bottom"/>
            <w:hideMark/>
          </w:tcPr>
          <w:p w14:paraId="52146DB5"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5,852</w:t>
            </w:r>
          </w:p>
        </w:tc>
        <w:tc>
          <w:tcPr>
            <w:tcW w:w="960" w:type="dxa"/>
            <w:tcBorders>
              <w:top w:val="nil"/>
              <w:left w:val="nil"/>
              <w:bottom w:val="nil"/>
              <w:right w:val="nil"/>
            </w:tcBorders>
            <w:shd w:val="clear" w:color="000000" w:fill="D9D9D9"/>
            <w:noWrap/>
            <w:vAlign w:val="bottom"/>
            <w:hideMark/>
          </w:tcPr>
          <w:p w14:paraId="74C1A313"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5,638</w:t>
            </w:r>
          </w:p>
        </w:tc>
        <w:tc>
          <w:tcPr>
            <w:tcW w:w="960" w:type="dxa"/>
            <w:tcBorders>
              <w:top w:val="nil"/>
              <w:left w:val="nil"/>
              <w:bottom w:val="nil"/>
              <w:right w:val="nil"/>
            </w:tcBorders>
            <w:shd w:val="clear" w:color="auto" w:fill="auto"/>
            <w:noWrap/>
            <w:vAlign w:val="bottom"/>
            <w:hideMark/>
          </w:tcPr>
          <w:p w14:paraId="439A0670"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5,633</w:t>
            </w:r>
          </w:p>
        </w:tc>
        <w:tc>
          <w:tcPr>
            <w:tcW w:w="960" w:type="dxa"/>
            <w:tcBorders>
              <w:top w:val="nil"/>
              <w:left w:val="nil"/>
              <w:bottom w:val="nil"/>
              <w:right w:val="nil"/>
            </w:tcBorders>
            <w:shd w:val="clear" w:color="auto" w:fill="auto"/>
            <w:noWrap/>
            <w:vAlign w:val="bottom"/>
            <w:hideMark/>
          </w:tcPr>
          <w:p w14:paraId="06F5DE51"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5,793</w:t>
            </w:r>
          </w:p>
        </w:tc>
        <w:tc>
          <w:tcPr>
            <w:tcW w:w="960" w:type="dxa"/>
            <w:tcBorders>
              <w:top w:val="nil"/>
              <w:left w:val="nil"/>
              <w:bottom w:val="nil"/>
              <w:right w:val="nil"/>
            </w:tcBorders>
            <w:shd w:val="clear" w:color="auto" w:fill="auto"/>
            <w:noWrap/>
            <w:vAlign w:val="bottom"/>
            <w:hideMark/>
          </w:tcPr>
          <w:p w14:paraId="215E84EC"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5,981</w:t>
            </w:r>
          </w:p>
        </w:tc>
      </w:tr>
      <w:tr w:rsidR="008770AF" w:rsidRPr="008770AF" w14:paraId="3E9BA637" w14:textId="77777777" w:rsidTr="008770AF">
        <w:trPr>
          <w:trHeight w:val="225"/>
          <w:jc w:val="center"/>
        </w:trPr>
        <w:tc>
          <w:tcPr>
            <w:tcW w:w="3141" w:type="dxa"/>
            <w:tcBorders>
              <w:top w:val="nil"/>
              <w:left w:val="nil"/>
              <w:bottom w:val="nil"/>
              <w:right w:val="nil"/>
            </w:tcBorders>
            <w:shd w:val="clear" w:color="auto" w:fill="auto"/>
            <w:noWrap/>
            <w:vAlign w:val="bottom"/>
            <w:hideMark/>
          </w:tcPr>
          <w:p w14:paraId="16026B8C" w14:textId="77777777" w:rsidR="008770AF" w:rsidRPr="008770AF" w:rsidRDefault="008770AF" w:rsidP="008770AF">
            <w:pPr>
              <w:spacing w:before="0" w:after="0" w:line="240" w:lineRule="auto"/>
              <w:ind w:leftChars="150" w:left="285"/>
              <w:rPr>
                <w:rFonts w:ascii="Arial" w:hAnsi="Arial" w:cs="Arial"/>
                <w:b/>
                <w:bCs/>
                <w:color w:val="000000"/>
                <w:sz w:val="16"/>
                <w:szCs w:val="16"/>
              </w:rPr>
            </w:pPr>
            <w:r w:rsidRPr="008770AF">
              <w:rPr>
                <w:rFonts w:ascii="Arial" w:hAnsi="Arial"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14:paraId="75E4A9CE"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5,852</w:t>
            </w:r>
          </w:p>
        </w:tc>
        <w:tc>
          <w:tcPr>
            <w:tcW w:w="960" w:type="dxa"/>
            <w:tcBorders>
              <w:top w:val="nil"/>
              <w:left w:val="nil"/>
              <w:bottom w:val="single" w:sz="4" w:space="0" w:color="auto"/>
              <w:right w:val="nil"/>
            </w:tcBorders>
            <w:shd w:val="clear" w:color="000000" w:fill="D9D9D9"/>
            <w:noWrap/>
            <w:vAlign w:val="bottom"/>
            <w:hideMark/>
          </w:tcPr>
          <w:p w14:paraId="60533CC5"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5,638</w:t>
            </w:r>
          </w:p>
        </w:tc>
        <w:tc>
          <w:tcPr>
            <w:tcW w:w="960" w:type="dxa"/>
            <w:tcBorders>
              <w:top w:val="nil"/>
              <w:left w:val="nil"/>
              <w:bottom w:val="single" w:sz="4" w:space="0" w:color="auto"/>
              <w:right w:val="nil"/>
            </w:tcBorders>
            <w:shd w:val="clear" w:color="auto" w:fill="auto"/>
            <w:noWrap/>
            <w:vAlign w:val="bottom"/>
            <w:hideMark/>
          </w:tcPr>
          <w:p w14:paraId="744F31FF"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5,633</w:t>
            </w:r>
          </w:p>
        </w:tc>
        <w:tc>
          <w:tcPr>
            <w:tcW w:w="960" w:type="dxa"/>
            <w:tcBorders>
              <w:top w:val="nil"/>
              <w:left w:val="nil"/>
              <w:bottom w:val="single" w:sz="4" w:space="0" w:color="auto"/>
              <w:right w:val="nil"/>
            </w:tcBorders>
            <w:shd w:val="clear" w:color="auto" w:fill="auto"/>
            <w:noWrap/>
            <w:vAlign w:val="bottom"/>
            <w:hideMark/>
          </w:tcPr>
          <w:p w14:paraId="1D3DFB13"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5,793</w:t>
            </w:r>
          </w:p>
        </w:tc>
        <w:tc>
          <w:tcPr>
            <w:tcW w:w="960" w:type="dxa"/>
            <w:tcBorders>
              <w:top w:val="nil"/>
              <w:left w:val="nil"/>
              <w:bottom w:val="single" w:sz="4" w:space="0" w:color="auto"/>
              <w:right w:val="nil"/>
            </w:tcBorders>
            <w:shd w:val="clear" w:color="auto" w:fill="auto"/>
            <w:noWrap/>
            <w:vAlign w:val="bottom"/>
            <w:hideMark/>
          </w:tcPr>
          <w:p w14:paraId="6DD5D00E"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5,981</w:t>
            </w:r>
          </w:p>
        </w:tc>
      </w:tr>
      <w:tr w:rsidR="008770AF" w:rsidRPr="008770AF" w14:paraId="1EA169A3" w14:textId="77777777" w:rsidTr="00094246">
        <w:trPr>
          <w:trHeight w:val="425"/>
          <w:jc w:val="center"/>
        </w:trPr>
        <w:tc>
          <w:tcPr>
            <w:tcW w:w="3141" w:type="dxa"/>
            <w:tcBorders>
              <w:top w:val="nil"/>
              <w:left w:val="nil"/>
              <w:bottom w:val="nil"/>
              <w:right w:val="nil"/>
            </w:tcBorders>
            <w:shd w:val="clear" w:color="auto" w:fill="auto"/>
            <w:vAlign w:val="bottom"/>
            <w:hideMark/>
          </w:tcPr>
          <w:p w14:paraId="74447301" w14:textId="77777777" w:rsidR="008770AF" w:rsidRPr="008770AF" w:rsidRDefault="008770AF" w:rsidP="008770AF">
            <w:pPr>
              <w:spacing w:before="0" w:after="0" w:line="240" w:lineRule="auto"/>
              <w:ind w:leftChars="75" w:left="143"/>
              <w:rPr>
                <w:rFonts w:ascii="Arial" w:hAnsi="Arial" w:cs="Arial"/>
                <w:b/>
                <w:bCs/>
                <w:color w:val="000000"/>
                <w:sz w:val="16"/>
                <w:szCs w:val="16"/>
              </w:rPr>
            </w:pPr>
            <w:r w:rsidRPr="008770AF">
              <w:rPr>
                <w:rFonts w:ascii="Arial" w:hAnsi="Arial" w:cs="Arial"/>
                <w:b/>
                <w:bCs/>
                <w:color w:val="000000"/>
                <w:sz w:val="16"/>
                <w:szCs w:val="16"/>
              </w:rPr>
              <w:t>Net cash from (or used by) financing activities</w:t>
            </w:r>
          </w:p>
        </w:tc>
        <w:tc>
          <w:tcPr>
            <w:tcW w:w="960" w:type="dxa"/>
            <w:tcBorders>
              <w:top w:val="nil"/>
              <w:left w:val="nil"/>
              <w:bottom w:val="single" w:sz="4" w:space="0" w:color="auto"/>
              <w:right w:val="nil"/>
            </w:tcBorders>
            <w:shd w:val="clear" w:color="auto" w:fill="auto"/>
            <w:noWrap/>
            <w:vAlign w:val="bottom"/>
            <w:hideMark/>
          </w:tcPr>
          <w:p w14:paraId="00FCE434"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895</w:t>
            </w:r>
          </w:p>
        </w:tc>
        <w:tc>
          <w:tcPr>
            <w:tcW w:w="960" w:type="dxa"/>
            <w:tcBorders>
              <w:top w:val="nil"/>
              <w:left w:val="nil"/>
              <w:bottom w:val="single" w:sz="4" w:space="0" w:color="auto"/>
              <w:right w:val="nil"/>
            </w:tcBorders>
            <w:shd w:val="clear" w:color="000000" w:fill="D9D9D9"/>
            <w:noWrap/>
            <w:vAlign w:val="bottom"/>
            <w:hideMark/>
          </w:tcPr>
          <w:p w14:paraId="00CB55AB"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(2,883)</w:t>
            </w:r>
          </w:p>
        </w:tc>
        <w:tc>
          <w:tcPr>
            <w:tcW w:w="960" w:type="dxa"/>
            <w:tcBorders>
              <w:top w:val="nil"/>
              <w:left w:val="nil"/>
              <w:bottom w:val="single" w:sz="4" w:space="0" w:color="auto"/>
              <w:right w:val="nil"/>
            </w:tcBorders>
            <w:shd w:val="clear" w:color="auto" w:fill="auto"/>
            <w:noWrap/>
            <w:vAlign w:val="bottom"/>
            <w:hideMark/>
          </w:tcPr>
          <w:p w14:paraId="13A22C2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(3,549)</w:t>
            </w:r>
          </w:p>
        </w:tc>
        <w:tc>
          <w:tcPr>
            <w:tcW w:w="960" w:type="dxa"/>
            <w:tcBorders>
              <w:top w:val="nil"/>
              <w:left w:val="nil"/>
              <w:bottom w:val="single" w:sz="4" w:space="0" w:color="auto"/>
              <w:right w:val="nil"/>
            </w:tcBorders>
            <w:shd w:val="clear" w:color="auto" w:fill="auto"/>
            <w:noWrap/>
            <w:vAlign w:val="bottom"/>
            <w:hideMark/>
          </w:tcPr>
          <w:p w14:paraId="4F83DD5E"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(3,790)</w:t>
            </w:r>
          </w:p>
        </w:tc>
        <w:tc>
          <w:tcPr>
            <w:tcW w:w="960" w:type="dxa"/>
            <w:tcBorders>
              <w:top w:val="nil"/>
              <w:left w:val="nil"/>
              <w:bottom w:val="single" w:sz="4" w:space="0" w:color="auto"/>
              <w:right w:val="nil"/>
            </w:tcBorders>
            <w:shd w:val="clear" w:color="auto" w:fill="auto"/>
            <w:noWrap/>
            <w:vAlign w:val="bottom"/>
            <w:hideMark/>
          </w:tcPr>
          <w:p w14:paraId="10D0358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(4,011)</w:t>
            </w:r>
          </w:p>
        </w:tc>
      </w:tr>
      <w:tr w:rsidR="008770AF" w:rsidRPr="008770AF" w14:paraId="1CB12C67" w14:textId="77777777" w:rsidTr="00094246">
        <w:trPr>
          <w:trHeight w:val="425"/>
          <w:jc w:val="center"/>
        </w:trPr>
        <w:tc>
          <w:tcPr>
            <w:tcW w:w="3141" w:type="dxa"/>
            <w:tcBorders>
              <w:top w:val="nil"/>
              <w:left w:val="nil"/>
              <w:bottom w:val="nil"/>
              <w:right w:val="nil"/>
            </w:tcBorders>
            <w:shd w:val="clear" w:color="auto" w:fill="auto"/>
            <w:vAlign w:val="bottom"/>
            <w:hideMark/>
          </w:tcPr>
          <w:p w14:paraId="315E488A" w14:textId="77777777" w:rsidR="008770AF" w:rsidRPr="008770AF" w:rsidRDefault="008770AF" w:rsidP="008770AF">
            <w:pPr>
              <w:spacing w:before="0" w:after="0" w:line="240" w:lineRule="auto"/>
              <w:rPr>
                <w:rFonts w:ascii="Arial" w:hAnsi="Arial" w:cs="Arial"/>
                <w:b/>
                <w:bCs/>
                <w:color w:val="000000"/>
                <w:sz w:val="16"/>
                <w:szCs w:val="16"/>
              </w:rPr>
            </w:pPr>
            <w:r w:rsidRPr="008770AF">
              <w:rPr>
                <w:rFonts w:ascii="Arial" w:hAnsi="Arial" w:cs="Arial"/>
                <w:b/>
                <w:bCs/>
                <w:color w:val="000000"/>
                <w:sz w:val="16"/>
                <w:szCs w:val="16"/>
              </w:rPr>
              <w:t>Net increase (or decrease) in cash held</w:t>
            </w:r>
          </w:p>
        </w:tc>
        <w:tc>
          <w:tcPr>
            <w:tcW w:w="960" w:type="dxa"/>
            <w:tcBorders>
              <w:top w:val="nil"/>
              <w:left w:val="nil"/>
              <w:bottom w:val="single" w:sz="4" w:space="0" w:color="auto"/>
              <w:right w:val="nil"/>
            </w:tcBorders>
            <w:shd w:val="clear" w:color="auto" w:fill="auto"/>
            <w:noWrap/>
            <w:vAlign w:val="bottom"/>
            <w:hideMark/>
          </w:tcPr>
          <w:p w14:paraId="0911A410"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(2,252)</w:t>
            </w:r>
          </w:p>
        </w:tc>
        <w:tc>
          <w:tcPr>
            <w:tcW w:w="960" w:type="dxa"/>
            <w:tcBorders>
              <w:top w:val="nil"/>
              <w:left w:val="nil"/>
              <w:bottom w:val="single" w:sz="4" w:space="0" w:color="auto"/>
              <w:right w:val="nil"/>
            </w:tcBorders>
            <w:shd w:val="clear" w:color="000000" w:fill="D9D9D9"/>
            <w:noWrap/>
            <w:vAlign w:val="bottom"/>
            <w:hideMark/>
          </w:tcPr>
          <w:p w14:paraId="04CFA9B2"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(100)</w:t>
            </w:r>
          </w:p>
        </w:tc>
        <w:tc>
          <w:tcPr>
            <w:tcW w:w="960" w:type="dxa"/>
            <w:tcBorders>
              <w:top w:val="nil"/>
              <w:left w:val="nil"/>
              <w:bottom w:val="single" w:sz="4" w:space="0" w:color="auto"/>
              <w:right w:val="nil"/>
            </w:tcBorders>
            <w:shd w:val="clear" w:color="auto" w:fill="auto"/>
            <w:noWrap/>
            <w:vAlign w:val="bottom"/>
            <w:hideMark/>
          </w:tcPr>
          <w:p w14:paraId="2DADC7C4"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(321)</w:t>
            </w:r>
          </w:p>
        </w:tc>
        <w:tc>
          <w:tcPr>
            <w:tcW w:w="960" w:type="dxa"/>
            <w:tcBorders>
              <w:top w:val="nil"/>
              <w:left w:val="nil"/>
              <w:bottom w:val="single" w:sz="4" w:space="0" w:color="auto"/>
              <w:right w:val="nil"/>
            </w:tcBorders>
            <w:shd w:val="clear" w:color="auto" w:fill="auto"/>
            <w:noWrap/>
            <w:vAlign w:val="bottom"/>
            <w:hideMark/>
          </w:tcPr>
          <w:p w14:paraId="7ED56338"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2,011</w:t>
            </w:r>
          </w:p>
        </w:tc>
        <w:tc>
          <w:tcPr>
            <w:tcW w:w="960" w:type="dxa"/>
            <w:tcBorders>
              <w:top w:val="nil"/>
              <w:left w:val="nil"/>
              <w:bottom w:val="single" w:sz="4" w:space="0" w:color="auto"/>
              <w:right w:val="nil"/>
            </w:tcBorders>
            <w:shd w:val="clear" w:color="auto" w:fill="auto"/>
            <w:noWrap/>
            <w:vAlign w:val="bottom"/>
            <w:hideMark/>
          </w:tcPr>
          <w:p w14:paraId="5B4C6450"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735</w:t>
            </w:r>
          </w:p>
        </w:tc>
      </w:tr>
      <w:tr w:rsidR="008770AF" w:rsidRPr="008770AF" w14:paraId="306F7DD2" w14:textId="77777777" w:rsidTr="00094246">
        <w:trPr>
          <w:trHeight w:val="425"/>
          <w:jc w:val="center"/>
        </w:trPr>
        <w:tc>
          <w:tcPr>
            <w:tcW w:w="3141" w:type="dxa"/>
            <w:tcBorders>
              <w:top w:val="nil"/>
              <w:left w:val="nil"/>
              <w:bottom w:val="nil"/>
              <w:right w:val="nil"/>
            </w:tcBorders>
            <w:shd w:val="clear" w:color="auto" w:fill="auto"/>
            <w:vAlign w:val="bottom"/>
            <w:hideMark/>
          </w:tcPr>
          <w:p w14:paraId="54012F01" w14:textId="77777777" w:rsidR="008770AF" w:rsidRPr="008770AF" w:rsidRDefault="008770AF" w:rsidP="008770AF">
            <w:pPr>
              <w:spacing w:before="0" w:after="0" w:line="240" w:lineRule="auto"/>
              <w:ind w:leftChars="75" w:left="143"/>
              <w:rPr>
                <w:rFonts w:ascii="Arial" w:hAnsi="Arial" w:cs="Arial"/>
                <w:color w:val="000000"/>
                <w:sz w:val="16"/>
                <w:szCs w:val="16"/>
              </w:rPr>
            </w:pPr>
            <w:r w:rsidRPr="008770AF">
              <w:rPr>
                <w:rFonts w:ascii="Arial" w:hAnsi="Arial" w:cs="Arial"/>
                <w:color w:val="000000"/>
                <w:sz w:val="16"/>
                <w:szCs w:val="16"/>
              </w:rPr>
              <w:t>Cash and cash equivalents at the beginning of the reporting period</w:t>
            </w:r>
          </w:p>
        </w:tc>
        <w:tc>
          <w:tcPr>
            <w:tcW w:w="960" w:type="dxa"/>
            <w:tcBorders>
              <w:top w:val="nil"/>
              <w:left w:val="nil"/>
              <w:bottom w:val="nil"/>
              <w:right w:val="nil"/>
            </w:tcBorders>
            <w:shd w:val="clear" w:color="auto" w:fill="auto"/>
            <w:noWrap/>
            <w:vAlign w:val="bottom"/>
            <w:hideMark/>
          </w:tcPr>
          <w:p w14:paraId="4C750D0F"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3,955</w:t>
            </w:r>
          </w:p>
        </w:tc>
        <w:tc>
          <w:tcPr>
            <w:tcW w:w="960" w:type="dxa"/>
            <w:tcBorders>
              <w:top w:val="nil"/>
              <w:left w:val="nil"/>
              <w:bottom w:val="nil"/>
              <w:right w:val="nil"/>
            </w:tcBorders>
            <w:shd w:val="clear" w:color="000000" w:fill="D9D9D9"/>
            <w:noWrap/>
            <w:vAlign w:val="bottom"/>
            <w:hideMark/>
          </w:tcPr>
          <w:p w14:paraId="4182CE2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1,703</w:t>
            </w:r>
          </w:p>
        </w:tc>
        <w:tc>
          <w:tcPr>
            <w:tcW w:w="960" w:type="dxa"/>
            <w:tcBorders>
              <w:top w:val="nil"/>
              <w:left w:val="nil"/>
              <w:bottom w:val="nil"/>
              <w:right w:val="nil"/>
            </w:tcBorders>
            <w:shd w:val="clear" w:color="auto" w:fill="auto"/>
            <w:noWrap/>
            <w:vAlign w:val="bottom"/>
            <w:hideMark/>
          </w:tcPr>
          <w:p w14:paraId="522C19AB"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1,603</w:t>
            </w:r>
          </w:p>
        </w:tc>
        <w:tc>
          <w:tcPr>
            <w:tcW w:w="960" w:type="dxa"/>
            <w:tcBorders>
              <w:top w:val="nil"/>
              <w:left w:val="nil"/>
              <w:bottom w:val="nil"/>
              <w:right w:val="nil"/>
            </w:tcBorders>
            <w:shd w:val="clear" w:color="auto" w:fill="auto"/>
            <w:noWrap/>
            <w:vAlign w:val="bottom"/>
            <w:hideMark/>
          </w:tcPr>
          <w:p w14:paraId="00E18AFE"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1,282</w:t>
            </w:r>
          </w:p>
        </w:tc>
        <w:tc>
          <w:tcPr>
            <w:tcW w:w="960" w:type="dxa"/>
            <w:tcBorders>
              <w:top w:val="nil"/>
              <w:left w:val="nil"/>
              <w:bottom w:val="nil"/>
              <w:right w:val="nil"/>
            </w:tcBorders>
            <w:shd w:val="clear" w:color="auto" w:fill="auto"/>
            <w:noWrap/>
            <w:vAlign w:val="bottom"/>
            <w:hideMark/>
          </w:tcPr>
          <w:p w14:paraId="679DEBE4" w14:textId="77777777" w:rsidR="008770AF" w:rsidRPr="008770AF" w:rsidRDefault="008770AF" w:rsidP="008770AF">
            <w:pPr>
              <w:spacing w:before="0" w:after="0" w:line="240" w:lineRule="auto"/>
              <w:jc w:val="right"/>
              <w:rPr>
                <w:rFonts w:ascii="Arial" w:hAnsi="Arial" w:cs="Arial"/>
                <w:color w:val="000000"/>
                <w:sz w:val="16"/>
                <w:szCs w:val="16"/>
              </w:rPr>
            </w:pPr>
            <w:r w:rsidRPr="008770AF">
              <w:rPr>
                <w:rFonts w:ascii="Arial" w:hAnsi="Arial" w:cs="Arial"/>
                <w:color w:val="000000"/>
                <w:sz w:val="16"/>
                <w:szCs w:val="16"/>
              </w:rPr>
              <w:t>3,293</w:t>
            </w:r>
          </w:p>
        </w:tc>
      </w:tr>
      <w:tr w:rsidR="008770AF" w:rsidRPr="008770AF" w14:paraId="4F1AB53A" w14:textId="77777777" w:rsidTr="00094246">
        <w:trPr>
          <w:trHeight w:val="454"/>
          <w:jc w:val="center"/>
        </w:trPr>
        <w:tc>
          <w:tcPr>
            <w:tcW w:w="3141" w:type="dxa"/>
            <w:tcBorders>
              <w:top w:val="nil"/>
              <w:left w:val="nil"/>
              <w:bottom w:val="single" w:sz="4" w:space="0" w:color="auto"/>
              <w:right w:val="nil"/>
            </w:tcBorders>
            <w:shd w:val="clear" w:color="auto" w:fill="auto"/>
            <w:vAlign w:val="bottom"/>
            <w:hideMark/>
          </w:tcPr>
          <w:p w14:paraId="403AA71F" w14:textId="77777777" w:rsidR="008770AF" w:rsidRPr="008770AF" w:rsidRDefault="008770AF" w:rsidP="008770AF">
            <w:pPr>
              <w:spacing w:before="0" w:after="0" w:line="240" w:lineRule="auto"/>
              <w:rPr>
                <w:rFonts w:ascii="Arial" w:hAnsi="Arial" w:cs="Arial"/>
                <w:b/>
                <w:bCs/>
                <w:color w:val="000000"/>
                <w:sz w:val="16"/>
                <w:szCs w:val="16"/>
              </w:rPr>
            </w:pPr>
            <w:r w:rsidRPr="008770AF">
              <w:rPr>
                <w:rFonts w:ascii="Arial" w:hAnsi="Arial" w:cs="Arial"/>
                <w:b/>
                <w:bCs/>
                <w:color w:val="000000"/>
                <w:sz w:val="16"/>
                <w:szCs w:val="16"/>
              </w:rPr>
              <w:t>Cash and cash equivalents at the end of the reporting period</w:t>
            </w:r>
          </w:p>
        </w:tc>
        <w:tc>
          <w:tcPr>
            <w:tcW w:w="960" w:type="dxa"/>
            <w:tcBorders>
              <w:top w:val="nil"/>
              <w:left w:val="nil"/>
              <w:bottom w:val="single" w:sz="4" w:space="0" w:color="auto"/>
              <w:right w:val="nil"/>
            </w:tcBorders>
            <w:shd w:val="clear" w:color="auto" w:fill="auto"/>
            <w:noWrap/>
            <w:vAlign w:val="bottom"/>
            <w:hideMark/>
          </w:tcPr>
          <w:p w14:paraId="252A3531"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1,703</w:t>
            </w:r>
          </w:p>
        </w:tc>
        <w:tc>
          <w:tcPr>
            <w:tcW w:w="960" w:type="dxa"/>
            <w:tcBorders>
              <w:top w:val="nil"/>
              <w:left w:val="nil"/>
              <w:bottom w:val="single" w:sz="4" w:space="0" w:color="auto"/>
              <w:right w:val="nil"/>
            </w:tcBorders>
            <w:shd w:val="clear" w:color="000000" w:fill="D9D9D9"/>
            <w:noWrap/>
            <w:vAlign w:val="bottom"/>
            <w:hideMark/>
          </w:tcPr>
          <w:p w14:paraId="5F4765FA"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1,603</w:t>
            </w:r>
          </w:p>
        </w:tc>
        <w:tc>
          <w:tcPr>
            <w:tcW w:w="960" w:type="dxa"/>
            <w:tcBorders>
              <w:top w:val="nil"/>
              <w:left w:val="nil"/>
              <w:bottom w:val="single" w:sz="4" w:space="0" w:color="auto"/>
              <w:right w:val="nil"/>
            </w:tcBorders>
            <w:shd w:val="clear" w:color="auto" w:fill="auto"/>
            <w:noWrap/>
            <w:vAlign w:val="bottom"/>
            <w:hideMark/>
          </w:tcPr>
          <w:p w14:paraId="5120051B"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1,282</w:t>
            </w:r>
          </w:p>
        </w:tc>
        <w:tc>
          <w:tcPr>
            <w:tcW w:w="960" w:type="dxa"/>
            <w:tcBorders>
              <w:top w:val="nil"/>
              <w:left w:val="nil"/>
              <w:bottom w:val="single" w:sz="4" w:space="0" w:color="auto"/>
              <w:right w:val="nil"/>
            </w:tcBorders>
            <w:shd w:val="clear" w:color="auto" w:fill="auto"/>
            <w:noWrap/>
            <w:vAlign w:val="bottom"/>
            <w:hideMark/>
          </w:tcPr>
          <w:p w14:paraId="5470BC1E"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3,293</w:t>
            </w:r>
          </w:p>
        </w:tc>
        <w:tc>
          <w:tcPr>
            <w:tcW w:w="960" w:type="dxa"/>
            <w:tcBorders>
              <w:top w:val="nil"/>
              <w:left w:val="nil"/>
              <w:bottom w:val="single" w:sz="4" w:space="0" w:color="auto"/>
              <w:right w:val="nil"/>
            </w:tcBorders>
            <w:shd w:val="clear" w:color="auto" w:fill="auto"/>
            <w:noWrap/>
            <w:vAlign w:val="bottom"/>
            <w:hideMark/>
          </w:tcPr>
          <w:p w14:paraId="03EDA68A" w14:textId="77777777" w:rsidR="008770AF" w:rsidRPr="008770AF" w:rsidRDefault="008770AF" w:rsidP="008770AF">
            <w:pPr>
              <w:spacing w:before="0" w:after="0" w:line="240" w:lineRule="auto"/>
              <w:jc w:val="right"/>
              <w:rPr>
                <w:rFonts w:ascii="Arial" w:hAnsi="Arial" w:cs="Arial"/>
                <w:b/>
                <w:bCs/>
                <w:color w:val="000000"/>
                <w:sz w:val="16"/>
                <w:szCs w:val="16"/>
              </w:rPr>
            </w:pPr>
            <w:r w:rsidRPr="008770AF">
              <w:rPr>
                <w:rFonts w:ascii="Arial" w:hAnsi="Arial" w:cs="Arial"/>
                <w:b/>
                <w:bCs/>
                <w:color w:val="000000"/>
                <w:sz w:val="16"/>
                <w:szCs w:val="16"/>
              </w:rPr>
              <w:t>4,028</w:t>
            </w:r>
          </w:p>
        </w:tc>
      </w:tr>
    </w:tbl>
    <w:p w14:paraId="1BB630B8" w14:textId="36FEEB5C" w:rsidR="00275707" w:rsidRDefault="00275707" w:rsidP="007E1D60">
      <w:pPr>
        <w:pStyle w:val="FootnoteText"/>
        <w:spacing w:before="120"/>
      </w:pPr>
      <w:r w:rsidRPr="00845828">
        <w:t>DCB = Departmental Capital Budget</w:t>
      </w:r>
    </w:p>
    <w:p w14:paraId="6C980A6D" w14:textId="469FB4AC" w:rsidR="00E92FC1" w:rsidRPr="00845828" w:rsidRDefault="00E92FC1" w:rsidP="007E1D60">
      <w:pPr>
        <w:pStyle w:val="FootnoteText"/>
        <w:spacing w:before="120"/>
        <w:rPr>
          <w:snapToGrid w:val="0"/>
        </w:rPr>
      </w:pPr>
      <w:r>
        <w:t>OPA = Official Public Account</w:t>
      </w:r>
    </w:p>
    <w:p w14:paraId="06CDF723" w14:textId="7613BE4D" w:rsidR="00275707" w:rsidRDefault="00275707" w:rsidP="00275707">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CC2DB0" w:rsidRPr="00CC2DB0" w14:paraId="2F7701BE" w14:textId="77777777" w:rsidTr="005C400E">
        <w:trPr>
          <w:trHeight w:val="765"/>
          <w:jc w:val="center"/>
        </w:trPr>
        <w:tc>
          <w:tcPr>
            <w:tcW w:w="3080" w:type="dxa"/>
            <w:tcBorders>
              <w:top w:val="single" w:sz="4" w:space="0" w:color="auto"/>
              <w:left w:val="nil"/>
              <w:bottom w:val="nil"/>
              <w:right w:val="nil"/>
            </w:tcBorders>
            <w:shd w:val="clear" w:color="auto" w:fill="auto"/>
            <w:hideMark/>
          </w:tcPr>
          <w:p w14:paraId="6EA93515" w14:textId="77777777" w:rsidR="00CC2DB0" w:rsidRPr="00CC2DB0" w:rsidRDefault="00CC2DB0" w:rsidP="005C400E">
            <w:pPr>
              <w:spacing w:before="24" w:after="0" w:line="240" w:lineRule="auto"/>
              <w:jc w:val="right"/>
              <w:rPr>
                <w:rFonts w:ascii="Arial" w:hAnsi="Arial" w:cs="Arial"/>
                <w:b/>
                <w:bCs/>
                <w:sz w:val="16"/>
                <w:szCs w:val="16"/>
              </w:rPr>
            </w:pPr>
            <w:r w:rsidRPr="00CC2DB0">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6C665AD7" w14:textId="4BD0BBD8" w:rsidR="00CC2DB0" w:rsidRPr="00CC2DB0" w:rsidRDefault="00CC2DB0" w:rsidP="005C400E">
            <w:pPr>
              <w:spacing w:before="24" w:after="0" w:line="240" w:lineRule="auto"/>
              <w:jc w:val="right"/>
              <w:rPr>
                <w:rFonts w:ascii="Arial" w:hAnsi="Arial" w:cs="Arial"/>
                <w:b/>
                <w:bCs/>
                <w:sz w:val="16"/>
                <w:szCs w:val="16"/>
              </w:rPr>
            </w:pPr>
            <w:r w:rsidRPr="00CC2DB0">
              <w:rPr>
                <w:rFonts w:ascii="Arial" w:hAnsi="Arial" w:cs="Arial"/>
                <w:b/>
                <w:bCs/>
                <w:sz w:val="16"/>
                <w:szCs w:val="16"/>
              </w:rPr>
              <w:t>2022</w:t>
            </w:r>
            <w:r>
              <w:rPr>
                <w:rFonts w:ascii="Arial" w:hAnsi="Arial" w:cs="Arial"/>
                <w:b/>
                <w:bCs/>
                <w:sz w:val="16"/>
                <w:szCs w:val="16"/>
              </w:rPr>
              <w:t>–</w:t>
            </w:r>
            <w:r w:rsidRPr="00CC2DB0">
              <w:rPr>
                <w:rFonts w:ascii="Arial" w:hAnsi="Arial" w:cs="Arial"/>
                <w:b/>
                <w:bCs/>
                <w:sz w:val="16"/>
                <w:szCs w:val="16"/>
              </w:rPr>
              <w:t>23</w:t>
            </w:r>
            <w:r w:rsidRPr="00CC2DB0">
              <w:rPr>
                <w:rFonts w:ascii="Arial" w:hAnsi="Arial" w:cs="Arial"/>
                <w:b/>
                <w:bCs/>
                <w:sz w:val="16"/>
                <w:szCs w:val="16"/>
              </w:rPr>
              <w:br/>
              <w:t>Actual</w:t>
            </w:r>
            <w:r w:rsidRPr="00CC2DB0">
              <w:rPr>
                <w:rFonts w:ascii="Arial" w:hAnsi="Arial" w:cs="Arial"/>
                <w:b/>
                <w:bCs/>
                <w:sz w:val="16"/>
                <w:szCs w:val="16"/>
              </w:rPr>
              <w:br/>
            </w:r>
            <w:r w:rsidRPr="00CC2DB0">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2DB7DFD2" w14:textId="6CF1AD57" w:rsidR="00CC2DB0" w:rsidRPr="00CC2DB0" w:rsidRDefault="00CC2DB0" w:rsidP="005C400E">
            <w:pPr>
              <w:spacing w:before="24" w:after="0" w:line="240" w:lineRule="auto"/>
              <w:jc w:val="right"/>
              <w:rPr>
                <w:rFonts w:ascii="Arial" w:hAnsi="Arial" w:cs="Arial"/>
                <w:b/>
                <w:bCs/>
                <w:sz w:val="16"/>
                <w:szCs w:val="16"/>
              </w:rPr>
            </w:pPr>
            <w:r>
              <w:rPr>
                <w:rFonts w:ascii="Arial" w:hAnsi="Arial" w:cs="Arial"/>
                <w:b/>
                <w:bCs/>
                <w:sz w:val="16"/>
                <w:szCs w:val="16"/>
              </w:rPr>
              <w:t>2023–</w:t>
            </w:r>
            <w:r w:rsidRPr="00CC2DB0">
              <w:rPr>
                <w:rFonts w:ascii="Arial" w:hAnsi="Arial" w:cs="Arial"/>
                <w:b/>
                <w:bCs/>
                <w:sz w:val="16"/>
                <w:szCs w:val="16"/>
              </w:rPr>
              <w:t>24</w:t>
            </w:r>
            <w:r w:rsidRPr="00CC2DB0">
              <w:rPr>
                <w:rFonts w:ascii="Arial" w:hAnsi="Arial" w:cs="Arial"/>
                <w:b/>
                <w:bCs/>
                <w:sz w:val="16"/>
                <w:szCs w:val="16"/>
              </w:rPr>
              <w:br/>
              <w:t>Revised</w:t>
            </w:r>
            <w:r w:rsidRPr="00CC2DB0">
              <w:rPr>
                <w:rFonts w:ascii="Arial" w:hAnsi="Arial" w:cs="Arial"/>
                <w:b/>
                <w:bCs/>
                <w:sz w:val="16"/>
                <w:szCs w:val="16"/>
              </w:rPr>
              <w:br/>
              <w:t>Budget</w:t>
            </w:r>
            <w:r w:rsidRPr="00CC2DB0">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02123C8E" w14:textId="04E5DB01" w:rsidR="00CC2DB0" w:rsidRPr="00CC2DB0" w:rsidRDefault="00CC2DB0" w:rsidP="005C400E">
            <w:pPr>
              <w:spacing w:before="24" w:after="0" w:line="240" w:lineRule="auto"/>
              <w:jc w:val="right"/>
              <w:rPr>
                <w:rFonts w:ascii="Arial" w:hAnsi="Arial" w:cs="Arial"/>
                <w:b/>
                <w:bCs/>
                <w:sz w:val="16"/>
                <w:szCs w:val="16"/>
              </w:rPr>
            </w:pPr>
            <w:r>
              <w:rPr>
                <w:rFonts w:ascii="Arial" w:hAnsi="Arial" w:cs="Arial"/>
                <w:b/>
                <w:bCs/>
                <w:sz w:val="16"/>
                <w:szCs w:val="16"/>
              </w:rPr>
              <w:t>2024–</w:t>
            </w:r>
            <w:r w:rsidRPr="00CC2DB0">
              <w:rPr>
                <w:rFonts w:ascii="Arial" w:hAnsi="Arial" w:cs="Arial"/>
                <w:b/>
                <w:bCs/>
                <w:sz w:val="16"/>
                <w:szCs w:val="16"/>
              </w:rPr>
              <w:t>25 Forward Estimate</w:t>
            </w:r>
            <w:r w:rsidRPr="00CC2DB0">
              <w:rPr>
                <w:rFonts w:ascii="Arial" w:hAnsi="Arial" w:cs="Arial"/>
                <w:b/>
                <w:bCs/>
                <w:sz w:val="16"/>
                <w:szCs w:val="16"/>
              </w:rPr>
              <w:br/>
            </w:r>
            <w:r w:rsidRPr="00CC2DB0">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10A9CF15" w14:textId="6524C07D" w:rsidR="00CC2DB0" w:rsidRPr="00CC2DB0" w:rsidRDefault="00CC2DB0" w:rsidP="005C400E">
            <w:pPr>
              <w:spacing w:before="24" w:after="0" w:line="240" w:lineRule="auto"/>
              <w:jc w:val="right"/>
              <w:rPr>
                <w:rFonts w:ascii="Arial" w:hAnsi="Arial" w:cs="Arial"/>
                <w:b/>
                <w:bCs/>
                <w:sz w:val="16"/>
                <w:szCs w:val="16"/>
              </w:rPr>
            </w:pPr>
            <w:r>
              <w:rPr>
                <w:rFonts w:ascii="Arial" w:hAnsi="Arial" w:cs="Arial"/>
                <w:b/>
                <w:bCs/>
                <w:sz w:val="16"/>
                <w:szCs w:val="16"/>
              </w:rPr>
              <w:t>2025–</w:t>
            </w:r>
            <w:r w:rsidRPr="00CC2DB0">
              <w:rPr>
                <w:rFonts w:ascii="Arial" w:hAnsi="Arial" w:cs="Arial"/>
                <w:b/>
                <w:bCs/>
                <w:sz w:val="16"/>
                <w:szCs w:val="16"/>
              </w:rPr>
              <w:t>26 Forward Estimate</w:t>
            </w:r>
            <w:r w:rsidRPr="00CC2DB0">
              <w:rPr>
                <w:rFonts w:ascii="Arial" w:hAnsi="Arial" w:cs="Arial"/>
                <w:b/>
                <w:bCs/>
                <w:sz w:val="16"/>
                <w:szCs w:val="16"/>
              </w:rPr>
              <w:br/>
            </w:r>
            <w:r w:rsidRPr="00CC2DB0">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D7A14A6" w14:textId="3087505D" w:rsidR="00CC2DB0" w:rsidRPr="00CC2DB0" w:rsidRDefault="00CC2DB0" w:rsidP="005C400E">
            <w:pPr>
              <w:spacing w:before="24" w:after="0" w:line="240" w:lineRule="auto"/>
              <w:jc w:val="right"/>
              <w:rPr>
                <w:rFonts w:ascii="Arial" w:hAnsi="Arial" w:cs="Arial"/>
                <w:b/>
                <w:bCs/>
                <w:sz w:val="16"/>
                <w:szCs w:val="16"/>
              </w:rPr>
            </w:pPr>
            <w:r w:rsidRPr="00CC2DB0">
              <w:rPr>
                <w:rFonts w:ascii="Arial" w:hAnsi="Arial" w:cs="Arial"/>
                <w:b/>
                <w:bCs/>
                <w:sz w:val="16"/>
                <w:szCs w:val="16"/>
              </w:rPr>
              <w:t>2026</w:t>
            </w:r>
            <w:r>
              <w:rPr>
                <w:rFonts w:ascii="Arial" w:hAnsi="Arial" w:cs="Arial"/>
                <w:b/>
                <w:bCs/>
                <w:sz w:val="16"/>
                <w:szCs w:val="16"/>
              </w:rPr>
              <w:t>–</w:t>
            </w:r>
            <w:r w:rsidRPr="00CC2DB0">
              <w:rPr>
                <w:rFonts w:ascii="Arial" w:hAnsi="Arial" w:cs="Arial"/>
                <w:b/>
                <w:bCs/>
                <w:sz w:val="16"/>
                <w:szCs w:val="16"/>
              </w:rPr>
              <w:t>27 Forward Estimate</w:t>
            </w:r>
            <w:r w:rsidRPr="00CC2DB0">
              <w:rPr>
                <w:rFonts w:ascii="Arial" w:hAnsi="Arial" w:cs="Arial"/>
                <w:b/>
                <w:bCs/>
                <w:sz w:val="16"/>
                <w:szCs w:val="16"/>
              </w:rPr>
              <w:br/>
            </w:r>
            <w:r w:rsidRPr="00CC2DB0">
              <w:rPr>
                <w:rFonts w:ascii="Arial" w:hAnsi="Arial" w:cs="Arial"/>
                <w:sz w:val="16"/>
                <w:szCs w:val="16"/>
              </w:rPr>
              <w:t>$'000</w:t>
            </w:r>
          </w:p>
        </w:tc>
      </w:tr>
      <w:tr w:rsidR="00CC2DB0" w:rsidRPr="00CC2DB0" w14:paraId="0990DDC1"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038A9CE9" w14:textId="77777777" w:rsidR="00CC2DB0" w:rsidRPr="00CC2DB0" w:rsidRDefault="00CC2DB0" w:rsidP="00CC2DB0">
            <w:pPr>
              <w:spacing w:before="0" w:after="0" w:line="240" w:lineRule="auto"/>
              <w:rPr>
                <w:rFonts w:ascii="Arial" w:hAnsi="Arial" w:cs="Arial"/>
                <w:b/>
                <w:bCs/>
                <w:sz w:val="16"/>
                <w:szCs w:val="16"/>
              </w:rPr>
            </w:pPr>
            <w:r w:rsidRPr="00CC2DB0">
              <w:rPr>
                <w:rFonts w:ascii="Arial" w:hAnsi="Arial" w:cs="Arial"/>
                <w:b/>
                <w:bCs/>
                <w:sz w:val="16"/>
                <w:szCs w:val="16"/>
              </w:rPr>
              <w:t>CAPITAL APPROPRIATIONS</w:t>
            </w:r>
          </w:p>
        </w:tc>
        <w:tc>
          <w:tcPr>
            <w:tcW w:w="960" w:type="dxa"/>
            <w:tcBorders>
              <w:top w:val="nil"/>
              <w:left w:val="nil"/>
              <w:bottom w:val="nil"/>
              <w:right w:val="nil"/>
            </w:tcBorders>
            <w:shd w:val="clear" w:color="000000" w:fill="FFFFFF"/>
            <w:noWrap/>
            <w:vAlign w:val="bottom"/>
            <w:hideMark/>
          </w:tcPr>
          <w:p w14:paraId="77B243AC"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D9D9D9"/>
            <w:noWrap/>
            <w:vAlign w:val="bottom"/>
            <w:hideMark/>
          </w:tcPr>
          <w:p w14:paraId="0CDB240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4E030F9E" w14:textId="77777777" w:rsidR="00CC2DB0" w:rsidRPr="00CC2DB0" w:rsidRDefault="00CC2DB0" w:rsidP="00CC2DB0">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000000" w:fill="FFFFFF"/>
            <w:noWrap/>
            <w:vAlign w:val="bottom"/>
            <w:hideMark/>
          </w:tcPr>
          <w:p w14:paraId="667AF4C4"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160CF14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r>
      <w:tr w:rsidR="00CC2DB0" w:rsidRPr="00CC2DB0" w14:paraId="780327D9"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1597E7FE"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Capital budget - Bill 1 (DCB)</w:t>
            </w:r>
          </w:p>
        </w:tc>
        <w:tc>
          <w:tcPr>
            <w:tcW w:w="960" w:type="dxa"/>
            <w:tcBorders>
              <w:top w:val="nil"/>
              <w:left w:val="nil"/>
              <w:bottom w:val="nil"/>
              <w:right w:val="nil"/>
            </w:tcBorders>
            <w:shd w:val="clear" w:color="auto" w:fill="auto"/>
            <w:noWrap/>
            <w:vAlign w:val="bottom"/>
            <w:hideMark/>
          </w:tcPr>
          <w:p w14:paraId="7FABBB8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1,844</w:t>
            </w:r>
          </w:p>
        </w:tc>
        <w:tc>
          <w:tcPr>
            <w:tcW w:w="960" w:type="dxa"/>
            <w:tcBorders>
              <w:top w:val="nil"/>
              <w:left w:val="nil"/>
              <w:bottom w:val="nil"/>
              <w:right w:val="nil"/>
            </w:tcBorders>
            <w:shd w:val="clear" w:color="000000" w:fill="D9D9D9"/>
            <w:noWrap/>
            <w:vAlign w:val="bottom"/>
            <w:hideMark/>
          </w:tcPr>
          <w:p w14:paraId="7A47574E"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1,905</w:t>
            </w:r>
          </w:p>
        </w:tc>
        <w:tc>
          <w:tcPr>
            <w:tcW w:w="960" w:type="dxa"/>
            <w:tcBorders>
              <w:top w:val="nil"/>
              <w:left w:val="nil"/>
              <w:bottom w:val="nil"/>
              <w:right w:val="nil"/>
            </w:tcBorders>
            <w:shd w:val="clear" w:color="auto" w:fill="auto"/>
            <w:noWrap/>
            <w:vAlign w:val="bottom"/>
            <w:hideMark/>
          </w:tcPr>
          <w:p w14:paraId="1DED3D01"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1,934</w:t>
            </w:r>
          </w:p>
        </w:tc>
        <w:tc>
          <w:tcPr>
            <w:tcW w:w="960" w:type="dxa"/>
            <w:tcBorders>
              <w:top w:val="nil"/>
              <w:left w:val="nil"/>
              <w:bottom w:val="nil"/>
              <w:right w:val="nil"/>
            </w:tcBorders>
            <w:shd w:val="clear" w:color="auto" w:fill="auto"/>
            <w:noWrap/>
            <w:vAlign w:val="bottom"/>
            <w:hideMark/>
          </w:tcPr>
          <w:p w14:paraId="314A17F8"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1,953</w:t>
            </w:r>
          </w:p>
        </w:tc>
        <w:tc>
          <w:tcPr>
            <w:tcW w:w="960" w:type="dxa"/>
            <w:tcBorders>
              <w:top w:val="nil"/>
              <w:left w:val="nil"/>
              <w:bottom w:val="nil"/>
              <w:right w:val="nil"/>
            </w:tcBorders>
            <w:shd w:val="clear" w:color="auto" w:fill="auto"/>
            <w:noWrap/>
            <w:vAlign w:val="bottom"/>
            <w:hideMark/>
          </w:tcPr>
          <w:p w14:paraId="02865F50"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1,970</w:t>
            </w:r>
          </w:p>
        </w:tc>
      </w:tr>
      <w:tr w:rsidR="00CC2DB0" w:rsidRPr="00CC2DB0" w14:paraId="6B961CE7"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2C1C9AFC"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Equity injections - Bill 2</w:t>
            </w:r>
          </w:p>
        </w:tc>
        <w:tc>
          <w:tcPr>
            <w:tcW w:w="960" w:type="dxa"/>
            <w:tcBorders>
              <w:top w:val="nil"/>
              <w:left w:val="nil"/>
              <w:bottom w:val="nil"/>
              <w:right w:val="nil"/>
            </w:tcBorders>
            <w:shd w:val="clear" w:color="auto" w:fill="auto"/>
            <w:noWrap/>
            <w:vAlign w:val="bottom"/>
            <w:hideMark/>
          </w:tcPr>
          <w:p w14:paraId="6072765C"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3,025</w:t>
            </w:r>
          </w:p>
        </w:tc>
        <w:tc>
          <w:tcPr>
            <w:tcW w:w="960" w:type="dxa"/>
            <w:tcBorders>
              <w:top w:val="nil"/>
              <w:left w:val="nil"/>
              <w:bottom w:val="nil"/>
              <w:right w:val="nil"/>
            </w:tcBorders>
            <w:shd w:val="clear" w:color="000000" w:fill="D9D9D9"/>
            <w:noWrap/>
            <w:vAlign w:val="bottom"/>
            <w:hideMark/>
          </w:tcPr>
          <w:p w14:paraId="223385D5"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850</w:t>
            </w:r>
          </w:p>
        </w:tc>
        <w:tc>
          <w:tcPr>
            <w:tcW w:w="960" w:type="dxa"/>
            <w:tcBorders>
              <w:top w:val="nil"/>
              <w:left w:val="nil"/>
              <w:bottom w:val="nil"/>
              <w:right w:val="nil"/>
            </w:tcBorders>
            <w:shd w:val="clear" w:color="auto" w:fill="auto"/>
            <w:noWrap/>
            <w:vAlign w:val="bottom"/>
            <w:hideMark/>
          </w:tcPr>
          <w:p w14:paraId="2DA21120"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150</w:t>
            </w:r>
          </w:p>
        </w:tc>
        <w:tc>
          <w:tcPr>
            <w:tcW w:w="960" w:type="dxa"/>
            <w:tcBorders>
              <w:top w:val="nil"/>
              <w:left w:val="nil"/>
              <w:bottom w:val="nil"/>
              <w:right w:val="nil"/>
            </w:tcBorders>
            <w:shd w:val="clear" w:color="auto" w:fill="auto"/>
            <w:noWrap/>
            <w:vAlign w:val="bottom"/>
            <w:hideMark/>
          </w:tcPr>
          <w:p w14:paraId="3D77BCC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50</w:t>
            </w:r>
          </w:p>
        </w:tc>
        <w:tc>
          <w:tcPr>
            <w:tcW w:w="960" w:type="dxa"/>
            <w:tcBorders>
              <w:top w:val="nil"/>
              <w:left w:val="nil"/>
              <w:bottom w:val="nil"/>
              <w:right w:val="nil"/>
            </w:tcBorders>
            <w:shd w:val="clear" w:color="auto" w:fill="auto"/>
            <w:noWrap/>
            <w:vAlign w:val="bottom"/>
            <w:hideMark/>
          </w:tcPr>
          <w:p w14:paraId="3593364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r>
      <w:tr w:rsidR="00CC2DB0" w:rsidRPr="00CC2DB0" w14:paraId="0DD905AB"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78DFC552" w14:textId="77777777" w:rsidR="00CC2DB0" w:rsidRPr="00CC2DB0" w:rsidRDefault="00CC2DB0" w:rsidP="00CC2DB0">
            <w:pPr>
              <w:spacing w:before="0" w:after="0" w:line="240" w:lineRule="auto"/>
              <w:ind w:leftChars="75" w:left="143"/>
              <w:rPr>
                <w:rFonts w:ascii="Arial" w:hAnsi="Arial" w:cs="Arial"/>
                <w:b/>
                <w:bCs/>
                <w:sz w:val="16"/>
                <w:szCs w:val="16"/>
              </w:rPr>
            </w:pPr>
            <w:r w:rsidRPr="00CC2DB0">
              <w:rPr>
                <w:rFonts w:ascii="Arial" w:hAnsi="Arial"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14:paraId="3BA1E149"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4,869</w:t>
            </w:r>
          </w:p>
        </w:tc>
        <w:tc>
          <w:tcPr>
            <w:tcW w:w="960" w:type="dxa"/>
            <w:tcBorders>
              <w:top w:val="nil"/>
              <w:left w:val="nil"/>
              <w:bottom w:val="single" w:sz="4" w:space="0" w:color="auto"/>
              <w:right w:val="nil"/>
            </w:tcBorders>
            <w:shd w:val="clear" w:color="000000" w:fill="D9D9D9"/>
            <w:noWrap/>
            <w:vAlign w:val="bottom"/>
            <w:hideMark/>
          </w:tcPr>
          <w:p w14:paraId="4C4C8928"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2,755</w:t>
            </w:r>
          </w:p>
        </w:tc>
        <w:tc>
          <w:tcPr>
            <w:tcW w:w="960" w:type="dxa"/>
            <w:tcBorders>
              <w:top w:val="nil"/>
              <w:left w:val="nil"/>
              <w:bottom w:val="single" w:sz="4" w:space="0" w:color="auto"/>
              <w:right w:val="nil"/>
            </w:tcBorders>
            <w:shd w:val="clear" w:color="auto" w:fill="auto"/>
            <w:noWrap/>
            <w:vAlign w:val="bottom"/>
            <w:hideMark/>
          </w:tcPr>
          <w:p w14:paraId="2F36A2FE"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2,084</w:t>
            </w:r>
          </w:p>
        </w:tc>
        <w:tc>
          <w:tcPr>
            <w:tcW w:w="960" w:type="dxa"/>
            <w:tcBorders>
              <w:top w:val="nil"/>
              <w:left w:val="nil"/>
              <w:bottom w:val="single" w:sz="4" w:space="0" w:color="auto"/>
              <w:right w:val="nil"/>
            </w:tcBorders>
            <w:shd w:val="clear" w:color="auto" w:fill="auto"/>
            <w:noWrap/>
            <w:vAlign w:val="bottom"/>
            <w:hideMark/>
          </w:tcPr>
          <w:p w14:paraId="5E17AD7C"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2,003</w:t>
            </w:r>
          </w:p>
        </w:tc>
        <w:tc>
          <w:tcPr>
            <w:tcW w:w="960" w:type="dxa"/>
            <w:tcBorders>
              <w:top w:val="nil"/>
              <w:left w:val="nil"/>
              <w:bottom w:val="single" w:sz="4" w:space="0" w:color="auto"/>
              <w:right w:val="nil"/>
            </w:tcBorders>
            <w:shd w:val="clear" w:color="auto" w:fill="auto"/>
            <w:noWrap/>
            <w:vAlign w:val="bottom"/>
            <w:hideMark/>
          </w:tcPr>
          <w:p w14:paraId="4D674543"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1,970</w:t>
            </w:r>
          </w:p>
        </w:tc>
      </w:tr>
      <w:tr w:rsidR="00CC2DB0" w:rsidRPr="00CC2DB0" w14:paraId="66E3D700" w14:textId="77777777" w:rsidTr="005C400E">
        <w:trPr>
          <w:trHeight w:val="454"/>
          <w:jc w:val="center"/>
        </w:trPr>
        <w:tc>
          <w:tcPr>
            <w:tcW w:w="3080" w:type="dxa"/>
            <w:tcBorders>
              <w:top w:val="nil"/>
              <w:left w:val="nil"/>
              <w:bottom w:val="nil"/>
              <w:right w:val="nil"/>
            </w:tcBorders>
            <w:shd w:val="clear" w:color="000000" w:fill="FFFFFF"/>
            <w:vAlign w:val="bottom"/>
            <w:hideMark/>
          </w:tcPr>
          <w:p w14:paraId="59BB1AEE" w14:textId="77777777" w:rsidR="00CC2DB0" w:rsidRPr="00CC2DB0" w:rsidRDefault="00CC2DB0" w:rsidP="00CC2DB0">
            <w:pPr>
              <w:spacing w:before="0" w:after="0" w:line="240" w:lineRule="auto"/>
              <w:rPr>
                <w:rFonts w:ascii="Arial" w:hAnsi="Arial" w:cs="Arial"/>
                <w:b/>
                <w:bCs/>
                <w:sz w:val="16"/>
                <w:szCs w:val="16"/>
              </w:rPr>
            </w:pPr>
            <w:r w:rsidRPr="00CC2DB0">
              <w:rPr>
                <w:rFonts w:ascii="Arial" w:hAnsi="Arial" w:cs="Arial"/>
                <w:b/>
                <w:bCs/>
                <w:sz w:val="16"/>
                <w:szCs w:val="16"/>
              </w:rPr>
              <w:t>Total new capital appropriations represented by:</w:t>
            </w:r>
          </w:p>
        </w:tc>
        <w:tc>
          <w:tcPr>
            <w:tcW w:w="960" w:type="dxa"/>
            <w:tcBorders>
              <w:top w:val="nil"/>
              <w:left w:val="nil"/>
              <w:bottom w:val="nil"/>
              <w:right w:val="nil"/>
            </w:tcBorders>
            <w:shd w:val="clear" w:color="000000" w:fill="FFFFFF"/>
            <w:noWrap/>
            <w:vAlign w:val="bottom"/>
            <w:hideMark/>
          </w:tcPr>
          <w:p w14:paraId="7A0503E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D9D9D9"/>
            <w:noWrap/>
            <w:vAlign w:val="bottom"/>
            <w:hideMark/>
          </w:tcPr>
          <w:p w14:paraId="2D74E21C"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7813106E" w14:textId="77777777" w:rsidR="00CC2DB0" w:rsidRPr="00CC2DB0" w:rsidRDefault="00CC2DB0" w:rsidP="00CC2DB0">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000000" w:fill="FFFFFF"/>
            <w:noWrap/>
            <w:vAlign w:val="bottom"/>
            <w:hideMark/>
          </w:tcPr>
          <w:p w14:paraId="0E6A3803"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1BF37BD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r>
      <w:tr w:rsidR="00CC2DB0" w:rsidRPr="00CC2DB0" w14:paraId="175064E6"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4DBC15A8"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Purchase of non-financial assets</w:t>
            </w:r>
          </w:p>
        </w:tc>
        <w:tc>
          <w:tcPr>
            <w:tcW w:w="960" w:type="dxa"/>
            <w:tcBorders>
              <w:top w:val="nil"/>
              <w:left w:val="nil"/>
              <w:bottom w:val="nil"/>
              <w:right w:val="nil"/>
            </w:tcBorders>
            <w:shd w:val="clear" w:color="auto" w:fill="auto"/>
            <w:noWrap/>
            <w:vAlign w:val="bottom"/>
            <w:hideMark/>
          </w:tcPr>
          <w:p w14:paraId="4397B522"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4,869</w:t>
            </w:r>
          </w:p>
        </w:tc>
        <w:tc>
          <w:tcPr>
            <w:tcW w:w="960" w:type="dxa"/>
            <w:tcBorders>
              <w:top w:val="nil"/>
              <w:left w:val="nil"/>
              <w:bottom w:val="nil"/>
              <w:right w:val="nil"/>
            </w:tcBorders>
            <w:shd w:val="clear" w:color="000000" w:fill="D9D9D9"/>
            <w:noWrap/>
            <w:vAlign w:val="bottom"/>
            <w:hideMark/>
          </w:tcPr>
          <w:p w14:paraId="2E0CB0CB"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2,755</w:t>
            </w:r>
          </w:p>
        </w:tc>
        <w:tc>
          <w:tcPr>
            <w:tcW w:w="960" w:type="dxa"/>
            <w:tcBorders>
              <w:top w:val="nil"/>
              <w:left w:val="nil"/>
              <w:bottom w:val="nil"/>
              <w:right w:val="nil"/>
            </w:tcBorders>
            <w:shd w:val="clear" w:color="auto" w:fill="auto"/>
            <w:noWrap/>
            <w:vAlign w:val="bottom"/>
            <w:hideMark/>
          </w:tcPr>
          <w:p w14:paraId="37E7349D"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2,084</w:t>
            </w:r>
          </w:p>
        </w:tc>
        <w:tc>
          <w:tcPr>
            <w:tcW w:w="960" w:type="dxa"/>
            <w:tcBorders>
              <w:top w:val="nil"/>
              <w:left w:val="nil"/>
              <w:bottom w:val="nil"/>
              <w:right w:val="nil"/>
            </w:tcBorders>
            <w:shd w:val="clear" w:color="auto" w:fill="auto"/>
            <w:noWrap/>
            <w:vAlign w:val="bottom"/>
            <w:hideMark/>
          </w:tcPr>
          <w:p w14:paraId="3BDA2ED9"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2,003</w:t>
            </w:r>
          </w:p>
        </w:tc>
        <w:tc>
          <w:tcPr>
            <w:tcW w:w="960" w:type="dxa"/>
            <w:tcBorders>
              <w:top w:val="nil"/>
              <w:left w:val="nil"/>
              <w:bottom w:val="nil"/>
              <w:right w:val="nil"/>
            </w:tcBorders>
            <w:shd w:val="clear" w:color="auto" w:fill="auto"/>
            <w:noWrap/>
            <w:vAlign w:val="bottom"/>
            <w:hideMark/>
          </w:tcPr>
          <w:p w14:paraId="3C43FD12"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1,970</w:t>
            </w:r>
          </w:p>
        </w:tc>
      </w:tr>
      <w:tr w:rsidR="00CC2DB0" w:rsidRPr="00CC2DB0" w14:paraId="444E5088"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023B785E"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Other items</w:t>
            </w:r>
          </w:p>
        </w:tc>
        <w:tc>
          <w:tcPr>
            <w:tcW w:w="960" w:type="dxa"/>
            <w:tcBorders>
              <w:top w:val="nil"/>
              <w:left w:val="nil"/>
              <w:bottom w:val="nil"/>
              <w:right w:val="nil"/>
            </w:tcBorders>
            <w:shd w:val="clear" w:color="auto" w:fill="auto"/>
            <w:noWrap/>
            <w:vAlign w:val="bottom"/>
            <w:hideMark/>
          </w:tcPr>
          <w:p w14:paraId="3E85531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1BD161E4"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AA52BB6"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D8AD4B0"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20E292D"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r>
      <w:tr w:rsidR="00CC2DB0" w:rsidRPr="00CC2DB0" w14:paraId="3483AC40" w14:textId="77777777" w:rsidTr="00CC2DB0">
        <w:trPr>
          <w:trHeight w:val="225"/>
          <w:jc w:val="center"/>
        </w:trPr>
        <w:tc>
          <w:tcPr>
            <w:tcW w:w="3080" w:type="dxa"/>
            <w:tcBorders>
              <w:top w:val="nil"/>
              <w:left w:val="nil"/>
              <w:bottom w:val="nil"/>
              <w:right w:val="nil"/>
            </w:tcBorders>
            <w:shd w:val="clear" w:color="000000" w:fill="FFFFFF"/>
            <w:noWrap/>
            <w:vAlign w:val="bottom"/>
            <w:hideMark/>
          </w:tcPr>
          <w:p w14:paraId="0B743931" w14:textId="77777777" w:rsidR="00CC2DB0" w:rsidRPr="00CC2DB0" w:rsidRDefault="00CC2DB0" w:rsidP="00CC2DB0">
            <w:pPr>
              <w:spacing w:before="0" w:after="0" w:line="240" w:lineRule="auto"/>
              <w:ind w:leftChars="75" w:left="143"/>
              <w:rPr>
                <w:rFonts w:ascii="Arial" w:hAnsi="Arial" w:cs="Arial"/>
                <w:b/>
                <w:bCs/>
                <w:sz w:val="16"/>
                <w:szCs w:val="16"/>
              </w:rPr>
            </w:pPr>
            <w:r w:rsidRPr="00CC2DB0">
              <w:rPr>
                <w:rFonts w:ascii="Arial" w:hAnsi="Arial"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14:paraId="04C2C0BB"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4,869</w:t>
            </w:r>
          </w:p>
        </w:tc>
        <w:tc>
          <w:tcPr>
            <w:tcW w:w="960" w:type="dxa"/>
            <w:tcBorders>
              <w:top w:val="nil"/>
              <w:left w:val="nil"/>
              <w:bottom w:val="single" w:sz="4" w:space="0" w:color="auto"/>
              <w:right w:val="nil"/>
            </w:tcBorders>
            <w:shd w:val="clear" w:color="000000" w:fill="D9D9D9"/>
            <w:noWrap/>
            <w:vAlign w:val="bottom"/>
            <w:hideMark/>
          </w:tcPr>
          <w:p w14:paraId="3E6874B0"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2,755</w:t>
            </w:r>
          </w:p>
        </w:tc>
        <w:tc>
          <w:tcPr>
            <w:tcW w:w="960" w:type="dxa"/>
            <w:tcBorders>
              <w:top w:val="nil"/>
              <w:left w:val="nil"/>
              <w:bottom w:val="single" w:sz="4" w:space="0" w:color="auto"/>
              <w:right w:val="nil"/>
            </w:tcBorders>
            <w:shd w:val="clear" w:color="auto" w:fill="auto"/>
            <w:noWrap/>
            <w:vAlign w:val="bottom"/>
            <w:hideMark/>
          </w:tcPr>
          <w:p w14:paraId="48516AF7"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2,084</w:t>
            </w:r>
          </w:p>
        </w:tc>
        <w:tc>
          <w:tcPr>
            <w:tcW w:w="960" w:type="dxa"/>
            <w:tcBorders>
              <w:top w:val="nil"/>
              <w:left w:val="nil"/>
              <w:bottom w:val="single" w:sz="4" w:space="0" w:color="auto"/>
              <w:right w:val="nil"/>
            </w:tcBorders>
            <w:shd w:val="clear" w:color="auto" w:fill="auto"/>
            <w:noWrap/>
            <w:vAlign w:val="bottom"/>
            <w:hideMark/>
          </w:tcPr>
          <w:p w14:paraId="76815633"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2,003</w:t>
            </w:r>
          </w:p>
        </w:tc>
        <w:tc>
          <w:tcPr>
            <w:tcW w:w="960" w:type="dxa"/>
            <w:tcBorders>
              <w:top w:val="nil"/>
              <w:left w:val="nil"/>
              <w:bottom w:val="single" w:sz="4" w:space="0" w:color="auto"/>
              <w:right w:val="nil"/>
            </w:tcBorders>
            <w:shd w:val="clear" w:color="auto" w:fill="auto"/>
            <w:noWrap/>
            <w:vAlign w:val="bottom"/>
            <w:hideMark/>
          </w:tcPr>
          <w:p w14:paraId="5AD4E5E0"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1,970</w:t>
            </w:r>
          </w:p>
        </w:tc>
      </w:tr>
      <w:tr w:rsidR="00CC2DB0" w:rsidRPr="00CC2DB0" w14:paraId="6F8B8476" w14:textId="77777777" w:rsidTr="005C400E">
        <w:trPr>
          <w:trHeight w:val="454"/>
          <w:jc w:val="center"/>
        </w:trPr>
        <w:tc>
          <w:tcPr>
            <w:tcW w:w="3080" w:type="dxa"/>
            <w:tcBorders>
              <w:top w:val="nil"/>
              <w:left w:val="nil"/>
              <w:bottom w:val="nil"/>
              <w:right w:val="nil"/>
            </w:tcBorders>
            <w:shd w:val="clear" w:color="000000" w:fill="FFFFFF"/>
            <w:vAlign w:val="bottom"/>
            <w:hideMark/>
          </w:tcPr>
          <w:p w14:paraId="3A73DFFA" w14:textId="77777777" w:rsidR="00CC2DB0" w:rsidRPr="00CC2DB0" w:rsidRDefault="00CC2DB0" w:rsidP="00CC2DB0">
            <w:pPr>
              <w:spacing w:before="0" w:after="0" w:line="240" w:lineRule="auto"/>
              <w:rPr>
                <w:rFonts w:ascii="Arial" w:hAnsi="Arial" w:cs="Arial"/>
                <w:b/>
                <w:bCs/>
                <w:sz w:val="16"/>
                <w:szCs w:val="16"/>
              </w:rPr>
            </w:pPr>
            <w:r w:rsidRPr="00CC2DB0">
              <w:rPr>
                <w:rFonts w:ascii="Arial" w:hAnsi="Arial" w:cs="Arial"/>
                <w:b/>
                <w:bCs/>
                <w:sz w:val="16"/>
                <w:szCs w:val="16"/>
              </w:rPr>
              <w:t>PURCHASE OF NON-FINANCIAL ASSETS</w:t>
            </w:r>
          </w:p>
        </w:tc>
        <w:tc>
          <w:tcPr>
            <w:tcW w:w="960" w:type="dxa"/>
            <w:tcBorders>
              <w:top w:val="nil"/>
              <w:left w:val="nil"/>
              <w:bottom w:val="nil"/>
              <w:right w:val="nil"/>
            </w:tcBorders>
            <w:shd w:val="clear" w:color="000000" w:fill="FFFFFF"/>
            <w:noWrap/>
            <w:vAlign w:val="bottom"/>
            <w:hideMark/>
          </w:tcPr>
          <w:p w14:paraId="0A6453AA"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D9D9D9"/>
            <w:noWrap/>
            <w:vAlign w:val="bottom"/>
            <w:hideMark/>
          </w:tcPr>
          <w:p w14:paraId="45EA4C11"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48750191" w14:textId="77777777" w:rsidR="00CC2DB0" w:rsidRPr="00CC2DB0" w:rsidRDefault="00CC2DB0" w:rsidP="00CC2DB0">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000000" w:fill="FFFFFF"/>
            <w:noWrap/>
            <w:vAlign w:val="bottom"/>
            <w:hideMark/>
          </w:tcPr>
          <w:p w14:paraId="4BC9E5E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1B859AAC"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 </w:t>
            </w:r>
          </w:p>
        </w:tc>
      </w:tr>
      <w:tr w:rsidR="00CC2DB0" w:rsidRPr="00CC2DB0" w14:paraId="111D175A" w14:textId="77777777" w:rsidTr="005C400E">
        <w:trPr>
          <w:trHeight w:val="454"/>
          <w:jc w:val="center"/>
        </w:trPr>
        <w:tc>
          <w:tcPr>
            <w:tcW w:w="3080" w:type="dxa"/>
            <w:tcBorders>
              <w:top w:val="nil"/>
              <w:left w:val="nil"/>
              <w:bottom w:val="nil"/>
              <w:right w:val="nil"/>
            </w:tcBorders>
            <w:shd w:val="clear" w:color="auto" w:fill="auto"/>
            <w:vAlign w:val="bottom"/>
            <w:hideMark/>
          </w:tcPr>
          <w:p w14:paraId="566583C0" w14:textId="0548B363"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Funded by capital ap</w:t>
            </w:r>
            <w:r w:rsidR="000635C9">
              <w:rPr>
                <w:rFonts w:ascii="Arial" w:hAnsi="Arial" w:cs="Arial"/>
                <w:sz w:val="16"/>
                <w:szCs w:val="16"/>
              </w:rPr>
              <w:t>propriations</w:t>
            </w:r>
            <w:r w:rsidR="000635C9">
              <w:rPr>
                <w:rFonts w:ascii="Arial" w:hAnsi="Arial" w:cs="Arial"/>
                <w:sz w:val="16"/>
                <w:szCs w:val="16"/>
              </w:rPr>
              <w:br/>
              <w:t>- equity injection</w:t>
            </w:r>
            <w:r w:rsidRPr="00CC2DB0">
              <w:rPr>
                <w:rFonts w:ascii="Arial" w:hAnsi="Arial" w:cs="Arial"/>
                <w:sz w:val="16"/>
                <w:szCs w:val="16"/>
                <w:vertAlign w:val="superscript"/>
              </w:rPr>
              <w:t>(a)</w:t>
            </w:r>
          </w:p>
        </w:tc>
        <w:tc>
          <w:tcPr>
            <w:tcW w:w="960" w:type="dxa"/>
            <w:tcBorders>
              <w:top w:val="nil"/>
              <w:left w:val="nil"/>
              <w:bottom w:val="nil"/>
              <w:right w:val="nil"/>
            </w:tcBorders>
            <w:shd w:val="clear" w:color="auto" w:fill="auto"/>
            <w:noWrap/>
            <w:vAlign w:val="bottom"/>
            <w:hideMark/>
          </w:tcPr>
          <w:p w14:paraId="0F7C3159"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3,580</w:t>
            </w:r>
          </w:p>
        </w:tc>
        <w:tc>
          <w:tcPr>
            <w:tcW w:w="960" w:type="dxa"/>
            <w:tcBorders>
              <w:top w:val="nil"/>
              <w:left w:val="nil"/>
              <w:bottom w:val="nil"/>
              <w:right w:val="nil"/>
            </w:tcBorders>
            <w:shd w:val="clear" w:color="000000" w:fill="D9D9D9"/>
            <w:noWrap/>
            <w:vAlign w:val="bottom"/>
            <w:hideMark/>
          </w:tcPr>
          <w:p w14:paraId="2A7DD995"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850</w:t>
            </w:r>
          </w:p>
        </w:tc>
        <w:tc>
          <w:tcPr>
            <w:tcW w:w="960" w:type="dxa"/>
            <w:tcBorders>
              <w:top w:val="nil"/>
              <w:left w:val="nil"/>
              <w:bottom w:val="nil"/>
              <w:right w:val="nil"/>
            </w:tcBorders>
            <w:shd w:val="clear" w:color="auto" w:fill="auto"/>
            <w:noWrap/>
            <w:vAlign w:val="bottom"/>
            <w:hideMark/>
          </w:tcPr>
          <w:p w14:paraId="3910F016"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150</w:t>
            </w:r>
          </w:p>
        </w:tc>
        <w:tc>
          <w:tcPr>
            <w:tcW w:w="960" w:type="dxa"/>
            <w:tcBorders>
              <w:top w:val="nil"/>
              <w:left w:val="nil"/>
              <w:bottom w:val="nil"/>
              <w:right w:val="nil"/>
            </w:tcBorders>
            <w:shd w:val="clear" w:color="auto" w:fill="auto"/>
            <w:noWrap/>
            <w:vAlign w:val="bottom"/>
            <w:hideMark/>
          </w:tcPr>
          <w:p w14:paraId="59D7565B"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48</w:t>
            </w:r>
          </w:p>
        </w:tc>
        <w:tc>
          <w:tcPr>
            <w:tcW w:w="960" w:type="dxa"/>
            <w:tcBorders>
              <w:top w:val="nil"/>
              <w:left w:val="nil"/>
              <w:bottom w:val="nil"/>
              <w:right w:val="nil"/>
            </w:tcBorders>
            <w:shd w:val="clear" w:color="auto" w:fill="auto"/>
            <w:noWrap/>
            <w:vAlign w:val="bottom"/>
            <w:hideMark/>
          </w:tcPr>
          <w:p w14:paraId="3518BD25"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r>
      <w:tr w:rsidR="00CC2DB0" w:rsidRPr="00CC2DB0" w14:paraId="5F234D02" w14:textId="77777777" w:rsidTr="005C400E">
        <w:trPr>
          <w:trHeight w:val="425"/>
          <w:jc w:val="center"/>
        </w:trPr>
        <w:tc>
          <w:tcPr>
            <w:tcW w:w="3080" w:type="dxa"/>
            <w:tcBorders>
              <w:top w:val="nil"/>
              <w:left w:val="nil"/>
              <w:bottom w:val="nil"/>
              <w:right w:val="nil"/>
            </w:tcBorders>
            <w:shd w:val="clear" w:color="000000" w:fill="FFFFFF"/>
            <w:vAlign w:val="bottom"/>
            <w:hideMark/>
          </w:tcPr>
          <w:p w14:paraId="2415822F"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 xml:space="preserve">Funded by capital appropriation </w:t>
            </w:r>
            <w:r w:rsidRPr="00CC2DB0">
              <w:rPr>
                <w:rFonts w:ascii="Arial" w:hAnsi="Arial" w:cs="Arial"/>
                <w:sz w:val="16"/>
                <w:szCs w:val="16"/>
              </w:rPr>
              <w:br/>
              <w:t>- DCB</w:t>
            </w:r>
            <w:r w:rsidRPr="00CC2DB0">
              <w:rPr>
                <w:rFonts w:ascii="Arial" w:hAnsi="Arial" w:cs="Arial"/>
                <w:sz w:val="16"/>
                <w:szCs w:val="16"/>
                <w:vertAlign w:val="superscript"/>
              </w:rPr>
              <w:t xml:space="preserve"> (b)</w:t>
            </w:r>
          </w:p>
        </w:tc>
        <w:tc>
          <w:tcPr>
            <w:tcW w:w="960" w:type="dxa"/>
            <w:tcBorders>
              <w:top w:val="nil"/>
              <w:left w:val="nil"/>
              <w:bottom w:val="nil"/>
              <w:right w:val="nil"/>
            </w:tcBorders>
            <w:shd w:val="clear" w:color="auto" w:fill="auto"/>
            <w:noWrap/>
            <w:vAlign w:val="bottom"/>
            <w:hideMark/>
          </w:tcPr>
          <w:p w14:paraId="682FF82C"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3,167</w:t>
            </w:r>
          </w:p>
        </w:tc>
        <w:tc>
          <w:tcPr>
            <w:tcW w:w="960" w:type="dxa"/>
            <w:tcBorders>
              <w:top w:val="nil"/>
              <w:left w:val="nil"/>
              <w:bottom w:val="nil"/>
              <w:right w:val="nil"/>
            </w:tcBorders>
            <w:shd w:val="clear" w:color="000000" w:fill="D9D9D9"/>
            <w:noWrap/>
            <w:vAlign w:val="bottom"/>
            <w:hideMark/>
          </w:tcPr>
          <w:p w14:paraId="1350AB8B"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1,905</w:t>
            </w:r>
          </w:p>
        </w:tc>
        <w:tc>
          <w:tcPr>
            <w:tcW w:w="960" w:type="dxa"/>
            <w:tcBorders>
              <w:top w:val="nil"/>
              <w:left w:val="nil"/>
              <w:bottom w:val="nil"/>
              <w:right w:val="nil"/>
            </w:tcBorders>
            <w:shd w:val="clear" w:color="auto" w:fill="auto"/>
            <w:noWrap/>
            <w:vAlign w:val="bottom"/>
            <w:hideMark/>
          </w:tcPr>
          <w:p w14:paraId="18D1BB21"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1,934</w:t>
            </w:r>
          </w:p>
        </w:tc>
        <w:tc>
          <w:tcPr>
            <w:tcW w:w="960" w:type="dxa"/>
            <w:tcBorders>
              <w:top w:val="nil"/>
              <w:left w:val="nil"/>
              <w:bottom w:val="nil"/>
              <w:right w:val="nil"/>
            </w:tcBorders>
            <w:shd w:val="clear" w:color="auto" w:fill="auto"/>
            <w:noWrap/>
            <w:vAlign w:val="bottom"/>
            <w:hideMark/>
          </w:tcPr>
          <w:p w14:paraId="4104AD5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1,955</w:t>
            </w:r>
          </w:p>
        </w:tc>
        <w:tc>
          <w:tcPr>
            <w:tcW w:w="960" w:type="dxa"/>
            <w:tcBorders>
              <w:top w:val="nil"/>
              <w:left w:val="nil"/>
              <w:bottom w:val="nil"/>
              <w:right w:val="nil"/>
            </w:tcBorders>
            <w:shd w:val="clear" w:color="auto" w:fill="auto"/>
            <w:noWrap/>
            <w:vAlign w:val="bottom"/>
            <w:hideMark/>
          </w:tcPr>
          <w:p w14:paraId="6B7ABFF7"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1,970</w:t>
            </w:r>
          </w:p>
        </w:tc>
      </w:tr>
      <w:tr w:rsidR="00CC2DB0" w:rsidRPr="00CC2DB0" w14:paraId="5B0068C5" w14:textId="77777777" w:rsidTr="005C400E">
        <w:trPr>
          <w:trHeight w:val="425"/>
          <w:jc w:val="center"/>
        </w:trPr>
        <w:tc>
          <w:tcPr>
            <w:tcW w:w="3080" w:type="dxa"/>
            <w:tcBorders>
              <w:top w:val="nil"/>
              <w:left w:val="nil"/>
              <w:bottom w:val="nil"/>
              <w:right w:val="nil"/>
            </w:tcBorders>
            <w:shd w:val="clear" w:color="000000" w:fill="FFFFFF"/>
            <w:vAlign w:val="bottom"/>
            <w:hideMark/>
          </w:tcPr>
          <w:p w14:paraId="684E1D51"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Funded internally from departmental resources</w:t>
            </w:r>
          </w:p>
        </w:tc>
        <w:tc>
          <w:tcPr>
            <w:tcW w:w="960" w:type="dxa"/>
            <w:tcBorders>
              <w:top w:val="nil"/>
              <w:left w:val="nil"/>
              <w:bottom w:val="nil"/>
              <w:right w:val="nil"/>
            </w:tcBorders>
            <w:shd w:val="clear" w:color="auto" w:fill="auto"/>
            <w:noWrap/>
            <w:vAlign w:val="bottom"/>
            <w:hideMark/>
          </w:tcPr>
          <w:p w14:paraId="17C7933B"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2,991</w:t>
            </w:r>
          </w:p>
        </w:tc>
        <w:tc>
          <w:tcPr>
            <w:tcW w:w="960" w:type="dxa"/>
            <w:tcBorders>
              <w:top w:val="nil"/>
              <w:left w:val="nil"/>
              <w:bottom w:val="nil"/>
              <w:right w:val="nil"/>
            </w:tcBorders>
            <w:shd w:val="clear" w:color="000000" w:fill="D9D9D9"/>
            <w:noWrap/>
            <w:vAlign w:val="bottom"/>
            <w:hideMark/>
          </w:tcPr>
          <w:p w14:paraId="5E67FA00"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5,195</w:t>
            </w:r>
          </w:p>
        </w:tc>
        <w:tc>
          <w:tcPr>
            <w:tcW w:w="960" w:type="dxa"/>
            <w:tcBorders>
              <w:top w:val="nil"/>
              <w:left w:val="nil"/>
              <w:bottom w:val="nil"/>
              <w:right w:val="nil"/>
            </w:tcBorders>
            <w:shd w:val="clear" w:color="auto" w:fill="auto"/>
            <w:noWrap/>
            <w:vAlign w:val="bottom"/>
            <w:hideMark/>
          </w:tcPr>
          <w:p w14:paraId="55EEBB59"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824</w:t>
            </w:r>
          </w:p>
        </w:tc>
        <w:tc>
          <w:tcPr>
            <w:tcW w:w="960" w:type="dxa"/>
            <w:tcBorders>
              <w:top w:val="nil"/>
              <w:left w:val="nil"/>
              <w:bottom w:val="nil"/>
              <w:right w:val="nil"/>
            </w:tcBorders>
            <w:shd w:val="clear" w:color="auto" w:fill="auto"/>
            <w:noWrap/>
            <w:vAlign w:val="bottom"/>
            <w:hideMark/>
          </w:tcPr>
          <w:p w14:paraId="42962E02"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66FD30D"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1,092</w:t>
            </w:r>
          </w:p>
        </w:tc>
      </w:tr>
      <w:tr w:rsidR="00CC2DB0" w:rsidRPr="00CC2DB0" w14:paraId="13D1D34B" w14:textId="77777777" w:rsidTr="005C400E">
        <w:trPr>
          <w:trHeight w:val="425"/>
          <w:jc w:val="center"/>
        </w:trPr>
        <w:tc>
          <w:tcPr>
            <w:tcW w:w="3080" w:type="dxa"/>
            <w:tcBorders>
              <w:top w:val="nil"/>
              <w:left w:val="nil"/>
              <w:bottom w:val="nil"/>
              <w:right w:val="nil"/>
            </w:tcBorders>
            <w:shd w:val="clear" w:color="000000" w:fill="FFFFFF"/>
            <w:vAlign w:val="bottom"/>
            <w:hideMark/>
          </w:tcPr>
          <w:p w14:paraId="39C03F9C" w14:textId="77777777" w:rsidR="00CC2DB0" w:rsidRPr="00CC2DB0" w:rsidRDefault="00CC2DB0" w:rsidP="00CC2DB0">
            <w:pPr>
              <w:spacing w:before="0" w:after="0" w:line="240" w:lineRule="auto"/>
              <w:ind w:leftChars="75" w:left="143"/>
              <w:rPr>
                <w:rFonts w:ascii="Arial" w:hAnsi="Arial" w:cs="Arial"/>
                <w:b/>
                <w:bCs/>
                <w:sz w:val="16"/>
                <w:szCs w:val="16"/>
              </w:rPr>
            </w:pPr>
            <w:r w:rsidRPr="00CC2DB0">
              <w:rPr>
                <w:rFonts w:ascii="Arial" w:hAnsi="Arial" w:cs="Arial"/>
                <w:b/>
                <w:bCs/>
                <w:sz w:val="16"/>
                <w:szCs w:val="16"/>
              </w:rPr>
              <w:t xml:space="preserve">Total acquisitions of </w:t>
            </w:r>
            <w:r w:rsidRPr="00CC2DB0">
              <w:rPr>
                <w:rFonts w:ascii="Arial" w:hAnsi="Arial" w:cs="Arial"/>
                <w:b/>
                <w:bCs/>
                <w:sz w:val="16"/>
                <w:szCs w:val="16"/>
              </w:rPr>
              <w:br/>
              <w:t>non-financial assets</w:t>
            </w:r>
          </w:p>
        </w:tc>
        <w:tc>
          <w:tcPr>
            <w:tcW w:w="960" w:type="dxa"/>
            <w:tcBorders>
              <w:top w:val="nil"/>
              <w:left w:val="nil"/>
              <w:bottom w:val="single" w:sz="4" w:space="0" w:color="auto"/>
              <w:right w:val="nil"/>
            </w:tcBorders>
            <w:shd w:val="clear" w:color="auto" w:fill="auto"/>
            <w:noWrap/>
            <w:vAlign w:val="bottom"/>
            <w:hideMark/>
          </w:tcPr>
          <w:p w14:paraId="1F5508AF"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9,738</w:t>
            </w:r>
          </w:p>
        </w:tc>
        <w:tc>
          <w:tcPr>
            <w:tcW w:w="960" w:type="dxa"/>
            <w:tcBorders>
              <w:top w:val="nil"/>
              <w:left w:val="nil"/>
              <w:bottom w:val="single" w:sz="4" w:space="0" w:color="auto"/>
              <w:right w:val="nil"/>
            </w:tcBorders>
            <w:shd w:val="clear" w:color="000000" w:fill="D9D9D9"/>
            <w:noWrap/>
            <w:vAlign w:val="bottom"/>
            <w:hideMark/>
          </w:tcPr>
          <w:p w14:paraId="1C3AE037"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7,950</w:t>
            </w:r>
          </w:p>
        </w:tc>
        <w:tc>
          <w:tcPr>
            <w:tcW w:w="960" w:type="dxa"/>
            <w:tcBorders>
              <w:top w:val="nil"/>
              <w:left w:val="nil"/>
              <w:bottom w:val="single" w:sz="4" w:space="0" w:color="auto"/>
              <w:right w:val="nil"/>
            </w:tcBorders>
            <w:shd w:val="clear" w:color="auto" w:fill="auto"/>
            <w:noWrap/>
            <w:vAlign w:val="bottom"/>
            <w:hideMark/>
          </w:tcPr>
          <w:p w14:paraId="19B87221"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2,908</w:t>
            </w:r>
          </w:p>
        </w:tc>
        <w:tc>
          <w:tcPr>
            <w:tcW w:w="960" w:type="dxa"/>
            <w:tcBorders>
              <w:top w:val="nil"/>
              <w:left w:val="nil"/>
              <w:bottom w:val="single" w:sz="4" w:space="0" w:color="auto"/>
              <w:right w:val="nil"/>
            </w:tcBorders>
            <w:shd w:val="clear" w:color="auto" w:fill="auto"/>
            <w:noWrap/>
            <w:vAlign w:val="bottom"/>
            <w:hideMark/>
          </w:tcPr>
          <w:p w14:paraId="53FF0ECA"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2,003</w:t>
            </w:r>
          </w:p>
        </w:tc>
        <w:tc>
          <w:tcPr>
            <w:tcW w:w="960" w:type="dxa"/>
            <w:tcBorders>
              <w:top w:val="nil"/>
              <w:left w:val="nil"/>
              <w:bottom w:val="single" w:sz="4" w:space="0" w:color="auto"/>
              <w:right w:val="nil"/>
            </w:tcBorders>
            <w:shd w:val="clear" w:color="auto" w:fill="auto"/>
            <w:noWrap/>
            <w:vAlign w:val="bottom"/>
            <w:hideMark/>
          </w:tcPr>
          <w:p w14:paraId="7AE73B10"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3,062</w:t>
            </w:r>
          </w:p>
        </w:tc>
      </w:tr>
      <w:tr w:rsidR="00CC2DB0" w:rsidRPr="00CC2DB0" w14:paraId="2FBC083E" w14:textId="77777777" w:rsidTr="005C400E">
        <w:trPr>
          <w:trHeight w:val="624"/>
          <w:jc w:val="center"/>
        </w:trPr>
        <w:tc>
          <w:tcPr>
            <w:tcW w:w="3080" w:type="dxa"/>
            <w:tcBorders>
              <w:top w:val="nil"/>
              <w:left w:val="nil"/>
              <w:bottom w:val="nil"/>
              <w:right w:val="nil"/>
            </w:tcBorders>
            <w:shd w:val="clear" w:color="000000" w:fill="FFFFFF"/>
            <w:vAlign w:val="bottom"/>
            <w:hideMark/>
          </w:tcPr>
          <w:p w14:paraId="73A3AF19" w14:textId="77777777" w:rsidR="00CC2DB0" w:rsidRPr="00CC2DB0" w:rsidRDefault="00CC2DB0" w:rsidP="00CC2DB0">
            <w:pPr>
              <w:spacing w:before="0" w:after="0" w:line="240" w:lineRule="auto"/>
              <w:rPr>
                <w:rFonts w:ascii="Arial" w:hAnsi="Arial" w:cs="Arial"/>
                <w:b/>
                <w:bCs/>
                <w:sz w:val="16"/>
                <w:szCs w:val="16"/>
              </w:rPr>
            </w:pPr>
            <w:r w:rsidRPr="00CC2DB0">
              <w:rPr>
                <w:rFonts w:ascii="Arial" w:hAnsi="Arial" w:cs="Arial"/>
                <w:b/>
                <w:bCs/>
                <w:sz w:val="16"/>
                <w:szCs w:val="16"/>
              </w:rPr>
              <w:t>RECONCILIATION OF CASH USED TO ACQUIRE ASSETS TO ASSET MOVEMENT TABLE</w:t>
            </w:r>
          </w:p>
        </w:tc>
        <w:tc>
          <w:tcPr>
            <w:tcW w:w="960" w:type="dxa"/>
            <w:tcBorders>
              <w:top w:val="nil"/>
              <w:left w:val="nil"/>
              <w:bottom w:val="nil"/>
              <w:right w:val="nil"/>
            </w:tcBorders>
            <w:shd w:val="clear" w:color="auto" w:fill="auto"/>
            <w:noWrap/>
            <w:vAlign w:val="bottom"/>
            <w:hideMark/>
          </w:tcPr>
          <w:p w14:paraId="69813D87" w14:textId="77777777" w:rsidR="00CC2DB0" w:rsidRPr="00CC2DB0" w:rsidRDefault="00CC2DB0" w:rsidP="00CC2DB0">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1E22502B"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256A3938" w14:textId="77777777" w:rsidR="00CC2DB0" w:rsidRPr="00CC2DB0" w:rsidRDefault="00CC2DB0" w:rsidP="00CC2DB0">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7721EAA3" w14:textId="77777777" w:rsidR="00CC2DB0" w:rsidRPr="00CC2DB0" w:rsidRDefault="00CC2DB0" w:rsidP="00CC2DB0">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B33727D" w14:textId="77777777" w:rsidR="00CC2DB0" w:rsidRPr="00CC2DB0" w:rsidRDefault="00CC2DB0" w:rsidP="00CC2DB0">
            <w:pPr>
              <w:spacing w:before="0" w:after="0" w:line="240" w:lineRule="auto"/>
              <w:jc w:val="right"/>
              <w:rPr>
                <w:rFonts w:ascii="Times New Roman" w:hAnsi="Times New Roman"/>
                <w:sz w:val="20"/>
              </w:rPr>
            </w:pPr>
          </w:p>
        </w:tc>
      </w:tr>
      <w:tr w:rsidR="00CC2DB0" w:rsidRPr="00CC2DB0" w14:paraId="57E6253F" w14:textId="77777777" w:rsidTr="00CC2DB0">
        <w:trPr>
          <w:trHeight w:val="225"/>
          <w:jc w:val="center"/>
        </w:trPr>
        <w:tc>
          <w:tcPr>
            <w:tcW w:w="3080" w:type="dxa"/>
            <w:tcBorders>
              <w:top w:val="nil"/>
              <w:left w:val="nil"/>
              <w:bottom w:val="nil"/>
              <w:right w:val="nil"/>
            </w:tcBorders>
            <w:shd w:val="clear" w:color="000000" w:fill="FFFFFF"/>
            <w:vAlign w:val="bottom"/>
            <w:hideMark/>
          </w:tcPr>
          <w:p w14:paraId="5B94FC7A" w14:textId="77777777" w:rsidR="00CC2DB0" w:rsidRPr="00CC2DB0" w:rsidRDefault="00CC2DB0" w:rsidP="00CC2DB0">
            <w:pPr>
              <w:spacing w:before="0" w:after="0" w:line="240" w:lineRule="auto"/>
              <w:ind w:leftChars="75" w:left="143"/>
              <w:rPr>
                <w:rFonts w:ascii="Arial" w:hAnsi="Arial" w:cs="Arial"/>
                <w:sz w:val="16"/>
                <w:szCs w:val="16"/>
              </w:rPr>
            </w:pPr>
            <w:r w:rsidRPr="00CC2DB0">
              <w:rPr>
                <w:rFonts w:ascii="Arial" w:hAnsi="Arial" w:cs="Arial"/>
                <w:sz w:val="16"/>
                <w:szCs w:val="16"/>
              </w:rPr>
              <w:t>Total purchases</w:t>
            </w:r>
          </w:p>
        </w:tc>
        <w:tc>
          <w:tcPr>
            <w:tcW w:w="960" w:type="dxa"/>
            <w:tcBorders>
              <w:top w:val="nil"/>
              <w:left w:val="nil"/>
              <w:bottom w:val="nil"/>
              <w:right w:val="nil"/>
            </w:tcBorders>
            <w:shd w:val="clear" w:color="auto" w:fill="auto"/>
            <w:noWrap/>
            <w:vAlign w:val="bottom"/>
            <w:hideMark/>
          </w:tcPr>
          <w:p w14:paraId="7DA6B8DF"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9,738</w:t>
            </w:r>
          </w:p>
        </w:tc>
        <w:tc>
          <w:tcPr>
            <w:tcW w:w="960" w:type="dxa"/>
            <w:tcBorders>
              <w:top w:val="nil"/>
              <w:left w:val="nil"/>
              <w:bottom w:val="nil"/>
              <w:right w:val="nil"/>
            </w:tcBorders>
            <w:shd w:val="clear" w:color="000000" w:fill="D9D9D9"/>
            <w:noWrap/>
            <w:vAlign w:val="bottom"/>
            <w:hideMark/>
          </w:tcPr>
          <w:p w14:paraId="000F3A14"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7,950</w:t>
            </w:r>
          </w:p>
        </w:tc>
        <w:tc>
          <w:tcPr>
            <w:tcW w:w="960" w:type="dxa"/>
            <w:tcBorders>
              <w:top w:val="nil"/>
              <w:left w:val="nil"/>
              <w:bottom w:val="nil"/>
              <w:right w:val="nil"/>
            </w:tcBorders>
            <w:shd w:val="clear" w:color="auto" w:fill="auto"/>
            <w:noWrap/>
            <w:vAlign w:val="bottom"/>
            <w:hideMark/>
          </w:tcPr>
          <w:p w14:paraId="6333B681"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2,908</w:t>
            </w:r>
          </w:p>
        </w:tc>
        <w:tc>
          <w:tcPr>
            <w:tcW w:w="960" w:type="dxa"/>
            <w:tcBorders>
              <w:top w:val="nil"/>
              <w:left w:val="nil"/>
              <w:bottom w:val="nil"/>
              <w:right w:val="nil"/>
            </w:tcBorders>
            <w:shd w:val="clear" w:color="auto" w:fill="auto"/>
            <w:noWrap/>
            <w:vAlign w:val="bottom"/>
            <w:hideMark/>
          </w:tcPr>
          <w:p w14:paraId="51ED5745"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2,003</w:t>
            </w:r>
          </w:p>
        </w:tc>
        <w:tc>
          <w:tcPr>
            <w:tcW w:w="960" w:type="dxa"/>
            <w:tcBorders>
              <w:top w:val="nil"/>
              <w:left w:val="nil"/>
              <w:bottom w:val="nil"/>
              <w:right w:val="nil"/>
            </w:tcBorders>
            <w:shd w:val="clear" w:color="auto" w:fill="auto"/>
            <w:noWrap/>
            <w:vAlign w:val="bottom"/>
            <w:hideMark/>
          </w:tcPr>
          <w:p w14:paraId="1939C278" w14:textId="77777777" w:rsidR="00CC2DB0" w:rsidRPr="00CC2DB0" w:rsidRDefault="00CC2DB0" w:rsidP="00CC2DB0">
            <w:pPr>
              <w:spacing w:before="0" w:after="0" w:line="240" w:lineRule="auto"/>
              <w:jc w:val="right"/>
              <w:rPr>
                <w:rFonts w:ascii="Arial" w:hAnsi="Arial" w:cs="Arial"/>
                <w:sz w:val="16"/>
                <w:szCs w:val="16"/>
              </w:rPr>
            </w:pPr>
            <w:r w:rsidRPr="00CC2DB0">
              <w:rPr>
                <w:rFonts w:ascii="Arial" w:hAnsi="Arial" w:cs="Arial"/>
                <w:sz w:val="16"/>
                <w:szCs w:val="16"/>
              </w:rPr>
              <w:t>3,062</w:t>
            </w:r>
          </w:p>
        </w:tc>
      </w:tr>
      <w:tr w:rsidR="00CC2DB0" w:rsidRPr="00CC2DB0" w14:paraId="0D5EA6CF" w14:textId="77777777" w:rsidTr="005C400E">
        <w:trPr>
          <w:trHeight w:val="227"/>
          <w:jc w:val="center"/>
        </w:trPr>
        <w:tc>
          <w:tcPr>
            <w:tcW w:w="3080" w:type="dxa"/>
            <w:tcBorders>
              <w:top w:val="nil"/>
              <w:left w:val="nil"/>
              <w:bottom w:val="single" w:sz="4" w:space="0" w:color="auto"/>
              <w:right w:val="nil"/>
            </w:tcBorders>
            <w:shd w:val="clear" w:color="000000" w:fill="FFFFFF"/>
            <w:vAlign w:val="bottom"/>
            <w:hideMark/>
          </w:tcPr>
          <w:p w14:paraId="332FCFCF" w14:textId="77777777" w:rsidR="00CC2DB0" w:rsidRPr="00CC2DB0" w:rsidRDefault="00CC2DB0" w:rsidP="00CC2DB0">
            <w:pPr>
              <w:spacing w:before="0" w:after="0" w:line="240" w:lineRule="auto"/>
              <w:ind w:leftChars="75" w:left="143"/>
              <w:rPr>
                <w:rFonts w:ascii="Arial" w:hAnsi="Arial" w:cs="Arial"/>
                <w:b/>
                <w:bCs/>
                <w:sz w:val="16"/>
                <w:szCs w:val="16"/>
              </w:rPr>
            </w:pPr>
            <w:r w:rsidRPr="00CC2DB0">
              <w:rPr>
                <w:rFonts w:ascii="Arial" w:hAnsi="Arial" w:cs="Arial"/>
                <w:b/>
                <w:bCs/>
                <w:sz w:val="16"/>
                <w:szCs w:val="16"/>
              </w:rPr>
              <w:t>Total cash used to acquire assets</w:t>
            </w:r>
          </w:p>
        </w:tc>
        <w:tc>
          <w:tcPr>
            <w:tcW w:w="960" w:type="dxa"/>
            <w:tcBorders>
              <w:top w:val="single" w:sz="4" w:space="0" w:color="auto"/>
              <w:left w:val="nil"/>
              <w:bottom w:val="single" w:sz="4" w:space="0" w:color="auto"/>
              <w:right w:val="nil"/>
            </w:tcBorders>
            <w:shd w:val="clear" w:color="auto" w:fill="auto"/>
            <w:noWrap/>
            <w:vAlign w:val="bottom"/>
            <w:hideMark/>
          </w:tcPr>
          <w:p w14:paraId="4C43FD95"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9,738</w:t>
            </w:r>
          </w:p>
        </w:tc>
        <w:tc>
          <w:tcPr>
            <w:tcW w:w="960" w:type="dxa"/>
            <w:tcBorders>
              <w:top w:val="single" w:sz="4" w:space="0" w:color="auto"/>
              <w:left w:val="nil"/>
              <w:bottom w:val="single" w:sz="4" w:space="0" w:color="auto"/>
              <w:right w:val="nil"/>
            </w:tcBorders>
            <w:shd w:val="clear" w:color="000000" w:fill="D9D9D9"/>
            <w:noWrap/>
            <w:vAlign w:val="bottom"/>
            <w:hideMark/>
          </w:tcPr>
          <w:p w14:paraId="67641E9C"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7,950</w:t>
            </w:r>
          </w:p>
        </w:tc>
        <w:tc>
          <w:tcPr>
            <w:tcW w:w="960" w:type="dxa"/>
            <w:tcBorders>
              <w:top w:val="single" w:sz="4" w:space="0" w:color="auto"/>
              <w:left w:val="nil"/>
              <w:bottom w:val="single" w:sz="4" w:space="0" w:color="auto"/>
              <w:right w:val="nil"/>
            </w:tcBorders>
            <w:shd w:val="clear" w:color="auto" w:fill="auto"/>
            <w:noWrap/>
            <w:vAlign w:val="bottom"/>
            <w:hideMark/>
          </w:tcPr>
          <w:p w14:paraId="06F72C94"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2,908</w:t>
            </w:r>
          </w:p>
        </w:tc>
        <w:tc>
          <w:tcPr>
            <w:tcW w:w="960" w:type="dxa"/>
            <w:tcBorders>
              <w:top w:val="single" w:sz="4" w:space="0" w:color="auto"/>
              <w:left w:val="nil"/>
              <w:bottom w:val="single" w:sz="4" w:space="0" w:color="auto"/>
              <w:right w:val="nil"/>
            </w:tcBorders>
            <w:shd w:val="clear" w:color="auto" w:fill="auto"/>
            <w:noWrap/>
            <w:vAlign w:val="bottom"/>
            <w:hideMark/>
          </w:tcPr>
          <w:p w14:paraId="5375DE70"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2,003</w:t>
            </w:r>
          </w:p>
        </w:tc>
        <w:tc>
          <w:tcPr>
            <w:tcW w:w="960" w:type="dxa"/>
            <w:tcBorders>
              <w:top w:val="single" w:sz="4" w:space="0" w:color="auto"/>
              <w:left w:val="nil"/>
              <w:bottom w:val="single" w:sz="4" w:space="0" w:color="auto"/>
              <w:right w:val="nil"/>
            </w:tcBorders>
            <w:shd w:val="clear" w:color="auto" w:fill="auto"/>
            <w:noWrap/>
            <w:vAlign w:val="bottom"/>
            <w:hideMark/>
          </w:tcPr>
          <w:p w14:paraId="6BE36320" w14:textId="77777777" w:rsidR="00CC2DB0" w:rsidRPr="00CC2DB0" w:rsidRDefault="00CC2DB0" w:rsidP="00CC2DB0">
            <w:pPr>
              <w:spacing w:before="0" w:after="0" w:line="240" w:lineRule="auto"/>
              <w:jc w:val="right"/>
              <w:rPr>
                <w:rFonts w:ascii="Arial" w:hAnsi="Arial" w:cs="Arial"/>
                <w:b/>
                <w:bCs/>
                <w:sz w:val="16"/>
                <w:szCs w:val="16"/>
              </w:rPr>
            </w:pPr>
            <w:r w:rsidRPr="00CC2DB0">
              <w:rPr>
                <w:rFonts w:ascii="Arial" w:hAnsi="Arial" w:cs="Arial"/>
                <w:b/>
                <w:bCs/>
                <w:sz w:val="16"/>
                <w:szCs w:val="16"/>
              </w:rPr>
              <w:t>3,062</w:t>
            </w:r>
          </w:p>
        </w:tc>
      </w:tr>
    </w:tbl>
    <w:p w14:paraId="5823B381" w14:textId="3CFAB641" w:rsidR="00734345" w:rsidRDefault="00734345" w:rsidP="00734345">
      <w:pPr>
        <w:pStyle w:val="FootnoteText"/>
        <w:spacing w:before="120"/>
      </w:pPr>
      <w:r>
        <w:t>DCB = Departmental Capital Budget</w:t>
      </w:r>
      <w:r>
        <w:tab/>
      </w:r>
    </w:p>
    <w:p w14:paraId="6CAA33E7" w14:textId="3E3D4AB8" w:rsidR="00734345" w:rsidRDefault="00734345" w:rsidP="00734345">
      <w:pPr>
        <w:pStyle w:val="FootnoteText"/>
      </w:pPr>
      <w:r w:rsidRPr="00734345">
        <w:rPr>
          <w:vertAlign w:val="superscript"/>
        </w:rPr>
        <w:t>(a)</w:t>
      </w:r>
      <w:r>
        <w:t xml:space="preserve"> </w:t>
      </w:r>
      <w:r>
        <w:tab/>
        <w:t>Includes both current Appropriation Act/Bill (No. 2, 4), prior Act 2, 4, 6 appropriations and special capital appropriations.</w:t>
      </w:r>
      <w:r>
        <w:tab/>
      </w:r>
    </w:p>
    <w:p w14:paraId="328D6CF7" w14:textId="3536BDF8" w:rsidR="00275707" w:rsidRDefault="00734345" w:rsidP="00734345">
      <w:pPr>
        <w:pStyle w:val="FootnoteText"/>
      </w:pPr>
      <w:r w:rsidRPr="00734345">
        <w:rPr>
          <w:vertAlign w:val="superscript"/>
        </w:rPr>
        <w:t>(b)</w:t>
      </w:r>
      <w:r w:rsidR="005C400E">
        <w:tab/>
      </w:r>
      <w:r>
        <w:t>Does not include annual finance lease costs. Includes purchases from current and previous years' DCB.</w:t>
      </w:r>
    </w:p>
    <w:p w14:paraId="1BB7FDBA" w14:textId="77777777" w:rsidR="00CC2DB0" w:rsidRPr="000F37E6" w:rsidRDefault="00CC2DB0" w:rsidP="00275707">
      <w:pPr>
        <w:pStyle w:val="ChartandTableFootnote-Dash"/>
        <w:spacing w:after="0"/>
        <w:ind w:left="0" w:firstLine="0"/>
      </w:pPr>
    </w:p>
    <w:p w14:paraId="481E1928" w14:textId="77777777" w:rsidR="002F6406" w:rsidRDefault="002F6406">
      <w:pPr>
        <w:spacing w:before="0" w:after="0" w:line="240" w:lineRule="auto"/>
        <w:rPr>
          <w:rFonts w:ascii="Arial" w:hAnsi="Arial"/>
          <w:b/>
          <w:snapToGrid w:val="0"/>
          <w:sz w:val="20"/>
        </w:rPr>
      </w:pPr>
      <w:r>
        <w:rPr>
          <w:snapToGrid w:val="0"/>
        </w:rPr>
        <w:br w:type="page"/>
      </w:r>
    </w:p>
    <w:p w14:paraId="769A1DEA" w14:textId="3A6176FA" w:rsidR="00275707" w:rsidRDefault="00275707" w:rsidP="00200DF1">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7860" w:type="dxa"/>
        <w:jc w:val="center"/>
        <w:tblLayout w:type="fixed"/>
        <w:tblLook w:val="04A0" w:firstRow="1" w:lastRow="0" w:firstColumn="1" w:lastColumn="0" w:noHBand="0" w:noVBand="1"/>
      </w:tblPr>
      <w:tblGrid>
        <w:gridCol w:w="3160"/>
        <w:gridCol w:w="1080"/>
        <w:gridCol w:w="1460"/>
        <w:gridCol w:w="1080"/>
        <w:gridCol w:w="1080"/>
      </w:tblGrid>
      <w:tr w:rsidR="004408CC" w:rsidRPr="004408CC" w14:paraId="1B0D847B" w14:textId="77777777" w:rsidTr="0053787C">
        <w:trPr>
          <w:trHeight w:val="765"/>
          <w:jc w:val="center"/>
        </w:trPr>
        <w:tc>
          <w:tcPr>
            <w:tcW w:w="3160" w:type="dxa"/>
            <w:tcBorders>
              <w:top w:val="single" w:sz="4" w:space="0" w:color="auto"/>
              <w:left w:val="nil"/>
              <w:bottom w:val="nil"/>
              <w:right w:val="nil"/>
            </w:tcBorders>
            <w:shd w:val="clear" w:color="auto" w:fill="auto"/>
            <w:noWrap/>
            <w:hideMark/>
          </w:tcPr>
          <w:p w14:paraId="77775B6B" w14:textId="77777777" w:rsidR="004408CC" w:rsidRPr="004408CC" w:rsidRDefault="004408CC" w:rsidP="0053787C">
            <w:pPr>
              <w:spacing w:before="24" w:after="0" w:line="240" w:lineRule="auto"/>
              <w:jc w:val="right"/>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hideMark/>
          </w:tcPr>
          <w:p w14:paraId="38FAFE4D" w14:textId="77777777" w:rsidR="004408CC" w:rsidRPr="004408CC" w:rsidRDefault="004408CC" w:rsidP="0053787C">
            <w:pPr>
              <w:spacing w:before="24" w:after="0" w:line="240" w:lineRule="auto"/>
              <w:jc w:val="right"/>
              <w:rPr>
                <w:rFonts w:ascii="Arial" w:hAnsi="Arial" w:cs="Arial"/>
                <w:b/>
                <w:bCs/>
                <w:sz w:val="16"/>
                <w:szCs w:val="16"/>
              </w:rPr>
            </w:pPr>
            <w:r w:rsidRPr="004408CC">
              <w:rPr>
                <w:rFonts w:ascii="Arial" w:hAnsi="Arial" w:cs="Arial"/>
                <w:b/>
                <w:bCs/>
                <w:sz w:val="16"/>
                <w:szCs w:val="16"/>
              </w:rPr>
              <w:t xml:space="preserve">Buildings </w:t>
            </w:r>
            <w:r w:rsidRPr="004408CC">
              <w:rPr>
                <w:rFonts w:ascii="Arial" w:hAnsi="Arial" w:cs="Arial"/>
                <w:b/>
                <w:bCs/>
                <w:sz w:val="16"/>
                <w:szCs w:val="16"/>
              </w:rPr>
              <w:br/>
            </w:r>
            <w:r w:rsidRPr="004408CC">
              <w:rPr>
                <w:rFonts w:ascii="Arial" w:hAnsi="Arial" w:cs="Arial"/>
                <w:b/>
                <w:bCs/>
                <w:sz w:val="16"/>
                <w:szCs w:val="16"/>
              </w:rPr>
              <w:br/>
            </w:r>
            <w:r w:rsidRPr="004408CC">
              <w:rPr>
                <w:rFonts w:ascii="Arial" w:hAnsi="Arial" w:cs="Arial"/>
                <w:b/>
                <w:bCs/>
                <w:sz w:val="16"/>
                <w:szCs w:val="16"/>
              </w:rPr>
              <w:br/>
            </w:r>
            <w:r w:rsidRPr="004408CC">
              <w:rPr>
                <w:rFonts w:ascii="Arial" w:hAnsi="Arial" w:cs="Arial"/>
                <w:sz w:val="16"/>
                <w:szCs w:val="16"/>
              </w:rPr>
              <w:t>$'000</w:t>
            </w:r>
          </w:p>
        </w:tc>
        <w:tc>
          <w:tcPr>
            <w:tcW w:w="1460" w:type="dxa"/>
            <w:tcBorders>
              <w:top w:val="single" w:sz="4" w:space="0" w:color="auto"/>
              <w:left w:val="nil"/>
              <w:bottom w:val="single" w:sz="4" w:space="0" w:color="auto"/>
              <w:right w:val="nil"/>
            </w:tcBorders>
            <w:shd w:val="clear" w:color="auto" w:fill="auto"/>
            <w:hideMark/>
          </w:tcPr>
          <w:p w14:paraId="0FFA8F24" w14:textId="77777777" w:rsidR="004408CC" w:rsidRPr="004408CC" w:rsidRDefault="004408CC" w:rsidP="0053787C">
            <w:pPr>
              <w:spacing w:before="24" w:after="0" w:line="240" w:lineRule="auto"/>
              <w:jc w:val="right"/>
              <w:rPr>
                <w:rFonts w:ascii="Arial" w:hAnsi="Arial" w:cs="Arial"/>
                <w:b/>
                <w:bCs/>
                <w:sz w:val="16"/>
                <w:szCs w:val="16"/>
              </w:rPr>
            </w:pPr>
            <w:r w:rsidRPr="004408CC">
              <w:rPr>
                <w:rFonts w:ascii="Arial" w:hAnsi="Arial" w:cs="Arial"/>
                <w:b/>
                <w:bCs/>
                <w:sz w:val="16"/>
                <w:szCs w:val="16"/>
              </w:rPr>
              <w:t>Property,</w:t>
            </w:r>
            <w:r w:rsidRPr="004408CC">
              <w:rPr>
                <w:rFonts w:ascii="Arial" w:hAnsi="Arial" w:cs="Arial"/>
                <w:b/>
                <w:bCs/>
                <w:sz w:val="16"/>
                <w:szCs w:val="16"/>
              </w:rPr>
              <w:br/>
              <w:t xml:space="preserve">plant and </w:t>
            </w:r>
            <w:r w:rsidRPr="004408CC">
              <w:rPr>
                <w:rFonts w:ascii="Arial" w:hAnsi="Arial" w:cs="Arial"/>
                <w:b/>
                <w:bCs/>
                <w:sz w:val="16"/>
                <w:szCs w:val="16"/>
              </w:rPr>
              <w:br/>
              <w:t xml:space="preserve">equipment </w:t>
            </w:r>
            <w:r w:rsidRPr="004408CC">
              <w:rPr>
                <w:rFonts w:ascii="Arial" w:hAnsi="Arial" w:cs="Arial"/>
                <w:b/>
                <w:bCs/>
                <w:sz w:val="16"/>
                <w:szCs w:val="16"/>
              </w:rPr>
              <w:br/>
            </w:r>
            <w:r w:rsidRPr="004408CC">
              <w:rPr>
                <w:rFonts w:ascii="Arial" w:hAnsi="Arial" w:cs="Arial"/>
                <w:sz w:val="16"/>
                <w:szCs w:val="16"/>
              </w:rPr>
              <w:t>$'000</w:t>
            </w:r>
          </w:p>
        </w:tc>
        <w:tc>
          <w:tcPr>
            <w:tcW w:w="1080" w:type="dxa"/>
            <w:tcBorders>
              <w:top w:val="single" w:sz="4" w:space="0" w:color="auto"/>
              <w:left w:val="nil"/>
              <w:bottom w:val="single" w:sz="4" w:space="0" w:color="auto"/>
              <w:right w:val="nil"/>
            </w:tcBorders>
            <w:shd w:val="clear" w:color="auto" w:fill="auto"/>
            <w:hideMark/>
          </w:tcPr>
          <w:p w14:paraId="1A521047" w14:textId="77777777" w:rsidR="004408CC" w:rsidRPr="004408CC" w:rsidRDefault="004408CC" w:rsidP="0053787C">
            <w:pPr>
              <w:spacing w:before="24" w:after="0" w:line="240" w:lineRule="auto"/>
              <w:jc w:val="right"/>
              <w:rPr>
                <w:rFonts w:ascii="Arial" w:hAnsi="Arial" w:cs="Arial"/>
                <w:b/>
                <w:bCs/>
                <w:sz w:val="16"/>
                <w:szCs w:val="16"/>
              </w:rPr>
            </w:pPr>
            <w:r w:rsidRPr="004408CC">
              <w:rPr>
                <w:rFonts w:ascii="Arial" w:hAnsi="Arial" w:cs="Arial"/>
                <w:b/>
                <w:bCs/>
                <w:sz w:val="16"/>
                <w:szCs w:val="16"/>
              </w:rPr>
              <w:t>Intangibles</w:t>
            </w:r>
            <w:r w:rsidRPr="004408CC">
              <w:rPr>
                <w:rFonts w:ascii="Arial" w:hAnsi="Arial" w:cs="Arial"/>
                <w:sz w:val="16"/>
                <w:szCs w:val="16"/>
              </w:rPr>
              <w:t xml:space="preserve"> </w:t>
            </w:r>
            <w:r w:rsidRPr="004408CC">
              <w:rPr>
                <w:rFonts w:ascii="Arial" w:hAnsi="Arial" w:cs="Arial"/>
                <w:sz w:val="16"/>
                <w:szCs w:val="16"/>
              </w:rPr>
              <w:br/>
            </w:r>
            <w:r w:rsidRPr="004408CC">
              <w:rPr>
                <w:rFonts w:ascii="Arial" w:hAnsi="Arial" w:cs="Arial"/>
                <w:sz w:val="16"/>
                <w:szCs w:val="16"/>
              </w:rPr>
              <w:br/>
            </w:r>
            <w:r w:rsidRPr="004408CC">
              <w:rPr>
                <w:rFonts w:ascii="Arial" w:hAnsi="Arial" w:cs="Arial"/>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5947301C" w14:textId="77777777" w:rsidR="004408CC" w:rsidRPr="004408CC" w:rsidRDefault="004408CC" w:rsidP="0053787C">
            <w:pPr>
              <w:spacing w:before="24" w:after="0" w:line="240" w:lineRule="auto"/>
              <w:jc w:val="right"/>
              <w:rPr>
                <w:rFonts w:ascii="Arial" w:hAnsi="Arial" w:cs="Arial"/>
                <w:b/>
                <w:bCs/>
                <w:sz w:val="16"/>
                <w:szCs w:val="16"/>
              </w:rPr>
            </w:pPr>
            <w:r w:rsidRPr="004408CC">
              <w:rPr>
                <w:rFonts w:ascii="Arial" w:hAnsi="Arial" w:cs="Arial"/>
                <w:b/>
                <w:bCs/>
                <w:sz w:val="16"/>
                <w:szCs w:val="16"/>
              </w:rPr>
              <w:t xml:space="preserve">Total </w:t>
            </w:r>
            <w:r w:rsidRPr="004408CC">
              <w:rPr>
                <w:rFonts w:ascii="Arial" w:hAnsi="Arial" w:cs="Arial"/>
                <w:b/>
                <w:bCs/>
                <w:sz w:val="16"/>
                <w:szCs w:val="16"/>
              </w:rPr>
              <w:br/>
            </w:r>
            <w:r w:rsidRPr="004408CC">
              <w:rPr>
                <w:rFonts w:ascii="Arial" w:hAnsi="Arial" w:cs="Arial"/>
                <w:b/>
                <w:bCs/>
                <w:sz w:val="16"/>
                <w:szCs w:val="16"/>
              </w:rPr>
              <w:br/>
            </w:r>
            <w:r w:rsidRPr="004408CC">
              <w:rPr>
                <w:rFonts w:ascii="Arial" w:hAnsi="Arial" w:cs="Arial"/>
                <w:b/>
                <w:bCs/>
                <w:sz w:val="16"/>
                <w:szCs w:val="16"/>
              </w:rPr>
              <w:br/>
            </w:r>
            <w:r w:rsidRPr="004408CC">
              <w:rPr>
                <w:rFonts w:ascii="Arial" w:hAnsi="Arial" w:cs="Arial"/>
                <w:sz w:val="16"/>
                <w:szCs w:val="16"/>
              </w:rPr>
              <w:t>$'000</w:t>
            </w:r>
          </w:p>
        </w:tc>
      </w:tr>
      <w:tr w:rsidR="004408CC" w:rsidRPr="004408CC" w14:paraId="71370665"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70A02225" w14:textId="77777777" w:rsidR="004408CC" w:rsidRPr="004408CC" w:rsidRDefault="004408CC" w:rsidP="004408CC">
            <w:pPr>
              <w:spacing w:before="0" w:after="0" w:line="240" w:lineRule="auto"/>
              <w:rPr>
                <w:rFonts w:ascii="Arial" w:hAnsi="Arial" w:cs="Arial"/>
                <w:b/>
                <w:bCs/>
                <w:sz w:val="16"/>
                <w:szCs w:val="16"/>
              </w:rPr>
            </w:pPr>
            <w:r w:rsidRPr="004408CC">
              <w:rPr>
                <w:rFonts w:ascii="Arial" w:hAnsi="Arial" w:cs="Arial"/>
                <w:b/>
                <w:bCs/>
                <w:sz w:val="16"/>
                <w:szCs w:val="16"/>
              </w:rPr>
              <w:t xml:space="preserve">As </w:t>
            </w:r>
            <w:proofErr w:type="gramStart"/>
            <w:r w:rsidRPr="004408CC">
              <w:rPr>
                <w:rFonts w:ascii="Arial" w:hAnsi="Arial" w:cs="Arial"/>
                <w:b/>
                <w:bCs/>
                <w:sz w:val="16"/>
                <w:szCs w:val="16"/>
              </w:rPr>
              <w:t>at</w:t>
            </w:r>
            <w:proofErr w:type="gramEnd"/>
            <w:r w:rsidRPr="004408CC">
              <w:rPr>
                <w:rFonts w:ascii="Arial" w:hAnsi="Arial" w:cs="Arial"/>
                <w:b/>
                <w:bCs/>
                <w:sz w:val="16"/>
                <w:szCs w:val="16"/>
              </w:rPr>
              <w:t xml:space="preserve"> 1 July 2023</w:t>
            </w:r>
          </w:p>
        </w:tc>
        <w:tc>
          <w:tcPr>
            <w:tcW w:w="1080" w:type="dxa"/>
            <w:tcBorders>
              <w:top w:val="nil"/>
              <w:left w:val="nil"/>
              <w:bottom w:val="nil"/>
              <w:right w:val="nil"/>
            </w:tcBorders>
            <w:shd w:val="clear" w:color="auto" w:fill="auto"/>
            <w:noWrap/>
            <w:vAlign w:val="bottom"/>
            <w:hideMark/>
          </w:tcPr>
          <w:p w14:paraId="4A4ADFE0" w14:textId="77777777" w:rsidR="004408CC" w:rsidRPr="004408CC" w:rsidRDefault="004408CC" w:rsidP="004408CC">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357B66B9"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5A209295"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2EA453FE" w14:textId="77777777" w:rsidR="004408CC" w:rsidRPr="004408CC" w:rsidRDefault="004408CC" w:rsidP="004408CC">
            <w:pPr>
              <w:spacing w:before="0" w:after="0" w:line="240" w:lineRule="auto"/>
              <w:jc w:val="right"/>
              <w:rPr>
                <w:rFonts w:ascii="Times New Roman" w:hAnsi="Times New Roman"/>
                <w:sz w:val="20"/>
              </w:rPr>
            </w:pPr>
          </w:p>
        </w:tc>
      </w:tr>
      <w:tr w:rsidR="004408CC" w:rsidRPr="004408CC" w14:paraId="3E35C55C"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66FD49B3"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Gross book value </w:t>
            </w:r>
          </w:p>
        </w:tc>
        <w:tc>
          <w:tcPr>
            <w:tcW w:w="1080" w:type="dxa"/>
            <w:tcBorders>
              <w:top w:val="nil"/>
              <w:left w:val="nil"/>
              <w:bottom w:val="nil"/>
              <w:right w:val="nil"/>
            </w:tcBorders>
            <w:shd w:val="clear" w:color="auto" w:fill="auto"/>
            <w:noWrap/>
            <w:vAlign w:val="bottom"/>
            <w:hideMark/>
          </w:tcPr>
          <w:p w14:paraId="1E013F5B"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460" w:type="dxa"/>
            <w:tcBorders>
              <w:top w:val="nil"/>
              <w:left w:val="nil"/>
              <w:bottom w:val="nil"/>
              <w:right w:val="nil"/>
            </w:tcBorders>
            <w:shd w:val="clear" w:color="auto" w:fill="auto"/>
            <w:noWrap/>
            <w:vAlign w:val="bottom"/>
            <w:hideMark/>
          </w:tcPr>
          <w:p w14:paraId="30E84C0B"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14,495 </w:t>
            </w:r>
          </w:p>
        </w:tc>
        <w:tc>
          <w:tcPr>
            <w:tcW w:w="1080" w:type="dxa"/>
            <w:tcBorders>
              <w:top w:val="nil"/>
              <w:left w:val="nil"/>
              <w:bottom w:val="nil"/>
              <w:right w:val="nil"/>
            </w:tcBorders>
            <w:shd w:val="clear" w:color="auto" w:fill="auto"/>
            <w:noWrap/>
            <w:vAlign w:val="bottom"/>
            <w:hideMark/>
          </w:tcPr>
          <w:p w14:paraId="5ABA0E7F"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3,413 </w:t>
            </w:r>
          </w:p>
        </w:tc>
        <w:tc>
          <w:tcPr>
            <w:tcW w:w="1080" w:type="dxa"/>
            <w:tcBorders>
              <w:top w:val="nil"/>
              <w:left w:val="nil"/>
              <w:bottom w:val="nil"/>
              <w:right w:val="nil"/>
            </w:tcBorders>
            <w:shd w:val="clear" w:color="auto" w:fill="auto"/>
            <w:noWrap/>
            <w:vAlign w:val="bottom"/>
            <w:hideMark/>
          </w:tcPr>
          <w:p w14:paraId="2ECB096F"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17,908 </w:t>
            </w:r>
          </w:p>
        </w:tc>
      </w:tr>
      <w:tr w:rsidR="004408CC" w:rsidRPr="004408CC" w14:paraId="2B63EDDE"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2FE132B0"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Gross book value - </w:t>
            </w:r>
            <w:proofErr w:type="spellStart"/>
            <w:r w:rsidRPr="004408CC">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6D6262BA"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33,634 </w:t>
            </w:r>
          </w:p>
        </w:tc>
        <w:tc>
          <w:tcPr>
            <w:tcW w:w="1460" w:type="dxa"/>
            <w:tcBorders>
              <w:top w:val="nil"/>
              <w:left w:val="nil"/>
              <w:bottom w:val="nil"/>
              <w:right w:val="nil"/>
            </w:tcBorders>
            <w:shd w:val="clear" w:color="auto" w:fill="auto"/>
            <w:noWrap/>
            <w:vAlign w:val="bottom"/>
            <w:hideMark/>
          </w:tcPr>
          <w:p w14:paraId="72725CC6"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285E04A7"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39E543B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33,634 </w:t>
            </w:r>
          </w:p>
        </w:tc>
      </w:tr>
      <w:tr w:rsidR="004408CC" w:rsidRPr="004408CC" w14:paraId="32635556" w14:textId="77777777" w:rsidTr="0053787C">
        <w:trPr>
          <w:trHeight w:val="425"/>
          <w:jc w:val="center"/>
        </w:trPr>
        <w:tc>
          <w:tcPr>
            <w:tcW w:w="3160" w:type="dxa"/>
            <w:tcBorders>
              <w:top w:val="nil"/>
              <w:left w:val="nil"/>
              <w:bottom w:val="nil"/>
              <w:right w:val="nil"/>
            </w:tcBorders>
            <w:shd w:val="clear" w:color="auto" w:fill="auto"/>
            <w:vAlign w:val="bottom"/>
            <w:hideMark/>
          </w:tcPr>
          <w:p w14:paraId="33A93970"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Accumulated depreciation/ amortisation and impairment</w:t>
            </w:r>
          </w:p>
        </w:tc>
        <w:tc>
          <w:tcPr>
            <w:tcW w:w="1080" w:type="dxa"/>
            <w:tcBorders>
              <w:top w:val="nil"/>
              <w:left w:val="nil"/>
              <w:bottom w:val="nil"/>
              <w:right w:val="nil"/>
            </w:tcBorders>
            <w:shd w:val="clear" w:color="auto" w:fill="auto"/>
            <w:noWrap/>
            <w:vAlign w:val="bottom"/>
            <w:hideMark/>
          </w:tcPr>
          <w:p w14:paraId="7E0D44B7"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460" w:type="dxa"/>
            <w:tcBorders>
              <w:top w:val="nil"/>
              <w:left w:val="nil"/>
              <w:bottom w:val="nil"/>
              <w:right w:val="nil"/>
            </w:tcBorders>
            <w:shd w:val="clear" w:color="auto" w:fill="auto"/>
            <w:noWrap/>
            <w:vAlign w:val="bottom"/>
            <w:hideMark/>
          </w:tcPr>
          <w:p w14:paraId="5E12282D"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(4,369)</w:t>
            </w:r>
          </w:p>
        </w:tc>
        <w:tc>
          <w:tcPr>
            <w:tcW w:w="1080" w:type="dxa"/>
            <w:tcBorders>
              <w:top w:val="nil"/>
              <w:left w:val="nil"/>
              <w:bottom w:val="nil"/>
              <w:right w:val="nil"/>
            </w:tcBorders>
            <w:shd w:val="clear" w:color="auto" w:fill="auto"/>
            <w:noWrap/>
            <w:vAlign w:val="bottom"/>
            <w:hideMark/>
          </w:tcPr>
          <w:p w14:paraId="799C1E63"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(3,402)</w:t>
            </w:r>
          </w:p>
        </w:tc>
        <w:tc>
          <w:tcPr>
            <w:tcW w:w="1080" w:type="dxa"/>
            <w:tcBorders>
              <w:top w:val="nil"/>
              <w:left w:val="nil"/>
              <w:bottom w:val="nil"/>
              <w:right w:val="nil"/>
            </w:tcBorders>
            <w:shd w:val="clear" w:color="auto" w:fill="auto"/>
            <w:noWrap/>
            <w:vAlign w:val="bottom"/>
            <w:hideMark/>
          </w:tcPr>
          <w:p w14:paraId="7546A636"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(7,771)</w:t>
            </w:r>
          </w:p>
        </w:tc>
      </w:tr>
      <w:tr w:rsidR="004408CC" w:rsidRPr="004408CC" w14:paraId="1AEDBAAF" w14:textId="77777777" w:rsidTr="0053787C">
        <w:trPr>
          <w:trHeight w:val="425"/>
          <w:jc w:val="center"/>
        </w:trPr>
        <w:tc>
          <w:tcPr>
            <w:tcW w:w="3160" w:type="dxa"/>
            <w:tcBorders>
              <w:top w:val="nil"/>
              <w:left w:val="nil"/>
              <w:bottom w:val="nil"/>
              <w:right w:val="nil"/>
            </w:tcBorders>
            <w:shd w:val="clear" w:color="auto" w:fill="auto"/>
            <w:vAlign w:val="bottom"/>
            <w:hideMark/>
          </w:tcPr>
          <w:p w14:paraId="27CD977D"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Accumulated depreciation/ amortisation and impairment - </w:t>
            </w:r>
            <w:proofErr w:type="spellStart"/>
            <w:r w:rsidRPr="004408CC">
              <w:rPr>
                <w:rFonts w:ascii="Arial" w:hAnsi="Arial" w:cs="Arial"/>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153968AF"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(7,099)</w:t>
            </w:r>
          </w:p>
        </w:tc>
        <w:tc>
          <w:tcPr>
            <w:tcW w:w="1460" w:type="dxa"/>
            <w:tcBorders>
              <w:top w:val="nil"/>
              <w:left w:val="nil"/>
              <w:bottom w:val="single" w:sz="4" w:space="0" w:color="auto"/>
              <w:right w:val="nil"/>
            </w:tcBorders>
            <w:shd w:val="clear" w:color="auto" w:fill="auto"/>
            <w:noWrap/>
            <w:vAlign w:val="bottom"/>
            <w:hideMark/>
          </w:tcPr>
          <w:p w14:paraId="5671C5FC"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65C5282A"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57A2C85F"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(7,099)</w:t>
            </w:r>
          </w:p>
        </w:tc>
      </w:tr>
      <w:tr w:rsidR="004408CC" w:rsidRPr="004408CC" w14:paraId="057CF778"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2D1F7AB5" w14:textId="77777777" w:rsidR="004408CC" w:rsidRPr="004408CC" w:rsidRDefault="004408CC" w:rsidP="004408CC">
            <w:pPr>
              <w:spacing w:before="0" w:after="0" w:line="240" w:lineRule="auto"/>
              <w:ind w:leftChars="75" w:left="143"/>
              <w:rPr>
                <w:rFonts w:ascii="Arial" w:hAnsi="Arial" w:cs="Arial"/>
                <w:b/>
                <w:bCs/>
                <w:sz w:val="16"/>
                <w:szCs w:val="16"/>
              </w:rPr>
            </w:pPr>
            <w:r w:rsidRPr="004408CC">
              <w:rPr>
                <w:rFonts w:ascii="Arial" w:hAnsi="Arial" w:cs="Arial"/>
                <w:b/>
                <w:bCs/>
                <w:sz w:val="16"/>
                <w:szCs w:val="16"/>
              </w:rPr>
              <w:t>Opening net book balance</w:t>
            </w:r>
          </w:p>
        </w:tc>
        <w:tc>
          <w:tcPr>
            <w:tcW w:w="1080" w:type="dxa"/>
            <w:tcBorders>
              <w:top w:val="nil"/>
              <w:left w:val="nil"/>
              <w:bottom w:val="single" w:sz="4" w:space="0" w:color="auto"/>
              <w:right w:val="nil"/>
            </w:tcBorders>
            <w:shd w:val="clear" w:color="auto" w:fill="auto"/>
            <w:noWrap/>
            <w:vAlign w:val="bottom"/>
            <w:hideMark/>
          </w:tcPr>
          <w:p w14:paraId="2BB32EE6"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26,535 </w:t>
            </w:r>
          </w:p>
        </w:tc>
        <w:tc>
          <w:tcPr>
            <w:tcW w:w="1460" w:type="dxa"/>
            <w:tcBorders>
              <w:top w:val="nil"/>
              <w:left w:val="nil"/>
              <w:bottom w:val="single" w:sz="4" w:space="0" w:color="auto"/>
              <w:right w:val="nil"/>
            </w:tcBorders>
            <w:shd w:val="clear" w:color="auto" w:fill="auto"/>
            <w:noWrap/>
            <w:vAlign w:val="bottom"/>
            <w:hideMark/>
          </w:tcPr>
          <w:p w14:paraId="141AE96D"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10,126 </w:t>
            </w:r>
          </w:p>
        </w:tc>
        <w:tc>
          <w:tcPr>
            <w:tcW w:w="1080" w:type="dxa"/>
            <w:tcBorders>
              <w:top w:val="nil"/>
              <w:left w:val="nil"/>
              <w:bottom w:val="single" w:sz="4" w:space="0" w:color="auto"/>
              <w:right w:val="nil"/>
            </w:tcBorders>
            <w:shd w:val="clear" w:color="auto" w:fill="auto"/>
            <w:noWrap/>
            <w:vAlign w:val="bottom"/>
            <w:hideMark/>
          </w:tcPr>
          <w:p w14:paraId="6779B317"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11 </w:t>
            </w:r>
          </w:p>
        </w:tc>
        <w:tc>
          <w:tcPr>
            <w:tcW w:w="1080" w:type="dxa"/>
            <w:tcBorders>
              <w:top w:val="nil"/>
              <w:left w:val="nil"/>
              <w:bottom w:val="single" w:sz="4" w:space="0" w:color="auto"/>
              <w:right w:val="nil"/>
            </w:tcBorders>
            <w:shd w:val="clear" w:color="auto" w:fill="auto"/>
            <w:noWrap/>
            <w:vAlign w:val="bottom"/>
            <w:hideMark/>
          </w:tcPr>
          <w:p w14:paraId="42D877E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36,672 </w:t>
            </w:r>
          </w:p>
        </w:tc>
      </w:tr>
      <w:tr w:rsidR="004408CC" w:rsidRPr="004408CC" w14:paraId="5E5C6AE7" w14:textId="77777777" w:rsidTr="0053787C">
        <w:trPr>
          <w:trHeight w:val="283"/>
          <w:jc w:val="center"/>
        </w:trPr>
        <w:tc>
          <w:tcPr>
            <w:tcW w:w="3160" w:type="dxa"/>
            <w:tcBorders>
              <w:top w:val="nil"/>
              <w:left w:val="nil"/>
              <w:bottom w:val="nil"/>
              <w:right w:val="nil"/>
            </w:tcBorders>
            <w:shd w:val="clear" w:color="auto" w:fill="auto"/>
            <w:noWrap/>
            <w:vAlign w:val="bottom"/>
            <w:hideMark/>
          </w:tcPr>
          <w:p w14:paraId="262E778F" w14:textId="77777777" w:rsidR="004408CC" w:rsidRPr="004408CC" w:rsidRDefault="004408CC" w:rsidP="004408CC">
            <w:pPr>
              <w:spacing w:before="0" w:after="0" w:line="240" w:lineRule="auto"/>
              <w:rPr>
                <w:rFonts w:ascii="Arial" w:hAnsi="Arial" w:cs="Arial"/>
                <w:b/>
                <w:bCs/>
                <w:sz w:val="16"/>
                <w:szCs w:val="16"/>
              </w:rPr>
            </w:pPr>
            <w:r w:rsidRPr="004408CC">
              <w:rPr>
                <w:rFonts w:ascii="Arial" w:hAnsi="Arial" w:cs="Arial"/>
                <w:b/>
                <w:bCs/>
                <w:sz w:val="16"/>
                <w:szCs w:val="16"/>
              </w:rPr>
              <w:t>CAPITAL ASSET ADDITIONS</w:t>
            </w:r>
          </w:p>
        </w:tc>
        <w:tc>
          <w:tcPr>
            <w:tcW w:w="1080" w:type="dxa"/>
            <w:tcBorders>
              <w:top w:val="nil"/>
              <w:left w:val="nil"/>
              <w:bottom w:val="nil"/>
              <w:right w:val="nil"/>
            </w:tcBorders>
            <w:shd w:val="clear" w:color="auto" w:fill="auto"/>
            <w:noWrap/>
            <w:vAlign w:val="bottom"/>
            <w:hideMark/>
          </w:tcPr>
          <w:p w14:paraId="5FAD6EEE" w14:textId="77777777" w:rsidR="004408CC" w:rsidRPr="004408CC" w:rsidRDefault="004408CC" w:rsidP="004408CC">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1B859354"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6E71C272"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D3D93D1" w14:textId="77777777" w:rsidR="004408CC" w:rsidRPr="004408CC" w:rsidRDefault="004408CC" w:rsidP="004408CC">
            <w:pPr>
              <w:spacing w:before="0" w:after="0" w:line="240" w:lineRule="auto"/>
              <w:jc w:val="right"/>
              <w:rPr>
                <w:rFonts w:ascii="Times New Roman" w:hAnsi="Times New Roman"/>
                <w:sz w:val="20"/>
              </w:rPr>
            </w:pPr>
          </w:p>
        </w:tc>
      </w:tr>
      <w:tr w:rsidR="004408CC" w:rsidRPr="004408CC" w14:paraId="42D14B37" w14:textId="77777777" w:rsidTr="0053787C">
        <w:trPr>
          <w:trHeight w:val="425"/>
          <w:jc w:val="center"/>
        </w:trPr>
        <w:tc>
          <w:tcPr>
            <w:tcW w:w="3160" w:type="dxa"/>
            <w:tcBorders>
              <w:top w:val="nil"/>
              <w:left w:val="nil"/>
              <w:bottom w:val="nil"/>
              <w:right w:val="nil"/>
            </w:tcBorders>
            <w:shd w:val="clear" w:color="auto" w:fill="auto"/>
            <w:vAlign w:val="bottom"/>
            <w:hideMark/>
          </w:tcPr>
          <w:p w14:paraId="1A7DFFAE" w14:textId="77777777" w:rsidR="004408CC" w:rsidRPr="004408CC" w:rsidRDefault="004408CC" w:rsidP="004408CC">
            <w:pPr>
              <w:spacing w:before="0" w:after="0" w:line="240" w:lineRule="auto"/>
              <w:ind w:leftChars="75" w:left="143"/>
              <w:rPr>
                <w:rFonts w:ascii="Arial" w:hAnsi="Arial" w:cs="Arial"/>
                <w:b/>
                <w:bCs/>
                <w:sz w:val="16"/>
                <w:szCs w:val="16"/>
              </w:rPr>
            </w:pPr>
            <w:r w:rsidRPr="004408CC">
              <w:rPr>
                <w:rFonts w:ascii="Arial" w:hAnsi="Arial" w:cs="Arial"/>
                <w:b/>
                <w:bCs/>
                <w:sz w:val="16"/>
                <w:szCs w:val="16"/>
              </w:rPr>
              <w:t>Estimated expenditure on new or replacement assets</w:t>
            </w:r>
          </w:p>
        </w:tc>
        <w:tc>
          <w:tcPr>
            <w:tcW w:w="1080" w:type="dxa"/>
            <w:tcBorders>
              <w:top w:val="nil"/>
              <w:left w:val="nil"/>
              <w:bottom w:val="nil"/>
              <w:right w:val="nil"/>
            </w:tcBorders>
            <w:shd w:val="clear" w:color="auto" w:fill="auto"/>
            <w:noWrap/>
            <w:vAlign w:val="bottom"/>
            <w:hideMark/>
          </w:tcPr>
          <w:p w14:paraId="6EC66EEE" w14:textId="77777777" w:rsidR="004408CC" w:rsidRPr="004408CC" w:rsidRDefault="004408CC" w:rsidP="004408CC">
            <w:pPr>
              <w:spacing w:before="0" w:after="0" w:line="240" w:lineRule="auto"/>
              <w:ind w:firstLineChars="100" w:firstLine="161"/>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4D9A8D8E"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3D356C69"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458CBA3B" w14:textId="77777777" w:rsidR="004408CC" w:rsidRPr="004408CC" w:rsidRDefault="004408CC" w:rsidP="004408CC">
            <w:pPr>
              <w:spacing w:before="0" w:after="0" w:line="240" w:lineRule="auto"/>
              <w:jc w:val="right"/>
              <w:rPr>
                <w:rFonts w:ascii="Times New Roman" w:hAnsi="Times New Roman"/>
                <w:sz w:val="20"/>
              </w:rPr>
            </w:pPr>
          </w:p>
        </w:tc>
      </w:tr>
      <w:tr w:rsidR="004408CC" w:rsidRPr="004408CC" w14:paraId="719FD2F3" w14:textId="77777777" w:rsidTr="0053787C">
        <w:trPr>
          <w:trHeight w:val="227"/>
          <w:jc w:val="center"/>
        </w:trPr>
        <w:tc>
          <w:tcPr>
            <w:tcW w:w="3160" w:type="dxa"/>
            <w:tcBorders>
              <w:top w:val="nil"/>
              <w:left w:val="nil"/>
              <w:bottom w:val="nil"/>
              <w:right w:val="nil"/>
            </w:tcBorders>
            <w:shd w:val="clear" w:color="auto" w:fill="auto"/>
            <w:vAlign w:val="bottom"/>
            <w:hideMark/>
          </w:tcPr>
          <w:p w14:paraId="723F5864"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By purchase - internally funded</w:t>
            </w:r>
          </w:p>
        </w:tc>
        <w:tc>
          <w:tcPr>
            <w:tcW w:w="1080" w:type="dxa"/>
            <w:tcBorders>
              <w:top w:val="nil"/>
              <w:left w:val="nil"/>
              <w:bottom w:val="nil"/>
              <w:right w:val="nil"/>
            </w:tcBorders>
            <w:shd w:val="clear" w:color="auto" w:fill="auto"/>
            <w:noWrap/>
            <w:vAlign w:val="bottom"/>
            <w:hideMark/>
          </w:tcPr>
          <w:p w14:paraId="032EE540"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5,100 </w:t>
            </w:r>
          </w:p>
        </w:tc>
        <w:tc>
          <w:tcPr>
            <w:tcW w:w="1460" w:type="dxa"/>
            <w:tcBorders>
              <w:top w:val="nil"/>
              <w:left w:val="nil"/>
              <w:bottom w:val="nil"/>
              <w:right w:val="nil"/>
            </w:tcBorders>
            <w:shd w:val="clear" w:color="auto" w:fill="auto"/>
            <w:noWrap/>
            <w:vAlign w:val="bottom"/>
            <w:hideMark/>
          </w:tcPr>
          <w:p w14:paraId="391D7189"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2,000 </w:t>
            </w:r>
          </w:p>
        </w:tc>
        <w:tc>
          <w:tcPr>
            <w:tcW w:w="1080" w:type="dxa"/>
            <w:tcBorders>
              <w:top w:val="nil"/>
              <w:left w:val="nil"/>
              <w:bottom w:val="nil"/>
              <w:right w:val="nil"/>
            </w:tcBorders>
            <w:shd w:val="clear" w:color="auto" w:fill="auto"/>
            <w:noWrap/>
            <w:vAlign w:val="bottom"/>
            <w:hideMark/>
          </w:tcPr>
          <w:p w14:paraId="399971D5"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850 </w:t>
            </w:r>
          </w:p>
        </w:tc>
        <w:tc>
          <w:tcPr>
            <w:tcW w:w="1080" w:type="dxa"/>
            <w:tcBorders>
              <w:top w:val="nil"/>
              <w:left w:val="nil"/>
              <w:bottom w:val="nil"/>
              <w:right w:val="nil"/>
            </w:tcBorders>
            <w:shd w:val="clear" w:color="auto" w:fill="auto"/>
            <w:noWrap/>
            <w:vAlign w:val="bottom"/>
            <w:hideMark/>
          </w:tcPr>
          <w:p w14:paraId="4EB0D9C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7,950 </w:t>
            </w:r>
          </w:p>
        </w:tc>
      </w:tr>
      <w:tr w:rsidR="004408CC" w:rsidRPr="004408CC" w14:paraId="1DC19BF9" w14:textId="77777777" w:rsidTr="0053787C">
        <w:trPr>
          <w:trHeight w:val="227"/>
          <w:jc w:val="center"/>
        </w:trPr>
        <w:tc>
          <w:tcPr>
            <w:tcW w:w="3160" w:type="dxa"/>
            <w:tcBorders>
              <w:top w:val="nil"/>
              <w:left w:val="nil"/>
              <w:bottom w:val="nil"/>
              <w:right w:val="nil"/>
            </w:tcBorders>
            <w:shd w:val="clear" w:color="auto" w:fill="auto"/>
            <w:vAlign w:val="bottom"/>
            <w:hideMark/>
          </w:tcPr>
          <w:p w14:paraId="1B6CB9CD"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By purchase - </w:t>
            </w:r>
            <w:proofErr w:type="spellStart"/>
            <w:r w:rsidRPr="004408CC">
              <w:rPr>
                <w:rFonts w:ascii="Arial" w:hAnsi="Arial" w:cs="Arial"/>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3520BB53"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7,141 </w:t>
            </w:r>
          </w:p>
        </w:tc>
        <w:tc>
          <w:tcPr>
            <w:tcW w:w="1460" w:type="dxa"/>
            <w:tcBorders>
              <w:top w:val="nil"/>
              <w:left w:val="nil"/>
              <w:bottom w:val="single" w:sz="4" w:space="0" w:color="auto"/>
              <w:right w:val="nil"/>
            </w:tcBorders>
            <w:shd w:val="clear" w:color="auto" w:fill="auto"/>
            <w:noWrap/>
            <w:vAlign w:val="bottom"/>
            <w:hideMark/>
          </w:tcPr>
          <w:p w14:paraId="43BF2E6D"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1864EC2F"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72C57FB8"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7,141 </w:t>
            </w:r>
          </w:p>
        </w:tc>
      </w:tr>
      <w:tr w:rsidR="004408CC" w:rsidRPr="004408CC" w14:paraId="14149C93"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2789691D" w14:textId="77777777" w:rsidR="004408CC" w:rsidRPr="004408CC" w:rsidRDefault="004408CC" w:rsidP="004408CC">
            <w:pPr>
              <w:spacing w:before="0" w:after="0" w:line="240" w:lineRule="auto"/>
              <w:ind w:leftChars="75" w:left="143"/>
              <w:rPr>
                <w:rFonts w:ascii="Arial" w:hAnsi="Arial" w:cs="Arial"/>
                <w:b/>
                <w:bCs/>
                <w:color w:val="000000"/>
                <w:sz w:val="16"/>
                <w:szCs w:val="16"/>
              </w:rPr>
            </w:pPr>
            <w:r w:rsidRPr="004408CC">
              <w:rPr>
                <w:rFonts w:ascii="Arial" w:hAnsi="Arial" w:cs="Arial"/>
                <w:b/>
                <w:bCs/>
                <w:color w:val="000000"/>
                <w:sz w:val="16"/>
                <w:szCs w:val="16"/>
              </w:rPr>
              <w:t>Total additions</w:t>
            </w:r>
          </w:p>
        </w:tc>
        <w:tc>
          <w:tcPr>
            <w:tcW w:w="1080" w:type="dxa"/>
            <w:tcBorders>
              <w:top w:val="nil"/>
              <w:left w:val="nil"/>
              <w:bottom w:val="single" w:sz="4" w:space="0" w:color="auto"/>
              <w:right w:val="nil"/>
            </w:tcBorders>
            <w:shd w:val="clear" w:color="auto" w:fill="auto"/>
            <w:noWrap/>
            <w:vAlign w:val="bottom"/>
            <w:hideMark/>
          </w:tcPr>
          <w:p w14:paraId="5D924637"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12,241 </w:t>
            </w:r>
          </w:p>
        </w:tc>
        <w:tc>
          <w:tcPr>
            <w:tcW w:w="1460" w:type="dxa"/>
            <w:tcBorders>
              <w:top w:val="nil"/>
              <w:left w:val="nil"/>
              <w:bottom w:val="single" w:sz="4" w:space="0" w:color="auto"/>
              <w:right w:val="nil"/>
            </w:tcBorders>
            <w:shd w:val="clear" w:color="auto" w:fill="auto"/>
            <w:noWrap/>
            <w:vAlign w:val="bottom"/>
            <w:hideMark/>
          </w:tcPr>
          <w:p w14:paraId="4F9C8D2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2,000 </w:t>
            </w:r>
          </w:p>
        </w:tc>
        <w:tc>
          <w:tcPr>
            <w:tcW w:w="1080" w:type="dxa"/>
            <w:tcBorders>
              <w:top w:val="nil"/>
              <w:left w:val="nil"/>
              <w:bottom w:val="single" w:sz="4" w:space="0" w:color="auto"/>
              <w:right w:val="nil"/>
            </w:tcBorders>
            <w:shd w:val="clear" w:color="auto" w:fill="auto"/>
            <w:noWrap/>
            <w:vAlign w:val="bottom"/>
            <w:hideMark/>
          </w:tcPr>
          <w:p w14:paraId="43E04E4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850 </w:t>
            </w:r>
          </w:p>
        </w:tc>
        <w:tc>
          <w:tcPr>
            <w:tcW w:w="1080" w:type="dxa"/>
            <w:tcBorders>
              <w:top w:val="nil"/>
              <w:left w:val="nil"/>
              <w:bottom w:val="single" w:sz="4" w:space="0" w:color="auto"/>
              <w:right w:val="nil"/>
            </w:tcBorders>
            <w:shd w:val="clear" w:color="auto" w:fill="auto"/>
            <w:noWrap/>
            <w:vAlign w:val="bottom"/>
            <w:hideMark/>
          </w:tcPr>
          <w:p w14:paraId="0F28320C"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15,091 </w:t>
            </w:r>
          </w:p>
        </w:tc>
      </w:tr>
      <w:tr w:rsidR="004408CC" w:rsidRPr="004408CC" w14:paraId="1863DF12" w14:textId="77777777" w:rsidTr="0053787C">
        <w:trPr>
          <w:trHeight w:val="283"/>
          <w:jc w:val="center"/>
        </w:trPr>
        <w:tc>
          <w:tcPr>
            <w:tcW w:w="3160" w:type="dxa"/>
            <w:tcBorders>
              <w:top w:val="nil"/>
              <w:left w:val="nil"/>
              <w:bottom w:val="nil"/>
              <w:right w:val="nil"/>
            </w:tcBorders>
            <w:shd w:val="clear" w:color="auto" w:fill="auto"/>
            <w:noWrap/>
            <w:vAlign w:val="bottom"/>
            <w:hideMark/>
          </w:tcPr>
          <w:p w14:paraId="75C77F4D" w14:textId="77777777" w:rsidR="004408CC" w:rsidRPr="004408CC" w:rsidRDefault="004408CC" w:rsidP="004408CC">
            <w:pPr>
              <w:spacing w:before="0" w:after="0" w:line="240" w:lineRule="auto"/>
              <w:rPr>
                <w:rFonts w:ascii="Arial" w:hAnsi="Arial" w:cs="Arial"/>
                <w:b/>
                <w:bCs/>
                <w:sz w:val="16"/>
                <w:szCs w:val="16"/>
              </w:rPr>
            </w:pPr>
            <w:r w:rsidRPr="004408CC">
              <w:rPr>
                <w:rFonts w:ascii="Arial" w:hAnsi="Arial" w:cs="Arial"/>
                <w:b/>
                <w:bCs/>
                <w:sz w:val="16"/>
                <w:szCs w:val="16"/>
              </w:rPr>
              <w:t>Other movements</w:t>
            </w:r>
          </w:p>
        </w:tc>
        <w:tc>
          <w:tcPr>
            <w:tcW w:w="1080" w:type="dxa"/>
            <w:tcBorders>
              <w:top w:val="nil"/>
              <w:left w:val="nil"/>
              <w:bottom w:val="nil"/>
              <w:right w:val="nil"/>
            </w:tcBorders>
            <w:shd w:val="clear" w:color="auto" w:fill="auto"/>
            <w:noWrap/>
            <w:vAlign w:val="bottom"/>
            <w:hideMark/>
          </w:tcPr>
          <w:p w14:paraId="016BAD41" w14:textId="77777777" w:rsidR="004408CC" w:rsidRPr="004408CC" w:rsidRDefault="004408CC" w:rsidP="004408CC">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1AE248E5"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76132818"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57F6212F" w14:textId="77777777" w:rsidR="004408CC" w:rsidRPr="004408CC" w:rsidRDefault="004408CC" w:rsidP="004408CC">
            <w:pPr>
              <w:spacing w:before="0" w:after="0" w:line="240" w:lineRule="auto"/>
              <w:jc w:val="right"/>
              <w:rPr>
                <w:rFonts w:ascii="Times New Roman" w:hAnsi="Times New Roman"/>
                <w:sz w:val="20"/>
              </w:rPr>
            </w:pPr>
          </w:p>
        </w:tc>
      </w:tr>
      <w:tr w:rsidR="004408CC" w:rsidRPr="004408CC" w14:paraId="232C8603"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4A716498"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Depreciation/amortisation expense</w:t>
            </w:r>
          </w:p>
        </w:tc>
        <w:tc>
          <w:tcPr>
            <w:tcW w:w="1080" w:type="dxa"/>
            <w:tcBorders>
              <w:top w:val="nil"/>
              <w:left w:val="nil"/>
              <w:bottom w:val="nil"/>
              <w:right w:val="nil"/>
            </w:tcBorders>
            <w:shd w:val="clear" w:color="auto" w:fill="auto"/>
            <w:noWrap/>
            <w:vAlign w:val="bottom"/>
            <w:hideMark/>
          </w:tcPr>
          <w:p w14:paraId="7B2CF7C0"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(1,020)</w:t>
            </w:r>
          </w:p>
        </w:tc>
        <w:tc>
          <w:tcPr>
            <w:tcW w:w="1460" w:type="dxa"/>
            <w:tcBorders>
              <w:top w:val="nil"/>
              <w:left w:val="nil"/>
              <w:bottom w:val="nil"/>
              <w:right w:val="nil"/>
            </w:tcBorders>
            <w:shd w:val="clear" w:color="auto" w:fill="auto"/>
            <w:noWrap/>
            <w:vAlign w:val="bottom"/>
            <w:hideMark/>
          </w:tcPr>
          <w:p w14:paraId="07298D78"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(2,932)</w:t>
            </w:r>
          </w:p>
        </w:tc>
        <w:tc>
          <w:tcPr>
            <w:tcW w:w="1080" w:type="dxa"/>
            <w:tcBorders>
              <w:top w:val="nil"/>
              <w:left w:val="nil"/>
              <w:bottom w:val="nil"/>
              <w:right w:val="nil"/>
            </w:tcBorders>
            <w:shd w:val="clear" w:color="auto" w:fill="auto"/>
            <w:noWrap/>
            <w:vAlign w:val="bottom"/>
            <w:hideMark/>
          </w:tcPr>
          <w:p w14:paraId="6024ECDD"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(223)</w:t>
            </w:r>
          </w:p>
        </w:tc>
        <w:tc>
          <w:tcPr>
            <w:tcW w:w="1080" w:type="dxa"/>
            <w:tcBorders>
              <w:top w:val="nil"/>
              <w:left w:val="nil"/>
              <w:bottom w:val="nil"/>
              <w:right w:val="nil"/>
            </w:tcBorders>
            <w:shd w:val="clear" w:color="auto" w:fill="auto"/>
            <w:noWrap/>
            <w:vAlign w:val="bottom"/>
            <w:hideMark/>
          </w:tcPr>
          <w:p w14:paraId="039FC3F0"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(4,175)</w:t>
            </w:r>
          </w:p>
        </w:tc>
      </w:tr>
      <w:tr w:rsidR="004408CC" w:rsidRPr="004408CC" w14:paraId="7FD7AB01" w14:textId="77777777" w:rsidTr="0053787C">
        <w:trPr>
          <w:trHeight w:val="425"/>
          <w:jc w:val="center"/>
        </w:trPr>
        <w:tc>
          <w:tcPr>
            <w:tcW w:w="3160" w:type="dxa"/>
            <w:tcBorders>
              <w:top w:val="nil"/>
              <w:left w:val="nil"/>
              <w:bottom w:val="nil"/>
              <w:right w:val="nil"/>
            </w:tcBorders>
            <w:shd w:val="clear" w:color="auto" w:fill="auto"/>
            <w:vAlign w:val="bottom"/>
            <w:hideMark/>
          </w:tcPr>
          <w:p w14:paraId="7E1DE0ED"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Depreciation/amortisation expense - </w:t>
            </w:r>
            <w:proofErr w:type="spellStart"/>
            <w:r w:rsidRPr="004408CC">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5B4ADB02"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(6,739)</w:t>
            </w:r>
          </w:p>
        </w:tc>
        <w:tc>
          <w:tcPr>
            <w:tcW w:w="1460" w:type="dxa"/>
            <w:tcBorders>
              <w:top w:val="nil"/>
              <w:left w:val="nil"/>
              <w:bottom w:val="nil"/>
              <w:right w:val="nil"/>
            </w:tcBorders>
            <w:shd w:val="clear" w:color="auto" w:fill="auto"/>
            <w:noWrap/>
            <w:vAlign w:val="bottom"/>
            <w:hideMark/>
          </w:tcPr>
          <w:p w14:paraId="61C0BFC1"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3A893BC3"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3DC669DA"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(6,739)</w:t>
            </w:r>
          </w:p>
        </w:tc>
      </w:tr>
      <w:tr w:rsidR="004408CC" w:rsidRPr="004408CC" w14:paraId="2B658C81"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0FC84B43" w14:textId="77777777" w:rsidR="004408CC" w:rsidRPr="004408CC" w:rsidRDefault="004408CC" w:rsidP="004408CC">
            <w:pPr>
              <w:spacing w:before="0" w:after="0" w:line="240" w:lineRule="auto"/>
              <w:ind w:leftChars="75" w:left="143"/>
              <w:rPr>
                <w:rFonts w:ascii="Arial" w:hAnsi="Arial" w:cs="Arial"/>
                <w:b/>
                <w:bCs/>
                <w:color w:val="000000"/>
                <w:sz w:val="16"/>
                <w:szCs w:val="16"/>
              </w:rPr>
            </w:pPr>
            <w:r w:rsidRPr="004408CC">
              <w:rPr>
                <w:rFonts w:ascii="Arial" w:hAnsi="Arial" w:cs="Arial"/>
                <w:b/>
                <w:bCs/>
                <w:color w:val="000000"/>
                <w:sz w:val="16"/>
                <w:szCs w:val="16"/>
              </w:rPr>
              <w:t>Total other movements</w:t>
            </w:r>
          </w:p>
        </w:tc>
        <w:tc>
          <w:tcPr>
            <w:tcW w:w="1080" w:type="dxa"/>
            <w:tcBorders>
              <w:top w:val="single" w:sz="4" w:space="0" w:color="auto"/>
              <w:left w:val="nil"/>
              <w:bottom w:val="single" w:sz="4" w:space="0" w:color="auto"/>
              <w:right w:val="nil"/>
            </w:tcBorders>
            <w:shd w:val="clear" w:color="auto" w:fill="auto"/>
            <w:noWrap/>
            <w:vAlign w:val="bottom"/>
            <w:hideMark/>
          </w:tcPr>
          <w:p w14:paraId="11FC139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(7,759)</w:t>
            </w:r>
          </w:p>
        </w:tc>
        <w:tc>
          <w:tcPr>
            <w:tcW w:w="1460" w:type="dxa"/>
            <w:tcBorders>
              <w:top w:val="single" w:sz="4" w:space="0" w:color="auto"/>
              <w:left w:val="nil"/>
              <w:bottom w:val="single" w:sz="4" w:space="0" w:color="auto"/>
              <w:right w:val="nil"/>
            </w:tcBorders>
            <w:shd w:val="clear" w:color="auto" w:fill="auto"/>
            <w:noWrap/>
            <w:vAlign w:val="bottom"/>
            <w:hideMark/>
          </w:tcPr>
          <w:p w14:paraId="0E888849"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(2,932)</w:t>
            </w:r>
          </w:p>
        </w:tc>
        <w:tc>
          <w:tcPr>
            <w:tcW w:w="1080" w:type="dxa"/>
            <w:tcBorders>
              <w:top w:val="single" w:sz="4" w:space="0" w:color="auto"/>
              <w:left w:val="nil"/>
              <w:bottom w:val="single" w:sz="4" w:space="0" w:color="auto"/>
              <w:right w:val="nil"/>
            </w:tcBorders>
            <w:shd w:val="clear" w:color="auto" w:fill="auto"/>
            <w:noWrap/>
            <w:vAlign w:val="bottom"/>
            <w:hideMark/>
          </w:tcPr>
          <w:p w14:paraId="26E118BC"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(223)</w:t>
            </w:r>
          </w:p>
        </w:tc>
        <w:tc>
          <w:tcPr>
            <w:tcW w:w="1080" w:type="dxa"/>
            <w:tcBorders>
              <w:top w:val="single" w:sz="4" w:space="0" w:color="auto"/>
              <w:left w:val="nil"/>
              <w:bottom w:val="single" w:sz="4" w:space="0" w:color="auto"/>
              <w:right w:val="nil"/>
            </w:tcBorders>
            <w:shd w:val="clear" w:color="auto" w:fill="auto"/>
            <w:noWrap/>
            <w:vAlign w:val="bottom"/>
            <w:hideMark/>
          </w:tcPr>
          <w:p w14:paraId="247EB153"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(10,914)</w:t>
            </w:r>
          </w:p>
        </w:tc>
      </w:tr>
      <w:tr w:rsidR="004408CC" w:rsidRPr="004408CC" w14:paraId="015661B5" w14:textId="77777777" w:rsidTr="0053787C">
        <w:trPr>
          <w:trHeight w:val="283"/>
          <w:jc w:val="center"/>
        </w:trPr>
        <w:tc>
          <w:tcPr>
            <w:tcW w:w="3160" w:type="dxa"/>
            <w:tcBorders>
              <w:top w:val="nil"/>
              <w:left w:val="nil"/>
              <w:bottom w:val="nil"/>
              <w:right w:val="nil"/>
            </w:tcBorders>
            <w:shd w:val="clear" w:color="auto" w:fill="auto"/>
            <w:noWrap/>
            <w:vAlign w:val="bottom"/>
            <w:hideMark/>
          </w:tcPr>
          <w:p w14:paraId="71CBF20C" w14:textId="77777777" w:rsidR="004408CC" w:rsidRPr="004408CC" w:rsidRDefault="004408CC" w:rsidP="004408CC">
            <w:pPr>
              <w:spacing w:before="0" w:after="0" w:line="240" w:lineRule="auto"/>
              <w:rPr>
                <w:rFonts w:ascii="Arial" w:hAnsi="Arial" w:cs="Arial"/>
                <w:b/>
                <w:bCs/>
                <w:sz w:val="16"/>
                <w:szCs w:val="16"/>
              </w:rPr>
            </w:pPr>
            <w:r w:rsidRPr="004408CC">
              <w:rPr>
                <w:rFonts w:ascii="Arial" w:hAnsi="Arial" w:cs="Arial"/>
                <w:b/>
                <w:bCs/>
                <w:sz w:val="16"/>
                <w:szCs w:val="16"/>
              </w:rPr>
              <w:t xml:space="preserve">As </w:t>
            </w:r>
            <w:proofErr w:type="gramStart"/>
            <w:r w:rsidRPr="004408CC">
              <w:rPr>
                <w:rFonts w:ascii="Arial" w:hAnsi="Arial" w:cs="Arial"/>
                <w:b/>
                <w:bCs/>
                <w:sz w:val="16"/>
                <w:szCs w:val="16"/>
              </w:rPr>
              <w:t>at</w:t>
            </w:r>
            <w:proofErr w:type="gramEnd"/>
            <w:r w:rsidRPr="004408CC">
              <w:rPr>
                <w:rFonts w:ascii="Arial" w:hAnsi="Arial" w:cs="Arial"/>
                <w:b/>
                <w:bCs/>
                <w:sz w:val="16"/>
                <w:szCs w:val="16"/>
              </w:rPr>
              <w:t xml:space="preserve"> 30 June 2024</w:t>
            </w:r>
          </w:p>
        </w:tc>
        <w:tc>
          <w:tcPr>
            <w:tcW w:w="1080" w:type="dxa"/>
            <w:tcBorders>
              <w:top w:val="nil"/>
              <w:left w:val="nil"/>
              <w:bottom w:val="nil"/>
              <w:right w:val="nil"/>
            </w:tcBorders>
            <w:shd w:val="clear" w:color="auto" w:fill="auto"/>
            <w:noWrap/>
            <w:vAlign w:val="bottom"/>
            <w:hideMark/>
          </w:tcPr>
          <w:p w14:paraId="3811B79D" w14:textId="77777777" w:rsidR="004408CC" w:rsidRPr="004408CC" w:rsidRDefault="004408CC" w:rsidP="004408CC">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1ABDC240"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7CD1DE46" w14:textId="77777777" w:rsidR="004408CC" w:rsidRPr="004408CC" w:rsidRDefault="004408CC" w:rsidP="004408CC">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A491925" w14:textId="77777777" w:rsidR="004408CC" w:rsidRPr="004408CC" w:rsidRDefault="004408CC" w:rsidP="004408CC">
            <w:pPr>
              <w:spacing w:before="0" w:after="0" w:line="240" w:lineRule="auto"/>
              <w:jc w:val="right"/>
              <w:rPr>
                <w:rFonts w:ascii="Times New Roman" w:hAnsi="Times New Roman"/>
                <w:sz w:val="20"/>
              </w:rPr>
            </w:pPr>
          </w:p>
        </w:tc>
      </w:tr>
      <w:tr w:rsidR="004408CC" w:rsidRPr="004408CC" w14:paraId="3E0D35A3"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69EF183F"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Gross book value</w:t>
            </w:r>
          </w:p>
        </w:tc>
        <w:tc>
          <w:tcPr>
            <w:tcW w:w="1080" w:type="dxa"/>
            <w:tcBorders>
              <w:top w:val="nil"/>
              <w:left w:val="nil"/>
              <w:bottom w:val="nil"/>
              <w:right w:val="nil"/>
            </w:tcBorders>
            <w:shd w:val="clear" w:color="auto" w:fill="auto"/>
            <w:noWrap/>
            <w:vAlign w:val="bottom"/>
            <w:hideMark/>
          </w:tcPr>
          <w:p w14:paraId="14820B46"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5,100 </w:t>
            </w:r>
          </w:p>
        </w:tc>
        <w:tc>
          <w:tcPr>
            <w:tcW w:w="1460" w:type="dxa"/>
            <w:tcBorders>
              <w:top w:val="nil"/>
              <w:left w:val="nil"/>
              <w:bottom w:val="nil"/>
              <w:right w:val="nil"/>
            </w:tcBorders>
            <w:shd w:val="clear" w:color="auto" w:fill="auto"/>
            <w:noWrap/>
            <w:vAlign w:val="bottom"/>
            <w:hideMark/>
          </w:tcPr>
          <w:p w14:paraId="5BF727F6"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16,495 </w:t>
            </w:r>
          </w:p>
        </w:tc>
        <w:tc>
          <w:tcPr>
            <w:tcW w:w="1080" w:type="dxa"/>
            <w:tcBorders>
              <w:top w:val="nil"/>
              <w:left w:val="nil"/>
              <w:bottom w:val="nil"/>
              <w:right w:val="nil"/>
            </w:tcBorders>
            <w:shd w:val="clear" w:color="auto" w:fill="auto"/>
            <w:noWrap/>
            <w:vAlign w:val="bottom"/>
            <w:hideMark/>
          </w:tcPr>
          <w:p w14:paraId="33C4F6AA"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4,263 </w:t>
            </w:r>
          </w:p>
        </w:tc>
        <w:tc>
          <w:tcPr>
            <w:tcW w:w="1080" w:type="dxa"/>
            <w:tcBorders>
              <w:top w:val="nil"/>
              <w:left w:val="nil"/>
              <w:bottom w:val="nil"/>
              <w:right w:val="nil"/>
            </w:tcBorders>
            <w:shd w:val="clear" w:color="auto" w:fill="auto"/>
            <w:noWrap/>
            <w:vAlign w:val="bottom"/>
            <w:hideMark/>
          </w:tcPr>
          <w:p w14:paraId="2637999F"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25,858 </w:t>
            </w:r>
          </w:p>
        </w:tc>
      </w:tr>
      <w:tr w:rsidR="004408CC" w:rsidRPr="004408CC" w14:paraId="2637CE91" w14:textId="77777777" w:rsidTr="004408CC">
        <w:trPr>
          <w:trHeight w:val="225"/>
          <w:jc w:val="center"/>
        </w:trPr>
        <w:tc>
          <w:tcPr>
            <w:tcW w:w="3160" w:type="dxa"/>
            <w:tcBorders>
              <w:top w:val="nil"/>
              <w:left w:val="nil"/>
              <w:bottom w:val="nil"/>
              <w:right w:val="nil"/>
            </w:tcBorders>
            <w:shd w:val="clear" w:color="auto" w:fill="auto"/>
            <w:noWrap/>
            <w:vAlign w:val="bottom"/>
            <w:hideMark/>
          </w:tcPr>
          <w:p w14:paraId="1BCF95FE"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Gross book value - </w:t>
            </w:r>
            <w:proofErr w:type="spellStart"/>
            <w:r w:rsidRPr="004408CC">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05B9FAB5"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40,775 </w:t>
            </w:r>
          </w:p>
        </w:tc>
        <w:tc>
          <w:tcPr>
            <w:tcW w:w="1460" w:type="dxa"/>
            <w:tcBorders>
              <w:top w:val="nil"/>
              <w:left w:val="nil"/>
              <w:bottom w:val="nil"/>
              <w:right w:val="nil"/>
            </w:tcBorders>
            <w:shd w:val="clear" w:color="auto" w:fill="auto"/>
            <w:noWrap/>
            <w:vAlign w:val="bottom"/>
            <w:hideMark/>
          </w:tcPr>
          <w:p w14:paraId="4AD3A587"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34821997"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nil"/>
              <w:right w:val="nil"/>
            </w:tcBorders>
            <w:shd w:val="clear" w:color="auto" w:fill="auto"/>
            <w:noWrap/>
            <w:vAlign w:val="bottom"/>
            <w:hideMark/>
          </w:tcPr>
          <w:p w14:paraId="7E1C7EC2"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40,775 </w:t>
            </w:r>
          </w:p>
        </w:tc>
      </w:tr>
      <w:tr w:rsidR="004408CC" w:rsidRPr="004408CC" w14:paraId="080FA648" w14:textId="77777777" w:rsidTr="0053787C">
        <w:trPr>
          <w:trHeight w:val="425"/>
          <w:jc w:val="center"/>
        </w:trPr>
        <w:tc>
          <w:tcPr>
            <w:tcW w:w="3160" w:type="dxa"/>
            <w:tcBorders>
              <w:top w:val="nil"/>
              <w:left w:val="nil"/>
              <w:bottom w:val="nil"/>
              <w:right w:val="nil"/>
            </w:tcBorders>
            <w:shd w:val="clear" w:color="auto" w:fill="auto"/>
            <w:vAlign w:val="bottom"/>
            <w:hideMark/>
          </w:tcPr>
          <w:p w14:paraId="45FC4E57"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Accumulated depreciation/ amortisation and impairment</w:t>
            </w:r>
          </w:p>
        </w:tc>
        <w:tc>
          <w:tcPr>
            <w:tcW w:w="1080" w:type="dxa"/>
            <w:tcBorders>
              <w:top w:val="nil"/>
              <w:left w:val="nil"/>
              <w:bottom w:val="nil"/>
              <w:right w:val="nil"/>
            </w:tcBorders>
            <w:shd w:val="clear" w:color="auto" w:fill="auto"/>
            <w:noWrap/>
            <w:vAlign w:val="bottom"/>
            <w:hideMark/>
          </w:tcPr>
          <w:p w14:paraId="7B564C40"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(1,020)</w:t>
            </w:r>
          </w:p>
        </w:tc>
        <w:tc>
          <w:tcPr>
            <w:tcW w:w="1460" w:type="dxa"/>
            <w:tcBorders>
              <w:top w:val="nil"/>
              <w:left w:val="nil"/>
              <w:bottom w:val="nil"/>
              <w:right w:val="nil"/>
            </w:tcBorders>
            <w:shd w:val="clear" w:color="auto" w:fill="auto"/>
            <w:noWrap/>
            <w:vAlign w:val="bottom"/>
            <w:hideMark/>
          </w:tcPr>
          <w:p w14:paraId="38B81BA0"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(7,301)</w:t>
            </w:r>
          </w:p>
        </w:tc>
        <w:tc>
          <w:tcPr>
            <w:tcW w:w="1080" w:type="dxa"/>
            <w:tcBorders>
              <w:top w:val="nil"/>
              <w:left w:val="nil"/>
              <w:bottom w:val="nil"/>
              <w:right w:val="nil"/>
            </w:tcBorders>
            <w:shd w:val="clear" w:color="auto" w:fill="auto"/>
            <w:noWrap/>
            <w:vAlign w:val="bottom"/>
            <w:hideMark/>
          </w:tcPr>
          <w:p w14:paraId="0A08A404"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(3,625)</w:t>
            </w:r>
          </w:p>
        </w:tc>
        <w:tc>
          <w:tcPr>
            <w:tcW w:w="1080" w:type="dxa"/>
            <w:tcBorders>
              <w:top w:val="nil"/>
              <w:left w:val="nil"/>
              <w:bottom w:val="nil"/>
              <w:right w:val="nil"/>
            </w:tcBorders>
            <w:shd w:val="clear" w:color="auto" w:fill="auto"/>
            <w:noWrap/>
            <w:vAlign w:val="bottom"/>
            <w:hideMark/>
          </w:tcPr>
          <w:p w14:paraId="0888ED98"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(11,946)</w:t>
            </w:r>
          </w:p>
        </w:tc>
      </w:tr>
      <w:tr w:rsidR="004408CC" w:rsidRPr="004408CC" w14:paraId="6CF01ACD" w14:textId="77777777" w:rsidTr="0053787C">
        <w:trPr>
          <w:trHeight w:val="425"/>
          <w:jc w:val="center"/>
        </w:trPr>
        <w:tc>
          <w:tcPr>
            <w:tcW w:w="3160" w:type="dxa"/>
            <w:tcBorders>
              <w:top w:val="nil"/>
              <w:left w:val="nil"/>
              <w:bottom w:val="nil"/>
              <w:right w:val="nil"/>
            </w:tcBorders>
            <w:shd w:val="clear" w:color="auto" w:fill="auto"/>
            <w:vAlign w:val="bottom"/>
            <w:hideMark/>
          </w:tcPr>
          <w:p w14:paraId="5B6AC543" w14:textId="77777777" w:rsidR="004408CC" w:rsidRPr="004408CC" w:rsidRDefault="004408CC" w:rsidP="004408CC">
            <w:pPr>
              <w:spacing w:before="0" w:after="0" w:line="240" w:lineRule="auto"/>
              <w:ind w:leftChars="75" w:left="143"/>
              <w:rPr>
                <w:rFonts w:ascii="Arial" w:hAnsi="Arial" w:cs="Arial"/>
                <w:sz w:val="16"/>
                <w:szCs w:val="16"/>
              </w:rPr>
            </w:pPr>
            <w:r w:rsidRPr="004408CC">
              <w:rPr>
                <w:rFonts w:ascii="Arial" w:hAnsi="Arial" w:cs="Arial"/>
                <w:sz w:val="16"/>
                <w:szCs w:val="16"/>
              </w:rPr>
              <w:t xml:space="preserve">Accumulated depreciation/ amortisation and impairment - </w:t>
            </w:r>
            <w:proofErr w:type="spellStart"/>
            <w:r w:rsidRPr="004408CC">
              <w:rPr>
                <w:rFonts w:ascii="Arial" w:hAnsi="Arial" w:cs="Arial"/>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2A1E8285"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(13,838)</w:t>
            </w:r>
          </w:p>
        </w:tc>
        <w:tc>
          <w:tcPr>
            <w:tcW w:w="1460" w:type="dxa"/>
            <w:tcBorders>
              <w:top w:val="nil"/>
              <w:left w:val="nil"/>
              <w:bottom w:val="single" w:sz="4" w:space="0" w:color="auto"/>
              <w:right w:val="nil"/>
            </w:tcBorders>
            <w:shd w:val="clear" w:color="auto" w:fill="auto"/>
            <w:noWrap/>
            <w:vAlign w:val="bottom"/>
            <w:hideMark/>
          </w:tcPr>
          <w:p w14:paraId="6F81E05C"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64892487" w14:textId="77777777" w:rsidR="004408CC" w:rsidRPr="004408CC" w:rsidRDefault="004408CC" w:rsidP="004408CC">
            <w:pPr>
              <w:spacing w:before="0" w:after="0" w:line="240" w:lineRule="auto"/>
              <w:jc w:val="right"/>
              <w:rPr>
                <w:rFonts w:ascii="Arial" w:hAnsi="Arial" w:cs="Arial"/>
                <w:color w:val="000000"/>
                <w:sz w:val="16"/>
                <w:szCs w:val="16"/>
              </w:rPr>
            </w:pPr>
            <w:r w:rsidRPr="004408CC">
              <w:rPr>
                <w:rFonts w:ascii="Arial" w:hAnsi="Arial" w:cs="Arial"/>
                <w:color w:val="000000"/>
                <w:sz w:val="16"/>
                <w:szCs w:val="16"/>
              </w:rPr>
              <w:t xml:space="preserve">- </w:t>
            </w:r>
          </w:p>
        </w:tc>
        <w:tc>
          <w:tcPr>
            <w:tcW w:w="1080" w:type="dxa"/>
            <w:tcBorders>
              <w:top w:val="nil"/>
              <w:left w:val="nil"/>
              <w:bottom w:val="single" w:sz="4" w:space="0" w:color="auto"/>
              <w:right w:val="nil"/>
            </w:tcBorders>
            <w:shd w:val="clear" w:color="auto" w:fill="auto"/>
            <w:noWrap/>
            <w:vAlign w:val="bottom"/>
            <w:hideMark/>
          </w:tcPr>
          <w:p w14:paraId="7C4B39AA"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(13,838)</w:t>
            </w:r>
          </w:p>
        </w:tc>
      </w:tr>
      <w:tr w:rsidR="004408CC" w:rsidRPr="004408CC" w14:paraId="25DCF1E7" w14:textId="77777777" w:rsidTr="004408CC">
        <w:trPr>
          <w:trHeight w:val="225"/>
          <w:jc w:val="center"/>
        </w:trPr>
        <w:tc>
          <w:tcPr>
            <w:tcW w:w="3160" w:type="dxa"/>
            <w:tcBorders>
              <w:top w:val="nil"/>
              <w:left w:val="nil"/>
              <w:bottom w:val="single" w:sz="4" w:space="0" w:color="auto"/>
              <w:right w:val="nil"/>
            </w:tcBorders>
            <w:shd w:val="clear" w:color="auto" w:fill="auto"/>
            <w:noWrap/>
            <w:vAlign w:val="bottom"/>
            <w:hideMark/>
          </w:tcPr>
          <w:p w14:paraId="524127FA" w14:textId="77777777" w:rsidR="004408CC" w:rsidRPr="004408CC" w:rsidRDefault="004408CC" w:rsidP="004408CC">
            <w:pPr>
              <w:spacing w:before="0" w:after="0" w:line="240" w:lineRule="auto"/>
              <w:ind w:leftChars="75" w:left="143"/>
              <w:rPr>
                <w:rFonts w:ascii="Arial" w:hAnsi="Arial" w:cs="Arial"/>
                <w:b/>
                <w:bCs/>
                <w:sz w:val="16"/>
                <w:szCs w:val="16"/>
              </w:rPr>
            </w:pPr>
            <w:r w:rsidRPr="004408CC">
              <w:rPr>
                <w:rFonts w:ascii="Arial" w:hAnsi="Arial" w:cs="Arial"/>
                <w:b/>
                <w:bCs/>
                <w:sz w:val="16"/>
                <w:szCs w:val="16"/>
              </w:rPr>
              <w:t>Closing net book balance</w:t>
            </w:r>
          </w:p>
        </w:tc>
        <w:tc>
          <w:tcPr>
            <w:tcW w:w="1080" w:type="dxa"/>
            <w:tcBorders>
              <w:top w:val="nil"/>
              <w:left w:val="nil"/>
              <w:bottom w:val="single" w:sz="4" w:space="0" w:color="auto"/>
              <w:right w:val="nil"/>
            </w:tcBorders>
            <w:shd w:val="clear" w:color="auto" w:fill="auto"/>
            <w:noWrap/>
            <w:vAlign w:val="bottom"/>
            <w:hideMark/>
          </w:tcPr>
          <w:p w14:paraId="28A78540"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31,017 </w:t>
            </w:r>
          </w:p>
        </w:tc>
        <w:tc>
          <w:tcPr>
            <w:tcW w:w="1460" w:type="dxa"/>
            <w:tcBorders>
              <w:top w:val="nil"/>
              <w:left w:val="nil"/>
              <w:bottom w:val="single" w:sz="4" w:space="0" w:color="auto"/>
              <w:right w:val="nil"/>
            </w:tcBorders>
            <w:shd w:val="clear" w:color="auto" w:fill="auto"/>
            <w:noWrap/>
            <w:vAlign w:val="bottom"/>
            <w:hideMark/>
          </w:tcPr>
          <w:p w14:paraId="3DAFC383"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9,194 </w:t>
            </w:r>
          </w:p>
        </w:tc>
        <w:tc>
          <w:tcPr>
            <w:tcW w:w="1080" w:type="dxa"/>
            <w:tcBorders>
              <w:top w:val="nil"/>
              <w:left w:val="nil"/>
              <w:bottom w:val="single" w:sz="4" w:space="0" w:color="auto"/>
              <w:right w:val="nil"/>
            </w:tcBorders>
            <w:shd w:val="clear" w:color="auto" w:fill="auto"/>
            <w:noWrap/>
            <w:vAlign w:val="bottom"/>
            <w:hideMark/>
          </w:tcPr>
          <w:p w14:paraId="1AEC5B93"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638 </w:t>
            </w:r>
          </w:p>
        </w:tc>
        <w:tc>
          <w:tcPr>
            <w:tcW w:w="1080" w:type="dxa"/>
            <w:tcBorders>
              <w:top w:val="nil"/>
              <w:left w:val="nil"/>
              <w:bottom w:val="single" w:sz="4" w:space="0" w:color="auto"/>
              <w:right w:val="nil"/>
            </w:tcBorders>
            <w:shd w:val="clear" w:color="auto" w:fill="auto"/>
            <w:noWrap/>
            <w:vAlign w:val="bottom"/>
            <w:hideMark/>
          </w:tcPr>
          <w:p w14:paraId="7881C7DA" w14:textId="77777777" w:rsidR="004408CC" w:rsidRPr="004408CC" w:rsidRDefault="004408CC" w:rsidP="004408CC">
            <w:pPr>
              <w:spacing w:before="0" w:after="0" w:line="240" w:lineRule="auto"/>
              <w:jc w:val="right"/>
              <w:rPr>
                <w:rFonts w:ascii="Arial" w:hAnsi="Arial" w:cs="Arial"/>
                <w:b/>
                <w:bCs/>
                <w:color w:val="000000"/>
                <w:sz w:val="16"/>
                <w:szCs w:val="16"/>
              </w:rPr>
            </w:pPr>
            <w:r w:rsidRPr="004408CC">
              <w:rPr>
                <w:rFonts w:ascii="Arial" w:hAnsi="Arial" w:cs="Arial"/>
                <w:b/>
                <w:bCs/>
                <w:color w:val="000000"/>
                <w:sz w:val="16"/>
                <w:szCs w:val="16"/>
              </w:rPr>
              <w:t xml:space="preserve">40,849 </w:t>
            </w:r>
          </w:p>
        </w:tc>
      </w:tr>
    </w:tbl>
    <w:p w14:paraId="509D1FBC" w14:textId="02ED9D45" w:rsidR="00275707" w:rsidRDefault="00275707" w:rsidP="007E1D60">
      <w:pPr>
        <w:pStyle w:val="FootnoteText"/>
        <w:spacing w:before="120"/>
      </w:pPr>
      <w:proofErr w:type="spellStart"/>
      <w:r w:rsidRPr="00CC2F99">
        <w:t>RoU</w:t>
      </w:r>
      <w:proofErr w:type="spellEnd"/>
      <w:r w:rsidRPr="00CC2F99">
        <w:t xml:space="preserve"> = Right-of-Use asset</w:t>
      </w:r>
    </w:p>
    <w:p w14:paraId="28D4AAC1" w14:textId="6A65A2CF" w:rsidR="00B84032" w:rsidRDefault="00B84032" w:rsidP="00275707">
      <w:pPr>
        <w:pStyle w:val="Heading1-NoTOC"/>
        <w:sectPr w:rsidR="00B84032" w:rsidSect="00C04DC1">
          <w:footerReference w:type="even" r:id="rId62"/>
          <w:footerReference w:type="default" r:id="rId63"/>
          <w:headerReference w:type="first" r:id="rId64"/>
          <w:footerReference w:type="first" r:id="rId65"/>
          <w:pgSz w:w="11907" w:h="16840" w:code="9"/>
          <w:pgMar w:top="2835" w:right="2098" w:bottom="2466" w:left="2098" w:header="1814" w:footer="1814" w:gutter="0"/>
          <w:cols w:space="708"/>
          <w:titlePg/>
          <w:docGrid w:linePitch="360"/>
        </w:sectPr>
      </w:pPr>
    </w:p>
    <w:p w14:paraId="6A1A0BD0" w14:textId="61EEE7CB" w:rsidR="00275707" w:rsidRDefault="00D0639D" w:rsidP="00275707">
      <w:pPr>
        <w:pStyle w:val="Heading1-NoTOC"/>
      </w:pPr>
      <w:r>
        <w:fldChar w:fldCharType="begin"/>
      </w:r>
      <w:r>
        <w:instrText xml:space="preserve"> </w:instrText>
      </w:r>
      <w:proofErr w:type="gramStart"/>
      <w:r>
        <w:instrText>TC  "</w:instrText>
      </w:r>
      <w:bookmarkStart w:id="439" w:name="_Toc157520020"/>
      <w:proofErr w:type="gramEnd"/>
      <w:r>
        <w:instrText>Australian Institute of</w:instrText>
      </w:r>
      <w:r w:rsidR="007B095C">
        <w:instrText xml:space="preserve"> </w:instrText>
      </w:r>
      <w:r>
        <w:instrText>Health and Welfare</w:instrText>
      </w:r>
      <w:bookmarkEnd w:id="439"/>
      <w:r>
        <w:instrText xml:space="preserve">" \f m \l 2 </w:instrText>
      </w:r>
      <w:r>
        <w:fldChar w:fldCharType="end"/>
      </w:r>
      <w:r w:rsidR="00275707">
        <w:t xml:space="preserve">Australian Institute of Health and Welfare </w:t>
      </w:r>
    </w:p>
    <w:p w14:paraId="2D1A2808" w14:textId="68A67534" w:rsidR="004344FF" w:rsidRDefault="00D91D52">
      <w:pPr>
        <w:pStyle w:val="TOC1"/>
        <w:rPr>
          <w:rFonts w:asciiTheme="minorHAnsi" w:eastAsiaTheme="minorEastAsia" w:hAnsiTheme="minorHAnsi" w:cstheme="minorBidi"/>
          <w:b w:val="0"/>
          <w:noProof/>
          <w:sz w:val="22"/>
          <w:szCs w:val="22"/>
        </w:rPr>
      </w:pPr>
      <w:r>
        <w:fldChar w:fldCharType="begin"/>
      </w:r>
      <w:r>
        <w:instrText xml:space="preserve"> TOC \f aihw \h \z </w:instrText>
      </w:r>
      <w:r>
        <w:fldChar w:fldCharType="separate"/>
      </w:r>
      <w:hyperlink w:anchor="_Toc157596656" w:history="1">
        <w:r w:rsidR="004344FF" w:rsidRPr="001927C9">
          <w:rPr>
            <w:rStyle w:val="Hyperlink"/>
            <w:noProof/>
          </w:rPr>
          <w:t>Section 1: Entity overview and resources</w:t>
        </w:r>
        <w:r w:rsidR="004344FF">
          <w:rPr>
            <w:noProof/>
            <w:webHidden/>
          </w:rPr>
          <w:tab/>
        </w:r>
        <w:r w:rsidR="004344FF">
          <w:rPr>
            <w:noProof/>
            <w:webHidden/>
          </w:rPr>
          <w:fldChar w:fldCharType="begin"/>
        </w:r>
        <w:r w:rsidR="004344FF">
          <w:rPr>
            <w:noProof/>
            <w:webHidden/>
          </w:rPr>
          <w:instrText xml:space="preserve"> PAGEREF _Toc157596656 \h </w:instrText>
        </w:r>
        <w:r w:rsidR="004344FF">
          <w:rPr>
            <w:noProof/>
            <w:webHidden/>
          </w:rPr>
        </w:r>
        <w:r w:rsidR="004344FF">
          <w:rPr>
            <w:noProof/>
            <w:webHidden/>
          </w:rPr>
          <w:fldChar w:fldCharType="separate"/>
        </w:r>
        <w:r w:rsidR="004344FF">
          <w:rPr>
            <w:noProof/>
            <w:webHidden/>
          </w:rPr>
          <w:t>100</w:t>
        </w:r>
        <w:r w:rsidR="004344FF">
          <w:rPr>
            <w:noProof/>
            <w:webHidden/>
          </w:rPr>
          <w:fldChar w:fldCharType="end"/>
        </w:r>
      </w:hyperlink>
    </w:p>
    <w:p w14:paraId="5F7E93D8" w14:textId="627793DE" w:rsidR="004344FF" w:rsidRDefault="00000000">
      <w:pPr>
        <w:pStyle w:val="TOC2"/>
        <w:rPr>
          <w:rFonts w:asciiTheme="minorHAnsi" w:eastAsiaTheme="minorEastAsia" w:hAnsiTheme="minorHAnsi" w:cstheme="minorBidi"/>
          <w:noProof/>
          <w:sz w:val="22"/>
          <w:szCs w:val="22"/>
        </w:rPr>
      </w:pPr>
      <w:hyperlink w:anchor="_Toc157596657" w:history="1">
        <w:r w:rsidR="004344FF" w:rsidRPr="001927C9">
          <w:rPr>
            <w:rStyle w:val="Hyperlink"/>
            <w:noProof/>
          </w:rPr>
          <w:t>1.1</w:t>
        </w:r>
        <w:r w:rsidR="004344FF">
          <w:rPr>
            <w:rFonts w:asciiTheme="minorHAnsi" w:eastAsiaTheme="minorEastAsia" w:hAnsiTheme="minorHAnsi" w:cstheme="minorBidi"/>
            <w:noProof/>
            <w:sz w:val="22"/>
            <w:szCs w:val="22"/>
          </w:rPr>
          <w:tab/>
        </w:r>
        <w:r w:rsidR="004344FF" w:rsidRPr="001927C9">
          <w:rPr>
            <w:rStyle w:val="Hyperlink"/>
            <w:noProof/>
          </w:rPr>
          <w:t>Strategic direction statement</w:t>
        </w:r>
        <w:r w:rsidR="004344FF">
          <w:rPr>
            <w:noProof/>
            <w:webHidden/>
          </w:rPr>
          <w:tab/>
        </w:r>
        <w:r w:rsidR="004344FF">
          <w:rPr>
            <w:noProof/>
            <w:webHidden/>
          </w:rPr>
          <w:fldChar w:fldCharType="begin"/>
        </w:r>
        <w:r w:rsidR="004344FF">
          <w:rPr>
            <w:noProof/>
            <w:webHidden/>
          </w:rPr>
          <w:instrText xml:space="preserve"> PAGEREF _Toc157596657 \h </w:instrText>
        </w:r>
        <w:r w:rsidR="004344FF">
          <w:rPr>
            <w:noProof/>
            <w:webHidden/>
          </w:rPr>
        </w:r>
        <w:r w:rsidR="004344FF">
          <w:rPr>
            <w:noProof/>
            <w:webHidden/>
          </w:rPr>
          <w:fldChar w:fldCharType="separate"/>
        </w:r>
        <w:r w:rsidR="004344FF">
          <w:rPr>
            <w:noProof/>
            <w:webHidden/>
          </w:rPr>
          <w:t>100</w:t>
        </w:r>
        <w:r w:rsidR="004344FF">
          <w:rPr>
            <w:noProof/>
            <w:webHidden/>
          </w:rPr>
          <w:fldChar w:fldCharType="end"/>
        </w:r>
      </w:hyperlink>
    </w:p>
    <w:p w14:paraId="15FAB69D" w14:textId="3F67ED1C" w:rsidR="004344FF" w:rsidRDefault="00000000">
      <w:pPr>
        <w:pStyle w:val="TOC2"/>
        <w:rPr>
          <w:rFonts w:asciiTheme="minorHAnsi" w:eastAsiaTheme="minorEastAsia" w:hAnsiTheme="minorHAnsi" w:cstheme="minorBidi"/>
          <w:noProof/>
          <w:sz w:val="22"/>
          <w:szCs w:val="22"/>
        </w:rPr>
      </w:pPr>
      <w:hyperlink w:anchor="_Toc157596658" w:history="1">
        <w:r w:rsidR="004344FF" w:rsidRPr="001927C9">
          <w:rPr>
            <w:rStyle w:val="Hyperlink"/>
            <w:noProof/>
          </w:rPr>
          <w:t>1.2</w:t>
        </w:r>
        <w:r w:rsidR="004344FF">
          <w:rPr>
            <w:rFonts w:asciiTheme="minorHAnsi" w:eastAsiaTheme="minorEastAsia" w:hAnsiTheme="minorHAnsi" w:cstheme="minorBidi"/>
            <w:noProof/>
            <w:sz w:val="22"/>
            <w:szCs w:val="22"/>
          </w:rPr>
          <w:tab/>
        </w:r>
        <w:r w:rsidR="004344FF" w:rsidRPr="001927C9">
          <w:rPr>
            <w:rStyle w:val="Hyperlink"/>
            <w:noProof/>
          </w:rPr>
          <w:t>Entity resource statement</w:t>
        </w:r>
        <w:r w:rsidR="004344FF">
          <w:rPr>
            <w:noProof/>
            <w:webHidden/>
          </w:rPr>
          <w:tab/>
        </w:r>
        <w:r w:rsidR="004344FF">
          <w:rPr>
            <w:noProof/>
            <w:webHidden/>
          </w:rPr>
          <w:fldChar w:fldCharType="begin"/>
        </w:r>
        <w:r w:rsidR="004344FF">
          <w:rPr>
            <w:noProof/>
            <w:webHidden/>
          </w:rPr>
          <w:instrText xml:space="preserve"> PAGEREF _Toc157596658 \h </w:instrText>
        </w:r>
        <w:r w:rsidR="004344FF">
          <w:rPr>
            <w:noProof/>
            <w:webHidden/>
          </w:rPr>
        </w:r>
        <w:r w:rsidR="004344FF">
          <w:rPr>
            <w:noProof/>
            <w:webHidden/>
          </w:rPr>
          <w:fldChar w:fldCharType="separate"/>
        </w:r>
        <w:r w:rsidR="004344FF">
          <w:rPr>
            <w:noProof/>
            <w:webHidden/>
          </w:rPr>
          <w:t>101</w:t>
        </w:r>
        <w:r w:rsidR="004344FF">
          <w:rPr>
            <w:noProof/>
            <w:webHidden/>
          </w:rPr>
          <w:fldChar w:fldCharType="end"/>
        </w:r>
      </w:hyperlink>
    </w:p>
    <w:p w14:paraId="4E3C6326" w14:textId="09886DE1" w:rsidR="004344FF" w:rsidRDefault="00000000">
      <w:pPr>
        <w:pStyle w:val="TOC2"/>
        <w:rPr>
          <w:rFonts w:asciiTheme="minorHAnsi" w:eastAsiaTheme="minorEastAsia" w:hAnsiTheme="minorHAnsi" w:cstheme="minorBidi"/>
          <w:noProof/>
          <w:sz w:val="22"/>
          <w:szCs w:val="22"/>
        </w:rPr>
      </w:pPr>
      <w:hyperlink w:anchor="_Toc157596659" w:history="1">
        <w:r w:rsidR="004344FF" w:rsidRPr="000F5337">
          <w:rPr>
            <w:rStyle w:val="Hyperlink"/>
            <w:rFonts w:cs="Arial"/>
            <w:noProof/>
          </w:rPr>
          <w:t>1.3</w:t>
        </w:r>
        <w:r w:rsidR="004344FF" w:rsidRPr="000F5337">
          <w:rPr>
            <w:rFonts w:asciiTheme="minorHAnsi" w:eastAsiaTheme="minorEastAsia" w:hAnsiTheme="minorHAnsi" w:cstheme="minorBidi"/>
            <w:noProof/>
            <w:sz w:val="22"/>
            <w:szCs w:val="22"/>
          </w:rPr>
          <w:tab/>
        </w:r>
        <w:r w:rsidR="004344FF" w:rsidRPr="000F5337">
          <w:rPr>
            <w:rStyle w:val="Hyperlink"/>
            <w:rFonts w:cs="Arial"/>
            <w:noProof/>
          </w:rPr>
          <w:t>Entity measures</w:t>
        </w:r>
        <w:r w:rsidR="004344FF">
          <w:rPr>
            <w:noProof/>
            <w:webHidden/>
          </w:rPr>
          <w:tab/>
        </w:r>
        <w:r w:rsidR="004344FF">
          <w:rPr>
            <w:noProof/>
            <w:webHidden/>
          </w:rPr>
          <w:fldChar w:fldCharType="begin"/>
        </w:r>
        <w:r w:rsidR="004344FF">
          <w:rPr>
            <w:noProof/>
            <w:webHidden/>
          </w:rPr>
          <w:instrText xml:space="preserve"> PAGEREF _Toc157596659 \h </w:instrText>
        </w:r>
        <w:r w:rsidR="004344FF">
          <w:rPr>
            <w:noProof/>
            <w:webHidden/>
          </w:rPr>
        </w:r>
        <w:r w:rsidR="004344FF">
          <w:rPr>
            <w:noProof/>
            <w:webHidden/>
          </w:rPr>
          <w:fldChar w:fldCharType="separate"/>
        </w:r>
        <w:r w:rsidR="004344FF">
          <w:rPr>
            <w:noProof/>
            <w:webHidden/>
          </w:rPr>
          <w:t>103</w:t>
        </w:r>
        <w:r w:rsidR="004344FF">
          <w:rPr>
            <w:noProof/>
            <w:webHidden/>
          </w:rPr>
          <w:fldChar w:fldCharType="end"/>
        </w:r>
      </w:hyperlink>
    </w:p>
    <w:p w14:paraId="7DB498E5" w14:textId="33F29B0F" w:rsidR="004344FF" w:rsidRDefault="00000000">
      <w:pPr>
        <w:pStyle w:val="TOC2"/>
        <w:rPr>
          <w:rFonts w:asciiTheme="minorHAnsi" w:eastAsiaTheme="minorEastAsia" w:hAnsiTheme="minorHAnsi" w:cstheme="minorBidi"/>
          <w:noProof/>
          <w:sz w:val="22"/>
          <w:szCs w:val="22"/>
        </w:rPr>
      </w:pPr>
      <w:hyperlink w:anchor="_Toc157596660" w:history="1">
        <w:r w:rsidR="004344FF" w:rsidRPr="001927C9">
          <w:rPr>
            <w:rStyle w:val="Hyperlink"/>
            <w:noProof/>
          </w:rPr>
          <w:t>1.4</w:t>
        </w:r>
        <w:r w:rsidR="004344FF">
          <w:rPr>
            <w:rFonts w:asciiTheme="minorHAnsi" w:eastAsiaTheme="minorEastAsia" w:hAnsiTheme="minorHAnsi" w:cstheme="minorBidi"/>
            <w:noProof/>
            <w:sz w:val="22"/>
            <w:szCs w:val="22"/>
          </w:rPr>
          <w:tab/>
        </w:r>
        <w:r w:rsidR="004344FF" w:rsidRPr="001927C9">
          <w:rPr>
            <w:rStyle w:val="Hyperlink"/>
            <w:noProof/>
          </w:rPr>
          <w:t>Additional estimates, resourcing and variations to outcomes</w:t>
        </w:r>
        <w:r w:rsidR="004344FF">
          <w:rPr>
            <w:noProof/>
            <w:webHidden/>
          </w:rPr>
          <w:tab/>
        </w:r>
        <w:r w:rsidR="004344FF">
          <w:rPr>
            <w:noProof/>
            <w:webHidden/>
          </w:rPr>
          <w:fldChar w:fldCharType="begin"/>
        </w:r>
        <w:r w:rsidR="004344FF">
          <w:rPr>
            <w:noProof/>
            <w:webHidden/>
          </w:rPr>
          <w:instrText xml:space="preserve"> PAGEREF _Toc157596660 \h </w:instrText>
        </w:r>
        <w:r w:rsidR="004344FF">
          <w:rPr>
            <w:noProof/>
            <w:webHidden/>
          </w:rPr>
        </w:r>
        <w:r w:rsidR="004344FF">
          <w:rPr>
            <w:noProof/>
            <w:webHidden/>
          </w:rPr>
          <w:fldChar w:fldCharType="separate"/>
        </w:r>
        <w:r w:rsidR="004344FF">
          <w:rPr>
            <w:noProof/>
            <w:webHidden/>
          </w:rPr>
          <w:t>103</w:t>
        </w:r>
        <w:r w:rsidR="004344FF">
          <w:rPr>
            <w:noProof/>
            <w:webHidden/>
          </w:rPr>
          <w:fldChar w:fldCharType="end"/>
        </w:r>
      </w:hyperlink>
    </w:p>
    <w:p w14:paraId="145A7F35" w14:textId="4E703553" w:rsidR="004344FF" w:rsidRDefault="00000000">
      <w:pPr>
        <w:pStyle w:val="TOC2"/>
        <w:rPr>
          <w:rFonts w:asciiTheme="minorHAnsi" w:eastAsiaTheme="minorEastAsia" w:hAnsiTheme="minorHAnsi" w:cstheme="minorBidi"/>
          <w:noProof/>
          <w:sz w:val="22"/>
          <w:szCs w:val="22"/>
        </w:rPr>
      </w:pPr>
      <w:hyperlink w:anchor="_Toc157596661" w:history="1">
        <w:r w:rsidR="004344FF" w:rsidRPr="001927C9">
          <w:rPr>
            <w:rStyle w:val="Hyperlink"/>
            <w:noProof/>
          </w:rPr>
          <w:t>1.5</w:t>
        </w:r>
        <w:r w:rsidR="004344FF">
          <w:rPr>
            <w:rFonts w:asciiTheme="minorHAnsi" w:eastAsiaTheme="minorEastAsia" w:hAnsiTheme="minorHAnsi" w:cstheme="minorBidi"/>
            <w:noProof/>
            <w:sz w:val="22"/>
            <w:szCs w:val="22"/>
          </w:rPr>
          <w:tab/>
        </w:r>
        <w:r w:rsidR="004344FF" w:rsidRPr="001927C9">
          <w:rPr>
            <w:rStyle w:val="Hyperlink"/>
            <w:noProof/>
          </w:rPr>
          <w:t>Breakdown of additional estimates by appropriation bill</w:t>
        </w:r>
        <w:r w:rsidR="004344FF">
          <w:rPr>
            <w:noProof/>
            <w:webHidden/>
          </w:rPr>
          <w:tab/>
        </w:r>
        <w:r w:rsidR="004344FF">
          <w:rPr>
            <w:noProof/>
            <w:webHidden/>
          </w:rPr>
          <w:fldChar w:fldCharType="begin"/>
        </w:r>
        <w:r w:rsidR="004344FF">
          <w:rPr>
            <w:noProof/>
            <w:webHidden/>
          </w:rPr>
          <w:instrText xml:space="preserve"> PAGEREF _Toc157596661 \h </w:instrText>
        </w:r>
        <w:r w:rsidR="004344FF">
          <w:rPr>
            <w:noProof/>
            <w:webHidden/>
          </w:rPr>
        </w:r>
        <w:r w:rsidR="004344FF">
          <w:rPr>
            <w:noProof/>
            <w:webHidden/>
          </w:rPr>
          <w:fldChar w:fldCharType="separate"/>
        </w:r>
        <w:r w:rsidR="004344FF">
          <w:rPr>
            <w:noProof/>
            <w:webHidden/>
          </w:rPr>
          <w:t>104</w:t>
        </w:r>
        <w:r w:rsidR="004344FF">
          <w:rPr>
            <w:noProof/>
            <w:webHidden/>
          </w:rPr>
          <w:fldChar w:fldCharType="end"/>
        </w:r>
      </w:hyperlink>
    </w:p>
    <w:p w14:paraId="6ECECB06" w14:textId="173CE562" w:rsidR="004344FF" w:rsidRDefault="00000000">
      <w:pPr>
        <w:pStyle w:val="TOC1"/>
        <w:rPr>
          <w:rFonts w:asciiTheme="minorHAnsi" w:eastAsiaTheme="minorEastAsia" w:hAnsiTheme="minorHAnsi" w:cstheme="minorBidi"/>
          <w:b w:val="0"/>
          <w:noProof/>
          <w:sz w:val="22"/>
          <w:szCs w:val="22"/>
        </w:rPr>
      </w:pPr>
      <w:hyperlink w:anchor="_Toc157596662" w:history="1">
        <w:r w:rsidR="004344FF" w:rsidRPr="001927C9">
          <w:rPr>
            <w:rStyle w:val="Hyperlink"/>
            <w:noProof/>
          </w:rPr>
          <w:t>Section 2: Revisions to outcomes and planned performance</w:t>
        </w:r>
        <w:r w:rsidR="004344FF">
          <w:rPr>
            <w:noProof/>
            <w:webHidden/>
          </w:rPr>
          <w:tab/>
        </w:r>
        <w:r w:rsidR="004344FF">
          <w:rPr>
            <w:noProof/>
            <w:webHidden/>
          </w:rPr>
          <w:fldChar w:fldCharType="begin"/>
        </w:r>
        <w:r w:rsidR="004344FF">
          <w:rPr>
            <w:noProof/>
            <w:webHidden/>
          </w:rPr>
          <w:instrText xml:space="preserve"> PAGEREF _Toc157596662 \h </w:instrText>
        </w:r>
        <w:r w:rsidR="004344FF">
          <w:rPr>
            <w:noProof/>
            <w:webHidden/>
          </w:rPr>
        </w:r>
        <w:r w:rsidR="004344FF">
          <w:rPr>
            <w:noProof/>
            <w:webHidden/>
          </w:rPr>
          <w:fldChar w:fldCharType="separate"/>
        </w:r>
        <w:r w:rsidR="004344FF">
          <w:rPr>
            <w:noProof/>
            <w:webHidden/>
          </w:rPr>
          <w:t>105</w:t>
        </w:r>
        <w:r w:rsidR="004344FF">
          <w:rPr>
            <w:noProof/>
            <w:webHidden/>
          </w:rPr>
          <w:fldChar w:fldCharType="end"/>
        </w:r>
      </w:hyperlink>
    </w:p>
    <w:p w14:paraId="0E4F9CEB" w14:textId="236FEE16" w:rsidR="004344FF" w:rsidRDefault="00000000">
      <w:pPr>
        <w:pStyle w:val="TOC2"/>
        <w:rPr>
          <w:rFonts w:asciiTheme="minorHAnsi" w:eastAsiaTheme="minorEastAsia" w:hAnsiTheme="minorHAnsi" w:cstheme="minorBidi"/>
          <w:noProof/>
          <w:sz w:val="22"/>
          <w:szCs w:val="22"/>
        </w:rPr>
      </w:pPr>
      <w:hyperlink w:anchor="_Toc157596663" w:history="1">
        <w:r w:rsidR="004344FF" w:rsidRPr="001927C9">
          <w:rPr>
            <w:rStyle w:val="Hyperlink"/>
            <w:noProof/>
          </w:rPr>
          <w:t>2.1</w:t>
        </w:r>
        <w:r w:rsidR="004344FF">
          <w:rPr>
            <w:rFonts w:asciiTheme="minorHAnsi" w:eastAsiaTheme="minorEastAsia" w:hAnsiTheme="minorHAnsi" w:cstheme="minorBidi"/>
            <w:noProof/>
            <w:sz w:val="22"/>
            <w:szCs w:val="22"/>
          </w:rPr>
          <w:tab/>
        </w:r>
        <w:r w:rsidR="004344FF" w:rsidRPr="001927C9">
          <w:rPr>
            <w:rStyle w:val="Hyperlink"/>
            <w:noProof/>
          </w:rPr>
          <w:t>Budgeted expenses and performance for Outcome 1</w:t>
        </w:r>
        <w:r w:rsidR="004344FF">
          <w:rPr>
            <w:noProof/>
            <w:webHidden/>
          </w:rPr>
          <w:tab/>
        </w:r>
        <w:r w:rsidR="004344FF">
          <w:rPr>
            <w:noProof/>
            <w:webHidden/>
          </w:rPr>
          <w:fldChar w:fldCharType="begin"/>
        </w:r>
        <w:r w:rsidR="004344FF">
          <w:rPr>
            <w:noProof/>
            <w:webHidden/>
          </w:rPr>
          <w:instrText xml:space="preserve"> PAGEREF _Toc157596663 \h </w:instrText>
        </w:r>
        <w:r w:rsidR="004344FF">
          <w:rPr>
            <w:noProof/>
            <w:webHidden/>
          </w:rPr>
        </w:r>
        <w:r w:rsidR="004344FF">
          <w:rPr>
            <w:noProof/>
            <w:webHidden/>
          </w:rPr>
          <w:fldChar w:fldCharType="separate"/>
        </w:r>
        <w:r w:rsidR="004344FF">
          <w:rPr>
            <w:noProof/>
            <w:webHidden/>
          </w:rPr>
          <w:t>105</w:t>
        </w:r>
        <w:r w:rsidR="004344FF">
          <w:rPr>
            <w:noProof/>
            <w:webHidden/>
          </w:rPr>
          <w:fldChar w:fldCharType="end"/>
        </w:r>
      </w:hyperlink>
    </w:p>
    <w:p w14:paraId="1F43A10A" w14:textId="62BBB053" w:rsidR="004344FF" w:rsidRDefault="00000000">
      <w:pPr>
        <w:pStyle w:val="TOC1"/>
        <w:rPr>
          <w:rFonts w:asciiTheme="minorHAnsi" w:eastAsiaTheme="minorEastAsia" w:hAnsiTheme="minorHAnsi" w:cstheme="minorBidi"/>
          <w:b w:val="0"/>
          <w:noProof/>
          <w:sz w:val="22"/>
          <w:szCs w:val="22"/>
        </w:rPr>
      </w:pPr>
      <w:hyperlink w:anchor="_Toc157596664" w:history="1">
        <w:r w:rsidR="004344FF" w:rsidRPr="001927C9">
          <w:rPr>
            <w:rStyle w:val="Hyperlink"/>
            <w:noProof/>
          </w:rPr>
          <w:t>Section 3: Special account flows and budgeted financial statements</w:t>
        </w:r>
        <w:r w:rsidR="004344FF">
          <w:rPr>
            <w:noProof/>
            <w:webHidden/>
          </w:rPr>
          <w:tab/>
        </w:r>
        <w:r w:rsidR="004344FF">
          <w:rPr>
            <w:noProof/>
            <w:webHidden/>
          </w:rPr>
          <w:fldChar w:fldCharType="begin"/>
        </w:r>
        <w:r w:rsidR="004344FF">
          <w:rPr>
            <w:noProof/>
            <w:webHidden/>
          </w:rPr>
          <w:instrText xml:space="preserve"> PAGEREF _Toc157596664 \h </w:instrText>
        </w:r>
        <w:r w:rsidR="004344FF">
          <w:rPr>
            <w:noProof/>
            <w:webHidden/>
          </w:rPr>
        </w:r>
        <w:r w:rsidR="004344FF">
          <w:rPr>
            <w:noProof/>
            <w:webHidden/>
          </w:rPr>
          <w:fldChar w:fldCharType="separate"/>
        </w:r>
        <w:r w:rsidR="004344FF">
          <w:rPr>
            <w:noProof/>
            <w:webHidden/>
          </w:rPr>
          <w:t>106</w:t>
        </w:r>
        <w:r w:rsidR="004344FF">
          <w:rPr>
            <w:noProof/>
            <w:webHidden/>
          </w:rPr>
          <w:fldChar w:fldCharType="end"/>
        </w:r>
      </w:hyperlink>
    </w:p>
    <w:p w14:paraId="0085C2EB" w14:textId="333C9C3E" w:rsidR="004344FF" w:rsidRDefault="00000000">
      <w:pPr>
        <w:pStyle w:val="TOC2"/>
        <w:rPr>
          <w:rFonts w:asciiTheme="minorHAnsi" w:eastAsiaTheme="minorEastAsia" w:hAnsiTheme="minorHAnsi" w:cstheme="minorBidi"/>
          <w:noProof/>
          <w:sz w:val="22"/>
          <w:szCs w:val="22"/>
        </w:rPr>
      </w:pPr>
      <w:hyperlink w:anchor="_Toc157596665" w:history="1">
        <w:r w:rsidR="004344FF" w:rsidRPr="001927C9">
          <w:rPr>
            <w:rStyle w:val="Hyperlink"/>
            <w:noProof/>
          </w:rPr>
          <w:t>3.1</w:t>
        </w:r>
        <w:r w:rsidR="004344FF">
          <w:rPr>
            <w:rFonts w:asciiTheme="minorHAnsi" w:eastAsiaTheme="minorEastAsia" w:hAnsiTheme="minorHAnsi" w:cstheme="minorBidi"/>
            <w:noProof/>
            <w:sz w:val="22"/>
            <w:szCs w:val="22"/>
          </w:rPr>
          <w:tab/>
        </w:r>
        <w:r w:rsidR="004344FF" w:rsidRPr="001927C9">
          <w:rPr>
            <w:rStyle w:val="Hyperlink"/>
            <w:noProof/>
          </w:rPr>
          <w:t>Special account flows and balances</w:t>
        </w:r>
        <w:r w:rsidR="004344FF">
          <w:rPr>
            <w:noProof/>
            <w:webHidden/>
          </w:rPr>
          <w:tab/>
        </w:r>
        <w:r w:rsidR="004344FF">
          <w:rPr>
            <w:noProof/>
            <w:webHidden/>
          </w:rPr>
          <w:fldChar w:fldCharType="begin"/>
        </w:r>
        <w:r w:rsidR="004344FF">
          <w:rPr>
            <w:noProof/>
            <w:webHidden/>
          </w:rPr>
          <w:instrText xml:space="preserve"> PAGEREF _Toc157596665 \h </w:instrText>
        </w:r>
        <w:r w:rsidR="004344FF">
          <w:rPr>
            <w:noProof/>
            <w:webHidden/>
          </w:rPr>
        </w:r>
        <w:r w:rsidR="004344FF">
          <w:rPr>
            <w:noProof/>
            <w:webHidden/>
          </w:rPr>
          <w:fldChar w:fldCharType="separate"/>
        </w:r>
        <w:r w:rsidR="004344FF">
          <w:rPr>
            <w:noProof/>
            <w:webHidden/>
          </w:rPr>
          <w:t>106</w:t>
        </w:r>
        <w:r w:rsidR="004344FF">
          <w:rPr>
            <w:noProof/>
            <w:webHidden/>
          </w:rPr>
          <w:fldChar w:fldCharType="end"/>
        </w:r>
      </w:hyperlink>
    </w:p>
    <w:p w14:paraId="26937363" w14:textId="6E30D163" w:rsidR="004344FF" w:rsidRDefault="00000000">
      <w:pPr>
        <w:pStyle w:val="TOC2"/>
        <w:rPr>
          <w:rFonts w:asciiTheme="minorHAnsi" w:eastAsiaTheme="minorEastAsia" w:hAnsiTheme="minorHAnsi" w:cstheme="minorBidi"/>
          <w:noProof/>
          <w:sz w:val="22"/>
          <w:szCs w:val="22"/>
        </w:rPr>
      </w:pPr>
      <w:hyperlink w:anchor="_Toc157596666" w:history="1">
        <w:r w:rsidR="004344FF" w:rsidRPr="001927C9">
          <w:rPr>
            <w:rStyle w:val="Hyperlink"/>
            <w:noProof/>
          </w:rPr>
          <w:t>3.2</w:t>
        </w:r>
        <w:r w:rsidR="004344FF">
          <w:rPr>
            <w:rFonts w:asciiTheme="minorHAnsi" w:eastAsiaTheme="minorEastAsia" w:hAnsiTheme="minorHAnsi" w:cstheme="minorBidi"/>
            <w:noProof/>
            <w:sz w:val="22"/>
            <w:szCs w:val="22"/>
          </w:rPr>
          <w:tab/>
        </w:r>
        <w:r w:rsidR="004344FF" w:rsidRPr="001927C9">
          <w:rPr>
            <w:rStyle w:val="Hyperlink"/>
            <w:noProof/>
          </w:rPr>
          <w:t>Budgeted financial statements</w:t>
        </w:r>
        <w:r w:rsidR="004344FF">
          <w:rPr>
            <w:noProof/>
            <w:webHidden/>
          </w:rPr>
          <w:tab/>
        </w:r>
        <w:r w:rsidR="004344FF">
          <w:rPr>
            <w:noProof/>
            <w:webHidden/>
          </w:rPr>
          <w:fldChar w:fldCharType="begin"/>
        </w:r>
        <w:r w:rsidR="004344FF">
          <w:rPr>
            <w:noProof/>
            <w:webHidden/>
          </w:rPr>
          <w:instrText xml:space="preserve"> PAGEREF _Toc157596666 \h </w:instrText>
        </w:r>
        <w:r w:rsidR="004344FF">
          <w:rPr>
            <w:noProof/>
            <w:webHidden/>
          </w:rPr>
        </w:r>
        <w:r w:rsidR="004344FF">
          <w:rPr>
            <w:noProof/>
            <w:webHidden/>
          </w:rPr>
          <w:fldChar w:fldCharType="separate"/>
        </w:r>
        <w:r w:rsidR="004344FF">
          <w:rPr>
            <w:noProof/>
            <w:webHidden/>
          </w:rPr>
          <w:t>106</w:t>
        </w:r>
        <w:r w:rsidR="004344FF">
          <w:rPr>
            <w:noProof/>
            <w:webHidden/>
          </w:rPr>
          <w:fldChar w:fldCharType="end"/>
        </w:r>
      </w:hyperlink>
    </w:p>
    <w:p w14:paraId="257C2B16" w14:textId="43E4367D" w:rsidR="00275707" w:rsidRDefault="00D91D52" w:rsidP="00B4485A">
      <w:r>
        <w:fldChar w:fldCharType="end"/>
      </w:r>
      <w:r w:rsidR="00275707">
        <w:br w:type="page"/>
      </w:r>
    </w:p>
    <w:p w14:paraId="278DB8EB" w14:textId="77777777" w:rsidR="00275707" w:rsidRDefault="00275707" w:rsidP="00275707">
      <w:pPr>
        <w:pStyle w:val="Heading1-LVL2"/>
      </w:pPr>
      <w:bookmarkStart w:id="440" w:name="_Toc155859222"/>
      <w:r>
        <w:t>Australian Institute of Health and Welfare</w:t>
      </w:r>
      <w:bookmarkEnd w:id="440"/>
    </w:p>
    <w:p w14:paraId="14A49480" w14:textId="21D483E9" w:rsidR="00275707" w:rsidRDefault="00D91D52" w:rsidP="00275707">
      <w:pPr>
        <w:pStyle w:val="Heading2-TOC"/>
      </w:pPr>
      <w:r>
        <w:fldChar w:fldCharType="begin"/>
      </w:r>
      <w:r>
        <w:instrText xml:space="preserve"> </w:instrText>
      </w:r>
      <w:proofErr w:type="gramStart"/>
      <w:r>
        <w:instrText>TC  "</w:instrText>
      </w:r>
      <w:bookmarkStart w:id="441" w:name="_Toc157240270"/>
      <w:bookmarkStart w:id="442" w:name="_Toc157421332"/>
      <w:bookmarkStart w:id="443" w:name="_Toc157596656"/>
      <w:proofErr w:type="gramEnd"/>
      <w:r>
        <w:instrText>Section 1: Entity overview and resources</w:instrText>
      </w:r>
      <w:bookmarkEnd w:id="441"/>
      <w:bookmarkEnd w:id="442"/>
      <w:bookmarkEnd w:id="443"/>
      <w:r>
        <w:instrText xml:space="preserve">" \f </w:instrText>
      </w:r>
      <w:proofErr w:type="spellStart"/>
      <w:r>
        <w:instrText>aihw</w:instrText>
      </w:r>
      <w:proofErr w:type="spellEnd"/>
      <w:r>
        <w:instrText xml:space="preserve"> \l 1 </w:instrText>
      </w:r>
      <w:r>
        <w:fldChar w:fldCharType="end"/>
      </w:r>
      <w:bookmarkStart w:id="444" w:name="_Toc157592014"/>
      <w:bookmarkStart w:id="445" w:name="_Toc157592197"/>
      <w:r w:rsidR="00275707" w:rsidRPr="00F045E6">
        <w:t>Section 1: Entity overview and resources</w:t>
      </w:r>
      <w:bookmarkEnd w:id="444"/>
      <w:bookmarkEnd w:id="445"/>
    </w:p>
    <w:p w14:paraId="08E1AB87" w14:textId="0D98EB4E" w:rsidR="00275707" w:rsidRPr="002322E9" w:rsidRDefault="00D91D52" w:rsidP="00275707">
      <w:pPr>
        <w:pStyle w:val="Heading3"/>
      </w:pPr>
      <w:r>
        <w:fldChar w:fldCharType="begin"/>
      </w:r>
      <w:r>
        <w:instrText xml:space="preserve"> </w:instrText>
      </w:r>
      <w:proofErr w:type="gramStart"/>
      <w:r>
        <w:instrText>TC  "</w:instrText>
      </w:r>
      <w:bookmarkStart w:id="446" w:name="_Toc155864663"/>
      <w:bookmarkStart w:id="447" w:name="_Toc157240271"/>
      <w:bookmarkStart w:id="448" w:name="_Toc157421333"/>
      <w:bookmarkStart w:id="449" w:name="_Toc157596657"/>
      <w:proofErr w:type="gramEnd"/>
      <w:r>
        <w:instrText>1.1</w:instrText>
      </w:r>
      <w:r>
        <w:tab/>
        <w:instrText xml:space="preserve">Strategic </w:instrText>
      </w:r>
      <w:r w:rsidR="004A3473">
        <w:instrText>direction s</w:instrText>
      </w:r>
      <w:r>
        <w:instrText>tatement</w:instrText>
      </w:r>
      <w:bookmarkEnd w:id="446"/>
      <w:bookmarkEnd w:id="447"/>
      <w:bookmarkEnd w:id="448"/>
      <w:bookmarkEnd w:id="449"/>
      <w:r>
        <w:instrText xml:space="preserve">" \f </w:instrText>
      </w:r>
      <w:proofErr w:type="spellStart"/>
      <w:r>
        <w:instrText>aihw</w:instrText>
      </w:r>
      <w:proofErr w:type="spellEnd"/>
      <w:r>
        <w:instrText xml:space="preserve"> \l 2 </w:instrText>
      </w:r>
      <w:r>
        <w:fldChar w:fldCharType="end"/>
      </w:r>
      <w:bookmarkStart w:id="450" w:name="_Toc157592015"/>
      <w:bookmarkStart w:id="451" w:name="_Toc157592198"/>
      <w:r w:rsidR="00275707">
        <w:t>1.1</w:t>
      </w:r>
      <w:r w:rsidR="00275707">
        <w:tab/>
      </w:r>
      <w:r w:rsidR="00275707" w:rsidRPr="004928FF">
        <w:t>Strategic direction</w:t>
      </w:r>
      <w:r w:rsidR="00275707">
        <w:t xml:space="preserve"> statement</w:t>
      </w:r>
      <w:bookmarkEnd w:id="450"/>
      <w:bookmarkEnd w:id="451"/>
    </w:p>
    <w:p w14:paraId="547E06ED" w14:textId="44C39D24" w:rsidR="00275707" w:rsidRPr="00384195" w:rsidRDefault="00275707" w:rsidP="00275707">
      <w:pPr>
        <w:spacing w:after="120"/>
        <w:rPr>
          <w:i/>
          <w:sz w:val="20"/>
        </w:rPr>
      </w:pPr>
      <w:r w:rsidRPr="00DA43B4">
        <w:rPr>
          <w:sz w:val="20"/>
        </w:rPr>
        <w:t xml:space="preserve">The roles and functions of the </w:t>
      </w:r>
      <w:r w:rsidR="007E1D60">
        <w:rPr>
          <w:sz w:val="20"/>
        </w:rPr>
        <w:t>Australian Institute of Health and Welfare (</w:t>
      </w:r>
      <w:r w:rsidRPr="00DA43B4">
        <w:rPr>
          <w:sz w:val="20"/>
        </w:rPr>
        <w:t>AIHW</w:t>
      </w:r>
      <w:r w:rsidR="007E1D60">
        <w:rPr>
          <w:sz w:val="20"/>
        </w:rPr>
        <w:t>)</w:t>
      </w:r>
      <w:r w:rsidRPr="00DA43B4">
        <w:rPr>
          <w:sz w:val="20"/>
        </w:rPr>
        <w:t xml:space="preserve"> are set out in the </w:t>
      </w:r>
      <w:r w:rsidRPr="00384195">
        <w:rPr>
          <w:i/>
          <w:sz w:val="20"/>
        </w:rPr>
        <w:t>Australian Institute of Health and Welfare Act 1987</w:t>
      </w:r>
      <w:r w:rsidRPr="00DA43B4">
        <w:rPr>
          <w:sz w:val="20"/>
        </w:rPr>
        <w:t xml:space="preserve">. The AIHW is a corporate Commonwealth entity under the </w:t>
      </w:r>
      <w:r w:rsidRPr="00384195">
        <w:rPr>
          <w:i/>
          <w:sz w:val="20"/>
        </w:rPr>
        <w:t>Public Governance, Performance and Accountability Act 2013.</w:t>
      </w:r>
    </w:p>
    <w:p w14:paraId="01DC845F" w14:textId="7F825675" w:rsidR="00275707" w:rsidRPr="00DA43B4" w:rsidRDefault="00275707" w:rsidP="00275707">
      <w:pPr>
        <w:pStyle w:val="ExampleText"/>
        <w:jc w:val="both"/>
        <w:rPr>
          <w:i w:val="0"/>
          <w:color w:val="auto"/>
          <w:sz w:val="20"/>
        </w:rPr>
      </w:pPr>
      <w:r w:rsidRPr="00DA43B4">
        <w:rPr>
          <w:i w:val="0"/>
          <w:color w:val="auto"/>
          <w:sz w:val="20"/>
        </w:rPr>
        <w:t>For a fu</w:t>
      </w:r>
      <w:r w:rsidR="004A3473">
        <w:rPr>
          <w:i w:val="0"/>
          <w:color w:val="auto"/>
          <w:sz w:val="20"/>
        </w:rPr>
        <w:t>ll outline of AIHW’s strategic d</w:t>
      </w:r>
      <w:r w:rsidRPr="00DA43B4">
        <w:rPr>
          <w:i w:val="0"/>
          <w:color w:val="auto"/>
          <w:sz w:val="20"/>
        </w:rPr>
        <w:t>irec</w:t>
      </w:r>
      <w:r w:rsidR="0014549F">
        <w:rPr>
          <w:i w:val="0"/>
          <w:color w:val="auto"/>
          <w:sz w:val="20"/>
        </w:rPr>
        <w:t xml:space="preserve">tion, refer page 194 </w:t>
      </w:r>
      <w:r w:rsidRPr="00DA43B4">
        <w:rPr>
          <w:i w:val="0"/>
          <w:color w:val="auto"/>
          <w:sz w:val="20"/>
        </w:rPr>
        <w:t xml:space="preserve">of the </w:t>
      </w:r>
      <w:r w:rsidRPr="0014549F">
        <w:rPr>
          <w:color w:val="auto"/>
          <w:sz w:val="20"/>
        </w:rPr>
        <w:t>Health and Aged Care Portfolio Budget Statements 2023–24</w:t>
      </w:r>
      <w:r w:rsidRPr="00DA43B4">
        <w:rPr>
          <w:i w:val="0"/>
          <w:color w:val="auto"/>
          <w:sz w:val="20"/>
        </w:rPr>
        <w:t xml:space="preserve">. </w:t>
      </w:r>
    </w:p>
    <w:p w14:paraId="231169E3" w14:textId="77777777" w:rsidR="0014549F" w:rsidRDefault="0014549F">
      <w:pPr>
        <w:spacing w:before="0" w:after="0" w:line="240" w:lineRule="auto"/>
        <w:rPr>
          <w:rFonts w:ascii="Arial Bold" w:hAnsi="Arial Bold"/>
          <w:b/>
          <w:sz w:val="22"/>
        </w:rPr>
      </w:pPr>
      <w:r>
        <w:br w:type="page"/>
      </w:r>
    </w:p>
    <w:p w14:paraId="03CEF4ED" w14:textId="0A3FE640" w:rsidR="00275707" w:rsidRPr="004928FF" w:rsidRDefault="00D91D52" w:rsidP="00275707">
      <w:pPr>
        <w:pStyle w:val="Heading3"/>
      </w:pPr>
      <w:r>
        <w:fldChar w:fldCharType="begin"/>
      </w:r>
      <w:r>
        <w:instrText xml:space="preserve"> </w:instrText>
      </w:r>
      <w:proofErr w:type="gramStart"/>
      <w:r>
        <w:instrText>TC  "</w:instrText>
      </w:r>
      <w:bookmarkStart w:id="452" w:name="_Toc157240272"/>
      <w:bookmarkStart w:id="453" w:name="_Toc157421334"/>
      <w:bookmarkStart w:id="454" w:name="_Toc157596658"/>
      <w:proofErr w:type="gramEnd"/>
      <w:r>
        <w:instrText>1.2</w:instrText>
      </w:r>
      <w:r>
        <w:tab/>
        <w:instrText>Entity resource statement</w:instrText>
      </w:r>
      <w:bookmarkEnd w:id="452"/>
      <w:bookmarkEnd w:id="453"/>
      <w:bookmarkEnd w:id="454"/>
      <w:r>
        <w:instrText xml:space="preserve">" \f </w:instrText>
      </w:r>
      <w:proofErr w:type="spellStart"/>
      <w:r>
        <w:instrText>aihw</w:instrText>
      </w:r>
      <w:proofErr w:type="spellEnd"/>
      <w:r>
        <w:instrText xml:space="preserve"> \l 2 </w:instrText>
      </w:r>
      <w:r>
        <w:fldChar w:fldCharType="end"/>
      </w:r>
      <w:bookmarkStart w:id="455" w:name="_Toc157592016"/>
      <w:bookmarkStart w:id="456" w:name="_Toc157592199"/>
      <w:r w:rsidR="00275707">
        <w:t>1.2</w:t>
      </w:r>
      <w:r w:rsidR="00275707">
        <w:tab/>
        <w:t>Entity resource statement</w:t>
      </w:r>
      <w:bookmarkEnd w:id="455"/>
      <w:bookmarkEnd w:id="456"/>
    </w:p>
    <w:p w14:paraId="3596D55C" w14:textId="4BFA98B4" w:rsidR="00275707" w:rsidRPr="00DA43B4" w:rsidRDefault="008F0A73" w:rsidP="00275707">
      <w:pPr>
        <w:rPr>
          <w:sz w:val="20"/>
        </w:rPr>
      </w:pPr>
      <w:r>
        <w:rPr>
          <w:sz w:val="20"/>
        </w:rPr>
        <w:t>The e</w:t>
      </w:r>
      <w:r w:rsidR="00275707" w:rsidRPr="00DA43B4">
        <w:rPr>
          <w:sz w:val="20"/>
        </w:rPr>
        <w:t xml:space="preserve">ntity </w:t>
      </w:r>
      <w:r>
        <w:rPr>
          <w:sz w:val="20"/>
        </w:rPr>
        <w:t>r</w:t>
      </w:r>
      <w:r w:rsidR="00275707" w:rsidRPr="00DA43B4">
        <w:rPr>
          <w:sz w:val="20"/>
        </w:rPr>
        <w:t>eso</w:t>
      </w:r>
      <w:r>
        <w:rPr>
          <w:sz w:val="20"/>
        </w:rPr>
        <w:t>urce s</w:t>
      </w:r>
      <w:r w:rsidR="00275707" w:rsidRPr="00DA43B4">
        <w:rPr>
          <w:sz w:val="20"/>
        </w:rPr>
        <w:t>tatement details the resourcing for AIHW</w:t>
      </w:r>
      <w:r w:rsidR="0014549F">
        <w:rPr>
          <w:sz w:val="20"/>
        </w:rPr>
        <w:t xml:space="preserve"> </w:t>
      </w:r>
      <w:r w:rsidR="00275707" w:rsidRPr="00DA43B4">
        <w:rPr>
          <w:sz w:val="20"/>
        </w:rPr>
        <w:t xml:space="preserve">at Additional Estimates. Table 1.1 outlines the total resourcing available from all sources for the </w:t>
      </w:r>
      <w:r w:rsidR="00275707" w:rsidRPr="00DA43B4">
        <w:rPr>
          <w:sz w:val="20"/>
        </w:rPr>
        <w:br/>
        <w:t>2023–24 Budget year, including variat</w:t>
      </w:r>
      <w:r>
        <w:rPr>
          <w:sz w:val="20"/>
        </w:rPr>
        <w:t>ions through Appropriation Bill</w:t>
      </w:r>
      <w:r w:rsidR="00275707" w:rsidRPr="00DA43B4">
        <w:rPr>
          <w:sz w:val="20"/>
        </w:rPr>
        <w:t xml:space="preserve"> </w:t>
      </w:r>
      <w:r>
        <w:rPr>
          <w:sz w:val="20"/>
        </w:rPr>
        <w:t>(</w:t>
      </w:r>
      <w:r w:rsidR="00275707" w:rsidRPr="00DA43B4">
        <w:rPr>
          <w:sz w:val="20"/>
        </w:rPr>
        <w:t>No</w:t>
      </w:r>
      <w:r>
        <w:rPr>
          <w:sz w:val="20"/>
        </w:rPr>
        <w:t>. </w:t>
      </w:r>
      <w:r w:rsidR="00275707" w:rsidRPr="00DA43B4">
        <w:rPr>
          <w:sz w:val="20"/>
        </w:rPr>
        <w:t>3</w:t>
      </w:r>
      <w:r>
        <w:rPr>
          <w:sz w:val="20"/>
        </w:rPr>
        <w:t> and </w:t>
      </w:r>
      <w:r w:rsidR="00275707" w:rsidRPr="00DA43B4">
        <w:rPr>
          <w:sz w:val="20"/>
        </w:rPr>
        <w:t>4</w:t>
      </w:r>
      <w:r>
        <w:rPr>
          <w:sz w:val="20"/>
        </w:rPr>
        <w:t>)</w:t>
      </w:r>
      <w:r w:rsidR="00275707" w:rsidRPr="00DA43B4">
        <w:rPr>
          <w:i/>
          <w:sz w:val="20"/>
        </w:rPr>
        <w:t>,</w:t>
      </w:r>
      <w:r w:rsidR="00275707" w:rsidRPr="00DA43B4">
        <w:rPr>
          <w:sz w:val="20"/>
        </w:rPr>
        <w:t xml:space="preserve"> Special Appropriations and Special Accounts. </w:t>
      </w:r>
    </w:p>
    <w:p w14:paraId="7683E9CD" w14:textId="77777777" w:rsidR="00275707" w:rsidRPr="00DA43B4" w:rsidRDefault="00275707" w:rsidP="00275707">
      <w:pPr>
        <w:rPr>
          <w:sz w:val="20"/>
        </w:rPr>
      </w:pPr>
      <w:r w:rsidRPr="00DA43B4">
        <w:rPr>
          <w:sz w:val="20"/>
        </w:rPr>
        <w:t xml:space="preserve">Amounts presented below are consistent with amounts presented in the Appropriation Bills themselves, and as published in appropriation notes to the 2022–23 financial statements. </w:t>
      </w:r>
    </w:p>
    <w:p w14:paraId="5E38F351" w14:textId="77777777" w:rsidR="0014549F" w:rsidRDefault="0014549F">
      <w:pPr>
        <w:spacing w:before="0" w:after="0" w:line="240" w:lineRule="auto"/>
        <w:rPr>
          <w:rFonts w:ascii="Arial" w:hAnsi="Arial"/>
          <w:b/>
          <w:sz w:val="20"/>
        </w:rPr>
      </w:pPr>
      <w:r>
        <w:br w:type="page"/>
      </w:r>
    </w:p>
    <w:p w14:paraId="3DAD41A7" w14:textId="7D270D5F" w:rsidR="00275707" w:rsidRDefault="00275707" w:rsidP="00275707">
      <w:pPr>
        <w:pStyle w:val="TableHeading"/>
      </w:pPr>
      <w:r w:rsidRPr="00564C0F">
        <w:t xml:space="preserve">Table 1.1: </w:t>
      </w:r>
      <w:r>
        <w:t>AIHW</w:t>
      </w:r>
      <w:r w:rsidR="0014549F">
        <w:t xml:space="preserve"> </w:t>
      </w:r>
      <w:r w:rsidRPr="00564C0F">
        <w:t xml:space="preserve">resource statement — Additional Estimates for </w:t>
      </w:r>
      <w:r>
        <w:t>2023–24</w:t>
      </w:r>
      <w:r w:rsidRPr="00564C0F">
        <w:t xml:space="preserve"> as </w:t>
      </w:r>
      <w:proofErr w:type="gramStart"/>
      <w:r w:rsidRPr="00564C0F">
        <w:t>at</w:t>
      </w:r>
      <w:proofErr w:type="gramEnd"/>
      <w:r w:rsidRPr="00564C0F">
        <w:t xml:space="preserve"> </w:t>
      </w:r>
      <w:r w:rsidRPr="00055E5F">
        <w:t>February 202</w:t>
      </w:r>
      <w:r>
        <w:t>4</w:t>
      </w:r>
    </w:p>
    <w:tbl>
      <w:tblPr>
        <w:tblW w:w="7880" w:type="dxa"/>
        <w:jc w:val="center"/>
        <w:tblLayout w:type="fixed"/>
        <w:tblLook w:val="04A0" w:firstRow="1" w:lastRow="0" w:firstColumn="1" w:lastColumn="0" w:noHBand="0" w:noVBand="1"/>
      </w:tblPr>
      <w:tblGrid>
        <w:gridCol w:w="3080"/>
        <w:gridCol w:w="1240"/>
        <w:gridCol w:w="1240"/>
        <w:gridCol w:w="1160"/>
        <w:gridCol w:w="1160"/>
      </w:tblGrid>
      <w:tr w:rsidR="00346ED7" w:rsidRPr="00346ED7" w14:paraId="3D6CFF56" w14:textId="77777777" w:rsidTr="00FB5E5F">
        <w:trPr>
          <w:trHeight w:val="765"/>
          <w:jc w:val="center"/>
        </w:trPr>
        <w:tc>
          <w:tcPr>
            <w:tcW w:w="3080" w:type="dxa"/>
            <w:tcBorders>
              <w:top w:val="single" w:sz="4" w:space="0" w:color="auto"/>
              <w:left w:val="nil"/>
              <w:bottom w:val="nil"/>
              <w:right w:val="nil"/>
            </w:tcBorders>
            <w:shd w:val="clear" w:color="auto" w:fill="auto"/>
            <w:hideMark/>
          </w:tcPr>
          <w:p w14:paraId="0D06B7DC" w14:textId="77777777" w:rsidR="00346ED7" w:rsidRPr="00346ED7" w:rsidRDefault="00346ED7" w:rsidP="00FB5E5F">
            <w:pPr>
              <w:spacing w:before="24" w:after="0" w:line="240" w:lineRule="auto"/>
              <w:jc w:val="right"/>
              <w:rPr>
                <w:rFonts w:ascii="Arial" w:hAnsi="Arial" w:cs="Arial"/>
                <w:b/>
                <w:bCs/>
                <w:sz w:val="16"/>
                <w:szCs w:val="16"/>
              </w:rPr>
            </w:pPr>
            <w:r w:rsidRPr="00346ED7">
              <w:rPr>
                <w:rFonts w:ascii="Arial" w:hAnsi="Arial" w:cs="Arial"/>
                <w:b/>
                <w:bCs/>
                <w:sz w:val="16"/>
                <w:szCs w:val="16"/>
              </w:rPr>
              <w:t> </w:t>
            </w:r>
          </w:p>
        </w:tc>
        <w:tc>
          <w:tcPr>
            <w:tcW w:w="1240" w:type="dxa"/>
            <w:tcBorders>
              <w:top w:val="single" w:sz="4" w:space="0" w:color="auto"/>
              <w:left w:val="nil"/>
              <w:bottom w:val="single" w:sz="4" w:space="0" w:color="auto"/>
              <w:right w:val="nil"/>
            </w:tcBorders>
            <w:shd w:val="clear" w:color="auto" w:fill="auto"/>
            <w:tcMar>
              <w:left w:w="0" w:type="dxa"/>
            </w:tcMar>
            <w:hideMark/>
          </w:tcPr>
          <w:p w14:paraId="55C830AA" w14:textId="1D42F194" w:rsidR="00346ED7" w:rsidRPr="00346ED7" w:rsidRDefault="00346ED7" w:rsidP="00FB5E5F">
            <w:pPr>
              <w:spacing w:before="24" w:after="0" w:line="240" w:lineRule="auto"/>
              <w:jc w:val="right"/>
              <w:rPr>
                <w:rFonts w:ascii="Arial" w:hAnsi="Arial" w:cs="Arial"/>
                <w:b/>
                <w:bCs/>
                <w:sz w:val="16"/>
                <w:szCs w:val="16"/>
              </w:rPr>
            </w:pPr>
            <w:r w:rsidRPr="00346ED7">
              <w:rPr>
                <w:rFonts w:ascii="Arial" w:hAnsi="Arial" w:cs="Arial"/>
                <w:b/>
                <w:bCs/>
                <w:sz w:val="16"/>
                <w:szCs w:val="16"/>
              </w:rPr>
              <w:t>2022</w:t>
            </w:r>
            <w:r>
              <w:rPr>
                <w:rFonts w:ascii="Arial" w:hAnsi="Arial" w:cs="Arial"/>
                <w:b/>
                <w:bCs/>
                <w:sz w:val="16"/>
                <w:szCs w:val="16"/>
              </w:rPr>
              <w:t>–</w:t>
            </w:r>
            <w:r w:rsidRPr="00346ED7">
              <w:rPr>
                <w:rFonts w:ascii="Arial" w:hAnsi="Arial" w:cs="Arial"/>
                <w:b/>
                <w:bCs/>
                <w:sz w:val="16"/>
                <w:szCs w:val="16"/>
              </w:rPr>
              <w:t>23</w:t>
            </w:r>
            <w:r w:rsidRPr="00346ED7">
              <w:rPr>
                <w:rFonts w:ascii="Arial" w:hAnsi="Arial" w:cs="Arial"/>
                <w:b/>
                <w:bCs/>
                <w:sz w:val="16"/>
                <w:szCs w:val="16"/>
              </w:rPr>
              <w:br/>
              <w:t>Total</w:t>
            </w:r>
            <w:r w:rsidRPr="00346ED7">
              <w:rPr>
                <w:rFonts w:ascii="Arial" w:hAnsi="Arial" w:cs="Arial"/>
                <w:b/>
                <w:bCs/>
                <w:sz w:val="16"/>
                <w:szCs w:val="16"/>
              </w:rPr>
              <w:br/>
              <w:t>available</w:t>
            </w:r>
            <w:r w:rsidRPr="00346ED7">
              <w:rPr>
                <w:rFonts w:ascii="Arial" w:hAnsi="Arial" w:cs="Arial"/>
                <w:b/>
                <w:bCs/>
                <w:sz w:val="16"/>
                <w:szCs w:val="16"/>
              </w:rPr>
              <w:br/>
              <w:t xml:space="preserve">appropriation                                                                                                                                                                                                                                                                                                                                                                                                                                                                                                                                               </w:t>
            </w:r>
            <w:r w:rsidRPr="00346ED7">
              <w:rPr>
                <w:rFonts w:ascii="Arial" w:hAnsi="Arial" w:cs="Arial"/>
                <w:sz w:val="16"/>
                <w:szCs w:val="16"/>
              </w:rPr>
              <w:t>$'000</w:t>
            </w:r>
          </w:p>
        </w:tc>
        <w:tc>
          <w:tcPr>
            <w:tcW w:w="1240" w:type="dxa"/>
            <w:tcBorders>
              <w:top w:val="single" w:sz="4" w:space="0" w:color="auto"/>
              <w:left w:val="nil"/>
              <w:bottom w:val="single" w:sz="4" w:space="0" w:color="auto"/>
              <w:right w:val="nil"/>
            </w:tcBorders>
            <w:shd w:val="clear" w:color="000000" w:fill="D9D9D9"/>
            <w:hideMark/>
          </w:tcPr>
          <w:p w14:paraId="7BFFC282" w14:textId="318113BC" w:rsidR="00346ED7" w:rsidRPr="00346ED7" w:rsidRDefault="00346ED7" w:rsidP="00FB5E5F">
            <w:pPr>
              <w:spacing w:before="24" w:after="0" w:line="240" w:lineRule="auto"/>
              <w:jc w:val="right"/>
              <w:rPr>
                <w:rFonts w:ascii="Arial" w:hAnsi="Arial" w:cs="Arial"/>
                <w:b/>
                <w:bCs/>
                <w:sz w:val="16"/>
                <w:szCs w:val="16"/>
              </w:rPr>
            </w:pPr>
            <w:r w:rsidRPr="00346ED7">
              <w:rPr>
                <w:rFonts w:ascii="Arial" w:hAnsi="Arial" w:cs="Arial"/>
                <w:b/>
                <w:bCs/>
                <w:sz w:val="16"/>
                <w:szCs w:val="16"/>
              </w:rPr>
              <w:t>2023</w:t>
            </w:r>
            <w:r>
              <w:rPr>
                <w:rFonts w:ascii="Arial" w:hAnsi="Arial" w:cs="Arial"/>
                <w:b/>
                <w:bCs/>
                <w:sz w:val="16"/>
                <w:szCs w:val="16"/>
              </w:rPr>
              <w:t>–</w:t>
            </w:r>
            <w:r w:rsidRPr="00346ED7">
              <w:rPr>
                <w:rFonts w:ascii="Arial" w:hAnsi="Arial" w:cs="Arial"/>
                <w:b/>
                <w:bCs/>
                <w:sz w:val="16"/>
                <w:szCs w:val="16"/>
              </w:rPr>
              <w:t>24</w:t>
            </w:r>
            <w:r w:rsidRPr="00346ED7">
              <w:rPr>
                <w:rFonts w:ascii="Arial" w:hAnsi="Arial" w:cs="Arial"/>
                <w:b/>
                <w:bCs/>
                <w:sz w:val="16"/>
                <w:szCs w:val="16"/>
              </w:rPr>
              <w:br/>
              <w:t>Estimate as</w:t>
            </w:r>
            <w:r w:rsidRPr="00346ED7">
              <w:rPr>
                <w:rFonts w:ascii="Arial" w:hAnsi="Arial" w:cs="Arial"/>
                <w:b/>
                <w:bCs/>
                <w:sz w:val="16"/>
                <w:szCs w:val="16"/>
              </w:rPr>
              <w:br/>
              <w:t>at Budget</w:t>
            </w:r>
            <w:r w:rsidRPr="00346ED7">
              <w:rPr>
                <w:rFonts w:ascii="Arial" w:hAnsi="Arial" w:cs="Arial"/>
                <w:b/>
                <w:bCs/>
                <w:sz w:val="16"/>
                <w:szCs w:val="16"/>
              </w:rPr>
              <w:br/>
            </w:r>
            <w:r w:rsidRPr="00346ED7">
              <w:rPr>
                <w:rFonts w:ascii="Arial" w:hAnsi="Arial" w:cs="Arial"/>
                <w:b/>
                <w:bCs/>
                <w:sz w:val="16"/>
                <w:szCs w:val="16"/>
              </w:rPr>
              <w:br/>
            </w:r>
            <w:r w:rsidRPr="00346ED7">
              <w:rPr>
                <w:rFonts w:ascii="Arial" w:hAnsi="Arial" w:cs="Arial"/>
                <w:sz w:val="16"/>
                <w:szCs w:val="16"/>
              </w:rPr>
              <w:t>$'000</w:t>
            </w:r>
          </w:p>
        </w:tc>
        <w:tc>
          <w:tcPr>
            <w:tcW w:w="1160" w:type="dxa"/>
            <w:tcBorders>
              <w:top w:val="single" w:sz="4" w:space="0" w:color="auto"/>
              <w:left w:val="nil"/>
              <w:bottom w:val="single" w:sz="4" w:space="0" w:color="auto"/>
              <w:right w:val="nil"/>
            </w:tcBorders>
            <w:shd w:val="clear" w:color="auto" w:fill="auto"/>
            <w:hideMark/>
          </w:tcPr>
          <w:p w14:paraId="1DD5E82B" w14:textId="795C1E3D" w:rsidR="00346ED7" w:rsidRPr="00346ED7" w:rsidRDefault="00346ED7" w:rsidP="00FB5E5F">
            <w:pPr>
              <w:spacing w:before="24" w:after="0" w:line="240" w:lineRule="auto"/>
              <w:jc w:val="right"/>
              <w:rPr>
                <w:rFonts w:ascii="Arial" w:hAnsi="Arial" w:cs="Arial"/>
                <w:b/>
                <w:bCs/>
                <w:sz w:val="16"/>
                <w:szCs w:val="16"/>
              </w:rPr>
            </w:pPr>
            <w:r>
              <w:rPr>
                <w:rFonts w:ascii="Arial" w:hAnsi="Arial" w:cs="Arial"/>
                <w:b/>
                <w:bCs/>
                <w:sz w:val="16"/>
                <w:szCs w:val="16"/>
              </w:rPr>
              <w:t>2023–</w:t>
            </w:r>
            <w:r w:rsidRPr="00346ED7">
              <w:rPr>
                <w:rFonts w:ascii="Arial" w:hAnsi="Arial" w:cs="Arial"/>
                <w:b/>
                <w:bCs/>
                <w:sz w:val="16"/>
                <w:szCs w:val="16"/>
              </w:rPr>
              <w:t>24</w:t>
            </w:r>
            <w:r w:rsidRPr="00346ED7">
              <w:rPr>
                <w:rFonts w:ascii="Arial" w:hAnsi="Arial" w:cs="Arial"/>
                <w:b/>
                <w:bCs/>
                <w:sz w:val="16"/>
                <w:szCs w:val="16"/>
              </w:rPr>
              <w:br/>
              <w:t>Proposed</w:t>
            </w:r>
            <w:r w:rsidRPr="00346ED7">
              <w:rPr>
                <w:rFonts w:ascii="Arial" w:hAnsi="Arial" w:cs="Arial"/>
                <w:b/>
                <w:bCs/>
                <w:sz w:val="16"/>
                <w:szCs w:val="16"/>
              </w:rPr>
              <w:br/>
              <w:t>Additional</w:t>
            </w:r>
            <w:r w:rsidRPr="00346ED7">
              <w:rPr>
                <w:rFonts w:ascii="Arial" w:hAnsi="Arial" w:cs="Arial"/>
                <w:b/>
                <w:bCs/>
                <w:sz w:val="16"/>
                <w:szCs w:val="16"/>
              </w:rPr>
              <w:br/>
              <w:t>Estimates</w:t>
            </w:r>
            <w:r w:rsidRPr="00346ED7">
              <w:rPr>
                <w:rFonts w:ascii="Arial" w:hAnsi="Arial" w:cs="Arial"/>
                <w:b/>
                <w:bCs/>
                <w:sz w:val="16"/>
                <w:szCs w:val="16"/>
              </w:rPr>
              <w:br/>
            </w:r>
            <w:r w:rsidRPr="00346ED7">
              <w:rPr>
                <w:rFonts w:ascii="Arial" w:hAnsi="Arial" w:cs="Arial"/>
                <w:sz w:val="16"/>
                <w:szCs w:val="16"/>
              </w:rPr>
              <w:t>$'000</w:t>
            </w:r>
          </w:p>
        </w:tc>
        <w:tc>
          <w:tcPr>
            <w:tcW w:w="1160" w:type="dxa"/>
            <w:tcBorders>
              <w:top w:val="single" w:sz="4" w:space="0" w:color="auto"/>
              <w:left w:val="nil"/>
              <w:bottom w:val="single" w:sz="4" w:space="0" w:color="auto"/>
              <w:right w:val="nil"/>
            </w:tcBorders>
            <w:shd w:val="clear" w:color="auto" w:fill="auto"/>
            <w:hideMark/>
          </w:tcPr>
          <w:p w14:paraId="323885AD" w14:textId="66008A25" w:rsidR="00346ED7" w:rsidRPr="00346ED7" w:rsidRDefault="00346ED7" w:rsidP="00FB5E5F">
            <w:pPr>
              <w:spacing w:before="24" w:after="0" w:line="240" w:lineRule="auto"/>
              <w:jc w:val="right"/>
              <w:rPr>
                <w:rFonts w:ascii="Arial" w:hAnsi="Arial" w:cs="Arial"/>
                <w:b/>
                <w:bCs/>
                <w:sz w:val="16"/>
                <w:szCs w:val="16"/>
              </w:rPr>
            </w:pPr>
            <w:r>
              <w:rPr>
                <w:rFonts w:ascii="Arial" w:hAnsi="Arial" w:cs="Arial"/>
                <w:b/>
                <w:bCs/>
                <w:sz w:val="16"/>
                <w:szCs w:val="16"/>
              </w:rPr>
              <w:t>2023–</w:t>
            </w:r>
            <w:r w:rsidRPr="00346ED7">
              <w:rPr>
                <w:rFonts w:ascii="Arial" w:hAnsi="Arial" w:cs="Arial"/>
                <w:b/>
                <w:bCs/>
                <w:sz w:val="16"/>
                <w:szCs w:val="16"/>
              </w:rPr>
              <w:t>24</w:t>
            </w:r>
            <w:r w:rsidRPr="00346ED7">
              <w:rPr>
                <w:rFonts w:ascii="Arial" w:hAnsi="Arial" w:cs="Arial"/>
                <w:b/>
                <w:bCs/>
                <w:sz w:val="16"/>
                <w:szCs w:val="16"/>
              </w:rPr>
              <w:br/>
              <w:t>Total</w:t>
            </w:r>
            <w:r w:rsidRPr="00346ED7">
              <w:rPr>
                <w:rFonts w:ascii="Arial" w:hAnsi="Arial" w:cs="Arial"/>
                <w:b/>
                <w:bCs/>
                <w:sz w:val="16"/>
                <w:szCs w:val="16"/>
              </w:rPr>
              <w:br/>
              <w:t>Estimate</w:t>
            </w:r>
            <w:r w:rsidRPr="00346ED7">
              <w:rPr>
                <w:rFonts w:ascii="Arial" w:hAnsi="Arial" w:cs="Arial"/>
                <w:b/>
                <w:bCs/>
                <w:sz w:val="16"/>
                <w:szCs w:val="16"/>
              </w:rPr>
              <w:br/>
              <w:t>at AEs</w:t>
            </w:r>
            <w:r w:rsidRPr="00346ED7">
              <w:rPr>
                <w:rFonts w:ascii="Arial" w:hAnsi="Arial" w:cs="Arial"/>
                <w:b/>
                <w:bCs/>
                <w:sz w:val="16"/>
                <w:szCs w:val="16"/>
              </w:rPr>
              <w:br/>
            </w:r>
            <w:r w:rsidRPr="00346ED7">
              <w:rPr>
                <w:rFonts w:ascii="Arial" w:hAnsi="Arial" w:cs="Arial"/>
                <w:sz w:val="16"/>
                <w:szCs w:val="16"/>
              </w:rPr>
              <w:t>$'000</w:t>
            </w:r>
          </w:p>
        </w:tc>
      </w:tr>
      <w:tr w:rsidR="00346ED7" w:rsidRPr="00346ED7" w14:paraId="1BD1663D" w14:textId="77777777" w:rsidTr="00FB5E5F">
        <w:trPr>
          <w:trHeight w:val="454"/>
          <w:jc w:val="center"/>
        </w:trPr>
        <w:tc>
          <w:tcPr>
            <w:tcW w:w="3080" w:type="dxa"/>
            <w:tcBorders>
              <w:top w:val="nil"/>
              <w:left w:val="nil"/>
              <w:bottom w:val="nil"/>
              <w:right w:val="nil"/>
            </w:tcBorders>
            <w:shd w:val="clear" w:color="auto" w:fill="auto"/>
            <w:vAlign w:val="bottom"/>
            <w:hideMark/>
          </w:tcPr>
          <w:p w14:paraId="198C56A5" w14:textId="375C7DA2" w:rsidR="00346ED7" w:rsidRPr="00346ED7" w:rsidRDefault="00346ED7" w:rsidP="009A5948">
            <w:pPr>
              <w:spacing w:before="0" w:after="0" w:line="240" w:lineRule="auto"/>
              <w:rPr>
                <w:rFonts w:ascii="Arial" w:hAnsi="Arial" w:cs="Arial"/>
                <w:b/>
                <w:bCs/>
                <w:sz w:val="16"/>
                <w:szCs w:val="16"/>
              </w:rPr>
            </w:pPr>
            <w:r w:rsidRPr="00346ED7">
              <w:rPr>
                <w:rFonts w:ascii="Arial" w:hAnsi="Arial" w:cs="Arial"/>
                <w:b/>
                <w:bCs/>
                <w:sz w:val="16"/>
                <w:szCs w:val="16"/>
              </w:rPr>
              <w:t xml:space="preserve">Opening balance/cash reserves </w:t>
            </w:r>
            <w:proofErr w:type="gramStart"/>
            <w:r w:rsidRPr="00346ED7">
              <w:rPr>
                <w:rFonts w:ascii="Arial" w:hAnsi="Arial" w:cs="Arial"/>
                <w:b/>
                <w:bCs/>
                <w:sz w:val="16"/>
                <w:szCs w:val="16"/>
              </w:rPr>
              <w:t>at</w:t>
            </w:r>
            <w:proofErr w:type="gramEnd"/>
            <w:r w:rsidRPr="00346ED7">
              <w:rPr>
                <w:rFonts w:ascii="Arial" w:hAnsi="Arial" w:cs="Arial"/>
                <w:b/>
                <w:bCs/>
                <w:sz w:val="16"/>
                <w:szCs w:val="16"/>
              </w:rPr>
              <w:t xml:space="preserve"> 1 July</w:t>
            </w:r>
            <w:r w:rsidRPr="00346ED7">
              <w:rPr>
                <w:rFonts w:ascii="Arial" w:hAnsi="Arial" w:cs="Arial"/>
                <w:b/>
                <w:bCs/>
                <w:sz w:val="16"/>
                <w:szCs w:val="16"/>
                <w:vertAlign w:val="superscript"/>
              </w:rPr>
              <w:t>(a)</w:t>
            </w:r>
          </w:p>
        </w:tc>
        <w:tc>
          <w:tcPr>
            <w:tcW w:w="1240" w:type="dxa"/>
            <w:tcBorders>
              <w:top w:val="nil"/>
              <w:left w:val="nil"/>
              <w:bottom w:val="nil"/>
              <w:right w:val="nil"/>
            </w:tcBorders>
            <w:shd w:val="clear" w:color="auto" w:fill="auto"/>
            <w:noWrap/>
            <w:vAlign w:val="bottom"/>
            <w:hideMark/>
          </w:tcPr>
          <w:p w14:paraId="37E4A799" w14:textId="77777777" w:rsidR="00346ED7" w:rsidRPr="00346ED7" w:rsidRDefault="00346ED7" w:rsidP="00346ED7">
            <w:pPr>
              <w:spacing w:before="0" w:after="0" w:line="240" w:lineRule="auto"/>
              <w:jc w:val="right"/>
              <w:rPr>
                <w:rFonts w:ascii="Arial" w:hAnsi="Arial" w:cs="Arial"/>
                <w:color w:val="000000"/>
                <w:sz w:val="16"/>
                <w:szCs w:val="16"/>
              </w:rPr>
            </w:pPr>
            <w:r w:rsidRPr="00346ED7">
              <w:rPr>
                <w:rFonts w:ascii="Arial" w:hAnsi="Arial" w:cs="Arial"/>
                <w:color w:val="000000"/>
                <w:sz w:val="16"/>
                <w:szCs w:val="16"/>
              </w:rPr>
              <w:t>93,148</w:t>
            </w:r>
          </w:p>
        </w:tc>
        <w:tc>
          <w:tcPr>
            <w:tcW w:w="1240" w:type="dxa"/>
            <w:tcBorders>
              <w:top w:val="nil"/>
              <w:left w:val="nil"/>
              <w:bottom w:val="nil"/>
              <w:right w:val="nil"/>
            </w:tcBorders>
            <w:shd w:val="clear" w:color="000000" w:fill="D9D9D9"/>
            <w:noWrap/>
            <w:vAlign w:val="bottom"/>
            <w:hideMark/>
          </w:tcPr>
          <w:p w14:paraId="59FE602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106,779</w:t>
            </w:r>
          </w:p>
        </w:tc>
        <w:tc>
          <w:tcPr>
            <w:tcW w:w="1160" w:type="dxa"/>
            <w:tcBorders>
              <w:top w:val="nil"/>
              <w:left w:val="nil"/>
              <w:bottom w:val="nil"/>
              <w:right w:val="nil"/>
            </w:tcBorders>
            <w:shd w:val="clear" w:color="auto" w:fill="auto"/>
            <w:noWrap/>
            <w:vAlign w:val="bottom"/>
            <w:hideMark/>
          </w:tcPr>
          <w:p w14:paraId="0EBB0A77"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388D325A"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106,779</w:t>
            </w:r>
          </w:p>
        </w:tc>
      </w:tr>
      <w:tr w:rsidR="00346ED7" w:rsidRPr="00346ED7" w14:paraId="4D716F69" w14:textId="77777777" w:rsidTr="00FB5E5F">
        <w:trPr>
          <w:trHeight w:val="283"/>
          <w:jc w:val="center"/>
        </w:trPr>
        <w:tc>
          <w:tcPr>
            <w:tcW w:w="3080" w:type="dxa"/>
            <w:tcBorders>
              <w:top w:val="nil"/>
              <w:left w:val="nil"/>
              <w:bottom w:val="nil"/>
              <w:right w:val="nil"/>
            </w:tcBorders>
            <w:shd w:val="clear" w:color="auto" w:fill="auto"/>
            <w:noWrap/>
            <w:vAlign w:val="bottom"/>
            <w:hideMark/>
          </w:tcPr>
          <w:p w14:paraId="4B4BE6D6" w14:textId="77777777" w:rsidR="00346ED7" w:rsidRPr="00346ED7" w:rsidRDefault="00346ED7" w:rsidP="00346ED7">
            <w:pPr>
              <w:spacing w:before="0" w:after="0" w:line="240" w:lineRule="auto"/>
              <w:rPr>
                <w:rFonts w:ascii="Arial" w:hAnsi="Arial" w:cs="Arial"/>
                <w:b/>
                <w:bCs/>
                <w:sz w:val="16"/>
                <w:szCs w:val="16"/>
              </w:rPr>
            </w:pPr>
            <w:r w:rsidRPr="00346ED7">
              <w:rPr>
                <w:rFonts w:ascii="Arial" w:hAnsi="Arial" w:cs="Arial"/>
                <w:b/>
                <w:bCs/>
                <w:sz w:val="16"/>
                <w:szCs w:val="16"/>
              </w:rPr>
              <w:t>Funds from Government</w:t>
            </w:r>
          </w:p>
        </w:tc>
        <w:tc>
          <w:tcPr>
            <w:tcW w:w="1240" w:type="dxa"/>
            <w:tcBorders>
              <w:top w:val="nil"/>
              <w:left w:val="nil"/>
              <w:bottom w:val="nil"/>
              <w:right w:val="nil"/>
            </w:tcBorders>
            <w:shd w:val="clear" w:color="auto" w:fill="auto"/>
            <w:noWrap/>
            <w:vAlign w:val="bottom"/>
            <w:hideMark/>
          </w:tcPr>
          <w:p w14:paraId="39E36DD1" w14:textId="77777777" w:rsidR="00346ED7" w:rsidRPr="00346ED7" w:rsidRDefault="00346ED7" w:rsidP="00346ED7">
            <w:pPr>
              <w:spacing w:before="0" w:after="0" w:line="240" w:lineRule="auto"/>
              <w:rPr>
                <w:rFonts w:ascii="Arial" w:hAnsi="Arial" w:cs="Arial"/>
                <w:b/>
                <w:bCs/>
                <w:sz w:val="16"/>
                <w:szCs w:val="16"/>
              </w:rPr>
            </w:pPr>
          </w:p>
        </w:tc>
        <w:tc>
          <w:tcPr>
            <w:tcW w:w="1240" w:type="dxa"/>
            <w:tcBorders>
              <w:top w:val="nil"/>
              <w:left w:val="nil"/>
              <w:bottom w:val="nil"/>
              <w:right w:val="nil"/>
            </w:tcBorders>
            <w:shd w:val="clear" w:color="000000" w:fill="D9D9D9"/>
            <w:noWrap/>
            <w:vAlign w:val="bottom"/>
            <w:hideMark/>
          </w:tcPr>
          <w:p w14:paraId="64F8CF1A"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382E1307"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5A9CD3AD"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3058C1BA"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13CBE7A3" w14:textId="77777777" w:rsidR="00346ED7" w:rsidRPr="00346ED7" w:rsidRDefault="00346ED7" w:rsidP="00346ED7">
            <w:pPr>
              <w:spacing w:before="0" w:after="0" w:line="240" w:lineRule="auto"/>
              <w:ind w:leftChars="75" w:left="143"/>
              <w:rPr>
                <w:rFonts w:ascii="Arial" w:hAnsi="Arial" w:cs="Arial"/>
                <w:b/>
                <w:bCs/>
                <w:sz w:val="16"/>
                <w:szCs w:val="16"/>
              </w:rPr>
            </w:pPr>
            <w:r w:rsidRPr="00346ED7">
              <w:rPr>
                <w:rFonts w:ascii="Arial" w:hAnsi="Arial" w:cs="Arial"/>
                <w:b/>
                <w:bCs/>
                <w:sz w:val="16"/>
                <w:szCs w:val="16"/>
              </w:rPr>
              <w:t>Annual appropriations</w:t>
            </w:r>
          </w:p>
        </w:tc>
        <w:tc>
          <w:tcPr>
            <w:tcW w:w="1240" w:type="dxa"/>
            <w:tcBorders>
              <w:top w:val="nil"/>
              <w:left w:val="nil"/>
              <w:bottom w:val="nil"/>
              <w:right w:val="nil"/>
            </w:tcBorders>
            <w:shd w:val="clear" w:color="auto" w:fill="auto"/>
            <w:noWrap/>
            <w:vAlign w:val="bottom"/>
            <w:hideMark/>
          </w:tcPr>
          <w:p w14:paraId="10821F8D" w14:textId="77777777" w:rsidR="00346ED7" w:rsidRPr="00346ED7" w:rsidRDefault="00346ED7" w:rsidP="00346ED7">
            <w:pPr>
              <w:spacing w:before="0" w:after="0" w:line="240" w:lineRule="auto"/>
              <w:ind w:firstLineChars="100" w:firstLine="161"/>
              <w:rPr>
                <w:rFonts w:ascii="Arial" w:hAnsi="Arial" w:cs="Arial"/>
                <w:b/>
                <w:bCs/>
                <w:sz w:val="16"/>
                <w:szCs w:val="16"/>
              </w:rPr>
            </w:pPr>
          </w:p>
        </w:tc>
        <w:tc>
          <w:tcPr>
            <w:tcW w:w="1240" w:type="dxa"/>
            <w:tcBorders>
              <w:top w:val="nil"/>
              <w:left w:val="nil"/>
              <w:bottom w:val="nil"/>
              <w:right w:val="nil"/>
            </w:tcBorders>
            <w:shd w:val="clear" w:color="000000" w:fill="D9D9D9"/>
            <w:noWrap/>
            <w:vAlign w:val="bottom"/>
            <w:hideMark/>
          </w:tcPr>
          <w:p w14:paraId="6B0114B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238404E0"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1ABBC3F1"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377CBE5F"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580CD9DB" w14:textId="2FA4A25D" w:rsidR="00346ED7" w:rsidRPr="00346ED7" w:rsidRDefault="00346ED7" w:rsidP="009A5948">
            <w:pPr>
              <w:spacing w:before="0" w:after="0" w:line="240" w:lineRule="auto"/>
              <w:ind w:leftChars="150" w:left="285"/>
              <w:rPr>
                <w:rFonts w:ascii="Arial" w:hAnsi="Arial" w:cs="Arial"/>
                <w:sz w:val="16"/>
                <w:szCs w:val="16"/>
              </w:rPr>
            </w:pPr>
            <w:r w:rsidRPr="00346ED7">
              <w:rPr>
                <w:rFonts w:ascii="Arial" w:hAnsi="Arial" w:cs="Arial"/>
                <w:sz w:val="16"/>
                <w:szCs w:val="16"/>
              </w:rPr>
              <w:t>Ordinary annual services</w:t>
            </w:r>
            <w:r w:rsidRPr="00346ED7">
              <w:rPr>
                <w:rFonts w:ascii="Arial" w:hAnsi="Arial" w:cs="Arial"/>
                <w:sz w:val="16"/>
                <w:szCs w:val="16"/>
                <w:vertAlign w:val="superscript"/>
              </w:rPr>
              <w:t>(b)</w:t>
            </w:r>
          </w:p>
        </w:tc>
        <w:tc>
          <w:tcPr>
            <w:tcW w:w="1240" w:type="dxa"/>
            <w:tcBorders>
              <w:top w:val="nil"/>
              <w:left w:val="nil"/>
              <w:bottom w:val="nil"/>
              <w:right w:val="nil"/>
            </w:tcBorders>
            <w:shd w:val="clear" w:color="auto" w:fill="auto"/>
            <w:noWrap/>
            <w:vAlign w:val="bottom"/>
            <w:hideMark/>
          </w:tcPr>
          <w:p w14:paraId="000E85DF" w14:textId="77777777" w:rsidR="00346ED7" w:rsidRPr="00346ED7" w:rsidRDefault="00346ED7" w:rsidP="00346ED7">
            <w:pPr>
              <w:spacing w:before="0" w:after="0" w:line="240" w:lineRule="auto"/>
              <w:ind w:firstLineChars="200" w:firstLine="320"/>
              <w:rPr>
                <w:rFonts w:ascii="Arial" w:hAnsi="Arial" w:cs="Arial"/>
                <w:sz w:val="16"/>
                <w:szCs w:val="16"/>
              </w:rPr>
            </w:pPr>
          </w:p>
        </w:tc>
        <w:tc>
          <w:tcPr>
            <w:tcW w:w="1240" w:type="dxa"/>
            <w:tcBorders>
              <w:top w:val="nil"/>
              <w:left w:val="nil"/>
              <w:bottom w:val="nil"/>
              <w:right w:val="nil"/>
            </w:tcBorders>
            <w:shd w:val="clear" w:color="000000" w:fill="D9D9D9"/>
            <w:noWrap/>
            <w:vAlign w:val="bottom"/>
            <w:hideMark/>
          </w:tcPr>
          <w:p w14:paraId="48327149"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5230DCFB"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379A5A08"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57D5D7DE"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47A017B4" w14:textId="77777777" w:rsidR="00346ED7" w:rsidRPr="00346ED7" w:rsidRDefault="00346ED7" w:rsidP="00346ED7">
            <w:pPr>
              <w:spacing w:before="0" w:after="0" w:line="240" w:lineRule="auto"/>
              <w:ind w:leftChars="225" w:left="428"/>
              <w:rPr>
                <w:rFonts w:ascii="Arial" w:hAnsi="Arial" w:cs="Arial"/>
                <w:sz w:val="16"/>
                <w:szCs w:val="16"/>
              </w:rPr>
            </w:pPr>
            <w:r w:rsidRPr="00346ED7">
              <w:rPr>
                <w:rFonts w:ascii="Arial" w:hAnsi="Arial" w:cs="Arial"/>
                <w:sz w:val="16"/>
                <w:szCs w:val="16"/>
              </w:rPr>
              <w:t>Outcome 1</w:t>
            </w:r>
          </w:p>
        </w:tc>
        <w:tc>
          <w:tcPr>
            <w:tcW w:w="1240" w:type="dxa"/>
            <w:tcBorders>
              <w:top w:val="nil"/>
              <w:left w:val="nil"/>
              <w:bottom w:val="nil"/>
              <w:right w:val="nil"/>
            </w:tcBorders>
            <w:shd w:val="clear" w:color="auto" w:fill="auto"/>
            <w:noWrap/>
            <w:vAlign w:val="bottom"/>
            <w:hideMark/>
          </w:tcPr>
          <w:p w14:paraId="63BA4262"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34,846</w:t>
            </w:r>
          </w:p>
        </w:tc>
        <w:tc>
          <w:tcPr>
            <w:tcW w:w="1240" w:type="dxa"/>
            <w:tcBorders>
              <w:top w:val="nil"/>
              <w:left w:val="nil"/>
              <w:bottom w:val="nil"/>
              <w:right w:val="nil"/>
            </w:tcBorders>
            <w:shd w:val="clear" w:color="000000" w:fill="D9D9D9"/>
            <w:noWrap/>
            <w:vAlign w:val="bottom"/>
            <w:hideMark/>
          </w:tcPr>
          <w:p w14:paraId="7B919C50"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35,444</w:t>
            </w:r>
          </w:p>
        </w:tc>
        <w:tc>
          <w:tcPr>
            <w:tcW w:w="1160" w:type="dxa"/>
            <w:tcBorders>
              <w:top w:val="nil"/>
              <w:left w:val="nil"/>
              <w:bottom w:val="nil"/>
              <w:right w:val="nil"/>
            </w:tcBorders>
            <w:shd w:val="clear" w:color="auto" w:fill="auto"/>
            <w:noWrap/>
            <w:vAlign w:val="bottom"/>
            <w:hideMark/>
          </w:tcPr>
          <w:p w14:paraId="1C26ACCA"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100</w:t>
            </w:r>
          </w:p>
        </w:tc>
        <w:tc>
          <w:tcPr>
            <w:tcW w:w="1160" w:type="dxa"/>
            <w:tcBorders>
              <w:top w:val="nil"/>
              <w:left w:val="nil"/>
              <w:bottom w:val="nil"/>
              <w:right w:val="nil"/>
            </w:tcBorders>
            <w:shd w:val="clear" w:color="auto" w:fill="auto"/>
            <w:noWrap/>
            <w:vAlign w:val="bottom"/>
            <w:hideMark/>
          </w:tcPr>
          <w:p w14:paraId="12BF817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35,544</w:t>
            </w:r>
          </w:p>
        </w:tc>
      </w:tr>
      <w:tr w:rsidR="00346ED7" w:rsidRPr="00346ED7" w14:paraId="6503E246" w14:textId="77777777" w:rsidTr="00346ED7">
        <w:trPr>
          <w:trHeight w:val="228"/>
          <w:jc w:val="center"/>
        </w:trPr>
        <w:tc>
          <w:tcPr>
            <w:tcW w:w="3080" w:type="dxa"/>
            <w:tcBorders>
              <w:top w:val="nil"/>
              <w:left w:val="nil"/>
              <w:bottom w:val="nil"/>
              <w:right w:val="nil"/>
            </w:tcBorders>
            <w:shd w:val="clear" w:color="auto" w:fill="auto"/>
            <w:noWrap/>
            <w:vAlign w:val="bottom"/>
            <w:hideMark/>
          </w:tcPr>
          <w:p w14:paraId="41C7373D" w14:textId="102DB658" w:rsidR="00346ED7" w:rsidRPr="00346ED7" w:rsidRDefault="00346ED7" w:rsidP="009A5948">
            <w:pPr>
              <w:spacing w:before="0" w:after="0" w:line="240" w:lineRule="auto"/>
              <w:ind w:leftChars="150" w:left="285"/>
              <w:rPr>
                <w:rFonts w:ascii="Arial" w:hAnsi="Arial" w:cs="Arial"/>
                <w:sz w:val="16"/>
                <w:szCs w:val="16"/>
              </w:rPr>
            </w:pPr>
            <w:r w:rsidRPr="00346ED7">
              <w:rPr>
                <w:rFonts w:ascii="Arial" w:hAnsi="Arial" w:cs="Arial"/>
                <w:sz w:val="16"/>
                <w:szCs w:val="16"/>
              </w:rPr>
              <w:t>Other services</w:t>
            </w:r>
            <w:r w:rsidRPr="00346ED7">
              <w:rPr>
                <w:rFonts w:ascii="Arial" w:hAnsi="Arial" w:cs="Arial"/>
                <w:sz w:val="16"/>
                <w:szCs w:val="16"/>
                <w:vertAlign w:val="superscript"/>
              </w:rPr>
              <w:t>(c)</w:t>
            </w:r>
          </w:p>
        </w:tc>
        <w:tc>
          <w:tcPr>
            <w:tcW w:w="1240" w:type="dxa"/>
            <w:tcBorders>
              <w:top w:val="nil"/>
              <w:left w:val="nil"/>
              <w:bottom w:val="nil"/>
              <w:right w:val="nil"/>
            </w:tcBorders>
            <w:shd w:val="clear" w:color="auto" w:fill="auto"/>
            <w:noWrap/>
            <w:vAlign w:val="bottom"/>
            <w:hideMark/>
          </w:tcPr>
          <w:p w14:paraId="129F05F7" w14:textId="77777777" w:rsidR="00346ED7" w:rsidRPr="00346ED7" w:rsidRDefault="00346ED7" w:rsidP="00346ED7">
            <w:pPr>
              <w:spacing w:before="0" w:after="0" w:line="240" w:lineRule="auto"/>
              <w:ind w:firstLineChars="200" w:firstLine="320"/>
              <w:rPr>
                <w:rFonts w:ascii="Arial" w:hAnsi="Arial" w:cs="Arial"/>
                <w:sz w:val="16"/>
                <w:szCs w:val="16"/>
              </w:rPr>
            </w:pPr>
          </w:p>
        </w:tc>
        <w:tc>
          <w:tcPr>
            <w:tcW w:w="1240" w:type="dxa"/>
            <w:tcBorders>
              <w:top w:val="nil"/>
              <w:left w:val="nil"/>
              <w:bottom w:val="nil"/>
              <w:right w:val="nil"/>
            </w:tcBorders>
            <w:shd w:val="clear" w:color="000000" w:fill="D9D9D9"/>
            <w:noWrap/>
            <w:vAlign w:val="bottom"/>
            <w:hideMark/>
          </w:tcPr>
          <w:p w14:paraId="79B4904C"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1F109CF6"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5B624BD4"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5204EBBF"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610C8499" w14:textId="77777777" w:rsidR="00346ED7" w:rsidRPr="00346ED7" w:rsidRDefault="00346ED7" w:rsidP="00346ED7">
            <w:pPr>
              <w:spacing w:before="0" w:after="0" w:line="240" w:lineRule="auto"/>
              <w:ind w:leftChars="225" w:left="428"/>
              <w:rPr>
                <w:rFonts w:ascii="Arial" w:hAnsi="Arial" w:cs="Arial"/>
                <w:sz w:val="16"/>
                <w:szCs w:val="16"/>
              </w:rPr>
            </w:pPr>
            <w:r w:rsidRPr="00346ED7">
              <w:rPr>
                <w:rFonts w:ascii="Arial" w:hAnsi="Arial" w:cs="Arial"/>
                <w:sz w:val="16"/>
                <w:szCs w:val="16"/>
              </w:rPr>
              <w:t>Equity injection</w:t>
            </w:r>
          </w:p>
        </w:tc>
        <w:tc>
          <w:tcPr>
            <w:tcW w:w="1240" w:type="dxa"/>
            <w:tcBorders>
              <w:top w:val="nil"/>
              <w:left w:val="nil"/>
              <w:bottom w:val="nil"/>
              <w:right w:val="nil"/>
            </w:tcBorders>
            <w:shd w:val="clear" w:color="auto" w:fill="auto"/>
            <w:noWrap/>
            <w:vAlign w:val="bottom"/>
            <w:hideMark/>
          </w:tcPr>
          <w:p w14:paraId="3847D45F"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240" w:type="dxa"/>
            <w:tcBorders>
              <w:top w:val="nil"/>
              <w:left w:val="nil"/>
              <w:bottom w:val="nil"/>
              <w:right w:val="nil"/>
            </w:tcBorders>
            <w:shd w:val="clear" w:color="000000" w:fill="D9D9D9"/>
            <w:noWrap/>
            <w:vAlign w:val="bottom"/>
            <w:hideMark/>
          </w:tcPr>
          <w:p w14:paraId="36AB24D7"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5EB12E4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4E48983B"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r>
      <w:tr w:rsidR="00346ED7" w:rsidRPr="00346ED7" w14:paraId="7127DF11"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21D4CFD6" w14:textId="77777777" w:rsidR="00346ED7" w:rsidRPr="00346ED7" w:rsidRDefault="00346ED7" w:rsidP="00346ED7">
            <w:pPr>
              <w:spacing w:before="0" w:after="0" w:line="240" w:lineRule="auto"/>
              <w:ind w:leftChars="150" w:left="285"/>
              <w:rPr>
                <w:rFonts w:ascii="Arial" w:hAnsi="Arial" w:cs="Arial"/>
                <w:b/>
                <w:bCs/>
                <w:sz w:val="16"/>
                <w:szCs w:val="16"/>
              </w:rPr>
            </w:pPr>
            <w:r w:rsidRPr="00346ED7">
              <w:rPr>
                <w:rFonts w:ascii="Arial" w:hAnsi="Arial" w:cs="Arial"/>
                <w:b/>
                <w:bCs/>
                <w:sz w:val="16"/>
                <w:szCs w:val="16"/>
              </w:rPr>
              <w:t>Total annual appropriations</w:t>
            </w:r>
          </w:p>
        </w:tc>
        <w:tc>
          <w:tcPr>
            <w:tcW w:w="1240" w:type="dxa"/>
            <w:tcBorders>
              <w:top w:val="nil"/>
              <w:left w:val="nil"/>
              <w:bottom w:val="single" w:sz="4" w:space="0" w:color="auto"/>
              <w:right w:val="nil"/>
            </w:tcBorders>
            <w:shd w:val="clear" w:color="auto" w:fill="auto"/>
            <w:noWrap/>
            <w:vAlign w:val="bottom"/>
            <w:hideMark/>
          </w:tcPr>
          <w:p w14:paraId="7C360939"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34,846</w:t>
            </w:r>
          </w:p>
        </w:tc>
        <w:tc>
          <w:tcPr>
            <w:tcW w:w="1240" w:type="dxa"/>
            <w:tcBorders>
              <w:top w:val="nil"/>
              <w:left w:val="nil"/>
              <w:bottom w:val="single" w:sz="4" w:space="0" w:color="auto"/>
              <w:right w:val="nil"/>
            </w:tcBorders>
            <w:shd w:val="clear" w:color="000000" w:fill="D9D9D9"/>
            <w:noWrap/>
            <w:vAlign w:val="bottom"/>
            <w:hideMark/>
          </w:tcPr>
          <w:p w14:paraId="400CD0A9"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35,444</w:t>
            </w:r>
          </w:p>
        </w:tc>
        <w:tc>
          <w:tcPr>
            <w:tcW w:w="1160" w:type="dxa"/>
            <w:tcBorders>
              <w:top w:val="nil"/>
              <w:left w:val="nil"/>
              <w:bottom w:val="single" w:sz="4" w:space="0" w:color="auto"/>
              <w:right w:val="nil"/>
            </w:tcBorders>
            <w:shd w:val="clear" w:color="auto" w:fill="auto"/>
            <w:noWrap/>
            <w:vAlign w:val="bottom"/>
            <w:hideMark/>
          </w:tcPr>
          <w:p w14:paraId="46ADAE19"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100</w:t>
            </w:r>
          </w:p>
        </w:tc>
        <w:tc>
          <w:tcPr>
            <w:tcW w:w="1160" w:type="dxa"/>
            <w:tcBorders>
              <w:top w:val="nil"/>
              <w:left w:val="nil"/>
              <w:bottom w:val="single" w:sz="4" w:space="0" w:color="auto"/>
              <w:right w:val="nil"/>
            </w:tcBorders>
            <w:shd w:val="clear" w:color="auto" w:fill="auto"/>
            <w:noWrap/>
            <w:vAlign w:val="bottom"/>
            <w:hideMark/>
          </w:tcPr>
          <w:p w14:paraId="0FFCD299"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35,544</w:t>
            </w:r>
          </w:p>
        </w:tc>
      </w:tr>
      <w:tr w:rsidR="00346ED7" w:rsidRPr="00346ED7" w14:paraId="5AC9C2BC" w14:textId="77777777" w:rsidTr="00FB5E5F">
        <w:trPr>
          <w:trHeight w:val="454"/>
          <w:jc w:val="center"/>
        </w:trPr>
        <w:tc>
          <w:tcPr>
            <w:tcW w:w="3080" w:type="dxa"/>
            <w:tcBorders>
              <w:top w:val="nil"/>
              <w:left w:val="nil"/>
              <w:bottom w:val="nil"/>
              <w:right w:val="nil"/>
            </w:tcBorders>
            <w:shd w:val="clear" w:color="auto" w:fill="auto"/>
            <w:vAlign w:val="bottom"/>
            <w:hideMark/>
          </w:tcPr>
          <w:p w14:paraId="21A584D1" w14:textId="41C79E2B" w:rsidR="00346ED7" w:rsidRPr="00346ED7" w:rsidRDefault="00346ED7" w:rsidP="00F026E3">
            <w:pPr>
              <w:spacing w:before="0" w:after="0" w:line="240" w:lineRule="auto"/>
              <w:ind w:leftChars="75" w:left="143"/>
              <w:rPr>
                <w:rFonts w:ascii="Arial" w:hAnsi="Arial" w:cs="Arial"/>
                <w:b/>
                <w:bCs/>
                <w:sz w:val="16"/>
                <w:szCs w:val="16"/>
              </w:rPr>
            </w:pPr>
            <w:r w:rsidRPr="00346ED7">
              <w:rPr>
                <w:rFonts w:ascii="Arial" w:hAnsi="Arial" w:cs="Arial"/>
                <w:b/>
                <w:bCs/>
                <w:sz w:val="16"/>
                <w:szCs w:val="16"/>
              </w:rPr>
              <w:t>Amounts received from related entities</w:t>
            </w:r>
            <w:r w:rsidRPr="00346ED7">
              <w:rPr>
                <w:rFonts w:ascii="Arial" w:hAnsi="Arial" w:cs="Arial"/>
                <w:b/>
                <w:bCs/>
                <w:sz w:val="16"/>
                <w:szCs w:val="16"/>
                <w:vertAlign w:val="superscript"/>
              </w:rPr>
              <w:t>(d)</w:t>
            </w:r>
          </w:p>
        </w:tc>
        <w:tc>
          <w:tcPr>
            <w:tcW w:w="1240" w:type="dxa"/>
            <w:tcBorders>
              <w:top w:val="nil"/>
              <w:left w:val="nil"/>
              <w:bottom w:val="nil"/>
              <w:right w:val="nil"/>
            </w:tcBorders>
            <w:shd w:val="clear" w:color="auto" w:fill="auto"/>
            <w:noWrap/>
            <w:vAlign w:val="bottom"/>
            <w:hideMark/>
          </w:tcPr>
          <w:p w14:paraId="65E5004B" w14:textId="77777777" w:rsidR="00346ED7" w:rsidRPr="00346ED7" w:rsidRDefault="00346ED7" w:rsidP="00346ED7">
            <w:pPr>
              <w:spacing w:before="0" w:after="0" w:line="240" w:lineRule="auto"/>
              <w:ind w:firstLineChars="100" w:firstLine="161"/>
              <w:rPr>
                <w:rFonts w:ascii="Arial" w:hAnsi="Arial" w:cs="Arial"/>
                <w:b/>
                <w:bCs/>
                <w:sz w:val="16"/>
                <w:szCs w:val="16"/>
              </w:rPr>
            </w:pPr>
          </w:p>
        </w:tc>
        <w:tc>
          <w:tcPr>
            <w:tcW w:w="1240" w:type="dxa"/>
            <w:tcBorders>
              <w:top w:val="nil"/>
              <w:left w:val="nil"/>
              <w:bottom w:val="nil"/>
              <w:right w:val="nil"/>
            </w:tcBorders>
            <w:shd w:val="clear" w:color="000000" w:fill="D9D9D9"/>
            <w:noWrap/>
            <w:vAlign w:val="bottom"/>
            <w:hideMark/>
          </w:tcPr>
          <w:p w14:paraId="1D492A32"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1AE477B0"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49D06544"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4CE657A6" w14:textId="77777777" w:rsidTr="00FB5E5F">
        <w:trPr>
          <w:trHeight w:val="425"/>
          <w:jc w:val="center"/>
        </w:trPr>
        <w:tc>
          <w:tcPr>
            <w:tcW w:w="3080" w:type="dxa"/>
            <w:tcBorders>
              <w:top w:val="nil"/>
              <w:left w:val="nil"/>
              <w:bottom w:val="nil"/>
              <w:right w:val="nil"/>
            </w:tcBorders>
            <w:shd w:val="clear" w:color="auto" w:fill="auto"/>
            <w:vAlign w:val="bottom"/>
            <w:hideMark/>
          </w:tcPr>
          <w:p w14:paraId="094088C2" w14:textId="77777777" w:rsidR="00346ED7" w:rsidRPr="00346ED7" w:rsidRDefault="00346ED7" w:rsidP="00346ED7">
            <w:pPr>
              <w:spacing w:before="0" w:after="0" w:line="240" w:lineRule="auto"/>
              <w:ind w:leftChars="150" w:left="285"/>
              <w:rPr>
                <w:rFonts w:ascii="Arial" w:hAnsi="Arial" w:cs="Arial"/>
                <w:sz w:val="16"/>
                <w:szCs w:val="16"/>
              </w:rPr>
            </w:pPr>
            <w:r w:rsidRPr="00346ED7">
              <w:rPr>
                <w:rFonts w:ascii="Arial" w:hAnsi="Arial" w:cs="Arial"/>
                <w:sz w:val="16"/>
                <w:szCs w:val="16"/>
              </w:rPr>
              <w:t>Amounts from the Portfolio Department</w:t>
            </w:r>
          </w:p>
        </w:tc>
        <w:tc>
          <w:tcPr>
            <w:tcW w:w="1240" w:type="dxa"/>
            <w:tcBorders>
              <w:top w:val="nil"/>
              <w:left w:val="nil"/>
              <w:bottom w:val="nil"/>
              <w:right w:val="nil"/>
            </w:tcBorders>
            <w:shd w:val="clear" w:color="auto" w:fill="auto"/>
            <w:noWrap/>
            <w:vAlign w:val="bottom"/>
            <w:hideMark/>
          </w:tcPr>
          <w:p w14:paraId="0BCB2185"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46,848</w:t>
            </w:r>
          </w:p>
        </w:tc>
        <w:tc>
          <w:tcPr>
            <w:tcW w:w="1240" w:type="dxa"/>
            <w:tcBorders>
              <w:top w:val="nil"/>
              <w:left w:val="nil"/>
              <w:bottom w:val="nil"/>
              <w:right w:val="nil"/>
            </w:tcBorders>
            <w:shd w:val="clear" w:color="000000" w:fill="D9D9D9"/>
            <w:noWrap/>
            <w:vAlign w:val="bottom"/>
            <w:hideMark/>
          </w:tcPr>
          <w:p w14:paraId="0AD190C9"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30,000</w:t>
            </w:r>
          </w:p>
        </w:tc>
        <w:tc>
          <w:tcPr>
            <w:tcW w:w="1160" w:type="dxa"/>
            <w:tcBorders>
              <w:top w:val="nil"/>
              <w:left w:val="nil"/>
              <w:bottom w:val="nil"/>
              <w:right w:val="nil"/>
            </w:tcBorders>
            <w:shd w:val="clear" w:color="auto" w:fill="auto"/>
            <w:noWrap/>
            <w:vAlign w:val="bottom"/>
            <w:hideMark/>
          </w:tcPr>
          <w:p w14:paraId="24AC1B9B"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17,000</w:t>
            </w:r>
          </w:p>
        </w:tc>
        <w:tc>
          <w:tcPr>
            <w:tcW w:w="1160" w:type="dxa"/>
            <w:tcBorders>
              <w:top w:val="nil"/>
              <w:left w:val="nil"/>
              <w:bottom w:val="nil"/>
              <w:right w:val="nil"/>
            </w:tcBorders>
            <w:shd w:val="clear" w:color="auto" w:fill="auto"/>
            <w:noWrap/>
            <w:vAlign w:val="bottom"/>
            <w:hideMark/>
          </w:tcPr>
          <w:p w14:paraId="79ABBFB4"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47,000</w:t>
            </w:r>
          </w:p>
        </w:tc>
      </w:tr>
      <w:tr w:rsidR="00346ED7" w:rsidRPr="00346ED7" w14:paraId="21924BCE"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3BBD4D80" w14:textId="77777777" w:rsidR="00346ED7" w:rsidRPr="00346ED7" w:rsidRDefault="00346ED7" w:rsidP="00346ED7">
            <w:pPr>
              <w:spacing w:before="0" w:after="0" w:line="240" w:lineRule="auto"/>
              <w:ind w:leftChars="150" w:left="285"/>
              <w:rPr>
                <w:rFonts w:ascii="Arial" w:hAnsi="Arial" w:cs="Arial"/>
                <w:sz w:val="16"/>
                <w:szCs w:val="16"/>
              </w:rPr>
            </w:pPr>
            <w:r w:rsidRPr="00346ED7">
              <w:rPr>
                <w:rFonts w:ascii="Arial" w:hAnsi="Arial" w:cs="Arial"/>
                <w:sz w:val="16"/>
                <w:szCs w:val="16"/>
              </w:rPr>
              <w:t>Amounts from other entities</w:t>
            </w:r>
          </w:p>
        </w:tc>
        <w:tc>
          <w:tcPr>
            <w:tcW w:w="1240" w:type="dxa"/>
            <w:tcBorders>
              <w:top w:val="nil"/>
              <w:left w:val="nil"/>
              <w:bottom w:val="nil"/>
              <w:right w:val="nil"/>
            </w:tcBorders>
            <w:shd w:val="clear" w:color="auto" w:fill="auto"/>
            <w:noWrap/>
            <w:vAlign w:val="bottom"/>
            <w:hideMark/>
          </w:tcPr>
          <w:p w14:paraId="68530B4D"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240" w:type="dxa"/>
            <w:tcBorders>
              <w:top w:val="nil"/>
              <w:left w:val="nil"/>
              <w:bottom w:val="nil"/>
              <w:right w:val="nil"/>
            </w:tcBorders>
            <w:shd w:val="clear" w:color="000000" w:fill="D9D9D9"/>
            <w:noWrap/>
            <w:vAlign w:val="bottom"/>
            <w:hideMark/>
          </w:tcPr>
          <w:p w14:paraId="54E5871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047BD8A5"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1E32E545"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r>
      <w:tr w:rsidR="00346ED7" w:rsidRPr="00346ED7" w14:paraId="4B49AA56" w14:textId="77777777" w:rsidTr="00FB5E5F">
        <w:trPr>
          <w:trHeight w:val="425"/>
          <w:jc w:val="center"/>
        </w:trPr>
        <w:tc>
          <w:tcPr>
            <w:tcW w:w="3080" w:type="dxa"/>
            <w:tcBorders>
              <w:top w:val="nil"/>
              <w:left w:val="nil"/>
              <w:bottom w:val="nil"/>
              <w:right w:val="nil"/>
            </w:tcBorders>
            <w:shd w:val="clear" w:color="auto" w:fill="auto"/>
            <w:vAlign w:val="bottom"/>
            <w:hideMark/>
          </w:tcPr>
          <w:p w14:paraId="0472D91C" w14:textId="77777777" w:rsidR="00346ED7" w:rsidRPr="00346ED7" w:rsidRDefault="00346ED7" w:rsidP="00346ED7">
            <w:pPr>
              <w:spacing w:before="0" w:after="0" w:line="240" w:lineRule="auto"/>
              <w:ind w:leftChars="150" w:left="285"/>
              <w:rPr>
                <w:rFonts w:ascii="Arial" w:hAnsi="Arial" w:cs="Arial"/>
                <w:b/>
                <w:bCs/>
                <w:sz w:val="16"/>
                <w:szCs w:val="16"/>
              </w:rPr>
            </w:pPr>
            <w:r w:rsidRPr="00346ED7">
              <w:rPr>
                <w:rFonts w:ascii="Arial" w:hAnsi="Arial" w:cs="Arial"/>
                <w:b/>
                <w:bCs/>
                <w:sz w:val="16"/>
                <w:szCs w:val="16"/>
              </w:rPr>
              <w:t>Total amounts received from related entities</w:t>
            </w:r>
          </w:p>
        </w:tc>
        <w:tc>
          <w:tcPr>
            <w:tcW w:w="1240" w:type="dxa"/>
            <w:tcBorders>
              <w:top w:val="nil"/>
              <w:left w:val="nil"/>
              <w:bottom w:val="single" w:sz="4" w:space="0" w:color="auto"/>
              <w:right w:val="nil"/>
            </w:tcBorders>
            <w:shd w:val="clear" w:color="auto" w:fill="auto"/>
            <w:noWrap/>
            <w:vAlign w:val="bottom"/>
            <w:hideMark/>
          </w:tcPr>
          <w:p w14:paraId="44FFAE49"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46,848</w:t>
            </w:r>
          </w:p>
        </w:tc>
        <w:tc>
          <w:tcPr>
            <w:tcW w:w="1240" w:type="dxa"/>
            <w:tcBorders>
              <w:top w:val="nil"/>
              <w:left w:val="nil"/>
              <w:bottom w:val="nil"/>
              <w:right w:val="nil"/>
            </w:tcBorders>
            <w:shd w:val="clear" w:color="000000" w:fill="D9D9D9"/>
            <w:noWrap/>
            <w:vAlign w:val="bottom"/>
            <w:hideMark/>
          </w:tcPr>
          <w:p w14:paraId="1FCDF951"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30,000</w:t>
            </w:r>
          </w:p>
        </w:tc>
        <w:tc>
          <w:tcPr>
            <w:tcW w:w="1160" w:type="dxa"/>
            <w:tcBorders>
              <w:top w:val="nil"/>
              <w:left w:val="nil"/>
              <w:bottom w:val="nil"/>
              <w:right w:val="nil"/>
            </w:tcBorders>
            <w:shd w:val="clear" w:color="auto" w:fill="auto"/>
            <w:noWrap/>
            <w:vAlign w:val="bottom"/>
            <w:hideMark/>
          </w:tcPr>
          <w:p w14:paraId="3BE26740"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17,000</w:t>
            </w:r>
          </w:p>
        </w:tc>
        <w:tc>
          <w:tcPr>
            <w:tcW w:w="1160" w:type="dxa"/>
            <w:tcBorders>
              <w:top w:val="nil"/>
              <w:left w:val="nil"/>
              <w:bottom w:val="nil"/>
              <w:right w:val="nil"/>
            </w:tcBorders>
            <w:shd w:val="clear" w:color="auto" w:fill="auto"/>
            <w:noWrap/>
            <w:vAlign w:val="bottom"/>
            <w:hideMark/>
          </w:tcPr>
          <w:p w14:paraId="779FDF62"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47,000</w:t>
            </w:r>
          </w:p>
        </w:tc>
      </w:tr>
      <w:tr w:rsidR="00346ED7" w:rsidRPr="00346ED7" w14:paraId="30F692B9" w14:textId="77777777" w:rsidTr="00FB5E5F">
        <w:trPr>
          <w:trHeight w:val="283"/>
          <w:jc w:val="center"/>
        </w:trPr>
        <w:tc>
          <w:tcPr>
            <w:tcW w:w="3080" w:type="dxa"/>
            <w:tcBorders>
              <w:top w:val="nil"/>
              <w:left w:val="nil"/>
              <w:bottom w:val="nil"/>
              <w:right w:val="nil"/>
            </w:tcBorders>
            <w:shd w:val="clear" w:color="auto" w:fill="auto"/>
            <w:noWrap/>
            <w:vAlign w:val="bottom"/>
            <w:hideMark/>
          </w:tcPr>
          <w:p w14:paraId="64188945" w14:textId="77777777" w:rsidR="00346ED7" w:rsidRPr="00346ED7" w:rsidRDefault="00346ED7" w:rsidP="00346ED7">
            <w:pPr>
              <w:spacing w:before="0" w:after="0" w:line="240" w:lineRule="auto"/>
              <w:ind w:leftChars="75" w:left="143"/>
              <w:rPr>
                <w:rFonts w:ascii="Arial" w:hAnsi="Arial" w:cs="Arial"/>
                <w:b/>
                <w:bCs/>
                <w:sz w:val="16"/>
                <w:szCs w:val="16"/>
              </w:rPr>
            </w:pPr>
            <w:r w:rsidRPr="00346ED7">
              <w:rPr>
                <w:rFonts w:ascii="Arial" w:hAnsi="Arial" w:cs="Arial"/>
                <w:b/>
                <w:bCs/>
                <w:sz w:val="16"/>
                <w:szCs w:val="16"/>
              </w:rPr>
              <w:t>Total funds from Government</w:t>
            </w:r>
          </w:p>
        </w:tc>
        <w:tc>
          <w:tcPr>
            <w:tcW w:w="1240" w:type="dxa"/>
            <w:tcBorders>
              <w:top w:val="nil"/>
              <w:left w:val="nil"/>
              <w:bottom w:val="single" w:sz="4" w:space="0" w:color="auto"/>
              <w:right w:val="nil"/>
            </w:tcBorders>
            <w:shd w:val="clear" w:color="auto" w:fill="auto"/>
            <w:noWrap/>
            <w:vAlign w:val="bottom"/>
            <w:hideMark/>
          </w:tcPr>
          <w:p w14:paraId="1C5708B7"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81,694</w:t>
            </w:r>
          </w:p>
        </w:tc>
        <w:tc>
          <w:tcPr>
            <w:tcW w:w="1240" w:type="dxa"/>
            <w:tcBorders>
              <w:top w:val="single" w:sz="4" w:space="0" w:color="auto"/>
              <w:left w:val="nil"/>
              <w:bottom w:val="single" w:sz="4" w:space="0" w:color="auto"/>
              <w:right w:val="nil"/>
            </w:tcBorders>
            <w:shd w:val="clear" w:color="000000" w:fill="D9D9D9"/>
            <w:noWrap/>
            <w:vAlign w:val="bottom"/>
            <w:hideMark/>
          </w:tcPr>
          <w:p w14:paraId="51F6167E"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65,444</w:t>
            </w:r>
          </w:p>
        </w:tc>
        <w:tc>
          <w:tcPr>
            <w:tcW w:w="1160" w:type="dxa"/>
            <w:tcBorders>
              <w:top w:val="single" w:sz="4" w:space="0" w:color="auto"/>
              <w:left w:val="nil"/>
              <w:bottom w:val="single" w:sz="4" w:space="0" w:color="auto"/>
              <w:right w:val="nil"/>
            </w:tcBorders>
            <w:shd w:val="clear" w:color="auto" w:fill="auto"/>
            <w:noWrap/>
            <w:vAlign w:val="bottom"/>
            <w:hideMark/>
          </w:tcPr>
          <w:p w14:paraId="68C9BA96"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17,100</w:t>
            </w:r>
          </w:p>
        </w:tc>
        <w:tc>
          <w:tcPr>
            <w:tcW w:w="1160" w:type="dxa"/>
            <w:tcBorders>
              <w:top w:val="single" w:sz="4" w:space="0" w:color="auto"/>
              <w:left w:val="nil"/>
              <w:bottom w:val="single" w:sz="4" w:space="0" w:color="auto"/>
              <w:right w:val="nil"/>
            </w:tcBorders>
            <w:shd w:val="clear" w:color="auto" w:fill="auto"/>
            <w:noWrap/>
            <w:vAlign w:val="bottom"/>
            <w:hideMark/>
          </w:tcPr>
          <w:p w14:paraId="1E07EC07"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82,544</w:t>
            </w:r>
          </w:p>
        </w:tc>
      </w:tr>
      <w:tr w:rsidR="00346ED7" w:rsidRPr="00346ED7" w14:paraId="50D1A389" w14:textId="77777777" w:rsidTr="00FB5E5F">
        <w:trPr>
          <w:trHeight w:val="283"/>
          <w:jc w:val="center"/>
        </w:trPr>
        <w:tc>
          <w:tcPr>
            <w:tcW w:w="3080" w:type="dxa"/>
            <w:tcBorders>
              <w:top w:val="nil"/>
              <w:left w:val="nil"/>
              <w:bottom w:val="nil"/>
              <w:right w:val="nil"/>
            </w:tcBorders>
            <w:shd w:val="clear" w:color="auto" w:fill="auto"/>
            <w:vAlign w:val="bottom"/>
            <w:hideMark/>
          </w:tcPr>
          <w:p w14:paraId="7E67964D" w14:textId="77777777" w:rsidR="00346ED7" w:rsidRPr="00346ED7" w:rsidRDefault="00346ED7" w:rsidP="00346ED7">
            <w:pPr>
              <w:spacing w:before="0" w:after="0" w:line="240" w:lineRule="auto"/>
              <w:rPr>
                <w:rFonts w:ascii="Arial" w:hAnsi="Arial" w:cs="Arial"/>
                <w:b/>
                <w:bCs/>
                <w:sz w:val="16"/>
                <w:szCs w:val="16"/>
              </w:rPr>
            </w:pPr>
            <w:r w:rsidRPr="00346ED7">
              <w:rPr>
                <w:rFonts w:ascii="Arial" w:hAnsi="Arial" w:cs="Arial"/>
                <w:b/>
                <w:bCs/>
                <w:sz w:val="16"/>
                <w:szCs w:val="16"/>
              </w:rPr>
              <w:br/>
              <w:t>Funds from other sources</w:t>
            </w:r>
          </w:p>
        </w:tc>
        <w:tc>
          <w:tcPr>
            <w:tcW w:w="1240" w:type="dxa"/>
            <w:tcBorders>
              <w:top w:val="nil"/>
              <w:left w:val="nil"/>
              <w:bottom w:val="nil"/>
              <w:right w:val="nil"/>
            </w:tcBorders>
            <w:shd w:val="clear" w:color="auto" w:fill="auto"/>
            <w:noWrap/>
            <w:vAlign w:val="bottom"/>
            <w:hideMark/>
          </w:tcPr>
          <w:p w14:paraId="66FDF2AB" w14:textId="77777777" w:rsidR="00346ED7" w:rsidRPr="00346ED7" w:rsidRDefault="00346ED7" w:rsidP="00346ED7">
            <w:pPr>
              <w:spacing w:before="0" w:after="0" w:line="240" w:lineRule="auto"/>
              <w:rPr>
                <w:rFonts w:ascii="Arial" w:hAnsi="Arial" w:cs="Arial"/>
                <w:b/>
                <w:bCs/>
                <w:sz w:val="16"/>
                <w:szCs w:val="16"/>
              </w:rPr>
            </w:pPr>
          </w:p>
        </w:tc>
        <w:tc>
          <w:tcPr>
            <w:tcW w:w="1240" w:type="dxa"/>
            <w:tcBorders>
              <w:top w:val="nil"/>
              <w:left w:val="nil"/>
              <w:bottom w:val="nil"/>
              <w:right w:val="nil"/>
            </w:tcBorders>
            <w:shd w:val="clear" w:color="000000" w:fill="D9D9D9"/>
            <w:noWrap/>
            <w:vAlign w:val="bottom"/>
            <w:hideMark/>
          </w:tcPr>
          <w:p w14:paraId="37537D23"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nil"/>
              <w:left w:val="nil"/>
              <w:bottom w:val="nil"/>
              <w:right w:val="nil"/>
            </w:tcBorders>
            <w:shd w:val="clear" w:color="auto" w:fill="auto"/>
            <w:noWrap/>
            <w:vAlign w:val="bottom"/>
            <w:hideMark/>
          </w:tcPr>
          <w:p w14:paraId="18F47A97" w14:textId="77777777" w:rsidR="00346ED7" w:rsidRPr="00346ED7" w:rsidRDefault="00346ED7" w:rsidP="00346ED7">
            <w:pPr>
              <w:spacing w:before="0" w:after="0" w:line="240" w:lineRule="auto"/>
              <w:jc w:val="right"/>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14:paraId="760FA248" w14:textId="77777777" w:rsidR="00346ED7" w:rsidRPr="00346ED7" w:rsidRDefault="00346ED7" w:rsidP="00346ED7">
            <w:pPr>
              <w:spacing w:before="0" w:after="0" w:line="240" w:lineRule="auto"/>
              <w:jc w:val="right"/>
              <w:rPr>
                <w:rFonts w:ascii="Times New Roman" w:hAnsi="Times New Roman"/>
                <w:sz w:val="20"/>
              </w:rPr>
            </w:pPr>
          </w:p>
        </w:tc>
      </w:tr>
      <w:tr w:rsidR="00346ED7" w:rsidRPr="00346ED7" w14:paraId="4FBE9388"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157B9085" w14:textId="77777777" w:rsidR="00346ED7" w:rsidRPr="00346ED7" w:rsidRDefault="00346ED7" w:rsidP="00346ED7">
            <w:pPr>
              <w:spacing w:before="0" w:after="0" w:line="240" w:lineRule="auto"/>
              <w:ind w:leftChars="75" w:left="143"/>
              <w:rPr>
                <w:rFonts w:ascii="Arial" w:hAnsi="Arial" w:cs="Arial"/>
                <w:sz w:val="16"/>
                <w:szCs w:val="16"/>
              </w:rPr>
            </w:pPr>
            <w:r w:rsidRPr="00346ED7">
              <w:rPr>
                <w:rFonts w:ascii="Arial" w:hAnsi="Arial" w:cs="Arial"/>
                <w:sz w:val="16"/>
                <w:szCs w:val="16"/>
              </w:rPr>
              <w:t>Interest</w:t>
            </w:r>
          </w:p>
        </w:tc>
        <w:tc>
          <w:tcPr>
            <w:tcW w:w="1240" w:type="dxa"/>
            <w:tcBorders>
              <w:top w:val="nil"/>
              <w:left w:val="nil"/>
              <w:bottom w:val="nil"/>
              <w:right w:val="nil"/>
            </w:tcBorders>
            <w:shd w:val="clear" w:color="auto" w:fill="auto"/>
            <w:noWrap/>
            <w:vAlign w:val="bottom"/>
            <w:hideMark/>
          </w:tcPr>
          <w:p w14:paraId="4063F850"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2,385</w:t>
            </w:r>
          </w:p>
        </w:tc>
        <w:tc>
          <w:tcPr>
            <w:tcW w:w="1240" w:type="dxa"/>
            <w:tcBorders>
              <w:top w:val="nil"/>
              <w:left w:val="nil"/>
              <w:bottom w:val="nil"/>
              <w:right w:val="nil"/>
            </w:tcBorders>
            <w:shd w:val="clear" w:color="000000" w:fill="D9D9D9"/>
            <w:noWrap/>
            <w:vAlign w:val="bottom"/>
            <w:hideMark/>
          </w:tcPr>
          <w:p w14:paraId="5639DF2A"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2,600</w:t>
            </w:r>
          </w:p>
        </w:tc>
        <w:tc>
          <w:tcPr>
            <w:tcW w:w="1160" w:type="dxa"/>
            <w:tcBorders>
              <w:top w:val="nil"/>
              <w:left w:val="nil"/>
              <w:bottom w:val="nil"/>
              <w:right w:val="nil"/>
            </w:tcBorders>
            <w:shd w:val="clear" w:color="auto" w:fill="auto"/>
            <w:noWrap/>
            <w:vAlign w:val="bottom"/>
            <w:hideMark/>
          </w:tcPr>
          <w:p w14:paraId="053340C1"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2,000</w:t>
            </w:r>
          </w:p>
        </w:tc>
        <w:tc>
          <w:tcPr>
            <w:tcW w:w="1160" w:type="dxa"/>
            <w:tcBorders>
              <w:top w:val="nil"/>
              <w:left w:val="nil"/>
              <w:bottom w:val="nil"/>
              <w:right w:val="nil"/>
            </w:tcBorders>
            <w:shd w:val="clear" w:color="auto" w:fill="auto"/>
            <w:noWrap/>
            <w:vAlign w:val="bottom"/>
            <w:hideMark/>
          </w:tcPr>
          <w:p w14:paraId="1A47CE35"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4,600</w:t>
            </w:r>
          </w:p>
        </w:tc>
      </w:tr>
      <w:tr w:rsidR="00346ED7" w:rsidRPr="00346ED7" w14:paraId="242067A2"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5D2E9ECC" w14:textId="77777777" w:rsidR="00346ED7" w:rsidRPr="00346ED7" w:rsidRDefault="00346ED7" w:rsidP="00346ED7">
            <w:pPr>
              <w:spacing w:before="0" w:after="0" w:line="240" w:lineRule="auto"/>
              <w:ind w:leftChars="75" w:left="143"/>
              <w:rPr>
                <w:rFonts w:ascii="Arial" w:hAnsi="Arial" w:cs="Arial"/>
                <w:sz w:val="16"/>
                <w:szCs w:val="16"/>
              </w:rPr>
            </w:pPr>
            <w:r w:rsidRPr="00346ED7">
              <w:rPr>
                <w:rFonts w:ascii="Arial" w:hAnsi="Arial" w:cs="Arial"/>
                <w:sz w:val="16"/>
                <w:szCs w:val="16"/>
              </w:rPr>
              <w:t>Sale of goods and services</w:t>
            </w:r>
          </w:p>
        </w:tc>
        <w:tc>
          <w:tcPr>
            <w:tcW w:w="1240" w:type="dxa"/>
            <w:tcBorders>
              <w:top w:val="nil"/>
              <w:left w:val="nil"/>
              <w:bottom w:val="nil"/>
              <w:right w:val="nil"/>
            </w:tcBorders>
            <w:shd w:val="clear" w:color="auto" w:fill="auto"/>
            <w:noWrap/>
            <w:vAlign w:val="bottom"/>
            <w:hideMark/>
          </w:tcPr>
          <w:p w14:paraId="608EE282"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41,655</w:t>
            </w:r>
          </w:p>
        </w:tc>
        <w:tc>
          <w:tcPr>
            <w:tcW w:w="1240" w:type="dxa"/>
            <w:tcBorders>
              <w:top w:val="nil"/>
              <w:left w:val="nil"/>
              <w:bottom w:val="nil"/>
              <w:right w:val="nil"/>
            </w:tcBorders>
            <w:shd w:val="clear" w:color="000000" w:fill="D9D9D9"/>
            <w:noWrap/>
            <w:vAlign w:val="bottom"/>
            <w:hideMark/>
          </w:tcPr>
          <w:p w14:paraId="64946C5E"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43,000</w:t>
            </w:r>
          </w:p>
        </w:tc>
        <w:tc>
          <w:tcPr>
            <w:tcW w:w="1160" w:type="dxa"/>
            <w:tcBorders>
              <w:top w:val="nil"/>
              <w:left w:val="nil"/>
              <w:bottom w:val="nil"/>
              <w:right w:val="nil"/>
            </w:tcBorders>
            <w:shd w:val="clear" w:color="auto" w:fill="auto"/>
            <w:noWrap/>
            <w:vAlign w:val="bottom"/>
            <w:hideMark/>
          </w:tcPr>
          <w:p w14:paraId="2D0E3581"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(17,000)</w:t>
            </w:r>
          </w:p>
        </w:tc>
        <w:tc>
          <w:tcPr>
            <w:tcW w:w="1160" w:type="dxa"/>
            <w:tcBorders>
              <w:top w:val="nil"/>
              <w:left w:val="nil"/>
              <w:bottom w:val="nil"/>
              <w:right w:val="nil"/>
            </w:tcBorders>
            <w:shd w:val="clear" w:color="auto" w:fill="auto"/>
            <w:noWrap/>
            <w:vAlign w:val="bottom"/>
            <w:hideMark/>
          </w:tcPr>
          <w:p w14:paraId="15276A29"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26,000</w:t>
            </w:r>
          </w:p>
        </w:tc>
      </w:tr>
      <w:tr w:rsidR="00346ED7" w:rsidRPr="00346ED7" w14:paraId="3D1CE6DD"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0A34894C" w14:textId="77777777" w:rsidR="00346ED7" w:rsidRPr="00346ED7" w:rsidRDefault="00346ED7" w:rsidP="00346ED7">
            <w:pPr>
              <w:spacing w:before="0" w:after="0" w:line="240" w:lineRule="auto"/>
              <w:ind w:leftChars="75" w:left="143"/>
              <w:rPr>
                <w:rFonts w:ascii="Arial" w:hAnsi="Arial" w:cs="Arial"/>
                <w:sz w:val="16"/>
                <w:szCs w:val="16"/>
              </w:rPr>
            </w:pPr>
            <w:r w:rsidRPr="00346ED7">
              <w:rPr>
                <w:rFonts w:ascii="Arial" w:hAnsi="Arial" w:cs="Arial"/>
                <w:sz w:val="16"/>
                <w:szCs w:val="16"/>
              </w:rPr>
              <w:t>Other</w:t>
            </w:r>
          </w:p>
        </w:tc>
        <w:tc>
          <w:tcPr>
            <w:tcW w:w="1240" w:type="dxa"/>
            <w:tcBorders>
              <w:top w:val="nil"/>
              <w:left w:val="nil"/>
              <w:bottom w:val="nil"/>
              <w:right w:val="nil"/>
            </w:tcBorders>
            <w:shd w:val="clear" w:color="auto" w:fill="auto"/>
            <w:noWrap/>
            <w:vAlign w:val="bottom"/>
            <w:hideMark/>
          </w:tcPr>
          <w:p w14:paraId="1C83DB1D"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23</w:t>
            </w:r>
          </w:p>
        </w:tc>
        <w:tc>
          <w:tcPr>
            <w:tcW w:w="1240" w:type="dxa"/>
            <w:tcBorders>
              <w:top w:val="nil"/>
              <w:left w:val="nil"/>
              <w:bottom w:val="nil"/>
              <w:right w:val="nil"/>
            </w:tcBorders>
            <w:shd w:val="clear" w:color="000000" w:fill="D9D9D9"/>
            <w:noWrap/>
            <w:vAlign w:val="bottom"/>
            <w:hideMark/>
          </w:tcPr>
          <w:p w14:paraId="0979AB59"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30</w:t>
            </w:r>
          </w:p>
        </w:tc>
        <w:tc>
          <w:tcPr>
            <w:tcW w:w="1160" w:type="dxa"/>
            <w:tcBorders>
              <w:top w:val="nil"/>
              <w:left w:val="nil"/>
              <w:bottom w:val="nil"/>
              <w:right w:val="nil"/>
            </w:tcBorders>
            <w:shd w:val="clear" w:color="auto" w:fill="auto"/>
            <w:noWrap/>
            <w:vAlign w:val="bottom"/>
            <w:hideMark/>
          </w:tcPr>
          <w:p w14:paraId="1BAF3792"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2BF3A565"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30</w:t>
            </w:r>
          </w:p>
        </w:tc>
      </w:tr>
      <w:tr w:rsidR="00346ED7" w:rsidRPr="00346ED7" w14:paraId="2215ECC8"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18D17797" w14:textId="77777777" w:rsidR="00346ED7" w:rsidRPr="00346ED7" w:rsidRDefault="00346ED7" w:rsidP="00346ED7">
            <w:pPr>
              <w:spacing w:before="0" w:after="0" w:line="240" w:lineRule="auto"/>
              <w:ind w:leftChars="75" w:left="143"/>
              <w:rPr>
                <w:rFonts w:ascii="Arial" w:hAnsi="Arial" w:cs="Arial"/>
                <w:b/>
                <w:bCs/>
                <w:sz w:val="16"/>
                <w:szCs w:val="16"/>
              </w:rPr>
            </w:pPr>
            <w:r w:rsidRPr="00346ED7">
              <w:rPr>
                <w:rFonts w:ascii="Arial" w:hAnsi="Arial" w:cs="Arial"/>
                <w:b/>
                <w:bCs/>
                <w:sz w:val="16"/>
                <w:szCs w:val="16"/>
              </w:rPr>
              <w:t>Total funds from other sources</w:t>
            </w:r>
          </w:p>
        </w:tc>
        <w:tc>
          <w:tcPr>
            <w:tcW w:w="1240" w:type="dxa"/>
            <w:tcBorders>
              <w:top w:val="nil"/>
              <w:left w:val="nil"/>
              <w:bottom w:val="single" w:sz="4" w:space="0" w:color="auto"/>
              <w:right w:val="nil"/>
            </w:tcBorders>
            <w:shd w:val="clear" w:color="auto" w:fill="auto"/>
            <w:noWrap/>
            <w:vAlign w:val="bottom"/>
            <w:hideMark/>
          </w:tcPr>
          <w:p w14:paraId="36E5A463"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44,063</w:t>
            </w:r>
          </w:p>
        </w:tc>
        <w:tc>
          <w:tcPr>
            <w:tcW w:w="1240" w:type="dxa"/>
            <w:tcBorders>
              <w:top w:val="nil"/>
              <w:left w:val="nil"/>
              <w:bottom w:val="single" w:sz="4" w:space="0" w:color="auto"/>
              <w:right w:val="nil"/>
            </w:tcBorders>
            <w:shd w:val="clear" w:color="000000" w:fill="D9D9D9"/>
            <w:noWrap/>
            <w:vAlign w:val="bottom"/>
            <w:hideMark/>
          </w:tcPr>
          <w:p w14:paraId="22E03D36"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45,630</w:t>
            </w:r>
          </w:p>
        </w:tc>
        <w:tc>
          <w:tcPr>
            <w:tcW w:w="1160" w:type="dxa"/>
            <w:tcBorders>
              <w:top w:val="nil"/>
              <w:left w:val="nil"/>
              <w:bottom w:val="single" w:sz="4" w:space="0" w:color="auto"/>
              <w:right w:val="nil"/>
            </w:tcBorders>
            <w:shd w:val="clear" w:color="auto" w:fill="auto"/>
            <w:noWrap/>
            <w:vAlign w:val="bottom"/>
            <w:hideMark/>
          </w:tcPr>
          <w:p w14:paraId="0F9912E4"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(15,000)</w:t>
            </w:r>
          </w:p>
        </w:tc>
        <w:tc>
          <w:tcPr>
            <w:tcW w:w="1160" w:type="dxa"/>
            <w:tcBorders>
              <w:top w:val="nil"/>
              <w:left w:val="nil"/>
              <w:bottom w:val="single" w:sz="4" w:space="0" w:color="auto"/>
              <w:right w:val="nil"/>
            </w:tcBorders>
            <w:shd w:val="clear" w:color="auto" w:fill="auto"/>
            <w:noWrap/>
            <w:vAlign w:val="bottom"/>
            <w:hideMark/>
          </w:tcPr>
          <w:p w14:paraId="7E76793C"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30,630</w:t>
            </w:r>
          </w:p>
        </w:tc>
      </w:tr>
      <w:tr w:rsidR="00346ED7" w:rsidRPr="00346ED7" w14:paraId="2CAD766E" w14:textId="77777777" w:rsidTr="00FB5E5F">
        <w:trPr>
          <w:trHeight w:val="454"/>
          <w:jc w:val="center"/>
        </w:trPr>
        <w:tc>
          <w:tcPr>
            <w:tcW w:w="3080" w:type="dxa"/>
            <w:tcBorders>
              <w:top w:val="nil"/>
              <w:left w:val="nil"/>
              <w:bottom w:val="single" w:sz="4" w:space="0" w:color="auto"/>
              <w:right w:val="nil"/>
            </w:tcBorders>
            <w:shd w:val="clear" w:color="auto" w:fill="auto"/>
            <w:vAlign w:val="bottom"/>
            <w:hideMark/>
          </w:tcPr>
          <w:p w14:paraId="3E298368" w14:textId="77777777" w:rsidR="00346ED7" w:rsidRPr="00346ED7" w:rsidRDefault="00346ED7" w:rsidP="00346ED7">
            <w:pPr>
              <w:spacing w:before="0" w:after="0" w:line="240" w:lineRule="auto"/>
              <w:rPr>
                <w:rFonts w:ascii="Arial" w:hAnsi="Arial" w:cs="Arial"/>
                <w:b/>
                <w:bCs/>
                <w:sz w:val="16"/>
                <w:szCs w:val="16"/>
              </w:rPr>
            </w:pPr>
            <w:r w:rsidRPr="00346ED7">
              <w:rPr>
                <w:rFonts w:ascii="Arial" w:hAnsi="Arial" w:cs="Arial"/>
                <w:b/>
                <w:bCs/>
                <w:sz w:val="16"/>
                <w:szCs w:val="16"/>
              </w:rPr>
              <w:t>Total net resourcing for AIHW</w:t>
            </w:r>
          </w:p>
        </w:tc>
        <w:tc>
          <w:tcPr>
            <w:tcW w:w="1240" w:type="dxa"/>
            <w:tcBorders>
              <w:top w:val="nil"/>
              <w:left w:val="nil"/>
              <w:bottom w:val="single" w:sz="4" w:space="0" w:color="auto"/>
              <w:right w:val="nil"/>
            </w:tcBorders>
            <w:shd w:val="clear" w:color="auto" w:fill="auto"/>
            <w:noWrap/>
            <w:vAlign w:val="bottom"/>
            <w:hideMark/>
          </w:tcPr>
          <w:p w14:paraId="59A302F3"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218,905</w:t>
            </w:r>
          </w:p>
        </w:tc>
        <w:tc>
          <w:tcPr>
            <w:tcW w:w="1240" w:type="dxa"/>
            <w:tcBorders>
              <w:top w:val="nil"/>
              <w:left w:val="nil"/>
              <w:bottom w:val="single" w:sz="4" w:space="0" w:color="auto"/>
              <w:right w:val="nil"/>
            </w:tcBorders>
            <w:shd w:val="clear" w:color="000000" w:fill="D9D9D9"/>
            <w:noWrap/>
            <w:vAlign w:val="bottom"/>
            <w:hideMark/>
          </w:tcPr>
          <w:p w14:paraId="5DB4F9C5"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217,853</w:t>
            </w:r>
          </w:p>
        </w:tc>
        <w:tc>
          <w:tcPr>
            <w:tcW w:w="1160" w:type="dxa"/>
            <w:tcBorders>
              <w:top w:val="nil"/>
              <w:left w:val="nil"/>
              <w:bottom w:val="single" w:sz="4" w:space="0" w:color="auto"/>
              <w:right w:val="nil"/>
            </w:tcBorders>
            <w:shd w:val="clear" w:color="auto" w:fill="auto"/>
            <w:noWrap/>
            <w:vAlign w:val="bottom"/>
            <w:hideMark/>
          </w:tcPr>
          <w:p w14:paraId="02DEDE13"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2,100</w:t>
            </w:r>
          </w:p>
        </w:tc>
        <w:tc>
          <w:tcPr>
            <w:tcW w:w="1160" w:type="dxa"/>
            <w:tcBorders>
              <w:top w:val="nil"/>
              <w:left w:val="nil"/>
              <w:bottom w:val="single" w:sz="4" w:space="0" w:color="auto"/>
              <w:right w:val="nil"/>
            </w:tcBorders>
            <w:shd w:val="clear" w:color="auto" w:fill="auto"/>
            <w:noWrap/>
            <w:vAlign w:val="bottom"/>
            <w:hideMark/>
          </w:tcPr>
          <w:p w14:paraId="3AFA3AC5"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219,953</w:t>
            </w:r>
          </w:p>
        </w:tc>
      </w:tr>
      <w:tr w:rsidR="00346ED7" w:rsidRPr="00346ED7" w14:paraId="258CF5D0" w14:textId="77777777" w:rsidTr="00346ED7">
        <w:trPr>
          <w:trHeight w:val="225"/>
          <w:jc w:val="center"/>
        </w:trPr>
        <w:tc>
          <w:tcPr>
            <w:tcW w:w="3080" w:type="dxa"/>
            <w:tcBorders>
              <w:top w:val="nil"/>
              <w:left w:val="nil"/>
              <w:bottom w:val="nil"/>
              <w:right w:val="nil"/>
            </w:tcBorders>
            <w:shd w:val="clear" w:color="auto" w:fill="auto"/>
            <w:noWrap/>
            <w:vAlign w:val="bottom"/>
            <w:hideMark/>
          </w:tcPr>
          <w:p w14:paraId="15A522CB" w14:textId="77777777" w:rsidR="00346ED7" w:rsidRPr="00346ED7" w:rsidRDefault="00346ED7" w:rsidP="00346ED7">
            <w:pPr>
              <w:spacing w:before="0" w:after="0" w:line="240" w:lineRule="auto"/>
              <w:jc w:val="right"/>
              <w:rPr>
                <w:rFonts w:ascii="Arial" w:hAnsi="Arial" w:cs="Arial"/>
                <w:b/>
                <w:bCs/>
                <w:sz w:val="16"/>
                <w:szCs w:val="16"/>
              </w:rPr>
            </w:pPr>
          </w:p>
        </w:tc>
        <w:tc>
          <w:tcPr>
            <w:tcW w:w="1240" w:type="dxa"/>
            <w:tcBorders>
              <w:top w:val="nil"/>
              <w:left w:val="nil"/>
              <w:bottom w:val="nil"/>
              <w:right w:val="nil"/>
            </w:tcBorders>
            <w:shd w:val="clear" w:color="auto" w:fill="auto"/>
            <w:noWrap/>
            <w:vAlign w:val="bottom"/>
            <w:hideMark/>
          </w:tcPr>
          <w:p w14:paraId="7B348E80" w14:textId="77777777" w:rsidR="00346ED7" w:rsidRPr="00346ED7" w:rsidRDefault="00346ED7" w:rsidP="00346ED7">
            <w:pPr>
              <w:spacing w:before="0" w:after="0" w:line="240" w:lineRule="auto"/>
              <w:rPr>
                <w:rFonts w:ascii="Times New Roman" w:hAnsi="Times New Roman"/>
                <w:sz w:val="20"/>
              </w:rPr>
            </w:pPr>
          </w:p>
        </w:tc>
        <w:tc>
          <w:tcPr>
            <w:tcW w:w="1240" w:type="dxa"/>
            <w:tcBorders>
              <w:top w:val="nil"/>
              <w:left w:val="nil"/>
              <w:bottom w:val="nil"/>
              <w:right w:val="nil"/>
            </w:tcBorders>
            <w:shd w:val="clear" w:color="000000" w:fill="FFFFFF"/>
            <w:noWrap/>
            <w:vAlign w:val="bottom"/>
            <w:hideMark/>
          </w:tcPr>
          <w:p w14:paraId="2A4BACA7"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 </w:t>
            </w:r>
          </w:p>
        </w:tc>
        <w:tc>
          <w:tcPr>
            <w:tcW w:w="1160" w:type="dxa"/>
            <w:tcBorders>
              <w:top w:val="nil"/>
              <w:left w:val="nil"/>
              <w:bottom w:val="nil"/>
              <w:right w:val="nil"/>
            </w:tcBorders>
            <w:shd w:val="clear" w:color="auto" w:fill="auto"/>
            <w:noWrap/>
            <w:vAlign w:val="bottom"/>
            <w:hideMark/>
          </w:tcPr>
          <w:p w14:paraId="342B48BA" w14:textId="77777777" w:rsidR="00346ED7" w:rsidRPr="00346ED7" w:rsidRDefault="00346ED7" w:rsidP="00346ED7">
            <w:pPr>
              <w:spacing w:before="0" w:after="0" w:line="240" w:lineRule="auto"/>
              <w:jc w:val="right"/>
              <w:rPr>
                <w:rFonts w:ascii="Arial" w:hAnsi="Arial" w:cs="Arial"/>
                <w:b/>
                <w:bCs/>
                <w:sz w:val="16"/>
                <w:szCs w:val="16"/>
              </w:rPr>
            </w:pPr>
          </w:p>
        </w:tc>
        <w:tc>
          <w:tcPr>
            <w:tcW w:w="1160" w:type="dxa"/>
            <w:tcBorders>
              <w:top w:val="nil"/>
              <w:left w:val="nil"/>
              <w:bottom w:val="nil"/>
              <w:right w:val="nil"/>
            </w:tcBorders>
            <w:shd w:val="clear" w:color="auto" w:fill="auto"/>
            <w:noWrap/>
            <w:vAlign w:val="bottom"/>
            <w:hideMark/>
          </w:tcPr>
          <w:p w14:paraId="7B91DB0A" w14:textId="77777777" w:rsidR="00346ED7" w:rsidRPr="00346ED7" w:rsidRDefault="00346ED7" w:rsidP="00346ED7">
            <w:pPr>
              <w:spacing w:before="0" w:after="0" w:line="240" w:lineRule="auto"/>
              <w:rPr>
                <w:rFonts w:ascii="Times New Roman" w:hAnsi="Times New Roman"/>
                <w:sz w:val="20"/>
              </w:rPr>
            </w:pPr>
          </w:p>
        </w:tc>
      </w:tr>
      <w:tr w:rsidR="00346ED7" w:rsidRPr="00346ED7" w14:paraId="6328EA76" w14:textId="77777777" w:rsidTr="00FB5E5F">
        <w:trPr>
          <w:trHeight w:val="425"/>
          <w:jc w:val="center"/>
        </w:trPr>
        <w:tc>
          <w:tcPr>
            <w:tcW w:w="3080" w:type="dxa"/>
            <w:tcBorders>
              <w:top w:val="single" w:sz="4" w:space="0" w:color="auto"/>
              <w:left w:val="nil"/>
              <w:bottom w:val="nil"/>
              <w:right w:val="nil"/>
            </w:tcBorders>
            <w:shd w:val="clear" w:color="auto" w:fill="auto"/>
            <w:noWrap/>
            <w:vAlign w:val="bottom"/>
            <w:hideMark/>
          </w:tcPr>
          <w:p w14:paraId="2BBEE4AF" w14:textId="77777777" w:rsidR="00346ED7" w:rsidRPr="00346ED7" w:rsidRDefault="00346ED7" w:rsidP="00346ED7">
            <w:pPr>
              <w:spacing w:before="0" w:after="0" w:line="240" w:lineRule="auto"/>
              <w:jc w:val="right"/>
              <w:rPr>
                <w:rFonts w:ascii="Arial" w:hAnsi="Arial" w:cs="Arial"/>
                <w:color w:val="000000"/>
                <w:sz w:val="16"/>
                <w:szCs w:val="16"/>
              </w:rPr>
            </w:pPr>
            <w:r w:rsidRPr="00346ED7">
              <w:rPr>
                <w:rFonts w:ascii="Arial" w:hAnsi="Arial" w:cs="Arial"/>
                <w:color w:val="000000"/>
                <w:sz w:val="16"/>
                <w:szCs w:val="16"/>
              </w:rPr>
              <w:t> </w:t>
            </w:r>
          </w:p>
        </w:tc>
        <w:tc>
          <w:tcPr>
            <w:tcW w:w="1240" w:type="dxa"/>
            <w:tcBorders>
              <w:top w:val="single" w:sz="4" w:space="0" w:color="auto"/>
              <w:left w:val="nil"/>
              <w:bottom w:val="nil"/>
              <w:right w:val="nil"/>
            </w:tcBorders>
            <w:shd w:val="clear" w:color="auto" w:fill="auto"/>
            <w:vAlign w:val="bottom"/>
            <w:hideMark/>
          </w:tcPr>
          <w:p w14:paraId="5557E949" w14:textId="21173089" w:rsidR="00346ED7" w:rsidRPr="00346ED7" w:rsidRDefault="00346ED7" w:rsidP="0098282D">
            <w:pPr>
              <w:spacing w:before="0" w:after="0" w:line="240" w:lineRule="auto"/>
              <w:jc w:val="right"/>
              <w:rPr>
                <w:rFonts w:ascii="Arial" w:hAnsi="Arial" w:cs="Arial"/>
                <w:b/>
                <w:bCs/>
                <w:sz w:val="16"/>
                <w:szCs w:val="16"/>
              </w:rPr>
            </w:pPr>
            <w:r w:rsidRPr="00346ED7">
              <w:rPr>
                <w:rFonts w:ascii="Arial" w:hAnsi="Arial" w:cs="Arial"/>
                <w:b/>
                <w:bCs/>
                <w:sz w:val="16"/>
                <w:szCs w:val="16"/>
              </w:rPr>
              <w:t>2022</w:t>
            </w:r>
            <w:r w:rsidR="00584C6A">
              <w:rPr>
                <w:rFonts w:ascii="Arial" w:hAnsi="Arial" w:cs="Arial"/>
                <w:b/>
                <w:bCs/>
                <w:sz w:val="16"/>
                <w:szCs w:val="16"/>
              </w:rPr>
              <w:t>–</w:t>
            </w:r>
            <w:r w:rsidRPr="00346ED7">
              <w:rPr>
                <w:rFonts w:ascii="Arial" w:hAnsi="Arial" w:cs="Arial"/>
                <w:b/>
                <w:bCs/>
                <w:sz w:val="16"/>
                <w:szCs w:val="16"/>
              </w:rPr>
              <w:t>23</w:t>
            </w:r>
            <w:r w:rsidRPr="00346ED7">
              <w:rPr>
                <w:rFonts w:ascii="Arial" w:hAnsi="Arial" w:cs="Arial"/>
                <w:b/>
                <w:bCs/>
                <w:sz w:val="16"/>
                <w:szCs w:val="16"/>
              </w:rPr>
              <w:br/>
              <w:t>Actual</w:t>
            </w:r>
          </w:p>
        </w:tc>
        <w:tc>
          <w:tcPr>
            <w:tcW w:w="1240" w:type="dxa"/>
            <w:tcBorders>
              <w:top w:val="single" w:sz="4" w:space="0" w:color="auto"/>
              <w:left w:val="nil"/>
              <w:bottom w:val="nil"/>
              <w:right w:val="nil"/>
            </w:tcBorders>
            <w:shd w:val="clear" w:color="auto" w:fill="auto"/>
            <w:vAlign w:val="bottom"/>
            <w:hideMark/>
          </w:tcPr>
          <w:p w14:paraId="289D7BF3"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 </w:t>
            </w:r>
          </w:p>
        </w:tc>
        <w:tc>
          <w:tcPr>
            <w:tcW w:w="1160" w:type="dxa"/>
            <w:tcBorders>
              <w:top w:val="single" w:sz="4" w:space="0" w:color="auto"/>
              <w:left w:val="nil"/>
              <w:bottom w:val="nil"/>
              <w:right w:val="nil"/>
            </w:tcBorders>
            <w:shd w:val="clear" w:color="auto" w:fill="auto"/>
            <w:vAlign w:val="bottom"/>
            <w:hideMark/>
          </w:tcPr>
          <w:p w14:paraId="3CA8D85E" w14:textId="77777777" w:rsidR="00346ED7" w:rsidRPr="00346ED7" w:rsidRDefault="00346ED7" w:rsidP="00346ED7">
            <w:pPr>
              <w:spacing w:before="0" w:after="0" w:line="240" w:lineRule="auto"/>
              <w:jc w:val="right"/>
              <w:rPr>
                <w:rFonts w:ascii="Arial" w:hAnsi="Arial" w:cs="Arial"/>
                <w:b/>
                <w:bCs/>
                <w:sz w:val="16"/>
                <w:szCs w:val="16"/>
              </w:rPr>
            </w:pPr>
            <w:r w:rsidRPr="00346ED7">
              <w:rPr>
                <w:rFonts w:ascii="Arial" w:hAnsi="Arial" w:cs="Arial"/>
                <w:b/>
                <w:bCs/>
                <w:sz w:val="16"/>
                <w:szCs w:val="16"/>
              </w:rPr>
              <w:t> </w:t>
            </w:r>
          </w:p>
        </w:tc>
        <w:tc>
          <w:tcPr>
            <w:tcW w:w="1160" w:type="dxa"/>
            <w:tcBorders>
              <w:top w:val="single" w:sz="4" w:space="0" w:color="auto"/>
              <w:left w:val="nil"/>
              <w:bottom w:val="nil"/>
              <w:right w:val="nil"/>
            </w:tcBorders>
            <w:shd w:val="clear" w:color="auto" w:fill="auto"/>
            <w:vAlign w:val="bottom"/>
            <w:hideMark/>
          </w:tcPr>
          <w:p w14:paraId="348165BE" w14:textId="0252CFF9" w:rsidR="00346ED7" w:rsidRPr="00346ED7" w:rsidRDefault="00346ED7" w:rsidP="0098282D">
            <w:pPr>
              <w:spacing w:before="0" w:after="0" w:line="240" w:lineRule="auto"/>
              <w:jc w:val="right"/>
              <w:rPr>
                <w:rFonts w:ascii="Arial" w:hAnsi="Arial" w:cs="Arial"/>
                <w:b/>
                <w:bCs/>
                <w:sz w:val="16"/>
                <w:szCs w:val="16"/>
              </w:rPr>
            </w:pPr>
            <w:r w:rsidRPr="00346ED7">
              <w:rPr>
                <w:rFonts w:ascii="Arial" w:hAnsi="Arial" w:cs="Arial"/>
                <w:b/>
                <w:bCs/>
                <w:sz w:val="16"/>
                <w:szCs w:val="16"/>
              </w:rPr>
              <w:t>2023</w:t>
            </w:r>
            <w:r w:rsidR="00584C6A">
              <w:rPr>
                <w:rFonts w:ascii="Arial" w:hAnsi="Arial" w:cs="Arial"/>
                <w:b/>
                <w:bCs/>
                <w:sz w:val="16"/>
                <w:szCs w:val="16"/>
              </w:rPr>
              <w:t>–</w:t>
            </w:r>
            <w:r w:rsidRPr="00346ED7">
              <w:rPr>
                <w:rFonts w:ascii="Arial" w:hAnsi="Arial" w:cs="Arial"/>
                <w:b/>
                <w:bCs/>
                <w:sz w:val="16"/>
                <w:szCs w:val="16"/>
              </w:rPr>
              <w:t>24</w:t>
            </w:r>
            <w:r w:rsidRPr="00346ED7">
              <w:rPr>
                <w:rFonts w:ascii="Arial" w:hAnsi="Arial" w:cs="Arial"/>
                <w:b/>
                <w:bCs/>
                <w:sz w:val="16"/>
                <w:szCs w:val="16"/>
              </w:rPr>
              <w:br/>
              <w:t>Revised</w:t>
            </w:r>
          </w:p>
        </w:tc>
      </w:tr>
      <w:tr w:rsidR="00346ED7" w:rsidRPr="00346ED7" w14:paraId="4F4E848A" w14:textId="77777777" w:rsidTr="00346ED7">
        <w:trPr>
          <w:trHeight w:val="225"/>
          <w:jc w:val="center"/>
        </w:trPr>
        <w:tc>
          <w:tcPr>
            <w:tcW w:w="3080" w:type="dxa"/>
            <w:tcBorders>
              <w:top w:val="nil"/>
              <w:left w:val="nil"/>
              <w:bottom w:val="single" w:sz="4" w:space="0" w:color="auto"/>
              <w:right w:val="nil"/>
            </w:tcBorders>
            <w:shd w:val="clear" w:color="auto" w:fill="auto"/>
            <w:noWrap/>
            <w:vAlign w:val="bottom"/>
            <w:hideMark/>
          </w:tcPr>
          <w:p w14:paraId="33B792CD" w14:textId="77777777" w:rsidR="00346ED7" w:rsidRPr="00346ED7" w:rsidRDefault="00346ED7" w:rsidP="00346ED7">
            <w:pPr>
              <w:spacing w:before="0" w:after="0" w:line="240" w:lineRule="auto"/>
              <w:rPr>
                <w:rFonts w:ascii="Arial" w:hAnsi="Arial" w:cs="Arial"/>
                <w:b/>
                <w:bCs/>
                <w:color w:val="000000"/>
                <w:sz w:val="16"/>
                <w:szCs w:val="16"/>
              </w:rPr>
            </w:pPr>
            <w:r w:rsidRPr="00346ED7">
              <w:rPr>
                <w:rFonts w:ascii="Arial" w:hAnsi="Arial" w:cs="Arial"/>
                <w:b/>
                <w:bCs/>
                <w:color w:val="000000"/>
                <w:sz w:val="16"/>
                <w:szCs w:val="16"/>
              </w:rPr>
              <w:t xml:space="preserve">Average </w:t>
            </w:r>
            <w:r w:rsidRPr="00346ED7">
              <w:rPr>
                <w:rFonts w:ascii="Arial" w:hAnsi="Arial" w:cs="Arial"/>
                <w:b/>
                <w:bCs/>
                <w:sz w:val="16"/>
                <w:szCs w:val="16"/>
              </w:rPr>
              <w:t>s</w:t>
            </w:r>
            <w:r w:rsidRPr="00346ED7">
              <w:rPr>
                <w:rFonts w:ascii="Arial" w:hAnsi="Arial" w:cs="Arial"/>
                <w:b/>
                <w:bCs/>
                <w:color w:val="000000"/>
                <w:sz w:val="16"/>
                <w:szCs w:val="16"/>
              </w:rPr>
              <w:t xml:space="preserve">taffing </w:t>
            </w:r>
            <w:r w:rsidRPr="00346ED7">
              <w:rPr>
                <w:rFonts w:ascii="Arial" w:hAnsi="Arial" w:cs="Arial"/>
                <w:b/>
                <w:bCs/>
                <w:sz w:val="16"/>
                <w:szCs w:val="16"/>
              </w:rPr>
              <w:t>l</w:t>
            </w:r>
            <w:r w:rsidRPr="00346ED7">
              <w:rPr>
                <w:rFonts w:ascii="Arial" w:hAnsi="Arial" w:cs="Arial"/>
                <w:b/>
                <w:bCs/>
                <w:color w:val="000000"/>
                <w:sz w:val="16"/>
                <w:szCs w:val="16"/>
              </w:rPr>
              <w:t>evel (number)</w:t>
            </w:r>
          </w:p>
        </w:tc>
        <w:tc>
          <w:tcPr>
            <w:tcW w:w="1240" w:type="dxa"/>
            <w:tcBorders>
              <w:top w:val="single" w:sz="4" w:space="0" w:color="000000"/>
              <w:left w:val="nil"/>
              <w:bottom w:val="single" w:sz="4" w:space="0" w:color="000000"/>
              <w:right w:val="nil"/>
            </w:tcBorders>
            <w:shd w:val="clear" w:color="auto" w:fill="auto"/>
            <w:noWrap/>
            <w:vAlign w:val="bottom"/>
            <w:hideMark/>
          </w:tcPr>
          <w:p w14:paraId="24878576"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457</w:t>
            </w:r>
          </w:p>
        </w:tc>
        <w:tc>
          <w:tcPr>
            <w:tcW w:w="1240" w:type="dxa"/>
            <w:tcBorders>
              <w:top w:val="single" w:sz="4" w:space="0" w:color="000000"/>
              <w:left w:val="nil"/>
              <w:bottom w:val="single" w:sz="4" w:space="0" w:color="000000"/>
              <w:right w:val="nil"/>
            </w:tcBorders>
            <w:shd w:val="clear" w:color="auto" w:fill="auto"/>
            <w:noWrap/>
            <w:vAlign w:val="bottom"/>
            <w:hideMark/>
          </w:tcPr>
          <w:p w14:paraId="7E17C22D"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single" w:sz="4" w:space="0" w:color="000000"/>
              <w:left w:val="nil"/>
              <w:bottom w:val="single" w:sz="4" w:space="0" w:color="000000"/>
              <w:right w:val="nil"/>
            </w:tcBorders>
            <w:shd w:val="clear" w:color="auto" w:fill="auto"/>
            <w:noWrap/>
            <w:vAlign w:val="bottom"/>
            <w:hideMark/>
          </w:tcPr>
          <w:p w14:paraId="70812F08"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 </w:t>
            </w:r>
          </w:p>
        </w:tc>
        <w:tc>
          <w:tcPr>
            <w:tcW w:w="1160" w:type="dxa"/>
            <w:tcBorders>
              <w:top w:val="single" w:sz="4" w:space="0" w:color="000000"/>
              <w:left w:val="nil"/>
              <w:bottom w:val="single" w:sz="4" w:space="0" w:color="000000"/>
              <w:right w:val="nil"/>
            </w:tcBorders>
            <w:shd w:val="clear" w:color="auto" w:fill="auto"/>
            <w:noWrap/>
            <w:vAlign w:val="bottom"/>
            <w:hideMark/>
          </w:tcPr>
          <w:p w14:paraId="26F63B52" w14:textId="77777777" w:rsidR="00346ED7" w:rsidRPr="00346ED7" w:rsidRDefault="00346ED7" w:rsidP="00346ED7">
            <w:pPr>
              <w:spacing w:before="0" w:after="0" w:line="240" w:lineRule="auto"/>
              <w:jc w:val="right"/>
              <w:rPr>
                <w:rFonts w:ascii="Arial" w:hAnsi="Arial" w:cs="Arial"/>
                <w:sz w:val="16"/>
                <w:szCs w:val="16"/>
              </w:rPr>
            </w:pPr>
            <w:r w:rsidRPr="00346ED7">
              <w:rPr>
                <w:rFonts w:ascii="Arial" w:hAnsi="Arial" w:cs="Arial"/>
                <w:sz w:val="16"/>
                <w:szCs w:val="16"/>
              </w:rPr>
              <w:t>530</w:t>
            </w:r>
          </w:p>
        </w:tc>
      </w:tr>
    </w:tbl>
    <w:p w14:paraId="14CE35B7" w14:textId="77777777" w:rsidR="00346ED7" w:rsidRDefault="00346ED7" w:rsidP="00346ED7">
      <w:pPr>
        <w:pStyle w:val="FootnoteText"/>
        <w:spacing w:before="120"/>
      </w:pPr>
      <w:r>
        <w:t>All figures are GST exclusive.</w:t>
      </w:r>
      <w:r>
        <w:tab/>
      </w:r>
      <w:r>
        <w:tab/>
      </w:r>
      <w:r>
        <w:tab/>
      </w:r>
      <w:r>
        <w:tab/>
      </w:r>
    </w:p>
    <w:p w14:paraId="45EF720A" w14:textId="296CB016" w:rsidR="00346ED7" w:rsidRDefault="00346ED7" w:rsidP="00346ED7">
      <w:pPr>
        <w:pStyle w:val="FootnoteText"/>
        <w:ind w:left="0" w:firstLine="0"/>
      </w:pPr>
      <w:r>
        <w:t>The AIHW is not directly appropriated as it is a corporate Commonwealth entity. Appropriations are made to the Department of Health</w:t>
      </w:r>
      <w:r w:rsidR="00CC0ECF">
        <w:t xml:space="preserve"> and Aged Care</w:t>
      </w:r>
      <w:r>
        <w:t>, which are then paid to the AIHW and are considered 'departmental' for all purposes.</w:t>
      </w:r>
    </w:p>
    <w:p w14:paraId="0DF6CB31" w14:textId="73A558D1" w:rsidR="00346ED7" w:rsidRDefault="00346ED7" w:rsidP="00346ED7">
      <w:pPr>
        <w:pStyle w:val="FootnoteText"/>
      </w:pPr>
      <w:r w:rsidRPr="00386B53">
        <w:rPr>
          <w:vertAlign w:val="superscript"/>
        </w:rPr>
        <w:t>(a)</w:t>
      </w:r>
      <w:r>
        <w:t xml:space="preserve"> </w:t>
      </w:r>
      <w:r>
        <w:tab/>
        <w:t>The estimate at Budget has been revised to reflect the AIHW Annual Report 2022–23.</w:t>
      </w:r>
      <w:r>
        <w:tab/>
      </w:r>
    </w:p>
    <w:p w14:paraId="4FDDDD4F" w14:textId="4749AC4C" w:rsidR="00346ED7" w:rsidRDefault="00346ED7" w:rsidP="00346ED7">
      <w:pPr>
        <w:pStyle w:val="FootnoteText"/>
      </w:pPr>
      <w:r w:rsidRPr="00346ED7">
        <w:rPr>
          <w:vertAlign w:val="superscript"/>
        </w:rPr>
        <w:t>(b)</w:t>
      </w:r>
      <w:r>
        <w:t xml:space="preserve"> </w:t>
      </w:r>
      <w:r>
        <w:tab/>
      </w:r>
      <w:r w:rsidRPr="00584C6A">
        <w:rPr>
          <w:i/>
        </w:rPr>
        <w:t>Appropriation Act (No. 1) 2023–24</w:t>
      </w:r>
      <w:r>
        <w:t xml:space="preserve">, </w:t>
      </w:r>
      <w:r w:rsidR="002D3CFC">
        <w:t>Appropriation Bill (No. 3) 2023–</w:t>
      </w:r>
      <w:r>
        <w:t>24 and associated Bills.</w:t>
      </w:r>
    </w:p>
    <w:p w14:paraId="0D7FF69F" w14:textId="292A0089" w:rsidR="00346ED7" w:rsidRDefault="00346ED7" w:rsidP="00346ED7">
      <w:pPr>
        <w:pStyle w:val="FootnoteText"/>
      </w:pPr>
      <w:r w:rsidRPr="00346ED7">
        <w:rPr>
          <w:vertAlign w:val="superscript"/>
        </w:rPr>
        <w:t>(c)</w:t>
      </w:r>
      <w:r>
        <w:t xml:space="preserve"> </w:t>
      </w:r>
      <w:r>
        <w:tab/>
      </w:r>
      <w:r w:rsidRPr="00584C6A">
        <w:rPr>
          <w:i/>
        </w:rPr>
        <w:t>Appropriation Act (No. 2) 2023–24</w:t>
      </w:r>
      <w:r>
        <w:t>, Appropr</w:t>
      </w:r>
      <w:r w:rsidR="002D3CFC">
        <w:t>iation Bill (No. 4) 2023–</w:t>
      </w:r>
      <w:r>
        <w:t>24 and associated Bills.</w:t>
      </w:r>
    </w:p>
    <w:p w14:paraId="414D68E9" w14:textId="2D98D431" w:rsidR="00346ED7" w:rsidRPr="00346ED7" w:rsidRDefault="00346ED7" w:rsidP="00346ED7">
      <w:pPr>
        <w:pStyle w:val="FootnoteText"/>
      </w:pPr>
      <w:r w:rsidRPr="00346ED7">
        <w:rPr>
          <w:vertAlign w:val="superscript"/>
        </w:rPr>
        <w:t>(d)</w:t>
      </w:r>
      <w:r>
        <w:t xml:space="preserve"> </w:t>
      </w:r>
      <w:r>
        <w:tab/>
        <w:t xml:space="preserve">Funding provided by a </w:t>
      </w:r>
      <w:proofErr w:type="gramStart"/>
      <w:r>
        <w:t>Government</w:t>
      </w:r>
      <w:proofErr w:type="gramEnd"/>
      <w:r>
        <w:t xml:space="preserve"> entity that is not specified within the annual appropriation bills as a payment to the corporate entity.</w:t>
      </w:r>
    </w:p>
    <w:p w14:paraId="665ECD19" w14:textId="77777777" w:rsidR="00275707" w:rsidRDefault="00275707" w:rsidP="00275707">
      <w:pPr>
        <w:spacing w:before="0" w:after="0" w:line="240" w:lineRule="auto"/>
        <w:rPr>
          <w:rFonts w:ascii="Arial" w:hAnsi="Arial"/>
          <w:b/>
          <w:sz w:val="20"/>
          <w:highlight w:val="yellow"/>
        </w:rPr>
      </w:pPr>
      <w:r>
        <w:rPr>
          <w:highlight w:val="yellow"/>
        </w:rPr>
        <w:br w:type="page"/>
      </w:r>
    </w:p>
    <w:p w14:paraId="7B589413" w14:textId="779FBF7D" w:rsidR="00275707" w:rsidRPr="001E6884" w:rsidRDefault="00D91D52" w:rsidP="00275707">
      <w:pPr>
        <w:pStyle w:val="TableGraphic"/>
        <w:rPr>
          <w:rFonts w:ascii="Arial" w:hAnsi="Arial" w:cs="Arial"/>
          <w:b/>
          <w:sz w:val="22"/>
          <w:szCs w:val="22"/>
        </w:rPr>
      </w:pPr>
      <w:r w:rsidRPr="00F01DDB">
        <w:rPr>
          <w:rFonts w:ascii="Arial" w:hAnsi="Arial" w:cs="Arial"/>
          <w:b/>
          <w:sz w:val="22"/>
          <w:szCs w:val="22"/>
        </w:rPr>
        <w:fldChar w:fldCharType="begin"/>
      </w:r>
      <w:r w:rsidRPr="00F01DDB">
        <w:rPr>
          <w:rFonts w:ascii="Arial" w:hAnsi="Arial" w:cs="Arial"/>
          <w:b/>
          <w:sz w:val="22"/>
          <w:szCs w:val="22"/>
        </w:rPr>
        <w:instrText xml:space="preserve"> </w:instrText>
      </w:r>
      <w:proofErr w:type="gramStart"/>
      <w:r w:rsidRPr="00F01DDB">
        <w:rPr>
          <w:rFonts w:ascii="Arial" w:hAnsi="Arial" w:cs="Arial"/>
          <w:b/>
          <w:sz w:val="22"/>
          <w:szCs w:val="22"/>
        </w:rPr>
        <w:instrText>TC  "</w:instrText>
      </w:r>
      <w:bookmarkStart w:id="457" w:name="_Toc157240273"/>
      <w:bookmarkStart w:id="458" w:name="_Toc157421335"/>
      <w:bookmarkStart w:id="459" w:name="_Toc157596659"/>
      <w:proofErr w:type="gramEnd"/>
      <w:r w:rsidRPr="00F01DDB">
        <w:rPr>
          <w:rFonts w:ascii="Arial" w:hAnsi="Arial" w:cs="Arial"/>
          <w:b/>
          <w:sz w:val="22"/>
          <w:szCs w:val="22"/>
        </w:rPr>
        <w:instrText>1.3</w:instrText>
      </w:r>
      <w:r w:rsidRPr="00F01DDB">
        <w:rPr>
          <w:rFonts w:ascii="Arial" w:hAnsi="Arial" w:cs="Arial"/>
          <w:b/>
          <w:sz w:val="22"/>
          <w:szCs w:val="22"/>
        </w:rPr>
        <w:tab/>
        <w:instrText>Entity measures</w:instrText>
      </w:r>
      <w:bookmarkEnd w:id="457"/>
      <w:bookmarkEnd w:id="458"/>
      <w:bookmarkEnd w:id="459"/>
      <w:r w:rsidRPr="00F01DDB">
        <w:rPr>
          <w:rFonts w:ascii="Arial" w:hAnsi="Arial" w:cs="Arial"/>
          <w:b/>
          <w:sz w:val="22"/>
          <w:szCs w:val="22"/>
        </w:rPr>
        <w:instrText xml:space="preserve">" \f </w:instrText>
      </w:r>
      <w:proofErr w:type="spellStart"/>
      <w:r w:rsidRPr="00F01DDB">
        <w:rPr>
          <w:rFonts w:ascii="Arial" w:hAnsi="Arial" w:cs="Arial"/>
          <w:b/>
          <w:sz w:val="22"/>
          <w:szCs w:val="22"/>
        </w:rPr>
        <w:instrText>aihw</w:instrText>
      </w:r>
      <w:proofErr w:type="spellEnd"/>
      <w:r w:rsidRPr="00F01DDB">
        <w:rPr>
          <w:rFonts w:ascii="Arial" w:hAnsi="Arial" w:cs="Arial"/>
          <w:b/>
          <w:sz w:val="22"/>
          <w:szCs w:val="22"/>
        </w:rPr>
        <w:instrText xml:space="preserve"> \l 2 </w:instrText>
      </w:r>
      <w:r w:rsidRPr="00F01DDB">
        <w:rPr>
          <w:rFonts w:ascii="Arial" w:hAnsi="Arial" w:cs="Arial"/>
          <w:b/>
          <w:sz w:val="22"/>
          <w:szCs w:val="22"/>
        </w:rPr>
        <w:fldChar w:fldCharType="end"/>
      </w:r>
      <w:r w:rsidR="00275707" w:rsidRPr="001E6884">
        <w:rPr>
          <w:rFonts w:ascii="Arial" w:hAnsi="Arial" w:cs="Arial"/>
          <w:b/>
          <w:sz w:val="22"/>
          <w:szCs w:val="22"/>
        </w:rPr>
        <w:t>1.3</w:t>
      </w:r>
      <w:r w:rsidR="00275707" w:rsidRPr="001E6884">
        <w:rPr>
          <w:rFonts w:ascii="Arial" w:hAnsi="Arial" w:cs="Arial"/>
          <w:b/>
          <w:sz w:val="22"/>
          <w:szCs w:val="22"/>
        </w:rPr>
        <w:tab/>
        <w:t>Entity measures</w:t>
      </w:r>
    </w:p>
    <w:p w14:paraId="1035A041" w14:textId="77777777" w:rsidR="00275707" w:rsidRPr="005D71ED" w:rsidRDefault="00275707" w:rsidP="00275707">
      <w:pPr>
        <w:rPr>
          <w:sz w:val="20"/>
        </w:rPr>
      </w:pPr>
      <w:r w:rsidRPr="005D71ED">
        <w:rPr>
          <w:sz w:val="20"/>
        </w:rPr>
        <w:t>Table 1.2 summarises new Government measures taken since the 2023–24 Budget. The table is split into receipt and payment measures, with the affected program identified.</w:t>
      </w:r>
    </w:p>
    <w:p w14:paraId="7451A11F" w14:textId="061E4EFA" w:rsidR="00275707" w:rsidRDefault="00275707" w:rsidP="00275707">
      <w:pPr>
        <w:pStyle w:val="TableHeading"/>
      </w:pPr>
      <w:r w:rsidRPr="00486E77">
        <w:t xml:space="preserve">Table 1.2: </w:t>
      </w:r>
      <w:r>
        <w:t>AIHW</w:t>
      </w:r>
      <w:r w:rsidR="0014549F">
        <w:t xml:space="preserve"> </w:t>
      </w:r>
      <w:r>
        <w:t>2023–24</w:t>
      </w:r>
      <w:r w:rsidRPr="00486E77">
        <w:t xml:space="preserve"> measures since </w:t>
      </w:r>
      <w:r>
        <w:t xml:space="preserve">the </w:t>
      </w:r>
      <w:r w:rsidRPr="00486E77">
        <w:t>Budget</w:t>
      </w:r>
    </w:p>
    <w:p w14:paraId="7A9F1559" w14:textId="77777777" w:rsidR="00275707" w:rsidRPr="005D71ED" w:rsidRDefault="00275707" w:rsidP="00275707">
      <w:pPr>
        <w:pStyle w:val="TableGraphic"/>
        <w:spacing w:before="120"/>
        <w:rPr>
          <w:sz w:val="20"/>
          <w:lang w:val="x-none"/>
        </w:rPr>
      </w:pPr>
      <w:r w:rsidRPr="005D71ED">
        <w:rPr>
          <w:sz w:val="20"/>
        </w:rPr>
        <w:t>This table is not applicable to the AIHW.</w:t>
      </w:r>
    </w:p>
    <w:p w14:paraId="40DF1484" w14:textId="0FE01E52" w:rsidR="00275707" w:rsidRPr="001E1BB6" w:rsidRDefault="00D91D52" w:rsidP="00275707">
      <w:pPr>
        <w:pStyle w:val="Heading3"/>
        <w:ind w:left="567" w:hanging="567"/>
      </w:pPr>
      <w:r>
        <w:fldChar w:fldCharType="begin"/>
      </w:r>
      <w:r>
        <w:instrText xml:space="preserve"> </w:instrText>
      </w:r>
      <w:proofErr w:type="gramStart"/>
      <w:r>
        <w:instrText>TC  "</w:instrText>
      </w:r>
      <w:bookmarkStart w:id="460" w:name="_Toc157240274"/>
      <w:bookmarkStart w:id="461" w:name="_Toc157421336"/>
      <w:bookmarkStart w:id="462" w:name="_Toc157596660"/>
      <w:proofErr w:type="gramEnd"/>
      <w:r>
        <w:instrText>1.4</w:instrText>
      </w:r>
      <w:r>
        <w:tab/>
        <w:instrText>Additional estimates, resourcing and variations to outcomes</w:instrText>
      </w:r>
      <w:bookmarkEnd w:id="460"/>
      <w:bookmarkEnd w:id="461"/>
      <w:bookmarkEnd w:id="462"/>
      <w:r>
        <w:instrText xml:space="preserve">" \f </w:instrText>
      </w:r>
      <w:proofErr w:type="spellStart"/>
      <w:r>
        <w:instrText>aihw</w:instrText>
      </w:r>
      <w:proofErr w:type="spellEnd"/>
      <w:r>
        <w:instrText xml:space="preserve"> \l 2 </w:instrText>
      </w:r>
      <w:r>
        <w:fldChar w:fldCharType="end"/>
      </w:r>
      <w:bookmarkStart w:id="463" w:name="_Toc157592017"/>
      <w:bookmarkStart w:id="464" w:name="_Toc157592200"/>
      <w:r w:rsidR="00275707">
        <w:t>1.4</w:t>
      </w:r>
      <w:r w:rsidR="00275707">
        <w:tab/>
        <w:t>Additional estimates, resourcing and v</w:t>
      </w:r>
      <w:r w:rsidR="00275707" w:rsidRPr="00597122">
        <w:t>ariations</w:t>
      </w:r>
      <w:r w:rsidR="00275707">
        <w:t xml:space="preserve"> to outcomes</w:t>
      </w:r>
      <w:bookmarkEnd w:id="463"/>
      <w:bookmarkEnd w:id="464"/>
    </w:p>
    <w:p w14:paraId="4922EC50" w14:textId="32A3B278" w:rsidR="00275707" w:rsidRPr="005D71ED" w:rsidRDefault="00275707" w:rsidP="00275707">
      <w:pPr>
        <w:rPr>
          <w:sz w:val="20"/>
        </w:rPr>
      </w:pPr>
      <w:r w:rsidRPr="005D71ED">
        <w:rPr>
          <w:sz w:val="20"/>
        </w:rPr>
        <w:t>The following tables detail the changes to the resourcing for</w:t>
      </w:r>
      <w:r w:rsidR="0014549F">
        <w:rPr>
          <w:sz w:val="20"/>
        </w:rPr>
        <w:t xml:space="preserve"> the</w:t>
      </w:r>
      <w:r w:rsidRPr="005D71ED">
        <w:rPr>
          <w:sz w:val="20"/>
        </w:rPr>
        <w:t xml:space="preserve"> AIHW at Additional Estimates, by outcome. Table 1.3 details the Additional Estimates resulting from new measures and other variations since the 2023–24 Budget in Appro</w:t>
      </w:r>
      <w:r w:rsidR="00F026E3">
        <w:rPr>
          <w:sz w:val="20"/>
        </w:rPr>
        <w:t>priation Bill</w:t>
      </w:r>
      <w:r w:rsidRPr="005D71ED">
        <w:rPr>
          <w:sz w:val="20"/>
        </w:rPr>
        <w:t xml:space="preserve"> </w:t>
      </w:r>
      <w:r w:rsidR="00F026E3">
        <w:rPr>
          <w:sz w:val="20"/>
        </w:rPr>
        <w:t>(</w:t>
      </w:r>
      <w:r w:rsidRPr="005D71ED">
        <w:rPr>
          <w:sz w:val="20"/>
        </w:rPr>
        <w:t>Nos. 3 and 4</w:t>
      </w:r>
      <w:r w:rsidR="00F026E3">
        <w:rPr>
          <w:sz w:val="20"/>
        </w:rPr>
        <w:t>)</w:t>
      </w:r>
      <w:r w:rsidRPr="005D71ED">
        <w:rPr>
          <w:sz w:val="20"/>
        </w:rPr>
        <w:t>.</w:t>
      </w:r>
    </w:p>
    <w:p w14:paraId="5BD0832A" w14:textId="0742096C" w:rsidR="00275707" w:rsidRDefault="00275707" w:rsidP="00275707">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840" w:type="dxa"/>
        <w:jc w:val="center"/>
        <w:tblLayout w:type="fixed"/>
        <w:tblLook w:val="04A0" w:firstRow="1" w:lastRow="0" w:firstColumn="1" w:lastColumn="0" w:noHBand="0" w:noVBand="1"/>
      </w:tblPr>
      <w:tblGrid>
        <w:gridCol w:w="4160"/>
        <w:gridCol w:w="920"/>
        <w:gridCol w:w="920"/>
        <w:gridCol w:w="920"/>
        <w:gridCol w:w="920"/>
      </w:tblGrid>
      <w:tr w:rsidR="0098282D" w:rsidRPr="0098282D" w14:paraId="617E5558" w14:textId="77777777" w:rsidTr="0098282D">
        <w:trPr>
          <w:trHeight w:val="397"/>
          <w:jc w:val="center"/>
        </w:trPr>
        <w:tc>
          <w:tcPr>
            <w:tcW w:w="4160" w:type="dxa"/>
            <w:tcBorders>
              <w:top w:val="single" w:sz="4" w:space="0" w:color="auto"/>
              <w:left w:val="nil"/>
              <w:bottom w:val="nil"/>
              <w:right w:val="nil"/>
            </w:tcBorders>
            <w:shd w:val="clear" w:color="auto" w:fill="auto"/>
            <w:noWrap/>
            <w:hideMark/>
          </w:tcPr>
          <w:p w14:paraId="0FC7484A" w14:textId="77777777" w:rsidR="0098282D" w:rsidRPr="0098282D" w:rsidRDefault="0098282D" w:rsidP="0098282D">
            <w:pPr>
              <w:spacing w:before="24" w:after="0" w:line="240" w:lineRule="auto"/>
              <w:jc w:val="right"/>
              <w:rPr>
                <w:rFonts w:ascii="Arial" w:hAnsi="Arial" w:cs="Arial"/>
                <w:sz w:val="16"/>
                <w:szCs w:val="16"/>
              </w:rPr>
            </w:pPr>
            <w:r w:rsidRPr="0098282D">
              <w:rPr>
                <w:rFonts w:ascii="Arial" w:hAnsi="Arial" w:cs="Arial"/>
                <w:sz w:val="16"/>
                <w:szCs w:val="16"/>
              </w:rPr>
              <w:t> </w:t>
            </w:r>
          </w:p>
        </w:tc>
        <w:tc>
          <w:tcPr>
            <w:tcW w:w="920" w:type="dxa"/>
            <w:tcBorders>
              <w:top w:val="single" w:sz="4" w:space="0" w:color="000000"/>
              <w:left w:val="nil"/>
              <w:bottom w:val="single" w:sz="4" w:space="0" w:color="000000"/>
              <w:right w:val="nil"/>
            </w:tcBorders>
            <w:shd w:val="clear" w:color="000000" w:fill="D9D9D9"/>
            <w:hideMark/>
          </w:tcPr>
          <w:p w14:paraId="6B2CFBA6" w14:textId="6E173AB3" w:rsidR="0098282D" w:rsidRPr="0098282D" w:rsidRDefault="0098282D" w:rsidP="0098282D">
            <w:pPr>
              <w:spacing w:before="24" w:after="0" w:line="240" w:lineRule="auto"/>
              <w:jc w:val="right"/>
              <w:rPr>
                <w:rFonts w:ascii="Arial" w:hAnsi="Arial" w:cs="Arial"/>
                <w:b/>
                <w:bCs/>
                <w:sz w:val="16"/>
                <w:szCs w:val="16"/>
              </w:rPr>
            </w:pPr>
            <w:r>
              <w:rPr>
                <w:rFonts w:ascii="Arial" w:hAnsi="Arial" w:cs="Arial"/>
                <w:b/>
                <w:bCs/>
                <w:sz w:val="16"/>
                <w:szCs w:val="16"/>
              </w:rPr>
              <w:t>2023–</w:t>
            </w:r>
            <w:r w:rsidRPr="0098282D">
              <w:rPr>
                <w:rFonts w:ascii="Arial" w:hAnsi="Arial" w:cs="Arial"/>
                <w:b/>
                <w:bCs/>
                <w:sz w:val="16"/>
                <w:szCs w:val="16"/>
              </w:rPr>
              <w:t>24</w:t>
            </w:r>
            <w:r w:rsidRPr="0098282D">
              <w:rPr>
                <w:rFonts w:ascii="Arial" w:hAnsi="Arial" w:cs="Arial"/>
                <w:b/>
                <w:bCs/>
                <w:sz w:val="16"/>
                <w:szCs w:val="16"/>
              </w:rPr>
              <w:br/>
            </w:r>
            <w:r w:rsidRPr="0098282D">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37BEF50F" w14:textId="193105A0" w:rsidR="0098282D" w:rsidRPr="0098282D" w:rsidRDefault="0098282D" w:rsidP="0098282D">
            <w:pPr>
              <w:spacing w:before="24" w:after="0" w:line="240" w:lineRule="auto"/>
              <w:jc w:val="right"/>
              <w:rPr>
                <w:rFonts w:ascii="Arial" w:hAnsi="Arial" w:cs="Arial"/>
                <w:b/>
                <w:bCs/>
                <w:sz w:val="16"/>
                <w:szCs w:val="16"/>
              </w:rPr>
            </w:pPr>
            <w:r>
              <w:rPr>
                <w:rFonts w:ascii="Arial" w:hAnsi="Arial" w:cs="Arial"/>
                <w:b/>
                <w:bCs/>
                <w:sz w:val="16"/>
                <w:szCs w:val="16"/>
              </w:rPr>
              <w:t>2024–</w:t>
            </w:r>
            <w:r w:rsidRPr="0098282D">
              <w:rPr>
                <w:rFonts w:ascii="Arial" w:hAnsi="Arial" w:cs="Arial"/>
                <w:b/>
                <w:bCs/>
                <w:sz w:val="16"/>
                <w:szCs w:val="16"/>
              </w:rPr>
              <w:t>25</w:t>
            </w:r>
            <w:r w:rsidRPr="0098282D">
              <w:rPr>
                <w:rFonts w:ascii="Arial" w:hAnsi="Arial" w:cs="Arial"/>
                <w:b/>
                <w:bCs/>
                <w:sz w:val="16"/>
                <w:szCs w:val="16"/>
              </w:rPr>
              <w:br/>
            </w:r>
            <w:r w:rsidRPr="0098282D">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33CC0DB4" w14:textId="44558564" w:rsidR="0098282D" w:rsidRPr="0098282D" w:rsidRDefault="0098282D" w:rsidP="0098282D">
            <w:pPr>
              <w:spacing w:before="24" w:after="0" w:line="240" w:lineRule="auto"/>
              <w:jc w:val="right"/>
              <w:rPr>
                <w:rFonts w:ascii="Arial" w:hAnsi="Arial" w:cs="Arial"/>
                <w:b/>
                <w:bCs/>
                <w:sz w:val="16"/>
                <w:szCs w:val="16"/>
              </w:rPr>
            </w:pPr>
            <w:r>
              <w:rPr>
                <w:rFonts w:ascii="Arial" w:hAnsi="Arial" w:cs="Arial"/>
                <w:b/>
                <w:bCs/>
                <w:sz w:val="16"/>
                <w:szCs w:val="16"/>
              </w:rPr>
              <w:t>2025–</w:t>
            </w:r>
            <w:r w:rsidRPr="0098282D">
              <w:rPr>
                <w:rFonts w:ascii="Arial" w:hAnsi="Arial" w:cs="Arial"/>
                <w:b/>
                <w:bCs/>
                <w:sz w:val="16"/>
                <w:szCs w:val="16"/>
              </w:rPr>
              <w:t>26</w:t>
            </w:r>
            <w:r w:rsidRPr="0098282D">
              <w:rPr>
                <w:rFonts w:ascii="Arial" w:hAnsi="Arial" w:cs="Arial"/>
                <w:b/>
                <w:bCs/>
                <w:sz w:val="16"/>
                <w:szCs w:val="16"/>
              </w:rPr>
              <w:br/>
            </w:r>
            <w:r w:rsidRPr="0098282D">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hideMark/>
          </w:tcPr>
          <w:p w14:paraId="36367048" w14:textId="673F32AB" w:rsidR="0098282D" w:rsidRPr="0098282D" w:rsidRDefault="0098282D" w:rsidP="0098282D">
            <w:pPr>
              <w:spacing w:before="24" w:after="0" w:line="240" w:lineRule="auto"/>
              <w:jc w:val="right"/>
              <w:rPr>
                <w:rFonts w:ascii="Arial" w:hAnsi="Arial" w:cs="Arial"/>
                <w:b/>
                <w:bCs/>
                <w:sz w:val="16"/>
                <w:szCs w:val="16"/>
              </w:rPr>
            </w:pPr>
            <w:r>
              <w:rPr>
                <w:rFonts w:ascii="Arial" w:hAnsi="Arial" w:cs="Arial"/>
                <w:b/>
                <w:bCs/>
                <w:sz w:val="16"/>
                <w:szCs w:val="16"/>
              </w:rPr>
              <w:t>2026–</w:t>
            </w:r>
            <w:r w:rsidRPr="0098282D">
              <w:rPr>
                <w:rFonts w:ascii="Arial" w:hAnsi="Arial" w:cs="Arial"/>
                <w:b/>
                <w:bCs/>
                <w:sz w:val="16"/>
                <w:szCs w:val="16"/>
              </w:rPr>
              <w:t>27</w:t>
            </w:r>
            <w:r w:rsidRPr="0098282D">
              <w:rPr>
                <w:rFonts w:ascii="Arial" w:hAnsi="Arial" w:cs="Arial"/>
                <w:b/>
                <w:bCs/>
                <w:sz w:val="16"/>
                <w:szCs w:val="16"/>
              </w:rPr>
              <w:br/>
            </w:r>
            <w:r w:rsidRPr="0098282D">
              <w:rPr>
                <w:rFonts w:ascii="Arial" w:hAnsi="Arial" w:cs="Arial"/>
                <w:sz w:val="16"/>
                <w:szCs w:val="16"/>
              </w:rPr>
              <w:t>$'000</w:t>
            </w:r>
          </w:p>
        </w:tc>
      </w:tr>
      <w:tr w:rsidR="0098282D" w:rsidRPr="0098282D" w14:paraId="0D3C3520" w14:textId="77777777" w:rsidTr="005B06C6">
        <w:trPr>
          <w:trHeight w:val="454"/>
          <w:jc w:val="center"/>
        </w:trPr>
        <w:tc>
          <w:tcPr>
            <w:tcW w:w="7840" w:type="dxa"/>
            <w:gridSpan w:val="5"/>
            <w:tcBorders>
              <w:top w:val="nil"/>
              <w:left w:val="nil"/>
              <w:bottom w:val="nil"/>
              <w:right w:val="nil"/>
            </w:tcBorders>
            <w:shd w:val="clear" w:color="auto" w:fill="auto"/>
            <w:vAlign w:val="bottom"/>
            <w:hideMark/>
          </w:tcPr>
          <w:p w14:paraId="469CECFB" w14:textId="77777777" w:rsidR="0098282D" w:rsidRPr="0098282D" w:rsidRDefault="0098282D" w:rsidP="0098282D">
            <w:pPr>
              <w:spacing w:before="0" w:after="0" w:line="240" w:lineRule="auto"/>
              <w:rPr>
                <w:rFonts w:ascii="Arial" w:hAnsi="Arial" w:cs="Arial"/>
                <w:b/>
                <w:bCs/>
                <w:sz w:val="16"/>
                <w:szCs w:val="16"/>
              </w:rPr>
            </w:pPr>
            <w:r w:rsidRPr="0098282D">
              <w:rPr>
                <w:rFonts w:ascii="Arial" w:hAnsi="Arial" w:cs="Arial"/>
                <w:b/>
                <w:bCs/>
                <w:sz w:val="16"/>
                <w:szCs w:val="16"/>
              </w:rPr>
              <w:t>Program 1.1: Develop, Collect, Analyse and Report High Quality National Health and Welfare Information and Statistics for Governments and the Community</w:t>
            </w:r>
          </w:p>
        </w:tc>
      </w:tr>
      <w:tr w:rsidR="0098282D" w:rsidRPr="0098282D" w14:paraId="208BE829" w14:textId="77777777" w:rsidTr="005B06C6">
        <w:trPr>
          <w:trHeight w:val="283"/>
          <w:jc w:val="center"/>
        </w:trPr>
        <w:tc>
          <w:tcPr>
            <w:tcW w:w="4160" w:type="dxa"/>
            <w:tcBorders>
              <w:top w:val="nil"/>
              <w:left w:val="nil"/>
              <w:bottom w:val="nil"/>
              <w:right w:val="nil"/>
            </w:tcBorders>
            <w:shd w:val="clear" w:color="auto" w:fill="auto"/>
            <w:noWrap/>
            <w:vAlign w:val="bottom"/>
            <w:hideMark/>
          </w:tcPr>
          <w:p w14:paraId="59CEBB3B" w14:textId="77777777" w:rsidR="0098282D" w:rsidRPr="0098282D" w:rsidRDefault="0098282D" w:rsidP="0098282D">
            <w:pPr>
              <w:spacing w:before="0" w:after="0" w:line="240" w:lineRule="auto"/>
              <w:rPr>
                <w:rFonts w:ascii="Arial" w:hAnsi="Arial" w:cs="Arial"/>
                <w:b/>
                <w:bCs/>
                <w:sz w:val="16"/>
                <w:szCs w:val="16"/>
              </w:rPr>
            </w:pPr>
            <w:r w:rsidRPr="0098282D">
              <w:rPr>
                <w:rFonts w:ascii="Arial" w:hAnsi="Arial" w:cs="Arial"/>
                <w:b/>
                <w:bCs/>
                <w:sz w:val="16"/>
                <w:szCs w:val="16"/>
              </w:rPr>
              <w:t>Changes to departmental appropriations</w:t>
            </w:r>
          </w:p>
        </w:tc>
        <w:tc>
          <w:tcPr>
            <w:tcW w:w="920" w:type="dxa"/>
            <w:tcBorders>
              <w:top w:val="nil"/>
              <w:left w:val="nil"/>
              <w:bottom w:val="nil"/>
              <w:right w:val="nil"/>
            </w:tcBorders>
            <w:shd w:val="clear" w:color="auto" w:fill="auto"/>
            <w:noWrap/>
            <w:vAlign w:val="bottom"/>
            <w:hideMark/>
          </w:tcPr>
          <w:p w14:paraId="6AF19F85" w14:textId="77777777" w:rsidR="0098282D" w:rsidRPr="0098282D" w:rsidRDefault="0098282D" w:rsidP="0098282D">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5281B065" w14:textId="77777777" w:rsidR="0098282D" w:rsidRPr="0098282D" w:rsidRDefault="0098282D" w:rsidP="0098282D">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5458EEED" w14:textId="77777777" w:rsidR="0098282D" w:rsidRPr="0098282D" w:rsidRDefault="0098282D" w:rsidP="0098282D">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72D2EAF0" w14:textId="77777777" w:rsidR="0098282D" w:rsidRPr="0098282D" w:rsidRDefault="0098282D" w:rsidP="0098282D">
            <w:pPr>
              <w:spacing w:before="0" w:after="0" w:line="240" w:lineRule="auto"/>
              <w:jc w:val="right"/>
              <w:rPr>
                <w:rFonts w:ascii="Times New Roman" w:hAnsi="Times New Roman"/>
                <w:sz w:val="20"/>
              </w:rPr>
            </w:pPr>
          </w:p>
        </w:tc>
      </w:tr>
      <w:tr w:rsidR="0098282D" w:rsidRPr="0098282D" w14:paraId="08D54265" w14:textId="77777777" w:rsidTr="005B06C6">
        <w:trPr>
          <w:trHeight w:val="283"/>
          <w:jc w:val="center"/>
        </w:trPr>
        <w:tc>
          <w:tcPr>
            <w:tcW w:w="4160" w:type="dxa"/>
            <w:tcBorders>
              <w:top w:val="nil"/>
              <w:left w:val="nil"/>
              <w:bottom w:val="nil"/>
              <w:right w:val="nil"/>
            </w:tcBorders>
            <w:shd w:val="clear" w:color="auto" w:fill="auto"/>
            <w:noWrap/>
            <w:vAlign w:val="bottom"/>
            <w:hideMark/>
          </w:tcPr>
          <w:p w14:paraId="325620D2" w14:textId="77777777" w:rsidR="0098282D" w:rsidRPr="0098282D" w:rsidRDefault="0098282D" w:rsidP="0098282D">
            <w:pPr>
              <w:spacing w:before="0" w:after="0" w:line="240" w:lineRule="auto"/>
              <w:rPr>
                <w:rFonts w:ascii="Arial" w:hAnsi="Arial" w:cs="Arial"/>
                <w:sz w:val="16"/>
                <w:szCs w:val="16"/>
              </w:rPr>
            </w:pPr>
            <w:r w:rsidRPr="0098282D">
              <w:rPr>
                <w:rFonts w:ascii="Arial" w:hAnsi="Arial" w:cs="Arial"/>
                <w:sz w:val="16"/>
                <w:szCs w:val="16"/>
              </w:rPr>
              <w:t>Appropriation Bill (No. 3)</w:t>
            </w:r>
          </w:p>
        </w:tc>
        <w:tc>
          <w:tcPr>
            <w:tcW w:w="920" w:type="dxa"/>
            <w:tcBorders>
              <w:top w:val="nil"/>
              <w:left w:val="nil"/>
              <w:bottom w:val="nil"/>
              <w:right w:val="nil"/>
            </w:tcBorders>
            <w:shd w:val="clear" w:color="000000" w:fill="D9D9D9"/>
            <w:noWrap/>
            <w:vAlign w:val="bottom"/>
            <w:hideMark/>
          </w:tcPr>
          <w:p w14:paraId="2D35ED69"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08E195D0" w14:textId="77777777" w:rsidR="0098282D" w:rsidRPr="0098282D" w:rsidRDefault="0098282D" w:rsidP="0098282D">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13CF6AC" w14:textId="77777777" w:rsidR="0098282D" w:rsidRPr="0098282D" w:rsidRDefault="0098282D" w:rsidP="0098282D">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2AD00179" w14:textId="77777777" w:rsidR="0098282D" w:rsidRPr="0098282D" w:rsidRDefault="0098282D" w:rsidP="0098282D">
            <w:pPr>
              <w:spacing w:before="0" w:after="0" w:line="240" w:lineRule="auto"/>
              <w:jc w:val="right"/>
              <w:rPr>
                <w:rFonts w:ascii="Times New Roman" w:hAnsi="Times New Roman"/>
                <w:sz w:val="20"/>
              </w:rPr>
            </w:pPr>
          </w:p>
        </w:tc>
      </w:tr>
      <w:tr w:rsidR="0098282D" w:rsidRPr="0098282D" w14:paraId="5826A664" w14:textId="77777777" w:rsidTr="005B06C6">
        <w:trPr>
          <w:trHeight w:val="283"/>
          <w:jc w:val="center"/>
        </w:trPr>
        <w:tc>
          <w:tcPr>
            <w:tcW w:w="4160" w:type="dxa"/>
            <w:tcBorders>
              <w:top w:val="nil"/>
              <w:left w:val="nil"/>
              <w:bottom w:val="nil"/>
              <w:right w:val="nil"/>
            </w:tcBorders>
            <w:shd w:val="clear" w:color="auto" w:fill="auto"/>
            <w:vAlign w:val="bottom"/>
            <w:hideMark/>
          </w:tcPr>
          <w:p w14:paraId="7860E272" w14:textId="77777777" w:rsidR="0098282D" w:rsidRPr="0098282D" w:rsidRDefault="0098282D" w:rsidP="0098282D">
            <w:pPr>
              <w:spacing w:before="0" w:after="0" w:line="240" w:lineRule="auto"/>
              <w:rPr>
                <w:rFonts w:ascii="Arial" w:hAnsi="Arial" w:cs="Arial"/>
                <w:sz w:val="16"/>
                <w:szCs w:val="16"/>
              </w:rPr>
            </w:pPr>
            <w:r w:rsidRPr="0098282D">
              <w:rPr>
                <w:rFonts w:ascii="Arial" w:hAnsi="Arial" w:cs="Arial"/>
                <w:sz w:val="16"/>
                <w:szCs w:val="16"/>
              </w:rPr>
              <w:t xml:space="preserve">Indigenous life expectancy methodology </w:t>
            </w:r>
          </w:p>
        </w:tc>
        <w:tc>
          <w:tcPr>
            <w:tcW w:w="920" w:type="dxa"/>
            <w:tcBorders>
              <w:top w:val="nil"/>
              <w:left w:val="nil"/>
              <w:bottom w:val="nil"/>
              <w:right w:val="nil"/>
            </w:tcBorders>
            <w:shd w:val="clear" w:color="000000" w:fill="D9D9D9"/>
            <w:noWrap/>
            <w:vAlign w:val="bottom"/>
            <w:hideMark/>
          </w:tcPr>
          <w:p w14:paraId="37DC33BD"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100</w:t>
            </w:r>
          </w:p>
        </w:tc>
        <w:tc>
          <w:tcPr>
            <w:tcW w:w="920" w:type="dxa"/>
            <w:tcBorders>
              <w:top w:val="nil"/>
              <w:left w:val="nil"/>
              <w:bottom w:val="nil"/>
              <w:right w:val="nil"/>
            </w:tcBorders>
            <w:shd w:val="clear" w:color="auto" w:fill="auto"/>
            <w:noWrap/>
            <w:vAlign w:val="bottom"/>
            <w:hideMark/>
          </w:tcPr>
          <w:p w14:paraId="15B9AB1C"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0EE615A9"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BD9A89F"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 </w:t>
            </w:r>
          </w:p>
        </w:tc>
      </w:tr>
      <w:tr w:rsidR="0098282D" w:rsidRPr="0098282D" w14:paraId="32B584EE" w14:textId="77777777" w:rsidTr="005B06C6">
        <w:trPr>
          <w:trHeight w:val="283"/>
          <w:jc w:val="center"/>
        </w:trPr>
        <w:tc>
          <w:tcPr>
            <w:tcW w:w="4160" w:type="dxa"/>
            <w:tcBorders>
              <w:top w:val="nil"/>
              <w:left w:val="nil"/>
              <w:bottom w:val="nil"/>
              <w:right w:val="nil"/>
            </w:tcBorders>
            <w:shd w:val="clear" w:color="auto" w:fill="auto"/>
            <w:vAlign w:val="bottom"/>
            <w:hideMark/>
          </w:tcPr>
          <w:p w14:paraId="5DCA20DE" w14:textId="675DC91C" w:rsidR="0098282D" w:rsidRPr="0098282D" w:rsidRDefault="0098282D" w:rsidP="00645D79">
            <w:pPr>
              <w:spacing w:before="0" w:after="0" w:line="240" w:lineRule="auto"/>
              <w:rPr>
                <w:rFonts w:ascii="Arial" w:hAnsi="Arial" w:cs="Arial"/>
                <w:sz w:val="16"/>
                <w:szCs w:val="16"/>
              </w:rPr>
            </w:pPr>
            <w:r w:rsidRPr="0098282D">
              <w:rPr>
                <w:rFonts w:ascii="Arial" w:hAnsi="Arial" w:cs="Arial"/>
                <w:sz w:val="16"/>
                <w:szCs w:val="16"/>
              </w:rPr>
              <w:t>Price parameter adjustments</w:t>
            </w:r>
            <w:r w:rsidRPr="0098282D">
              <w:rPr>
                <w:rFonts w:ascii="Arial" w:hAnsi="Arial" w:cs="Arial"/>
                <w:sz w:val="16"/>
                <w:szCs w:val="16"/>
                <w:vertAlign w:val="superscript"/>
              </w:rPr>
              <w:t>(a)</w:t>
            </w:r>
          </w:p>
        </w:tc>
        <w:tc>
          <w:tcPr>
            <w:tcW w:w="920" w:type="dxa"/>
            <w:tcBorders>
              <w:top w:val="nil"/>
              <w:left w:val="nil"/>
              <w:bottom w:val="nil"/>
              <w:right w:val="nil"/>
            </w:tcBorders>
            <w:shd w:val="clear" w:color="000000" w:fill="D9D9D9"/>
            <w:noWrap/>
            <w:vAlign w:val="bottom"/>
            <w:hideMark/>
          </w:tcPr>
          <w:p w14:paraId="2E5BDCFC"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15397E73"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33 </w:t>
            </w:r>
          </w:p>
        </w:tc>
        <w:tc>
          <w:tcPr>
            <w:tcW w:w="920" w:type="dxa"/>
            <w:tcBorders>
              <w:top w:val="nil"/>
              <w:left w:val="nil"/>
              <w:bottom w:val="nil"/>
              <w:right w:val="nil"/>
            </w:tcBorders>
            <w:shd w:val="clear" w:color="auto" w:fill="auto"/>
            <w:noWrap/>
            <w:vAlign w:val="bottom"/>
            <w:hideMark/>
          </w:tcPr>
          <w:p w14:paraId="59B4BF84"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103 </w:t>
            </w:r>
          </w:p>
        </w:tc>
        <w:tc>
          <w:tcPr>
            <w:tcW w:w="920" w:type="dxa"/>
            <w:tcBorders>
              <w:top w:val="nil"/>
              <w:left w:val="nil"/>
              <w:bottom w:val="nil"/>
              <w:right w:val="nil"/>
            </w:tcBorders>
            <w:shd w:val="clear" w:color="auto" w:fill="auto"/>
            <w:noWrap/>
            <w:vAlign w:val="bottom"/>
            <w:hideMark/>
          </w:tcPr>
          <w:p w14:paraId="06241E92"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104 </w:t>
            </w:r>
          </w:p>
        </w:tc>
      </w:tr>
      <w:tr w:rsidR="0098282D" w:rsidRPr="0098282D" w14:paraId="2C35FE7F" w14:textId="77777777" w:rsidTr="005B06C6">
        <w:trPr>
          <w:trHeight w:val="283"/>
          <w:jc w:val="center"/>
        </w:trPr>
        <w:tc>
          <w:tcPr>
            <w:tcW w:w="4160" w:type="dxa"/>
            <w:tcBorders>
              <w:top w:val="nil"/>
              <w:left w:val="nil"/>
              <w:bottom w:val="single" w:sz="4" w:space="0" w:color="auto"/>
              <w:right w:val="nil"/>
            </w:tcBorders>
            <w:shd w:val="clear" w:color="auto" w:fill="auto"/>
            <w:noWrap/>
            <w:vAlign w:val="bottom"/>
            <w:hideMark/>
          </w:tcPr>
          <w:p w14:paraId="78B979A5" w14:textId="77777777" w:rsidR="0098282D" w:rsidRPr="0098282D" w:rsidRDefault="0098282D" w:rsidP="0098282D">
            <w:pPr>
              <w:spacing w:before="0" w:after="0" w:line="240" w:lineRule="auto"/>
              <w:rPr>
                <w:rFonts w:ascii="Arial" w:hAnsi="Arial" w:cs="Arial"/>
                <w:b/>
                <w:bCs/>
                <w:sz w:val="16"/>
                <w:szCs w:val="16"/>
              </w:rPr>
            </w:pPr>
            <w:r w:rsidRPr="0098282D">
              <w:rPr>
                <w:rFonts w:ascii="Arial" w:hAnsi="Arial" w:cs="Arial"/>
                <w:b/>
                <w:bCs/>
                <w:sz w:val="16"/>
                <w:szCs w:val="16"/>
              </w:rPr>
              <w:t>Total</w:t>
            </w:r>
          </w:p>
        </w:tc>
        <w:tc>
          <w:tcPr>
            <w:tcW w:w="920" w:type="dxa"/>
            <w:tcBorders>
              <w:top w:val="single" w:sz="4" w:space="0" w:color="auto"/>
              <w:left w:val="nil"/>
              <w:bottom w:val="single" w:sz="4" w:space="0" w:color="auto"/>
              <w:right w:val="nil"/>
            </w:tcBorders>
            <w:shd w:val="clear" w:color="000000" w:fill="D9D9D9"/>
            <w:noWrap/>
            <w:vAlign w:val="bottom"/>
            <w:hideMark/>
          </w:tcPr>
          <w:p w14:paraId="7E7CB150"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100</w:t>
            </w:r>
          </w:p>
        </w:tc>
        <w:tc>
          <w:tcPr>
            <w:tcW w:w="920" w:type="dxa"/>
            <w:tcBorders>
              <w:top w:val="single" w:sz="4" w:space="0" w:color="auto"/>
              <w:left w:val="nil"/>
              <w:bottom w:val="single" w:sz="4" w:space="0" w:color="auto"/>
              <w:right w:val="nil"/>
            </w:tcBorders>
            <w:shd w:val="clear" w:color="auto" w:fill="auto"/>
            <w:noWrap/>
            <w:vAlign w:val="bottom"/>
            <w:hideMark/>
          </w:tcPr>
          <w:p w14:paraId="10AB4C5E"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33 </w:t>
            </w:r>
          </w:p>
        </w:tc>
        <w:tc>
          <w:tcPr>
            <w:tcW w:w="920" w:type="dxa"/>
            <w:tcBorders>
              <w:top w:val="single" w:sz="4" w:space="0" w:color="auto"/>
              <w:left w:val="nil"/>
              <w:bottom w:val="single" w:sz="4" w:space="0" w:color="auto"/>
              <w:right w:val="nil"/>
            </w:tcBorders>
            <w:shd w:val="clear" w:color="auto" w:fill="auto"/>
            <w:noWrap/>
            <w:vAlign w:val="bottom"/>
            <w:hideMark/>
          </w:tcPr>
          <w:p w14:paraId="169D60D5"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103 </w:t>
            </w:r>
          </w:p>
        </w:tc>
        <w:tc>
          <w:tcPr>
            <w:tcW w:w="920" w:type="dxa"/>
            <w:tcBorders>
              <w:top w:val="single" w:sz="4" w:space="0" w:color="auto"/>
              <w:left w:val="nil"/>
              <w:bottom w:val="single" w:sz="4" w:space="0" w:color="auto"/>
              <w:right w:val="nil"/>
            </w:tcBorders>
            <w:shd w:val="clear" w:color="auto" w:fill="auto"/>
            <w:noWrap/>
            <w:vAlign w:val="bottom"/>
            <w:hideMark/>
          </w:tcPr>
          <w:p w14:paraId="2E988513"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104 </w:t>
            </w:r>
          </w:p>
        </w:tc>
      </w:tr>
    </w:tbl>
    <w:p w14:paraId="640F94B5" w14:textId="77777777" w:rsidR="00275707" w:rsidRPr="00EB2225" w:rsidRDefault="00275707" w:rsidP="001E6884">
      <w:pPr>
        <w:pStyle w:val="FootnoteText"/>
        <w:spacing w:before="120"/>
      </w:pPr>
      <w:r w:rsidRPr="00EB2225">
        <w:rPr>
          <w:vertAlign w:val="superscript"/>
        </w:rPr>
        <w:t>(a)</w:t>
      </w:r>
      <w:r>
        <w:tab/>
      </w:r>
      <w:r w:rsidRPr="00EB2225">
        <w:t>See explanation in Portfolio Glossary.</w:t>
      </w:r>
    </w:p>
    <w:p w14:paraId="44C8CA7B" w14:textId="77777777" w:rsidR="00275707" w:rsidRPr="00D95DEB" w:rsidRDefault="00275707" w:rsidP="00275707">
      <w:pPr>
        <w:pStyle w:val="TableGraphic"/>
      </w:pPr>
    </w:p>
    <w:p w14:paraId="660CABA5" w14:textId="77777777" w:rsidR="00275707" w:rsidRPr="00D95DEB" w:rsidRDefault="00275707" w:rsidP="00275707">
      <w:pPr>
        <w:pStyle w:val="TableHeading"/>
      </w:pPr>
      <w:r>
        <w:br w:type="page"/>
      </w:r>
    </w:p>
    <w:p w14:paraId="0F21C66A" w14:textId="30520EBD" w:rsidR="00275707" w:rsidRPr="00564C0F" w:rsidRDefault="00D91D52" w:rsidP="00275707">
      <w:pPr>
        <w:pStyle w:val="Heading3"/>
        <w:ind w:right="-156"/>
      </w:pPr>
      <w:r>
        <w:fldChar w:fldCharType="begin"/>
      </w:r>
      <w:r>
        <w:instrText xml:space="preserve"> </w:instrText>
      </w:r>
      <w:proofErr w:type="gramStart"/>
      <w:r>
        <w:instrText>TC  "</w:instrText>
      </w:r>
      <w:bookmarkStart w:id="465" w:name="_Toc157240275"/>
      <w:bookmarkStart w:id="466" w:name="_Toc157421337"/>
      <w:bookmarkStart w:id="467" w:name="_Toc157596661"/>
      <w:proofErr w:type="gramEnd"/>
      <w:r>
        <w:instrText>1.5</w:instrText>
      </w:r>
      <w:r>
        <w:tab/>
        <w:instrText>Breakdown of additional estimates by appropriation bill</w:instrText>
      </w:r>
      <w:bookmarkEnd w:id="465"/>
      <w:bookmarkEnd w:id="466"/>
      <w:bookmarkEnd w:id="467"/>
      <w:r>
        <w:instrText xml:space="preserve">" \f </w:instrText>
      </w:r>
      <w:proofErr w:type="spellStart"/>
      <w:r>
        <w:instrText>aihw</w:instrText>
      </w:r>
      <w:proofErr w:type="spellEnd"/>
      <w:r>
        <w:instrText xml:space="preserve"> \l 2 </w:instrText>
      </w:r>
      <w:r>
        <w:fldChar w:fldCharType="end"/>
      </w:r>
      <w:bookmarkStart w:id="468" w:name="_Toc157592018"/>
      <w:bookmarkStart w:id="469" w:name="_Toc157592201"/>
      <w:r w:rsidR="00275707">
        <w:t>1.5</w:t>
      </w:r>
      <w:r w:rsidR="00275707">
        <w:tab/>
      </w:r>
      <w:r w:rsidR="00275707" w:rsidRPr="00564C0F">
        <w:t>Breakdown of additional estimates by appropriation bill</w:t>
      </w:r>
      <w:bookmarkEnd w:id="468"/>
      <w:bookmarkEnd w:id="469"/>
    </w:p>
    <w:p w14:paraId="1DC59272" w14:textId="24E6D67B" w:rsidR="00275707" w:rsidRPr="00564C0F" w:rsidRDefault="00275707" w:rsidP="00275707">
      <w:r w:rsidRPr="00162254">
        <w:rPr>
          <w:sz w:val="20"/>
        </w:rPr>
        <w:t xml:space="preserve">The following tables detail the Additional Estimates sought for </w:t>
      </w:r>
      <w:r w:rsidR="00F01DDB">
        <w:rPr>
          <w:sz w:val="20"/>
        </w:rPr>
        <w:t>AIHW through Appropriation Bill</w:t>
      </w:r>
      <w:r w:rsidRPr="00162254">
        <w:rPr>
          <w:sz w:val="20"/>
        </w:rPr>
        <w:t xml:space="preserve"> </w:t>
      </w:r>
      <w:r w:rsidR="00F01DDB">
        <w:rPr>
          <w:sz w:val="20"/>
        </w:rPr>
        <w:t>(</w:t>
      </w:r>
      <w:r w:rsidRPr="00162254">
        <w:rPr>
          <w:sz w:val="20"/>
        </w:rPr>
        <w:t>No</w:t>
      </w:r>
      <w:r w:rsidR="00E5315B">
        <w:rPr>
          <w:sz w:val="20"/>
        </w:rPr>
        <w:t>s</w:t>
      </w:r>
      <w:r w:rsidRPr="00162254">
        <w:rPr>
          <w:sz w:val="20"/>
        </w:rPr>
        <w:t>. 3</w:t>
      </w:r>
      <w:r w:rsidR="00F026E3">
        <w:rPr>
          <w:sz w:val="20"/>
        </w:rPr>
        <w:t xml:space="preserve"> </w:t>
      </w:r>
      <w:r w:rsidRPr="00162254">
        <w:rPr>
          <w:sz w:val="20"/>
        </w:rPr>
        <w:t>and 4</w:t>
      </w:r>
      <w:r w:rsidR="00F01DDB">
        <w:rPr>
          <w:sz w:val="20"/>
        </w:rPr>
        <w:t>)</w:t>
      </w:r>
      <w:r w:rsidRPr="00564C0F">
        <w:t>.</w:t>
      </w:r>
    </w:p>
    <w:p w14:paraId="3F8FF342" w14:textId="77777777" w:rsidR="00275707" w:rsidRDefault="00275707" w:rsidP="00275707">
      <w:pPr>
        <w:pStyle w:val="TableHeading"/>
      </w:pPr>
      <w:r>
        <w:t>Table 1.4</w:t>
      </w:r>
      <w:r w:rsidRPr="00564C0F">
        <w:t xml:space="preserve">: Appropriation Bill (No. 3) </w:t>
      </w:r>
      <w:r>
        <w:t>2023–2024</w:t>
      </w:r>
    </w:p>
    <w:tbl>
      <w:tblPr>
        <w:tblW w:w="7880" w:type="dxa"/>
        <w:jc w:val="center"/>
        <w:tblLayout w:type="fixed"/>
        <w:tblLook w:val="04A0" w:firstRow="1" w:lastRow="0" w:firstColumn="1" w:lastColumn="0" w:noHBand="0" w:noVBand="1"/>
      </w:tblPr>
      <w:tblGrid>
        <w:gridCol w:w="2977"/>
        <w:gridCol w:w="1063"/>
        <w:gridCol w:w="960"/>
        <w:gridCol w:w="960"/>
        <w:gridCol w:w="960"/>
        <w:gridCol w:w="960"/>
      </w:tblGrid>
      <w:tr w:rsidR="0098282D" w:rsidRPr="0098282D" w14:paraId="4FBC4D0D" w14:textId="77777777" w:rsidTr="00645D79">
        <w:trPr>
          <w:trHeight w:val="567"/>
          <w:jc w:val="center"/>
        </w:trPr>
        <w:tc>
          <w:tcPr>
            <w:tcW w:w="2977" w:type="dxa"/>
            <w:tcBorders>
              <w:top w:val="single" w:sz="4" w:space="0" w:color="000000"/>
              <w:left w:val="nil"/>
              <w:bottom w:val="nil"/>
              <w:right w:val="nil"/>
            </w:tcBorders>
            <w:shd w:val="clear" w:color="auto" w:fill="auto"/>
            <w:noWrap/>
            <w:hideMark/>
          </w:tcPr>
          <w:p w14:paraId="1285A4AE" w14:textId="77777777" w:rsidR="0098282D" w:rsidRPr="0098282D" w:rsidRDefault="0098282D" w:rsidP="006C0F84">
            <w:pPr>
              <w:spacing w:before="24" w:after="0" w:line="240" w:lineRule="auto"/>
              <w:jc w:val="right"/>
              <w:rPr>
                <w:rFonts w:ascii="Arial" w:hAnsi="Arial" w:cs="Arial"/>
                <w:sz w:val="16"/>
                <w:szCs w:val="16"/>
              </w:rPr>
            </w:pPr>
            <w:r w:rsidRPr="0098282D">
              <w:rPr>
                <w:rFonts w:ascii="Arial" w:hAnsi="Arial" w:cs="Arial"/>
                <w:sz w:val="16"/>
                <w:szCs w:val="16"/>
              </w:rPr>
              <w:t> </w:t>
            </w:r>
          </w:p>
        </w:tc>
        <w:tc>
          <w:tcPr>
            <w:tcW w:w="1063" w:type="dxa"/>
            <w:tcBorders>
              <w:top w:val="single" w:sz="4" w:space="0" w:color="000000"/>
              <w:left w:val="nil"/>
              <w:bottom w:val="single" w:sz="4" w:space="0" w:color="000000"/>
              <w:right w:val="nil"/>
            </w:tcBorders>
            <w:shd w:val="clear" w:color="auto" w:fill="auto"/>
            <w:hideMark/>
          </w:tcPr>
          <w:p w14:paraId="2C0B54FE" w14:textId="1C835CB9" w:rsidR="0098282D" w:rsidRPr="0098282D" w:rsidRDefault="0098282D" w:rsidP="006C0F84">
            <w:pPr>
              <w:spacing w:before="24" w:after="0" w:line="240" w:lineRule="auto"/>
              <w:jc w:val="right"/>
              <w:rPr>
                <w:rFonts w:ascii="Arial" w:hAnsi="Arial" w:cs="Arial"/>
                <w:b/>
                <w:bCs/>
                <w:sz w:val="16"/>
                <w:szCs w:val="16"/>
              </w:rPr>
            </w:pPr>
            <w:r>
              <w:rPr>
                <w:rFonts w:ascii="Arial" w:hAnsi="Arial" w:cs="Arial"/>
                <w:b/>
                <w:bCs/>
                <w:sz w:val="16"/>
                <w:szCs w:val="16"/>
              </w:rPr>
              <w:t>2022–</w:t>
            </w:r>
            <w:r w:rsidRPr="0098282D">
              <w:rPr>
                <w:rFonts w:ascii="Arial" w:hAnsi="Arial" w:cs="Arial"/>
                <w:b/>
                <w:bCs/>
                <w:sz w:val="16"/>
                <w:szCs w:val="16"/>
              </w:rPr>
              <w:t>23</w:t>
            </w:r>
            <w:r w:rsidRPr="0098282D">
              <w:rPr>
                <w:rFonts w:ascii="Arial" w:hAnsi="Arial" w:cs="Arial"/>
                <w:b/>
                <w:bCs/>
                <w:sz w:val="16"/>
                <w:szCs w:val="16"/>
              </w:rPr>
              <w:br/>
              <w:t>Available</w:t>
            </w:r>
            <w:r w:rsidR="00645D79" w:rsidRPr="00645D79">
              <w:rPr>
                <w:rFonts w:ascii="Arial" w:hAnsi="Arial" w:cs="Arial"/>
                <w:b/>
                <w:bCs/>
                <w:sz w:val="16"/>
                <w:szCs w:val="16"/>
                <w:vertAlign w:val="superscript"/>
              </w:rPr>
              <w:t>(a)</w:t>
            </w:r>
            <w:r w:rsidRPr="0098282D">
              <w:rPr>
                <w:rFonts w:ascii="Arial" w:hAnsi="Arial" w:cs="Arial"/>
                <w:b/>
                <w:bCs/>
                <w:sz w:val="16"/>
                <w:szCs w:val="16"/>
              </w:rPr>
              <w:br/>
            </w:r>
            <w:r w:rsidRPr="0098282D">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49C86D70" w14:textId="4B6D9491" w:rsidR="0098282D" w:rsidRPr="0098282D" w:rsidRDefault="0098282D" w:rsidP="006C0F84">
            <w:pPr>
              <w:spacing w:before="24" w:after="0" w:line="240" w:lineRule="auto"/>
              <w:jc w:val="right"/>
              <w:rPr>
                <w:rFonts w:ascii="Arial" w:hAnsi="Arial" w:cs="Arial"/>
                <w:b/>
                <w:bCs/>
                <w:sz w:val="16"/>
                <w:szCs w:val="16"/>
              </w:rPr>
            </w:pPr>
            <w:r w:rsidRPr="0098282D">
              <w:rPr>
                <w:rFonts w:ascii="Arial" w:hAnsi="Arial" w:cs="Arial"/>
                <w:b/>
                <w:bCs/>
                <w:sz w:val="16"/>
                <w:szCs w:val="16"/>
              </w:rPr>
              <w:t>2023</w:t>
            </w:r>
            <w:r>
              <w:rPr>
                <w:rFonts w:ascii="Arial" w:hAnsi="Arial" w:cs="Arial"/>
                <w:b/>
                <w:bCs/>
                <w:sz w:val="16"/>
                <w:szCs w:val="16"/>
              </w:rPr>
              <w:t>–</w:t>
            </w:r>
            <w:r w:rsidRPr="0098282D">
              <w:rPr>
                <w:rFonts w:ascii="Arial" w:hAnsi="Arial" w:cs="Arial"/>
                <w:b/>
                <w:bCs/>
                <w:sz w:val="16"/>
                <w:szCs w:val="16"/>
              </w:rPr>
              <w:t>24</w:t>
            </w:r>
            <w:r w:rsidRPr="0098282D">
              <w:rPr>
                <w:rFonts w:ascii="Arial" w:hAnsi="Arial" w:cs="Arial"/>
                <w:b/>
                <w:bCs/>
                <w:sz w:val="16"/>
                <w:szCs w:val="16"/>
              </w:rPr>
              <w:br/>
              <w:t>Budget</w:t>
            </w:r>
            <w:r w:rsidRPr="0098282D">
              <w:rPr>
                <w:rFonts w:ascii="Arial" w:hAnsi="Arial" w:cs="Arial"/>
                <w:b/>
                <w:bCs/>
                <w:sz w:val="16"/>
                <w:szCs w:val="16"/>
              </w:rPr>
              <w:br/>
            </w:r>
            <w:r w:rsidRPr="0098282D">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291B415F" w14:textId="21858177" w:rsidR="0098282D" w:rsidRPr="0098282D" w:rsidRDefault="0098282D" w:rsidP="006C0F84">
            <w:pPr>
              <w:spacing w:before="24" w:after="0" w:line="240" w:lineRule="auto"/>
              <w:jc w:val="right"/>
              <w:rPr>
                <w:rFonts w:ascii="Arial" w:hAnsi="Arial" w:cs="Arial"/>
                <w:b/>
                <w:bCs/>
                <w:sz w:val="16"/>
                <w:szCs w:val="16"/>
              </w:rPr>
            </w:pPr>
            <w:r>
              <w:rPr>
                <w:rFonts w:ascii="Arial" w:hAnsi="Arial" w:cs="Arial"/>
                <w:b/>
                <w:bCs/>
                <w:sz w:val="16"/>
                <w:szCs w:val="16"/>
              </w:rPr>
              <w:t>2023–</w:t>
            </w:r>
            <w:r w:rsidRPr="0098282D">
              <w:rPr>
                <w:rFonts w:ascii="Arial" w:hAnsi="Arial" w:cs="Arial"/>
                <w:b/>
                <w:bCs/>
                <w:sz w:val="16"/>
                <w:szCs w:val="16"/>
              </w:rPr>
              <w:t>24</w:t>
            </w:r>
            <w:r w:rsidRPr="0098282D">
              <w:rPr>
                <w:rFonts w:ascii="Arial" w:hAnsi="Arial" w:cs="Arial"/>
                <w:b/>
                <w:bCs/>
                <w:sz w:val="16"/>
                <w:szCs w:val="16"/>
              </w:rPr>
              <w:br/>
              <w:t>Revised</w:t>
            </w:r>
            <w:r w:rsidRPr="0098282D">
              <w:rPr>
                <w:rFonts w:ascii="Arial" w:hAnsi="Arial" w:cs="Arial"/>
                <w:b/>
                <w:bCs/>
                <w:sz w:val="16"/>
                <w:szCs w:val="16"/>
              </w:rPr>
              <w:br/>
            </w:r>
            <w:r w:rsidRPr="0098282D">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000000" w:fill="D9D9D9"/>
            <w:tcMar>
              <w:left w:w="0" w:type="dxa"/>
            </w:tcMar>
            <w:hideMark/>
          </w:tcPr>
          <w:p w14:paraId="15A7B1A1" w14:textId="77777777" w:rsidR="0098282D" w:rsidRPr="0098282D" w:rsidRDefault="0098282D" w:rsidP="006C0F84">
            <w:pPr>
              <w:spacing w:before="24" w:after="0" w:line="240" w:lineRule="auto"/>
              <w:jc w:val="right"/>
              <w:rPr>
                <w:rFonts w:ascii="Arial" w:hAnsi="Arial" w:cs="Arial"/>
                <w:b/>
                <w:bCs/>
                <w:sz w:val="16"/>
                <w:szCs w:val="16"/>
              </w:rPr>
            </w:pPr>
            <w:r w:rsidRPr="0098282D">
              <w:rPr>
                <w:rFonts w:ascii="Arial" w:hAnsi="Arial" w:cs="Arial"/>
                <w:b/>
                <w:bCs/>
                <w:sz w:val="16"/>
                <w:szCs w:val="16"/>
              </w:rPr>
              <w:t>Additional</w:t>
            </w:r>
            <w:r w:rsidRPr="0098282D">
              <w:rPr>
                <w:rFonts w:ascii="Arial" w:hAnsi="Arial" w:cs="Arial"/>
                <w:b/>
                <w:bCs/>
                <w:sz w:val="16"/>
                <w:szCs w:val="16"/>
              </w:rPr>
              <w:br/>
              <w:t>Estimates</w:t>
            </w:r>
            <w:r w:rsidRPr="0098282D">
              <w:rPr>
                <w:rFonts w:ascii="Arial" w:hAnsi="Arial" w:cs="Arial"/>
                <w:b/>
                <w:bCs/>
                <w:sz w:val="16"/>
                <w:szCs w:val="16"/>
              </w:rPr>
              <w:br/>
            </w:r>
            <w:r w:rsidRPr="0098282D">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tcMar>
              <w:left w:w="0" w:type="dxa"/>
            </w:tcMar>
            <w:hideMark/>
          </w:tcPr>
          <w:p w14:paraId="5D563857" w14:textId="77777777" w:rsidR="0098282D" w:rsidRPr="0098282D" w:rsidRDefault="0098282D" w:rsidP="006C0F84">
            <w:pPr>
              <w:spacing w:before="24" w:after="0" w:line="240" w:lineRule="auto"/>
              <w:jc w:val="right"/>
              <w:rPr>
                <w:rFonts w:ascii="Arial" w:hAnsi="Arial" w:cs="Arial"/>
                <w:b/>
                <w:bCs/>
                <w:sz w:val="16"/>
                <w:szCs w:val="16"/>
              </w:rPr>
            </w:pPr>
            <w:r w:rsidRPr="0098282D">
              <w:rPr>
                <w:rFonts w:ascii="Arial" w:hAnsi="Arial" w:cs="Arial"/>
                <w:b/>
                <w:bCs/>
                <w:sz w:val="16"/>
                <w:szCs w:val="16"/>
              </w:rPr>
              <w:t>Reduced</w:t>
            </w:r>
            <w:r w:rsidRPr="0098282D">
              <w:rPr>
                <w:rFonts w:ascii="Arial" w:hAnsi="Arial" w:cs="Arial"/>
                <w:b/>
                <w:bCs/>
                <w:sz w:val="16"/>
                <w:szCs w:val="16"/>
              </w:rPr>
              <w:br/>
              <w:t>Estimates</w:t>
            </w:r>
            <w:r w:rsidRPr="0098282D">
              <w:rPr>
                <w:rFonts w:ascii="Arial" w:hAnsi="Arial" w:cs="Arial"/>
                <w:b/>
                <w:bCs/>
                <w:sz w:val="16"/>
                <w:szCs w:val="16"/>
              </w:rPr>
              <w:br/>
            </w:r>
            <w:r w:rsidRPr="0098282D">
              <w:rPr>
                <w:rFonts w:ascii="Arial" w:hAnsi="Arial" w:cs="Arial"/>
                <w:sz w:val="16"/>
                <w:szCs w:val="16"/>
              </w:rPr>
              <w:t>$'000</w:t>
            </w:r>
          </w:p>
        </w:tc>
      </w:tr>
      <w:tr w:rsidR="0098282D" w:rsidRPr="0098282D" w14:paraId="5D1CF8AF" w14:textId="77777777" w:rsidTr="00645D79">
        <w:trPr>
          <w:trHeight w:val="227"/>
          <w:jc w:val="center"/>
        </w:trPr>
        <w:tc>
          <w:tcPr>
            <w:tcW w:w="2977" w:type="dxa"/>
            <w:tcBorders>
              <w:top w:val="nil"/>
              <w:left w:val="nil"/>
              <w:bottom w:val="nil"/>
              <w:right w:val="nil"/>
            </w:tcBorders>
            <w:shd w:val="clear" w:color="auto" w:fill="auto"/>
            <w:noWrap/>
            <w:vAlign w:val="bottom"/>
            <w:hideMark/>
          </w:tcPr>
          <w:p w14:paraId="05E4D7B3" w14:textId="77777777" w:rsidR="0098282D" w:rsidRPr="0098282D" w:rsidRDefault="0098282D" w:rsidP="0098282D">
            <w:pPr>
              <w:spacing w:before="0" w:after="0" w:line="240" w:lineRule="auto"/>
              <w:rPr>
                <w:rFonts w:ascii="Arial" w:hAnsi="Arial" w:cs="Arial"/>
                <w:b/>
                <w:bCs/>
                <w:sz w:val="16"/>
                <w:szCs w:val="16"/>
              </w:rPr>
            </w:pPr>
            <w:r w:rsidRPr="0098282D">
              <w:rPr>
                <w:rFonts w:ascii="Arial" w:hAnsi="Arial" w:cs="Arial"/>
                <w:b/>
                <w:bCs/>
                <w:sz w:val="16"/>
                <w:szCs w:val="16"/>
              </w:rPr>
              <w:t xml:space="preserve">Departmental </w:t>
            </w:r>
          </w:p>
        </w:tc>
        <w:tc>
          <w:tcPr>
            <w:tcW w:w="1063" w:type="dxa"/>
            <w:tcBorders>
              <w:top w:val="nil"/>
              <w:left w:val="nil"/>
              <w:bottom w:val="nil"/>
              <w:right w:val="nil"/>
            </w:tcBorders>
            <w:shd w:val="clear" w:color="auto" w:fill="auto"/>
            <w:noWrap/>
            <w:vAlign w:val="bottom"/>
            <w:hideMark/>
          </w:tcPr>
          <w:p w14:paraId="373397B0" w14:textId="77777777" w:rsidR="0098282D" w:rsidRPr="0098282D" w:rsidRDefault="0098282D" w:rsidP="0098282D">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14F147A" w14:textId="77777777" w:rsidR="0098282D" w:rsidRPr="0098282D" w:rsidRDefault="0098282D" w:rsidP="0098282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1D1687B" w14:textId="77777777" w:rsidR="0098282D" w:rsidRPr="0098282D" w:rsidRDefault="0098282D" w:rsidP="0098282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000000" w:fill="D9D9D9"/>
            <w:noWrap/>
            <w:vAlign w:val="bottom"/>
            <w:hideMark/>
          </w:tcPr>
          <w:p w14:paraId="39A2208F"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BC7DAAE" w14:textId="77777777" w:rsidR="0098282D" w:rsidRPr="0098282D" w:rsidRDefault="0098282D" w:rsidP="0098282D">
            <w:pPr>
              <w:spacing w:before="0" w:after="0" w:line="240" w:lineRule="auto"/>
              <w:jc w:val="right"/>
              <w:rPr>
                <w:rFonts w:ascii="Arial" w:hAnsi="Arial" w:cs="Arial"/>
                <w:sz w:val="16"/>
                <w:szCs w:val="16"/>
              </w:rPr>
            </w:pPr>
          </w:p>
        </w:tc>
      </w:tr>
      <w:tr w:rsidR="0098282D" w:rsidRPr="0098282D" w14:paraId="79815C23" w14:textId="77777777" w:rsidTr="00645D79">
        <w:trPr>
          <w:trHeight w:val="283"/>
          <w:jc w:val="center"/>
        </w:trPr>
        <w:tc>
          <w:tcPr>
            <w:tcW w:w="2977" w:type="dxa"/>
            <w:tcBorders>
              <w:top w:val="nil"/>
              <w:left w:val="nil"/>
              <w:bottom w:val="nil"/>
              <w:right w:val="nil"/>
            </w:tcBorders>
            <w:shd w:val="clear" w:color="auto" w:fill="auto"/>
            <w:noWrap/>
            <w:vAlign w:val="bottom"/>
            <w:hideMark/>
          </w:tcPr>
          <w:p w14:paraId="3B7D499C" w14:textId="77777777" w:rsidR="0098282D" w:rsidRPr="0098282D" w:rsidRDefault="0098282D" w:rsidP="0098282D">
            <w:pPr>
              <w:spacing w:before="0" w:after="0" w:line="240" w:lineRule="auto"/>
              <w:ind w:leftChars="75" w:left="143"/>
              <w:rPr>
                <w:rFonts w:ascii="Arial" w:hAnsi="Arial" w:cs="Arial"/>
                <w:b/>
                <w:bCs/>
                <w:sz w:val="16"/>
                <w:szCs w:val="16"/>
              </w:rPr>
            </w:pPr>
            <w:r w:rsidRPr="0098282D">
              <w:rPr>
                <w:rFonts w:ascii="Arial" w:hAnsi="Arial" w:cs="Arial"/>
                <w:b/>
                <w:bCs/>
                <w:sz w:val="16"/>
                <w:szCs w:val="16"/>
              </w:rPr>
              <w:t>Outcome 1</w:t>
            </w:r>
          </w:p>
        </w:tc>
        <w:tc>
          <w:tcPr>
            <w:tcW w:w="1063" w:type="dxa"/>
            <w:tcBorders>
              <w:top w:val="nil"/>
              <w:left w:val="nil"/>
              <w:bottom w:val="nil"/>
              <w:right w:val="nil"/>
            </w:tcBorders>
            <w:shd w:val="clear" w:color="auto" w:fill="auto"/>
            <w:noWrap/>
            <w:vAlign w:val="bottom"/>
            <w:hideMark/>
          </w:tcPr>
          <w:p w14:paraId="507DBF10" w14:textId="77777777" w:rsidR="0098282D" w:rsidRPr="0098282D" w:rsidRDefault="0098282D" w:rsidP="0098282D">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0317970B" w14:textId="77777777" w:rsidR="0098282D" w:rsidRPr="0098282D" w:rsidRDefault="0098282D" w:rsidP="0098282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B0A2663" w14:textId="77777777" w:rsidR="0098282D" w:rsidRPr="0098282D" w:rsidRDefault="0098282D" w:rsidP="0098282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000000" w:fill="D9D9D9"/>
            <w:noWrap/>
            <w:vAlign w:val="bottom"/>
            <w:hideMark/>
          </w:tcPr>
          <w:p w14:paraId="0F6F6FF3"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41266870" w14:textId="77777777" w:rsidR="0098282D" w:rsidRPr="0098282D" w:rsidRDefault="0098282D" w:rsidP="0098282D">
            <w:pPr>
              <w:spacing w:before="0" w:after="0" w:line="240" w:lineRule="auto"/>
              <w:jc w:val="right"/>
              <w:rPr>
                <w:rFonts w:ascii="Arial" w:hAnsi="Arial" w:cs="Arial"/>
                <w:sz w:val="16"/>
                <w:szCs w:val="16"/>
              </w:rPr>
            </w:pPr>
          </w:p>
        </w:tc>
      </w:tr>
      <w:tr w:rsidR="0098282D" w:rsidRPr="0098282D" w14:paraId="4C261335" w14:textId="77777777" w:rsidTr="00645D79">
        <w:trPr>
          <w:trHeight w:val="624"/>
          <w:jc w:val="center"/>
        </w:trPr>
        <w:tc>
          <w:tcPr>
            <w:tcW w:w="2977" w:type="dxa"/>
            <w:tcBorders>
              <w:top w:val="nil"/>
              <w:left w:val="nil"/>
              <w:bottom w:val="nil"/>
              <w:right w:val="nil"/>
            </w:tcBorders>
            <w:shd w:val="clear" w:color="auto" w:fill="auto"/>
            <w:hideMark/>
          </w:tcPr>
          <w:p w14:paraId="72B8A78B" w14:textId="77777777" w:rsidR="0098282D" w:rsidRPr="0098282D" w:rsidRDefault="0098282D" w:rsidP="0098282D">
            <w:pPr>
              <w:spacing w:before="0" w:after="0" w:line="240" w:lineRule="auto"/>
              <w:ind w:leftChars="150" w:left="285"/>
              <w:rPr>
                <w:rFonts w:ascii="Arial" w:hAnsi="Arial" w:cs="Arial"/>
                <w:sz w:val="16"/>
                <w:szCs w:val="16"/>
              </w:rPr>
            </w:pPr>
            <w:r w:rsidRPr="0098282D">
              <w:rPr>
                <w:rFonts w:ascii="Arial" w:hAnsi="Arial" w:cs="Arial"/>
                <w:sz w:val="16"/>
                <w:szCs w:val="16"/>
              </w:rPr>
              <w:t xml:space="preserve">A robust evidence-base for the health, </w:t>
            </w:r>
            <w:proofErr w:type="gramStart"/>
            <w:r w:rsidRPr="0098282D">
              <w:rPr>
                <w:rFonts w:ascii="Arial" w:hAnsi="Arial" w:cs="Arial"/>
                <w:sz w:val="16"/>
                <w:szCs w:val="16"/>
              </w:rPr>
              <w:t>housing</w:t>
            </w:r>
            <w:proofErr w:type="gramEnd"/>
            <w:r w:rsidRPr="0098282D">
              <w:rPr>
                <w:rFonts w:ascii="Arial" w:hAnsi="Arial" w:cs="Arial"/>
                <w:sz w:val="16"/>
                <w:szCs w:val="16"/>
              </w:rPr>
              <w:t xml:space="preserve"> and community sectors, including through</w:t>
            </w:r>
            <w:r w:rsidRPr="0098282D">
              <w:rPr>
                <w:rFonts w:ascii="Arial" w:hAnsi="Arial" w:cs="Arial"/>
                <w:sz w:val="16"/>
                <w:szCs w:val="16"/>
              </w:rPr>
              <w:br/>
              <w:t>developing and disseminating comparable health and welfare information and statistics</w:t>
            </w:r>
          </w:p>
        </w:tc>
        <w:tc>
          <w:tcPr>
            <w:tcW w:w="1063" w:type="dxa"/>
            <w:tcBorders>
              <w:top w:val="nil"/>
              <w:left w:val="nil"/>
              <w:bottom w:val="single" w:sz="4" w:space="0" w:color="auto"/>
              <w:right w:val="nil"/>
            </w:tcBorders>
            <w:shd w:val="clear" w:color="auto" w:fill="auto"/>
            <w:noWrap/>
            <w:vAlign w:val="bottom"/>
            <w:hideMark/>
          </w:tcPr>
          <w:p w14:paraId="31007104"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34,846 </w:t>
            </w:r>
          </w:p>
        </w:tc>
        <w:tc>
          <w:tcPr>
            <w:tcW w:w="960" w:type="dxa"/>
            <w:tcBorders>
              <w:top w:val="nil"/>
              <w:left w:val="nil"/>
              <w:bottom w:val="single" w:sz="4" w:space="0" w:color="auto"/>
              <w:right w:val="nil"/>
            </w:tcBorders>
            <w:shd w:val="clear" w:color="auto" w:fill="auto"/>
            <w:noWrap/>
            <w:vAlign w:val="bottom"/>
            <w:hideMark/>
          </w:tcPr>
          <w:p w14:paraId="78FC611E"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35,444 </w:t>
            </w:r>
          </w:p>
        </w:tc>
        <w:tc>
          <w:tcPr>
            <w:tcW w:w="960" w:type="dxa"/>
            <w:tcBorders>
              <w:top w:val="nil"/>
              <w:left w:val="nil"/>
              <w:bottom w:val="single" w:sz="4" w:space="0" w:color="auto"/>
              <w:right w:val="nil"/>
            </w:tcBorders>
            <w:shd w:val="clear" w:color="auto" w:fill="auto"/>
            <w:noWrap/>
            <w:vAlign w:val="bottom"/>
            <w:hideMark/>
          </w:tcPr>
          <w:p w14:paraId="0526C4B9"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35,544 </w:t>
            </w:r>
          </w:p>
        </w:tc>
        <w:tc>
          <w:tcPr>
            <w:tcW w:w="960" w:type="dxa"/>
            <w:tcBorders>
              <w:top w:val="nil"/>
              <w:left w:val="nil"/>
              <w:bottom w:val="single" w:sz="4" w:space="0" w:color="auto"/>
              <w:right w:val="nil"/>
            </w:tcBorders>
            <w:shd w:val="clear" w:color="000000" w:fill="D9D9D9"/>
            <w:noWrap/>
            <w:vAlign w:val="bottom"/>
            <w:hideMark/>
          </w:tcPr>
          <w:p w14:paraId="3B559465"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100 </w:t>
            </w:r>
          </w:p>
        </w:tc>
        <w:tc>
          <w:tcPr>
            <w:tcW w:w="960" w:type="dxa"/>
            <w:tcBorders>
              <w:top w:val="nil"/>
              <w:left w:val="nil"/>
              <w:bottom w:val="single" w:sz="4" w:space="0" w:color="auto"/>
              <w:right w:val="nil"/>
            </w:tcBorders>
            <w:shd w:val="clear" w:color="auto" w:fill="auto"/>
            <w:noWrap/>
            <w:vAlign w:val="bottom"/>
            <w:hideMark/>
          </w:tcPr>
          <w:p w14:paraId="5D2AC074" w14:textId="77777777" w:rsidR="0098282D" w:rsidRPr="0098282D" w:rsidRDefault="0098282D" w:rsidP="0098282D">
            <w:pPr>
              <w:spacing w:before="0" w:after="0" w:line="240" w:lineRule="auto"/>
              <w:jc w:val="right"/>
              <w:rPr>
                <w:rFonts w:ascii="Arial" w:hAnsi="Arial" w:cs="Arial"/>
                <w:sz w:val="16"/>
                <w:szCs w:val="16"/>
              </w:rPr>
            </w:pPr>
            <w:r w:rsidRPr="0098282D">
              <w:rPr>
                <w:rFonts w:ascii="Arial" w:hAnsi="Arial" w:cs="Arial"/>
                <w:sz w:val="16"/>
                <w:szCs w:val="16"/>
              </w:rPr>
              <w:t xml:space="preserve">- </w:t>
            </w:r>
          </w:p>
        </w:tc>
      </w:tr>
      <w:tr w:rsidR="0098282D" w:rsidRPr="0098282D" w14:paraId="4A795F4F" w14:textId="77777777" w:rsidTr="00645D79">
        <w:trPr>
          <w:trHeight w:val="454"/>
          <w:jc w:val="center"/>
        </w:trPr>
        <w:tc>
          <w:tcPr>
            <w:tcW w:w="2977" w:type="dxa"/>
            <w:tcBorders>
              <w:top w:val="nil"/>
              <w:left w:val="nil"/>
              <w:bottom w:val="single" w:sz="4" w:space="0" w:color="auto"/>
              <w:right w:val="nil"/>
            </w:tcBorders>
            <w:shd w:val="clear" w:color="auto" w:fill="auto"/>
            <w:vAlign w:val="bottom"/>
            <w:hideMark/>
          </w:tcPr>
          <w:p w14:paraId="6BBBB5C3" w14:textId="77777777" w:rsidR="0098282D" w:rsidRPr="0098282D" w:rsidRDefault="0098282D" w:rsidP="0098282D">
            <w:pPr>
              <w:spacing w:before="0" w:after="0" w:line="240" w:lineRule="auto"/>
              <w:rPr>
                <w:rFonts w:ascii="Arial" w:hAnsi="Arial" w:cs="Arial"/>
                <w:b/>
                <w:bCs/>
                <w:sz w:val="16"/>
                <w:szCs w:val="16"/>
              </w:rPr>
            </w:pPr>
            <w:r w:rsidRPr="0098282D">
              <w:rPr>
                <w:rFonts w:ascii="Arial" w:hAnsi="Arial" w:cs="Arial"/>
                <w:b/>
                <w:bCs/>
                <w:sz w:val="16"/>
                <w:szCs w:val="16"/>
              </w:rPr>
              <w:t>Total Appropriation Bill (No. 3) departmental</w:t>
            </w:r>
          </w:p>
        </w:tc>
        <w:tc>
          <w:tcPr>
            <w:tcW w:w="1063" w:type="dxa"/>
            <w:tcBorders>
              <w:top w:val="nil"/>
              <w:left w:val="nil"/>
              <w:bottom w:val="single" w:sz="4" w:space="0" w:color="auto"/>
              <w:right w:val="nil"/>
            </w:tcBorders>
            <w:shd w:val="clear" w:color="auto" w:fill="auto"/>
            <w:noWrap/>
            <w:vAlign w:val="bottom"/>
            <w:hideMark/>
          </w:tcPr>
          <w:p w14:paraId="1B38EE0E"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34,846 </w:t>
            </w:r>
          </w:p>
        </w:tc>
        <w:tc>
          <w:tcPr>
            <w:tcW w:w="960" w:type="dxa"/>
            <w:tcBorders>
              <w:top w:val="nil"/>
              <w:left w:val="nil"/>
              <w:bottom w:val="single" w:sz="4" w:space="0" w:color="auto"/>
              <w:right w:val="nil"/>
            </w:tcBorders>
            <w:shd w:val="clear" w:color="auto" w:fill="auto"/>
            <w:noWrap/>
            <w:vAlign w:val="bottom"/>
            <w:hideMark/>
          </w:tcPr>
          <w:p w14:paraId="72115E6F"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35,444 </w:t>
            </w:r>
          </w:p>
        </w:tc>
        <w:tc>
          <w:tcPr>
            <w:tcW w:w="960" w:type="dxa"/>
            <w:tcBorders>
              <w:top w:val="nil"/>
              <w:left w:val="nil"/>
              <w:bottom w:val="single" w:sz="4" w:space="0" w:color="auto"/>
              <w:right w:val="nil"/>
            </w:tcBorders>
            <w:shd w:val="clear" w:color="auto" w:fill="auto"/>
            <w:noWrap/>
            <w:vAlign w:val="bottom"/>
            <w:hideMark/>
          </w:tcPr>
          <w:p w14:paraId="1F60AFE1"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35,544 </w:t>
            </w:r>
          </w:p>
        </w:tc>
        <w:tc>
          <w:tcPr>
            <w:tcW w:w="960" w:type="dxa"/>
            <w:tcBorders>
              <w:top w:val="nil"/>
              <w:left w:val="nil"/>
              <w:bottom w:val="single" w:sz="4" w:space="0" w:color="auto"/>
              <w:right w:val="nil"/>
            </w:tcBorders>
            <w:shd w:val="clear" w:color="000000" w:fill="D9D9D9"/>
            <w:noWrap/>
            <w:vAlign w:val="bottom"/>
            <w:hideMark/>
          </w:tcPr>
          <w:p w14:paraId="5B47FF69"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100 </w:t>
            </w:r>
          </w:p>
        </w:tc>
        <w:tc>
          <w:tcPr>
            <w:tcW w:w="960" w:type="dxa"/>
            <w:tcBorders>
              <w:top w:val="nil"/>
              <w:left w:val="nil"/>
              <w:bottom w:val="single" w:sz="4" w:space="0" w:color="auto"/>
              <w:right w:val="nil"/>
            </w:tcBorders>
            <w:shd w:val="clear" w:color="auto" w:fill="auto"/>
            <w:noWrap/>
            <w:vAlign w:val="bottom"/>
            <w:hideMark/>
          </w:tcPr>
          <w:p w14:paraId="741E5395" w14:textId="77777777" w:rsidR="0098282D" w:rsidRPr="0098282D" w:rsidRDefault="0098282D" w:rsidP="0098282D">
            <w:pPr>
              <w:spacing w:before="0" w:after="0" w:line="240" w:lineRule="auto"/>
              <w:jc w:val="right"/>
              <w:rPr>
                <w:rFonts w:ascii="Arial" w:hAnsi="Arial" w:cs="Arial"/>
                <w:b/>
                <w:bCs/>
                <w:sz w:val="16"/>
                <w:szCs w:val="16"/>
              </w:rPr>
            </w:pPr>
            <w:r w:rsidRPr="0098282D">
              <w:rPr>
                <w:rFonts w:ascii="Arial" w:hAnsi="Arial" w:cs="Arial"/>
                <w:b/>
                <w:bCs/>
                <w:sz w:val="16"/>
                <w:szCs w:val="16"/>
              </w:rPr>
              <w:t xml:space="preserve">- </w:t>
            </w:r>
          </w:p>
        </w:tc>
      </w:tr>
    </w:tbl>
    <w:p w14:paraId="13699164" w14:textId="77777777" w:rsidR="00FE36D9" w:rsidRPr="003D5790" w:rsidRDefault="00FE36D9" w:rsidP="00FE36D9">
      <w:pPr>
        <w:pStyle w:val="FootnoteText"/>
        <w:spacing w:before="120"/>
        <w:rPr>
          <w:szCs w:val="16"/>
        </w:rPr>
      </w:pPr>
      <w:r w:rsidRPr="003D5790">
        <w:rPr>
          <w:szCs w:val="16"/>
          <w:vertAlign w:val="superscript"/>
        </w:rPr>
        <w:t>(a)</w:t>
      </w:r>
      <w:r w:rsidRPr="003D5790">
        <w:rPr>
          <w:szCs w:val="16"/>
        </w:rPr>
        <w:tab/>
        <w:t xml:space="preserve">2022–23 available appropriation is included to allow a comparison of this year's appropriation with what was made available for use in the previous year. Available appropriation is the amount available to be drawn </w:t>
      </w:r>
      <w:proofErr w:type="gramStart"/>
      <w:r w:rsidRPr="003D5790">
        <w:rPr>
          <w:szCs w:val="16"/>
        </w:rPr>
        <w:t>down, and</w:t>
      </w:r>
      <w:proofErr w:type="gramEnd"/>
      <w:r w:rsidRPr="003D5790">
        <w:rPr>
          <w:szCs w:val="16"/>
        </w:rPr>
        <w:t xml:space="preserve"> is equal to: Budget Appropriation + Additional Estimates Appropriation + Advance to the Finance Minister - section 51 withholdings - administrative quarantines +/- Machinery of Government transfers.</w:t>
      </w:r>
    </w:p>
    <w:p w14:paraId="2A3A7F00" w14:textId="77777777" w:rsidR="00275707" w:rsidRDefault="00275707" w:rsidP="00275707">
      <w:pPr>
        <w:pStyle w:val="TableGraphic"/>
      </w:pPr>
    </w:p>
    <w:p w14:paraId="6D96AE9B" w14:textId="46C41107" w:rsidR="00275707" w:rsidRPr="0014549F" w:rsidRDefault="00275707" w:rsidP="0014549F">
      <w:pPr>
        <w:spacing w:after="0" w:line="240" w:lineRule="auto"/>
        <w:rPr>
          <w:rFonts w:ascii="Arial" w:hAnsi="Arial"/>
          <w:b/>
          <w:sz w:val="20"/>
        </w:rPr>
      </w:pPr>
      <w:r w:rsidRPr="0014549F">
        <w:rPr>
          <w:rFonts w:ascii="Arial" w:hAnsi="Arial"/>
          <w:b/>
          <w:sz w:val="20"/>
        </w:rPr>
        <w:t>Table 1.5: Appropriation Bill (No. 4) 2023–2024</w:t>
      </w:r>
    </w:p>
    <w:p w14:paraId="48B561AD" w14:textId="5185448D" w:rsidR="00275707" w:rsidRPr="00162254" w:rsidRDefault="00275707" w:rsidP="0014549F">
      <w:pPr>
        <w:pStyle w:val="TableGraphic"/>
        <w:spacing w:before="240"/>
        <w:rPr>
          <w:sz w:val="20"/>
          <w:lang w:val="x-none"/>
        </w:rPr>
      </w:pPr>
      <w:r w:rsidRPr="00162254">
        <w:rPr>
          <w:sz w:val="20"/>
        </w:rPr>
        <w:t xml:space="preserve">This table is not </w:t>
      </w:r>
      <w:r w:rsidR="0014549F">
        <w:rPr>
          <w:sz w:val="20"/>
        </w:rPr>
        <w:t>applicable to the AIHW in 2023–</w:t>
      </w:r>
      <w:r w:rsidRPr="00162254">
        <w:rPr>
          <w:sz w:val="20"/>
        </w:rPr>
        <w:t>24.</w:t>
      </w:r>
    </w:p>
    <w:p w14:paraId="7170FCF1" w14:textId="77777777" w:rsidR="00275707" w:rsidRPr="00D913F9" w:rsidRDefault="00275707" w:rsidP="00275707">
      <w:pPr>
        <w:pStyle w:val="TableGraphic"/>
      </w:pPr>
    </w:p>
    <w:p w14:paraId="16A49440" w14:textId="77777777" w:rsidR="00275707" w:rsidRDefault="00275707" w:rsidP="00275707">
      <w:pPr>
        <w:pStyle w:val="TableGraphic"/>
      </w:pPr>
    </w:p>
    <w:p w14:paraId="7B4B73A1" w14:textId="77777777" w:rsidR="0014549F" w:rsidRDefault="0014549F">
      <w:pPr>
        <w:spacing w:before="0" w:after="0" w:line="240" w:lineRule="auto"/>
        <w:rPr>
          <w:rFonts w:ascii="Arial" w:hAnsi="Arial"/>
          <w:b/>
          <w:sz w:val="30"/>
          <w:highlight w:val="yellow"/>
        </w:rPr>
      </w:pPr>
      <w:r>
        <w:rPr>
          <w:highlight w:val="yellow"/>
        </w:rPr>
        <w:br w:type="page"/>
      </w:r>
    </w:p>
    <w:p w14:paraId="2C0E1C96" w14:textId="4BCD15D3" w:rsidR="00275707" w:rsidRPr="0014549F" w:rsidRDefault="00D91D52" w:rsidP="0014549F">
      <w:pPr>
        <w:pStyle w:val="Heading2-TOC"/>
      </w:pPr>
      <w:r>
        <w:fldChar w:fldCharType="begin"/>
      </w:r>
      <w:r>
        <w:instrText xml:space="preserve"> </w:instrText>
      </w:r>
      <w:proofErr w:type="gramStart"/>
      <w:r>
        <w:instrText>TC  "</w:instrText>
      </w:r>
      <w:bookmarkStart w:id="470" w:name="_Toc157240276"/>
      <w:bookmarkStart w:id="471" w:name="_Toc157421338"/>
      <w:bookmarkStart w:id="472" w:name="_Toc157596662"/>
      <w:proofErr w:type="gramEnd"/>
      <w:r>
        <w:instrText>Section 2: Revisions to outcomes and planned performance</w:instrText>
      </w:r>
      <w:bookmarkEnd w:id="470"/>
      <w:bookmarkEnd w:id="471"/>
      <w:bookmarkEnd w:id="472"/>
      <w:r>
        <w:instrText xml:space="preserve">" \f </w:instrText>
      </w:r>
      <w:proofErr w:type="spellStart"/>
      <w:r>
        <w:instrText>aihw</w:instrText>
      </w:r>
      <w:proofErr w:type="spellEnd"/>
      <w:r>
        <w:instrText xml:space="preserve"> \l 1 </w:instrText>
      </w:r>
      <w:r>
        <w:fldChar w:fldCharType="end"/>
      </w:r>
      <w:bookmarkStart w:id="473" w:name="_Toc157592019"/>
      <w:bookmarkStart w:id="474" w:name="_Toc157592202"/>
      <w:r w:rsidR="00275707" w:rsidRPr="0014549F">
        <w:t>Section 2: Revisions to outcomes and planned performance</w:t>
      </w:r>
      <w:bookmarkEnd w:id="473"/>
      <w:bookmarkEnd w:id="474"/>
    </w:p>
    <w:p w14:paraId="6F7864E9" w14:textId="6C53F9BF" w:rsidR="00275707" w:rsidRPr="005E6F2B" w:rsidRDefault="00D91D52" w:rsidP="0014549F">
      <w:pPr>
        <w:pStyle w:val="Heading3"/>
        <w:spacing w:after="240"/>
      </w:pPr>
      <w:r>
        <w:fldChar w:fldCharType="begin"/>
      </w:r>
      <w:r>
        <w:instrText xml:space="preserve"> </w:instrText>
      </w:r>
      <w:proofErr w:type="gramStart"/>
      <w:r>
        <w:instrText>TC  "</w:instrText>
      </w:r>
      <w:bookmarkStart w:id="475" w:name="_Toc157240277"/>
      <w:bookmarkStart w:id="476" w:name="_Toc157421339"/>
      <w:bookmarkStart w:id="477" w:name="_Toc157596663"/>
      <w:proofErr w:type="gramEnd"/>
      <w:r>
        <w:instrText>2.1</w:instrText>
      </w:r>
      <w:r>
        <w:tab/>
        <w:instrText>Budgeted expenses and performance for Outcome 1</w:instrText>
      </w:r>
      <w:bookmarkEnd w:id="475"/>
      <w:bookmarkEnd w:id="476"/>
      <w:bookmarkEnd w:id="477"/>
      <w:r>
        <w:instrText xml:space="preserve">" \f </w:instrText>
      </w:r>
      <w:proofErr w:type="spellStart"/>
      <w:r>
        <w:instrText>aihw</w:instrText>
      </w:r>
      <w:proofErr w:type="spellEnd"/>
      <w:r>
        <w:instrText xml:space="preserve"> \l 2 </w:instrText>
      </w:r>
      <w:r>
        <w:fldChar w:fldCharType="end"/>
      </w:r>
      <w:bookmarkStart w:id="478" w:name="_Toc157592020"/>
      <w:bookmarkStart w:id="479" w:name="_Toc157592203"/>
      <w:r w:rsidR="00275707">
        <w:t>2</w:t>
      </w:r>
      <w:r w:rsidR="0014549F">
        <w:t>.1</w:t>
      </w:r>
      <w:r w:rsidR="00275707">
        <w:tab/>
        <w:t>Budgeted expens</w:t>
      </w:r>
      <w:r w:rsidR="0014549F">
        <w:t>es and performance for Outcome 1</w:t>
      </w:r>
      <w:bookmarkEnd w:id="478"/>
      <w:bookmarkEnd w:id="47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275707" w:rsidRPr="005E6F2B" w14:paraId="1A950933" w14:textId="77777777" w:rsidTr="00603F85">
        <w:tc>
          <w:tcPr>
            <w:tcW w:w="7713" w:type="dxa"/>
            <w:shd w:val="clear" w:color="auto" w:fill="E6E6E6"/>
          </w:tcPr>
          <w:p w14:paraId="78C43793" w14:textId="7DA829D7" w:rsidR="00275707" w:rsidRPr="005E6F2B" w:rsidRDefault="00275707" w:rsidP="0014549F">
            <w:pPr>
              <w:pStyle w:val="TableColumnHeadingLeft"/>
              <w:spacing w:before="24" w:after="24"/>
            </w:pPr>
            <w:r w:rsidRPr="00F862B3">
              <w:rPr>
                <w:sz w:val="20"/>
              </w:rPr>
              <w:t>O</w:t>
            </w:r>
            <w:r w:rsidR="0014549F">
              <w:rPr>
                <w:sz w:val="20"/>
              </w:rPr>
              <w:t>utcome 1</w:t>
            </w:r>
            <w:r w:rsidRPr="00F862B3">
              <w:rPr>
                <w:sz w:val="20"/>
              </w:rPr>
              <w:t xml:space="preserve">: </w:t>
            </w:r>
            <w:r w:rsidR="0014549F" w:rsidRPr="0014549F">
              <w:rPr>
                <w:rFonts w:ascii="Arial" w:hAnsi="Arial" w:cs="Arial"/>
                <w:b w:val="0"/>
                <w:sz w:val="20"/>
              </w:rPr>
              <w:t xml:space="preserve">A robust evidence-base for the health, </w:t>
            </w:r>
            <w:proofErr w:type="gramStart"/>
            <w:r w:rsidR="0014549F" w:rsidRPr="0014549F">
              <w:rPr>
                <w:rFonts w:ascii="Arial" w:hAnsi="Arial" w:cs="Arial"/>
                <w:b w:val="0"/>
                <w:sz w:val="20"/>
              </w:rPr>
              <w:t>housing</w:t>
            </w:r>
            <w:proofErr w:type="gramEnd"/>
            <w:r w:rsidR="0014549F" w:rsidRPr="0014549F">
              <w:rPr>
                <w:rFonts w:ascii="Arial" w:hAnsi="Arial" w:cs="Arial"/>
                <w:b w:val="0"/>
                <w:sz w:val="20"/>
              </w:rPr>
              <w:t xml:space="preserve"> and community sectors, including through</w:t>
            </w:r>
            <w:r w:rsidR="0014549F">
              <w:rPr>
                <w:rFonts w:ascii="Arial" w:hAnsi="Arial" w:cs="Arial"/>
                <w:b w:val="0"/>
                <w:sz w:val="20"/>
              </w:rPr>
              <w:t xml:space="preserve"> </w:t>
            </w:r>
            <w:r w:rsidR="0014549F" w:rsidRPr="0014549F">
              <w:rPr>
                <w:rFonts w:ascii="Arial" w:hAnsi="Arial" w:cs="Arial"/>
                <w:b w:val="0"/>
                <w:sz w:val="20"/>
              </w:rPr>
              <w:t>developing and disseminating comparable health and welfare information and statistics.</w:t>
            </w:r>
          </w:p>
        </w:tc>
      </w:tr>
    </w:tbl>
    <w:p w14:paraId="628EBAAC" w14:textId="77777777" w:rsidR="00275707" w:rsidRPr="005E6F2B" w:rsidRDefault="00275707" w:rsidP="00275707">
      <w:pPr>
        <w:pStyle w:val="NoSpacing"/>
      </w:pPr>
    </w:p>
    <w:p w14:paraId="12548394" w14:textId="5E49A6BB" w:rsidR="00275707" w:rsidRPr="00B3169B" w:rsidRDefault="00275707" w:rsidP="00275707">
      <w:pPr>
        <w:pStyle w:val="Heading5"/>
        <w:rPr>
          <w:b/>
          <w:i w:val="0"/>
        </w:rPr>
      </w:pPr>
      <w:r w:rsidRPr="00B3169B">
        <w:rPr>
          <w:b/>
          <w:i w:val="0"/>
        </w:rPr>
        <w:t>Budgeted expenses fo</w:t>
      </w:r>
      <w:r w:rsidR="0014549F" w:rsidRPr="00B3169B">
        <w:rPr>
          <w:b/>
          <w:i w:val="0"/>
        </w:rPr>
        <w:t xml:space="preserve">r </w:t>
      </w:r>
      <w:r w:rsidR="002614F2">
        <w:rPr>
          <w:b/>
          <w:i w:val="0"/>
        </w:rPr>
        <w:t>Outcome 1</w:t>
      </w:r>
    </w:p>
    <w:p w14:paraId="4F4874F2" w14:textId="77777777" w:rsidR="00275707" w:rsidRPr="00B3169B" w:rsidRDefault="00275707" w:rsidP="00275707">
      <w:pPr>
        <w:rPr>
          <w:sz w:val="20"/>
        </w:rPr>
      </w:pPr>
      <w:r w:rsidRPr="00B3169B">
        <w:rPr>
          <w:sz w:val="20"/>
        </w:rPr>
        <w:t>This table shows how much the entity intends to spend (on an accrual basis) on achieving the outcome, broken down by program, as well as by Administered and Departmental funding sources.</w:t>
      </w:r>
    </w:p>
    <w:p w14:paraId="29BB39E3" w14:textId="60369C2B" w:rsidR="00275707" w:rsidRDefault="00275707" w:rsidP="00275707">
      <w:pPr>
        <w:pStyle w:val="TableHeading"/>
      </w:pPr>
      <w:r w:rsidRPr="00D93D96">
        <w:t>Table 2.</w:t>
      </w:r>
      <w:r>
        <w:t>1.</w:t>
      </w:r>
      <w:r w:rsidRPr="00D93D96">
        <w:t>1 Budgeted expenses</w:t>
      </w:r>
      <w:r w:rsidR="00E96985">
        <w:t xml:space="preserve"> and resources</w:t>
      </w:r>
      <w:r>
        <w:t xml:space="preserve"> for</w:t>
      </w:r>
      <w:r w:rsidRPr="00D93D96">
        <w:t xml:space="preserve"> </w:t>
      </w:r>
      <w:r w:rsidR="002614F2">
        <w:t>Outcome 1</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2614F2" w:rsidRPr="002614F2" w14:paraId="7F4EDE64" w14:textId="77777777" w:rsidTr="002614F2">
        <w:trPr>
          <w:trHeight w:val="765"/>
          <w:jc w:val="center"/>
        </w:trPr>
        <w:tc>
          <w:tcPr>
            <w:tcW w:w="3080" w:type="dxa"/>
            <w:tcBorders>
              <w:top w:val="single" w:sz="4" w:space="0" w:color="auto"/>
              <w:left w:val="nil"/>
              <w:bottom w:val="nil"/>
              <w:right w:val="nil"/>
            </w:tcBorders>
            <w:shd w:val="clear" w:color="auto" w:fill="auto"/>
            <w:vAlign w:val="bottom"/>
            <w:hideMark/>
          </w:tcPr>
          <w:p w14:paraId="019CA17A" w14:textId="77777777" w:rsidR="002614F2" w:rsidRPr="002614F2" w:rsidRDefault="002614F2" w:rsidP="002614F2">
            <w:pPr>
              <w:spacing w:before="24"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70EB896D" w14:textId="6BC4DF6E" w:rsidR="002614F2" w:rsidRPr="002614F2" w:rsidRDefault="002614F2" w:rsidP="002614F2">
            <w:pPr>
              <w:spacing w:before="24" w:after="0" w:line="240" w:lineRule="auto"/>
              <w:jc w:val="right"/>
              <w:rPr>
                <w:rFonts w:ascii="Arial" w:hAnsi="Arial" w:cs="Arial"/>
                <w:b/>
                <w:bCs/>
                <w:sz w:val="16"/>
                <w:szCs w:val="16"/>
              </w:rPr>
            </w:pPr>
            <w:r>
              <w:rPr>
                <w:rFonts w:ascii="Arial" w:hAnsi="Arial" w:cs="Arial"/>
                <w:b/>
                <w:bCs/>
                <w:sz w:val="16"/>
                <w:szCs w:val="16"/>
              </w:rPr>
              <w:t>2022–</w:t>
            </w:r>
            <w:r w:rsidRPr="002614F2">
              <w:rPr>
                <w:rFonts w:ascii="Arial" w:hAnsi="Arial" w:cs="Arial"/>
                <w:b/>
                <w:bCs/>
                <w:sz w:val="16"/>
                <w:szCs w:val="16"/>
              </w:rPr>
              <w:t>23</w:t>
            </w:r>
            <w:r w:rsidRPr="002614F2">
              <w:rPr>
                <w:rFonts w:ascii="Arial" w:hAnsi="Arial" w:cs="Arial"/>
                <w:b/>
                <w:bCs/>
                <w:sz w:val="16"/>
                <w:szCs w:val="16"/>
              </w:rPr>
              <w:br/>
              <w:t>Actual</w:t>
            </w:r>
            <w:r w:rsidRPr="002614F2">
              <w:rPr>
                <w:rFonts w:ascii="Arial" w:hAnsi="Arial" w:cs="Arial"/>
                <w:b/>
                <w:bCs/>
                <w:sz w:val="16"/>
                <w:szCs w:val="16"/>
              </w:rPr>
              <w:br/>
            </w:r>
            <w:r w:rsidRPr="002614F2">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17041F13" w14:textId="55147CD0" w:rsidR="002614F2" w:rsidRPr="002614F2" w:rsidRDefault="002614F2" w:rsidP="002614F2">
            <w:pPr>
              <w:spacing w:before="24" w:after="0" w:line="240" w:lineRule="auto"/>
              <w:jc w:val="right"/>
              <w:rPr>
                <w:rFonts w:ascii="Arial" w:hAnsi="Arial" w:cs="Arial"/>
                <w:b/>
                <w:bCs/>
                <w:sz w:val="16"/>
                <w:szCs w:val="16"/>
              </w:rPr>
            </w:pPr>
            <w:r>
              <w:rPr>
                <w:rFonts w:ascii="Arial" w:hAnsi="Arial" w:cs="Arial"/>
                <w:b/>
                <w:bCs/>
                <w:sz w:val="16"/>
                <w:szCs w:val="16"/>
              </w:rPr>
              <w:t>2023–</w:t>
            </w:r>
            <w:r w:rsidRPr="002614F2">
              <w:rPr>
                <w:rFonts w:ascii="Arial" w:hAnsi="Arial" w:cs="Arial"/>
                <w:b/>
                <w:bCs/>
                <w:sz w:val="16"/>
                <w:szCs w:val="16"/>
              </w:rPr>
              <w:t>24</w:t>
            </w:r>
            <w:r w:rsidRPr="002614F2">
              <w:rPr>
                <w:rFonts w:ascii="Arial" w:hAnsi="Arial" w:cs="Arial"/>
                <w:b/>
                <w:bCs/>
                <w:sz w:val="16"/>
                <w:szCs w:val="16"/>
              </w:rPr>
              <w:br/>
              <w:t>Revised</w:t>
            </w:r>
            <w:r w:rsidRPr="002614F2">
              <w:rPr>
                <w:rFonts w:ascii="Arial" w:hAnsi="Arial" w:cs="Arial"/>
                <w:b/>
                <w:bCs/>
                <w:sz w:val="16"/>
                <w:szCs w:val="16"/>
              </w:rPr>
              <w:br/>
              <w:t>Budget</w:t>
            </w:r>
            <w:r w:rsidRPr="002614F2">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1428E051" w14:textId="6464ECE3" w:rsidR="002614F2" w:rsidRPr="002614F2" w:rsidRDefault="002614F2" w:rsidP="002614F2">
            <w:pPr>
              <w:spacing w:before="24" w:after="0" w:line="240" w:lineRule="auto"/>
              <w:jc w:val="right"/>
              <w:rPr>
                <w:rFonts w:ascii="Arial" w:hAnsi="Arial" w:cs="Arial"/>
                <w:b/>
                <w:bCs/>
                <w:sz w:val="16"/>
                <w:szCs w:val="16"/>
              </w:rPr>
            </w:pPr>
            <w:r>
              <w:rPr>
                <w:rFonts w:ascii="Arial" w:hAnsi="Arial" w:cs="Arial"/>
                <w:b/>
                <w:bCs/>
                <w:sz w:val="16"/>
                <w:szCs w:val="16"/>
              </w:rPr>
              <w:t>2024–</w:t>
            </w:r>
            <w:r w:rsidRPr="002614F2">
              <w:rPr>
                <w:rFonts w:ascii="Arial" w:hAnsi="Arial" w:cs="Arial"/>
                <w:b/>
                <w:bCs/>
                <w:sz w:val="16"/>
                <w:szCs w:val="16"/>
              </w:rPr>
              <w:t>25 Forward Estimate</w:t>
            </w:r>
            <w:r w:rsidRPr="002614F2">
              <w:rPr>
                <w:rFonts w:ascii="Arial" w:hAnsi="Arial" w:cs="Arial"/>
                <w:b/>
                <w:bCs/>
                <w:sz w:val="16"/>
                <w:szCs w:val="16"/>
              </w:rPr>
              <w:br/>
            </w:r>
            <w:r w:rsidRPr="002614F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7F3230AE" w14:textId="64CF2D13" w:rsidR="002614F2" w:rsidRPr="002614F2" w:rsidRDefault="002614F2" w:rsidP="002614F2">
            <w:pPr>
              <w:spacing w:before="24" w:after="0" w:line="240" w:lineRule="auto"/>
              <w:jc w:val="right"/>
              <w:rPr>
                <w:rFonts w:ascii="Arial" w:hAnsi="Arial" w:cs="Arial"/>
                <w:b/>
                <w:bCs/>
                <w:sz w:val="16"/>
                <w:szCs w:val="16"/>
              </w:rPr>
            </w:pPr>
            <w:r w:rsidRPr="002614F2">
              <w:rPr>
                <w:rFonts w:ascii="Arial" w:hAnsi="Arial" w:cs="Arial"/>
                <w:b/>
                <w:bCs/>
                <w:sz w:val="16"/>
                <w:szCs w:val="16"/>
              </w:rPr>
              <w:t>2025</w:t>
            </w:r>
            <w:r>
              <w:rPr>
                <w:rFonts w:ascii="Arial" w:hAnsi="Arial" w:cs="Arial"/>
                <w:b/>
                <w:bCs/>
                <w:sz w:val="16"/>
                <w:szCs w:val="16"/>
              </w:rPr>
              <w:t>–</w:t>
            </w:r>
            <w:r w:rsidRPr="002614F2">
              <w:rPr>
                <w:rFonts w:ascii="Arial" w:hAnsi="Arial" w:cs="Arial"/>
                <w:b/>
                <w:bCs/>
                <w:sz w:val="16"/>
                <w:szCs w:val="16"/>
              </w:rPr>
              <w:t>26 Forward Estimate</w:t>
            </w:r>
            <w:r w:rsidRPr="002614F2">
              <w:rPr>
                <w:rFonts w:ascii="Arial" w:hAnsi="Arial" w:cs="Arial"/>
                <w:b/>
                <w:bCs/>
                <w:sz w:val="16"/>
                <w:szCs w:val="16"/>
              </w:rPr>
              <w:br/>
            </w:r>
            <w:r w:rsidRPr="002614F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43827853" w14:textId="216EC5AE" w:rsidR="002614F2" w:rsidRPr="002614F2" w:rsidRDefault="002614F2" w:rsidP="002614F2">
            <w:pPr>
              <w:spacing w:before="24" w:after="0" w:line="240" w:lineRule="auto"/>
              <w:jc w:val="right"/>
              <w:rPr>
                <w:rFonts w:ascii="Arial" w:hAnsi="Arial" w:cs="Arial"/>
                <w:b/>
                <w:bCs/>
                <w:sz w:val="16"/>
                <w:szCs w:val="16"/>
              </w:rPr>
            </w:pPr>
            <w:r>
              <w:rPr>
                <w:rFonts w:ascii="Arial" w:hAnsi="Arial" w:cs="Arial"/>
                <w:b/>
                <w:bCs/>
                <w:sz w:val="16"/>
                <w:szCs w:val="16"/>
              </w:rPr>
              <w:t>2026–</w:t>
            </w:r>
            <w:r w:rsidRPr="002614F2">
              <w:rPr>
                <w:rFonts w:ascii="Arial" w:hAnsi="Arial" w:cs="Arial"/>
                <w:b/>
                <w:bCs/>
                <w:sz w:val="16"/>
                <w:szCs w:val="16"/>
              </w:rPr>
              <w:t>27 Forward Estimate</w:t>
            </w:r>
            <w:r w:rsidRPr="002614F2">
              <w:rPr>
                <w:rFonts w:ascii="Arial" w:hAnsi="Arial" w:cs="Arial"/>
                <w:b/>
                <w:bCs/>
                <w:sz w:val="16"/>
                <w:szCs w:val="16"/>
              </w:rPr>
              <w:br/>
            </w:r>
            <w:r w:rsidRPr="002614F2">
              <w:rPr>
                <w:rFonts w:ascii="Arial" w:hAnsi="Arial" w:cs="Arial"/>
                <w:sz w:val="16"/>
                <w:szCs w:val="16"/>
              </w:rPr>
              <w:t>$'000</w:t>
            </w:r>
          </w:p>
        </w:tc>
      </w:tr>
      <w:tr w:rsidR="002614F2" w:rsidRPr="002614F2" w14:paraId="6CEAA8B3" w14:textId="77777777" w:rsidTr="00A74B5D">
        <w:trPr>
          <w:trHeight w:val="454"/>
          <w:jc w:val="center"/>
        </w:trPr>
        <w:tc>
          <w:tcPr>
            <w:tcW w:w="7880" w:type="dxa"/>
            <w:gridSpan w:val="6"/>
            <w:tcBorders>
              <w:top w:val="nil"/>
              <w:left w:val="nil"/>
              <w:bottom w:val="nil"/>
              <w:right w:val="nil"/>
            </w:tcBorders>
            <w:shd w:val="clear" w:color="auto" w:fill="auto"/>
            <w:vAlign w:val="bottom"/>
            <w:hideMark/>
          </w:tcPr>
          <w:p w14:paraId="0FB6A528"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Program 1.1: Develop, Collect, Analyse and Report High Quality National Health and Welfare Information and Statistics for Governments and the Community</w:t>
            </w:r>
          </w:p>
        </w:tc>
      </w:tr>
      <w:tr w:rsidR="002614F2" w:rsidRPr="002614F2" w14:paraId="59D945C3" w14:textId="77777777" w:rsidTr="00A74B5D">
        <w:trPr>
          <w:trHeight w:val="283"/>
          <w:jc w:val="center"/>
        </w:trPr>
        <w:tc>
          <w:tcPr>
            <w:tcW w:w="3080" w:type="dxa"/>
            <w:tcBorders>
              <w:top w:val="nil"/>
              <w:left w:val="nil"/>
              <w:bottom w:val="nil"/>
              <w:right w:val="nil"/>
            </w:tcBorders>
            <w:shd w:val="clear" w:color="auto" w:fill="auto"/>
            <w:noWrap/>
            <w:vAlign w:val="bottom"/>
            <w:hideMark/>
          </w:tcPr>
          <w:p w14:paraId="0156CB93" w14:textId="77777777" w:rsidR="002614F2" w:rsidRPr="002614F2" w:rsidRDefault="002614F2" w:rsidP="002614F2">
            <w:pPr>
              <w:spacing w:before="0" w:after="0" w:line="240" w:lineRule="auto"/>
              <w:ind w:leftChars="75" w:left="143"/>
              <w:rPr>
                <w:rFonts w:ascii="Arial" w:hAnsi="Arial" w:cs="Arial"/>
                <w:sz w:val="16"/>
                <w:szCs w:val="16"/>
              </w:rPr>
            </w:pPr>
            <w:r w:rsidRPr="002614F2">
              <w:rPr>
                <w:rFonts w:ascii="Arial" w:hAnsi="Arial" w:cs="Arial"/>
                <w:sz w:val="16"/>
                <w:szCs w:val="16"/>
              </w:rPr>
              <w:t>Revenue from Government</w:t>
            </w:r>
          </w:p>
        </w:tc>
        <w:tc>
          <w:tcPr>
            <w:tcW w:w="960" w:type="dxa"/>
            <w:tcBorders>
              <w:top w:val="nil"/>
              <w:left w:val="nil"/>
              <w:bottom w:val="nil"/>
              <w:right w:val="nil"/>
            </w:tcBorders>
            <w:shd w:val="clear" w:color="auto" w:fill="auto"/>
            <w:vAlign w:val="bottom"/>
            <w:hideMark/>
          </w:tcPr>
          <w:p w14:paraId="79CC7348" w14:textId="77777777" w:rsidR="002614F2" w:rsidRPr="002614F2" w:rsidRDefault="002614F2" w:rsidP="002614F2">
            <w:pPr>
              <w:spacing w:before="0" w:after="0" w:line="240" w:lineRule="auto"/>
              <w:ind w:firstLineChars="100" w:firstLine="160"/>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336F89C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590600B2" w14:textId="77777777" w:rsidR="002614F2" w:rsidRPr="002614F2" w:rsidRDefault="002614F2" w:rsidP="002614F2">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bottom"/>
            <w:hideMark/>
          </w:tcPr>
          <w:p w14:paraId="56557F3C"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vAlign w:val="bottom"/>
            <w:hideMark/>
          </w:tcPr>
          <w:p w14:paraId="28FF0115"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7601CE49"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7F564073" w14:textId="77777777" w:rsidR="002614F2" w:rsidRPr="002614F2" w:rsidRDefault="002614F2" w:rsidP="002614F2">
            <w:pPr>
              <w:spacing w:before="0" w:after="0" w:line="240" w:lineRule="auto"/>
              <w:ind w:leftChars="150" w:left="285"/>
              <w:rPr>
                <w:rFonts w:ascii="Arial" w:hAnsi="Arial" w:cs="Arial"/>
                <w:color w:val="000000"/>
                <w:sz w:val="16"/>
                <w:szCs w:val="16"/>
              </w:rPr>
            </w:pPr>
            <w:r w:rsidRPr="002614F2">
              <w:rPr>
                <w:rFonts w:ascii="Arial" w:hAnsi="Arial" w:cs="Arial"/>
                <w:color w:val="000000"/>
                <w:sz w:val="16"/>
                <w:szCs w:val="16"/>
              </w:rPr>
              <w:t>Ordinary annual services</w:t>
            </w:r>
          </w:p>
        </w:tc>
        <w:tc>
          <w:tcPr>
            <w:tcW w:w="960" w:type="dxa"/>
            <w:tcBorders>
              <w:top w:val="nil"/>
              <w:left w:val="nil"/>
              <w:bottom w:val="nil"/>
              <w:right w:val="nil"/>
            </w:tcBorders>
            <w:shd w:val="clear" w:color="auto" w:fill="auto"/>
            <w:vAlign w:val="bottom"/>
            <w:hideMark/>
          </w:tcPr>
          <w:p w14:paraId="2AF36A3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34,846</w:t>
            </w:r>
          </w:p>
        </w:tc>
        <w:tc>
          <w:tcPr>
            <w:tcW w:w="960" w:type="dxa"/>
            <w:tcBorders>
              <w:top w:val="nil"/>
              <w:left w:val="nil"/>
              <w:bottom w:val="nil"/>
              <w:right w:val="nil"/>
            </w:tcBorders>
            <w:shd w:val="clear" w:color="000000" w:fill="D9D9D9"/>
            <w:noWrap/>
            <w:vAlign w:val="bottom"/>
            <w:hideMark/>
          </w:tcPr>
          <w:p w14:paraId="573EDCA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35,544</w:t>
            </w:r>
          </w:p>
        </w:tc>
        <w:tc>
          <w:tcPr>
            <w:tcW w:w="960" w:type="dxa"/>
            <w:tcBorders>
              <w:top w:val="nil"/>
              <w:left w:val="nil"/>
              <w:bottom w:val="nil"/>
              <w:right w:val="nil"/>
            </w:tcBorders>
            <w:shd w:val="clear" w:color="auto" w:fill="auto"/>
            <w:vAlign w:val="bottom"/>
            <w:hideMark/>
          </w:tcPr>
          <w:p w14:paraId="21A3EB9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36,524</w:t>
            </w:r>
          </w:p>
        </w:tc>
        <w:tc>
          <w:tcPr>
            <w:tcW w:w="960" w:type="dxa"/>
            <w:tcBorders>
              <w:top w:val="nil"/>
              <w:left w:val="nil"/>
              <w:bottom w:val="nil"/>
              <w:right w:val="nil"/>
            </w:tcBorders>
            <w:shd w:val="clear" w:color="auto" w:fill="auto"/>
            <w:vAlign w:val="bottom"/>
            <w:hideMark/>
          </w:tcPr>
          <w:p w14:paraId="2892533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36,700</w:t>
            </w:r>
          </w:p>
        </w:tc>
        <w:tc>
          <w:tcPr>
            <w:tcW w:w="960" w:type="dxa"/>
            <w:tcBorders>
              <w:top w:val="nil"/>
              <w:left w:val="nil"/>
              <w:bottom w:val="nil"/>
              <w:right w:val="nil"/>
            </w:tcBorders>
            <w:shd w:val="clear" w:color="auto" w:fill="auto"/>
            <w:vAlign w:val="bottom"/>
            <w:hideMark/>
          </w:tcPr>
          <w:p w14:paraId="108FC193"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37,171</w:t>
            </w:r>
          </w:p>
        </w:tc>
      </w:tr>
      <w:tr w:rsidR="002614F2" w:rsidRPr="002614F2" w14:paraId="1C2B6185"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3E53B4F7" w14:textId="77777777" w:rsidR="002614F2" w:rsidRPr="002614F2" w:rsidRDefault="002614F2" w:rsidP="002614F2">
            <w:pPr>
              <w:spacing w:before="0" w:after="0" w:line="240" w:lineRule="auto"/>
              <w:ind w:leftChars="150" w:left="285"/>
              <w:rPr>
                <w:rFonts w:ascii="Arial" w:hAnsi="Arial" w:cs="Arial"/>
                <w:sz w:val="16"/>
                <w:szCs w:val="16"/>
              </w:rPr>
            </w:pPr>
            <w:r w:rsidRPr="002614F2">
              <w:rPr>
                <w:rFonts w:ascii="Arial" w:hAnsi="Arial" w:cs="Arial"/>
                <w:sz w:val="16"/>
                <w:szCs w:val="16"/>
              </w:rPr>
              <w:t>Amounts from related entities</w:t>
            </w:r>
          </w:p>
        </w:tc>
        <w:tc>
          <w:tcPr>
            <w:tcW w:w="960" w:type="dxa"/>
            <w:tcBorders>
              <w:top w:val="nil"/>
              <w:left w:val="nil"/>
              <w:bottom w:val="nil"/>
              <w:right w:val="nil"/>
            </w:tcBorders>
            <w:shd w:val="clear" w:color="auto" w:fill="auto"/>
            <w:noWrap/>
            <w:vAlign w:val="bottom"/>
            <w:hideMark/>
          </w:tcPr>
          <w:p w14:paraId="2C5237AE"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46,848</w:t>
            </w:r>
          </w:p>
        </w:tc>
        <w:tc>
          <w:tcPr>
            <w:tcW w:w="960" w:type="dxa"/>
            <w:tcBorders>
              <w:top w:val="nil"/>
              <w:left w:val="nil"/>
              <w:bottom w:val="nil"/>
              <w:right w:val="nil"/>
            </w:tcBorders>
            <w:shd w:val="clear" w:color="000000" w:fill="D9D9D9"/>
            <w:noWrap/>
            <w:vAlign w:val="bottom"/>
            <w:hideMark/>
          </w:tcPr>
          <w:p w14:paraId="692EE0C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47,000</w:t>
            </w:r>
          </w:p>
        </w:tc>
        <w:tc>
          <w:tcPr>
            <w:tcW w:w="960" w:type="dxa"/>
            <w:tcBorders>
              <w:top w:val="nil"/>
              <w:left w:val="nil"/>
              <w:bottom w:val="nil"/>
              <w:right w:val="nil"/>
            </w:tcBorders>
            <w:shd w:val="clear" w:color="auto" w:fill="auto"/>
            <w:noWrap/>
            <w:vAlign w:val="bottom"/>
            <w:hideMark/>
          </w:tcPr>
          <w:p w14:paraId="467238F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47,000</w:t>
            </w:r>
          </w:p>
        </w:tc>
        <w:tc>
          <w:tcPr>
            <w:tcW w:w="960" w:type="dxa"/>
            <w:tcBorders>
              <w:top w:val="nil"/>
              <w:left w:val="nil"/>
              <w:bottom w:val="nil"/>
              <w:right w:val="nil"/>
            </w:tcBorders>
            <w:shd w:val="clear" w:color="auto" w:fill="auto"/>
            <w:noWrap/>
            <w:vAlign w:val="bottom"/>
            <w:hideMark/>
          </w:tcPr>
          <w:p w14:paraId="26FF38B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47,000</w:t>
            </w:r>
          </w:p>
        </w:tc>
        <w:tc>
          <w:tcPr>
            <w:tcW w:w="960" w:type="dxa"/>
            <w:tcBorders>
              <w:top w:val="nil"/>
              <w:left w:val="nil"/>
              <w:bottom w:val="nil"/>
              <w:right w:val="nil"/>
            </w:tcBorders>
            <w:shd w:val="clear" w:color="auto" w:fill="auto"/>
            <w:noWrap/>
            <w:vAlign w:val="bottom"/>
            <w:hideMark/>
          </w:tcPr>
          <w:p w14:paraId="282E883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47,000</w:t>
            </w:r>
          </w:p>
        </w:tc>
      </w:tr>
      <w:tr w:rsidR="002614F2" w:rsidRPr="002614F2" w14:paraId="17107475"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4748FB1D" w14:textId="77777777" w:rsidR="002614F2" w:rsidRPr="002614F2" w:rsidRDefault="002614F2" w:rsidP="002614F2">
            <w:pPr>
              <w:spacing w:before="0" w:after="0" w:line="240" w:lineRule="auto"/>
              <w:ind w:leftChars="75" w:left="143"/>
              <w:rPr>
                <w:rFonts w:ascii="Arial" w:hAnsi="Arial" w:cs="Arial"/>
                <w:sz w:val="16"/>
                <w:szCs w:val="16"/>
              </w:rPr>
            </w:pPr>
            <w:r w:rsidRPr="002614F2">
              <w:rPr>
                <w:rFonts w:ascii="Arial" w:hAnsi="Arial" w:cs="Arial"/>
                <w:sz w:val="16"/>
                <w:szCs w:val="16"/>
              </w:rPr>
              <w:t>Revenues from independent sources</w:t>
            </w:r>
          </w:p>
        </w:tc>
        <w:tc>
          <w:tcPr>
            <w:tcW w:w="960" w:type="dxa"/>
            <w:tcBorders>
              <w:top w:val="nil"/>
              <w:left w:val="nil"/>
              <w:bottom w:val="nil"/>
              <w:right w:val="nil"/>
            </w:tcBorders>
            <w:shd w:val="clear" w:color="auto" w:fill="auto"/>
            <w:vAlign w:val="bottom"/>
            <w:hideMark/>
          </w:tcPr>
          <w:p w14:paraId="55D6728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33,702</w:t>
            </w:r>
          </w:p>
        </w:tc>
        <w:tc>
          <w:tcPr>
            <w:tcW w:w="960" w:type="dxa"/>
            <w:tcBorders>
              <w:top w:val="nil"/>
              <w:left w:val="nil"/>
              <w:bottom w:val="nil"/>
              <w:right w:val="nil"/>
            </w:tcBorders>
            <w:shd w:val="clear" w:color="000000" w:fill="D9D9D9"/>
            <w:noWrap/>
            <w:vAlign w:val="bottom"/>
            <w:hideMark/>
          </w:tcPr>
          <w:p w14:paraId="1EF4B3E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30,630</w:t>
            </w:r>
          </w:p>
        </w:tc>
        <w:tc>
          <w:tcPr>
            <w:tcW w:w="960" w:type="dxa"/>
            <w:tcBorders>
              <w:top w:val="nil"/>
              <w:left w:val="nil"/>
              <w:bottom w:val="nil"/>
              <w:right w:val="nil"/>
            </w:tcBorders>
            <w:shd w:val="clear" w:color="auto" w:fill="auto"/>
            <w:vAlign w:val="bottom"/>
            <w:hideMark/>
          </w:tcPr>
          <w:p w14:paraId="2CA79A3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30,030</w:t>
            </w:r>
          </w:p>
        </w:tc>
        <w:tc>
          <w:tcPr>
            <w:tcW w:w="960" w:type="dxa"/>
            <w:tcBorders>
              <w:top w:val="nil"/>
              <w:left w:val="nil"/>
              <w:bottom w:val="nil"/>
              <w:right w:val="nil"/>
            </w:tcBorders>
            <w:shd w:val="clear" w:color="auto" w:fill="auto"/>
            <w:vAlign w:val="bottom"/>
            <w:hideMark/>
          </w:tcPr>
          <w:p w14:paraId="34D3E0E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30,000</w:t>
            </w:r>
          </w:p>
        </w:tc>
        <w:tc>
          <w:tcPr>
            <w:tcW w:w="960" w:type="dxa"/>
            <w:tcBorders>
              <w:top w:val="nil"/>
              <w:left w:val="nil"/>
              <w:bottom w:val="nil"/>
              <w:right w:val="nil"/>
            </w:tcBorders>
            <w:shd w:val="clear" w:color="auto" w:fill="auto"/>
            <w:vAlign w:val="bottom"/>
            <w:hideMark/>
          </w:tcPr>
          <w:p w14:paraId="3F681593"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30,000</w:t>
            </w:r>
          </w:p>
        </w:tc>
      </w:tr>
      <w:tr w:rsidR="002614F2" w:rsidRPr="002614F2" w14:paraId="76D88C02" w14:textId="77777777" w:rsidTr="00A74B5D">
        <w:trPr>
          <w:trHeight w:val="425"/>
          <w:jc w:val="center"/>
        </w:trPr>
        <w:tc>
          <w:tcPr>
            <w:tcW w:w="3080" w:type="dxa"/>
            <w:tcBorders>
              <w:top w:val="nil"/>
              <w:left w:val="nil"/>
              <w:bottom w:val="nil"/>
              <w:right w:val="nil"/>
            </w:tcBorders>
            <w:shd w:val="clear" w:color="auto" w:fill="auto"/>
            <w:vAlign w:val="bottom"/>
            <w:hideMark/>
          </w:tcPr>
          <w:p w14:paraId="6D506DFD" w14:textId="77777777" w:rsidR="002614F2" w:rsidRPr="002614F2" w:rsidRDefault="002614F2" w:rsidP="002614F2">
            <w:pPr>
              <w:spacing w:before="0" w:after="0" w:line="240" w:lineRule="auto"/>
              <w:ind w:leftChars="75" w:left="143"/>
              <w:rPr>
                <w:rFonts w:ascii="Arial" w:hAnsi="Arial" w:cs="Arial"/>
                <w:sz w:val="16"/>
                <w:szCs w:val="16"/>
              </w:rPr>
            </w:pPr>
            <w:r w:rsidRPr="002614F2">
              <w:rPr>
                <w:rFonts w:ascii="Arial" w:hAnsi="Arial" w:cs="Arial"/>
                <w:sz w:val="16"/>
                <w:szCs w:val="16"/>
              </w:rPr>
              <w:t>Expenses not requiring appropriation in the Budget year</w:t>
            </w:r>
            <w:r w:rsidRPr="002614F2">
              <w:rPr>
                <w:rFonts w:ascii="Arial" w:hAnsi="Arial" w:cs="Arial"/>
                <w:sz w:val="16"/>
                <w:szCs w:val="16"/>
                <w:vertAlign w:val="superscript"/>
              </w:rPr>
              <w:t xml:space="preserve"> (a)</w:t>
            </w:r>
          </w:p>
        </w:tc>
        <w:tc>
          <w:tcPr>
            <w:tcW w:w="960" w:type="dxa"/>
            <w:tcBorders>
              <w:top w:val="nil"/>
              <w:left w:val="nil"/>
              <w:bottom w:val="nil"/>
              <w:right w:val="nil"/>
            </w:tcBorders>
            <w:shd w:val="clear" w:color="auto" w:fill="auto"/>
            <w:noWrap/>
            <w:vAlign w:val="bottom"/>
            <w:hideMark/>
          </w:tcPr>
          <w:p w14:paraId="419879AC"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1180919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C5DA94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0346383"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74DA5414"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r>
      <w:tr w:rsidR="002614F2" w:rsidRPr="002614F2" w14:paraId="64EBF791"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6C8023FB" w14:textId="77777777" w:rsidR="002614F2" w:rsidRPr="002614F2" w:rsidRDefault="002614F2" w:rsidP="002614F2">
            <w:pPr>
              <w:spacing w:before="0" w:after="0" w:line="240" w:lineRule="auto"/>
              <w:ind w:leftChars="75" w:left="143"/>
              <w:rPr>
                <w:rFonts w:ascii="Arial" w:hAnsi="Arial" w:cs="Arial"/>
                <w:sz w:val="16"/>
                <w:szCs w:val="16"/>
              </w:rPr>
            </w:pPr>
            <w:r w:rsidRPr="002614F2">
              <w:rPr>
                <w:rFonts w:ascii="Arial" w:hAnsi="Arial" w:cs="Arial"/>
                <w:sz w:val="16"/>
                <w:szCs w:val="16"/>
              </w:rPr>
              <w:t>Operating deficit (surplus)</w:t>
            </w:r>
          </w:p>
        </w:tc>
        <w:tc>
          <w:tcPr>
            <w:tcW w:w="960" w:type="dxa"/>
            <w:tcBorders>
              <w:top w:val="nil"/>
              <w:left w:val="nil"/>
              <w:bottom w:val="nil"/>
              <w:right w:val="nil"/>
            </w:tcBorders>
            <w:shd w:val="clear" w:color="auto" w:fill="auto"/>
            <w:noWrap/>
            <w:vAlign w:val="bottom"/>
            <w:hideMark/>
          </w:tcPr>
          <w:p w14:paraId="0AF14CB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301</w:t>
            </w:r>
          </w:p>
        </w:tc>
        <w:tc>
          <w:tcPr>
            <w:tcW w:w="960" w:type="dxa"/>
            <w:tcBorders>
              <w:top w:val="nil"/>
              <w:left w:val="nil"/>
              <w:bottom w:val="nil"/>
              <w:right w:val="nil"/>
            </w:tcBorders>
            <w:shd w:val="clear" w:color="000000" w:fill="D9D9D9"/>
            <w:noWrap/>
            <w:vAlign w:val="bottom"/>
            <w:hideMark/>
          </w:tcPr>
          <w:p w14:paraId="6619F8E7"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1,363</w:t>
            </w:r>
          </w:p>
        </w:tc>
        <w:tc>
          <w:tcPr>
            <w:tcW w:w="960" w:type="dxa"/>
            <w:tcBorders>
              <w:top w:val="nil"/>
              <w:left w:val="nil"/>
              <w:bottom w:val="nil"/>
              <w:right w:val="nil"/>
            </w:tcBorders>
            <w:shd w:val="clear" w:color="auto" w:fill="auto"/>
            <w:noWrap/>
            <w:vAlign w:val="bottom"/>
            <w:hideMark/>
          </w:tcPr>
          <w:p w14:paraId="0D6E94A1"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(423)</w:t>
            </w:r>
          </w:p>
        </w:tc>
        <w:tc>
          <w:tcPr>
            <w:tcW w:w="960" w:type="dxa"/>
            <w:tcBorders>
              <w:top w:val="nil"/>
              <w:left w:val="nil"/>
              <w:bottom w:val="nil"/>
              <w:right w:val="nil"/>
            </w:tcBorders>
            <w:shd w:val="clear" w:color="auto" w:fill="auto"/>
            <w:noWrap/>
            <w:vAlign w:val="bottom"/>
            <w:hideMark/>
          </w:tcPr>
          <w:p w14:paraId="6648AEB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(666)</w:t>
            </w:r>
          </w:p>
        </w:tc>
        <w:tc>
          <w:tcPr>
            <w:tcW w:w="960" w:type="dxa"/>
            <w:tcBorders>
              <w:top w:val="nil"/>
              <w:left w:val="nil"/>
              <w:bottom w:val="nil"/>
              <w:right w:val="nil"/>
            </w:tcBorders>
            <w:shd w:val="clear" w:color="auto" w:fill="auto"/>
            <w:noWrap/>
            <w:vAlign w:val="bottom"/>
            <w:hideMark/>
          </w:tcPr>
          <w:p w14:paraId="0D648917"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(857)</w:t>
            </w:r>
          </w:p>
        </w:tc>
      </w:tr>
      <w:tr w:rsidR="002614F2" w:rsidRPr="002614F2" w14:paraId="4EAB00CE" w14:textId="77777777" w:rsidTr="00A74B5D">
        <w:trPr>
          <w:trHeight w:val="283"/>
          <w:jc w:val="center"/>
        </w:trPr>
        <w:tc>
          <w:tcPr>
            <w:tcW w:w="3080" w:type="dxa"/>
            <w:tcBorders>
              <w:top w:val="nil"/>
              <w:left w:val="nil"/>
              <w:bottom w:val="nil"/>
              <w:right w:val="nil"/>
            </w:tcBorders>
            <w:shd w:val="clear" w:color="auto" w:fill="auto"/>
            <w:noWrap/>
            <w:vAlign w:val="bottom"/>
            <w:hideMark/>
          </w:tcPr>
          <w:p w14:paraId="4B856911" w14:textId="77777777" w:rsidR="002614F2" w:rsidRPr="002614F2" w:rsidRDefault="002614F2" w:rsidP="002614F2">
            <w:pPr>
              <w:spacing w:before="0" w:after="0" w:line="240" w:lineRule="auto"/>
              <w:ind w:leftChars="75" w:left="143"/>
              <w:rPr>
                <w:rFonts w:ascii="Arial" w:hAnsi="Arial" w:cs="Arial"/>
                <w:b/>
                <w:bCs/>
                <w:sz w:val="16"/>
                <w:szCs w:val="16"/>
              </w:rPr>
            </w:pPr>
            <w:r w:rsidRPr="002614F2">
              <w:rPr>
                <w:rFonts w:ascii="Arial" w:hAnsi="Arial" w:cs="Arial"/>
                <w:b/>
                <w:bCs/>
                <w:sz w:val="16"/>
                <w:szCs w:val="16"/>
              </w:rPr>
              <w:t>Total for Program 1.1</w:t>
            </w:r>
          </w:p>
        </w:tc>
        <w:tc>
          <w:tcPr>
            <w:tcW w:w="960" w:type="dxa"/>
            <w:tcBorders>
              <w:top w:val="nil"/>
              <w:left w:val="nil"/>
              <w:bottom w:val="single" w:sz="4" w:space="0" w:color="auto"/>
              <w:right w:val="nil"/>
            </w:tcBorders>
            <w:shd w:val="clear" w:color="auto" w:fill="auto"/>
            <w:noWrap/>
            <w:vAlign w:val="bottom"/>
            <w:hideMark/>
          </w:tcPr>
          <w:p w14:paraId="581C8086"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115,697</w:t>
            </w:r>
          </w:p>
        </w:tc>
        <w:tc>
          <w:tcPr>
            <w:tcW w:w="960" w:type="dxa"/>
            <w:tcBorders>
              <w:top w:val="nil"/>
              <w:left w:val="nil"/>
              <w:bottom w:val="single" w:sz="4" w:space="0" w:color="auto"/>
              <w:right w:val="nil"/>
            </w:tcBorders>
            <w:shd w:val="clear" w:color="000000" w:fill="D9D9D9"/>
            <w:noWrap/>
            <w:vAlign w:val="bottom"/>
            <w:hideMark/>
          </w:tcPr>
          <w:p w14:paraId="587B7C3B"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114,537</w:t>
            </w:r>
          </w:p>
        </w:tc>
        <w:tc>
          <w:tcPr>
            <w:tcW w:w="960" w:type="dxa"/>
            <w:tcBorders>
              <w:top w:val="nil"/>
              <w:left w:val="nil"/>
              <w:bottom w:val="single" w:sz="4" w:space="0" w:color="auto"/>
              <w:right w:val="nil"/>
            </w:tcBorders>
            <w:shd w:val="clear" w:color="auto" w:fill="auto"/>
            <w:noWrap/>
            <w:vAlign w:val="bottom"/>
            <w:hideMark/>
          </w:tcPr>
          <w:p w14:paraId="1459BE53"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113,131</w:t>
            </w:r>
          </w:p>
        </w:tc>
        <w:tc>
          <w:tcPr>
            <w:tcW w:w="960" w:type="dxa"/>
            <w:tcBorders>
              <w:top w:val="nil"/>
              <w:left w:val="nil"/>
              <w:bottom w:val="single" w:sz="4" w:space="0" w:color="auto"/>
              <w:right w:val="nil"/>
            </w:tcBorders>
            <w:shd w:val="clear" w:color="auto" w:fill="auto"/>
            <w:noWrap/>
            <w:vAlign w:val="bottom"/>
            <w:hideMark/>
          </w:tcPr>
          <w:p w14:paraId="51E7364A"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113,034</w:t>
            </w:r>
          </w:p>
        </w:tc>
        <w:tc>
          <w:tcPr>
            <w:tcW w:w="960" w:type="dxa"/>
            <w:tcBorders>
              <w:top w:val="nil"/>
              <w:left w:val="nil"/>
              <w:bottom w:val="single" w:sz="4" w:space="0" w:color="auto"/>
              <w:right w:val="nil"/>
            </w:tcBorders>
            <w:shd w:val="clear" w:color="auto" w:fill="auto"/>
            <w:noWrap/>
            <w:vAlign w:val="bottom"/>
            <w:hideMark/>
          </w:tcPr>
          <w:p w14:paraId="2E1AA14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113,314</w:t>
            </w:r>
          </w:p>
        </w:tc>
      </w:tr>
      <w:tr w:rsidR="002614F2" w:rsidRPr="002614F2" w14:paraId="660CF6BA" w14:textId="77777777" w:rsidTr="00A74B5D">
        <w:trPr>
          <w:trHeight w:val="283"/>
          <w:jc w:val="center"/>
        </w:trPr>
        <w:tc>
          <w:tcPr>
            <w:tcW w:w="3080" w:type="dxa"/>
            <w:tcBorders>
              <w:top w:val="nil"/>
              <w:left w:val="nil"/>
              <w:bottom w:val="single" w:sz="4" w:space="0" w:color="auto"/>
              <w:right w:val="nil"/>
            </w:tcBorders>
            <w:shd w:val="clear" w:color="auto" w:fill="auto"/>
            <w:noWrap/>
            <w:vAlign w:val="bottom"/>
            <w:hideMark/>
          </w:tcPr>
          <w:p w14:paraId="114AC604" w14:textId="77777777" w:rsidR="002614F2" w:rsidRPr="002614F2" w:rsidRDefault="002614F2" w:rsidP="002614F2">
            <w:pPr>
              <w:spacing w:before="0" w:after="0" w:line="240" w:lineRule="auto"/>
              <w:rPr>
                <w:rFonts w:ascii="Arial" w:hAnsi="Arial" w:cs="Arial"/>
                <w:b/>
                <w:bCs/>
                <w:color w:val="000000"/>
                <w:sz w:val="16"/>
                <w:szCs w:val="16"/>
              </w:rPr>
            </w:pPr>
            <w:r w:rsidRPr="002614F2">
              <w:rPr>
                <w:rFonts w:ascii="Arial" w:hAnsi="Arial" w:cs="Arial"/>
                <w:b/>
                <w:bCs/>
                <w:color w:val="000000"/>
                <w:sz w:val="16"/>
                <w:szCs w:val="16"/>
              </w:rPr>
              <w:t>Total expenses for Outcome 1</w:t>
            </w:r>
          </w:p>
        </w:tc>
        <w:tc>
          <w:tcPr>
            <w:tcW w:w="960" w:type="dxa"/>
            <w:tcBorders>
              <w:top w:val="nil"/>
              <w:left w:val="nil"/>
              <w:bottom w:val="single" w:sz="4" w:space="0" w:color="auto"/>
              <w:right w:val="nil"/>
            </w:tcBorders>
            <w:shd w:val="clear" w:color="auto" w:fill="auto"/>
            <w:noWrap/>
            <w:vAlign w:val="bottom"/>
            <w:hideMark/>
          </w:tcPr>
          <w:p w14:paraId="7C9B3F7F"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115,697</w:t>
            </w:r>
          </w:p>
        </w:tc>
        <w:tc>
          <w:tcPr>
            <w:tcW w:w="960" w:type="dxa"/>
            <w:tcBorders>
              <w:top w:val="nil"/>
              <w:left w:val="nil"/>
              <w:bottom w:val="single" w:sz="4" w:space="0" w:color="auto"/>
              <w:right w:val="nil"/>
            </w:tcBorders>
            <w:shd w:val="clear" w:color="000000" w:fill="D9D9D9"/>
            <w:noWrap/>
            <w:vAlign w:val="bottom"/>
            <w:hideMark/>
          </w:tcPr>
          <w:p w14:paraId="6ADFE63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114,537</w:t>
            </w:r>
          </w:p>
        </w:tc>
        <w:tc>
          <w:tcPr>
            <w:tcW w:w="960" w:type="dxa"/>
            <w:tcBorders>
              <w:top w:val="nil"/>
              <w:left w:val="nil"/>
              <w:bottom w:val="single" w:sz="4" w:space="0" w:color="auto"/>
              <w:right w:val="nil"/>
            </w:tcBorders>
            <w:shd w:val="clear" w:color="auto" w:fill="auto"/>
            <w:noWrap/>
            <w:vAlign w:val="bottom"/>
            <w:hideMark/>
          </w:tcPr>
          <w:p w14:paraId="2A90C326"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113,131</w:t>
            </w:r>
          </w:p>
        </w:tc>
        <w:tc>
          <w:tcPr>
            <w:tcW w:w="960" w:type="dxa"/>
            <w:tcBorders>
              <w:top w:val="nil"/>
              <w:left w:val="nil"/>
              <w:bottom w:val="single" w:sz="4" w:space="0" w:color="auto"/>
              <w:right w:val="nil"/>
            </w:tcBorders>
            <w:shd w:val="clear" w:color="auto" w:fill="auto"/>
            <w:noWrap/>
            <w:vAlign w:val="bottom"/>
            <w:hideMark/>
          </w:tcPr>
          <w:p w14:paraId="0E9B4E91"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113,034</w:t>
            </w:r>
          </w:p>
        </w:tc>
        <w:tc>
          <w:tcPr>
            <w:tcW w:w="960" w:type="dxa"/>
            <w:tcBorders>
              <w:top w:val="nil"/>
              <w:left w:val="nil"/>
              <w:bottom w:val="single" w:sz="4" w:space="0" w:color="auto"/>
              <w:right w:val="nil"/>
            </w:tcBorders>
            <w:shd w:val="clear" w:color="auto" w:fill="auto"/>
            <w:noWrap/>
            <w:vAlign w:val="bottom"/>
            <w:hideMark/>
          </w:tcPr>
          <w:p w14:paraId="7721C84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113,314</w:t>
            </w:r>
          </w:p>
        </w:tc>
      </w:tr>
      <w:tr w:rsidR="002614F2" w:rsidRPr="002614F2" w14:paraId="796127FC"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1A621A8F"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40A1A363" w14:textId="77777777" w:rsidR="002614F2" w:rsidRPr="002614F2" w:rsidRDefault="002614F2" w:rsidP="002614F2">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405D2BA"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E71E12B"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1D7FFEB"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681B748"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5E1DFDE8" w14:textId="77777777" w:rsidTr="00A74B5D">
        <w:trPr>
          <w:trHeight w:val="425"/>
          <w:jc w:val="center"/>
        </w:trPr>
        <w:tc>
          <w:tcPr>
            <w:tcW w:w="3080" w:type="dxa"/>
            <w:tcBorders>
              <w:top w:val="single" w:sz="4" w:space="0" w:color="auto"/>
              <w:left w:val="nil"/>
              <w:bottom w:val="nil"/>
              <w:right w:val="nil"/>
            </w:tcBorders>
            <w:shd w:val="clear" w:color="auto" w:fill="auto"/>
            <w:noWrap/>
            <w:vAlign w:val="bottom"/>
            <w:hideMark/>
          </w:tcPr>
          <w:p w14:paraId="1F47DECB" w14:textId="77777777" w:rsidR="002614F2" w:rsidRPr="002614F2" w:rsidRDefault="002614F2" w:rsidP="002614F2">
            <w:pPr>
              <w:spacing w:before="0" w:after="0" w:line="240" w:lineRule="auto"/>
              <w:rPr>
                <w:rFonts w:ascii="Arial" w:hAnsi="Arial" w:cs="Arial"/>
                <w:color w:val="000000"/>
                <w:sz w:val="16"/>
                <w:szCs w:val="16"/>
              </w:rPr>
            </w:pPr>
            <w:r w:rsidRPr="002614F2">
              <w:rPr>
                <w:rFonts w:ascii="Arial" w:hAnsi="Arial"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14:paraId="233AC91F" w14:textId="67B87F09" w:rsidR="002614F2" w:rsidRPr="002614F2" w:rsidRDefault="002614F2" w:rsidP="002614F2">
            <w:pPr>
              <w:spacing w:before="0" w:after="0" w:line="240" w:lineRule="auto"/>
              <w:jc w:val="right"/>
              <w:rPr>
                <w:rFonts w:ascii="Arial" w:hAnsi="Arial" w:cs="Arial"/>
                <w:b/>
                <w:bCs/>
                <w:sz w:val="16"/>
                <w:szCs w:val="16"/>
              </w:rPr>
            </w:pPr>
            <w:r>
              <w:rPr>
                <w:rFonts w:ascii="Arial" w:hAnsi="Arial" w:cs="Arial"/>
                <w:b/>
                <w:bCs/>
                <w:sz w:val="16"/>
                <w:szCs w:val="16"/>
              </w:rPr>
              <w:t>2022–</w:t>
            </w:r>
            <w:r w:rsidRPr="002614F2">
              <w:rPr>
                <w:rFonts w:ascii="Arial" w:hAnsi="Arial" w:cs="Arial"/>
                <w:b/>
                <w:bCs/>
                <w:sz w:val="16"/>
                <w:szCs w:val="16"/>
              </w:rPr>
              <w:t>23</w:t>
            </w:r>
            <w:r w:rsidRPr="002614F2">
              <w:rPr>
                <w:rFonts w:ascii="Arial" w:hAnsi="Arial" w:cs="Arial"/>
                <w:b/>
                <w:bCs/>
                <w:sz w:val="16"/>
                <w:szCs w:val="16"/>
              </w:rPr>
              <w:br/>
              <w:t>Actual</w:t>
            </w:r>
          </w:p>
        </w:tc>
        <w:tc>
          <w:tcPr>
            <w:tcW w:w="960" w:type="dxa"/>
            <w:tcBorders>
              <w:top w:val="single" w:sz="4" w:space="0" w:color="000000"/>
              <w:left w:val="nil"/>
              <w:bottom w:val="single" w:sz="4" w:space="0" w:color="000000"/>
              <w:right w:val="nil"/>
            </w:tcBorders>
            <w:shd w:val="clear" w:color="000000" w:fill="D9D9D9"/>
            <w:vAlign w:val="bottom"/>
            <w:hideMark/>
          </w:tcPr>
          <w:p w14:paraId="214266A8" w14:textId="4C4464A1" w:rsidR="002614F2" w:rsidRPr="002614F2" w:rsidRDefault="002614F2" w:rsidP="002614F2">
            <w:pPr>
              <w:spacing w:before="0" w:after="0" w:line="240" w:lineRule="auto"/>
              <w:jc w:val="right"/>
              <w:rPr>
                <w:rFonts w:ascii="Arial" w:hAnsi="Arial" w:cs="Arial"/>
                <w:b/>
                <w:bCs/>
                <w:sz w:val="16"/>
                <w:szCs w:val="16"/>
              </w:rPr>
            </w:pPr>
            <w:r>
              <w:rPr>
                <w:rFonts w:ascii="Arial" w:hAnsi="Arial" w:cs="Arial"/>
                <w:b/>
                <w:bCs/>
                <w:sz w:val="16"/>
                <w:szCs w:val="16"/>
              </w:rPr>
              <w:t>2023–</w:t>
            </w:r>
            <w:r w:rsidRPr="002614F2">
              <w:rPr>
                <w:rFonts w:ascii="Arial" w:hAnsi="Arial" w:cs="Arial"/>
                <w:b/>
                <w:bCs/>
                <w:sz w:val="16"/>
                <w:szCs w:val="16"/>
              </w:rPr>
              <w:t>24</w:t>
            </w:r>
            <w:r w:rsidRPr="002614F2">
              <w:rPr>
                <w:rFonts w:ascii="Arial" w:hAnsi="Arial" w:cs="Arial"/>
                <w:b/>
                <w:bCs/>
                <w:sz w:val="16"/>
                <w:szCs w:val="16"/>
              </w:rPr>
              <w:br/>
              <w:t>Revised</w:t>
            </w:r>
          </w:p>
        </w:tc>
        <w:tc>
          <w:tcPr>
            <w:tcW w:w="960" w:type="dxa"/>
            <w:tcBorders>
              <w:top w:val="nil"/>
              <w:left w:val="nil"/>
              <w:bottom w:val="nil"/>
              <w:right w:val="nil"/>
            </w:tcBorders>
            <w:shd w:val="clear" w:color="auto" w:fill="auto"/>
            <w:noWrap/>
            <w:vAlign w:val="center"/>
            <w:hideMark/>
          </w:tcPr>
          <w:p w14:paraId="0B68FDF2"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14:paraId="55E2E842" w14:textId="77777777" w:rsidR="002614F2" w:rsidRPr="002614F2" w:rsidRDefault="002614F2" w:rsidP="002614F2">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7CF5006B" w14:textId="77777777" w:rsidR="002614F2" w:rsidRPr="002614F2" w:rsidRDefault="002614F2" w:rsidP="002614F2">
            <w:pPr>
              <w:spacing w:before="0" w:after="0" w:line="240" w:lineRule="auto"/>
              <w:rPr>
                <w:rFonts w:ascii="Times New Roman" w:hAnsi="Times New Roman"/>
                <w:sz w:val="20"/>
              </w:rPr>
            </w:pPr>
          </w:p>
        </w:tc>
      </w:tr>
      <w:tr w:rsidR="002614F2" w:rsidRPr="002614F2" w14:paraId="31BDA3E2" w14:textId="77777777" w:rsidTr="002614F2">
        <w:trPr>
          <w:trHeight w:val="225"/>
          <w:jc w:val="center"/>
        </w:trPr>
        <w:tc>
          <w:tcPr>
            <w:tcW w:w="3080" w:type="dxa"/>
            <w:tcBorders>
              <w:top w:val="nil"/>
              <w:left w:val="nil"/>
              <w:bottom w:val="single" w:sz="4" w:space="0" w:color="auto"/>
              <w:right w:val="nil"/>
            </w:tcBorders>
            <w:shd w:val="clear" w:color="auto" w:fill="auto"/>
            <w:noWrap/>
            <w:vAlign w:val="bottom"/>
            <w:hideMark/>
          </w:tcPr>
          <w:p w14:paraId="3FA2A2FE" w14:textId="77777777" w:rsidR="002614F2" w:rsidRPr="002614F2" w:rsidRDefault="002614F2" w:rsidP="002614F2">
            <w:pPr>
              <w:spacing w:before="0" w:after="0" w:line="240" w:lineRule="auto"/>
              <w:rPr>
                <w:rFonts w:ascii="Arial" w:hAnsi="Arial" w:cs="Arial"/>
                <w:b/>
                <w:bCs/>
                <w:color w:val="000000"/>
                <w:sz w:val="16"/>
                <w:szCs w:val="16"/>
              </w:rPr>
            </w:pPr>
            <w:r w:rsidRPr="002614F2">
              <w:rPr>
                <w:rFonts w:ascii="Arial" w:hAnsi="Arial" w:cs="Arial"/>
                <w:b/>
                <w:bCs/>
                <w:color w:val="000000"/>
                <w:sz w:val="16"/>
                <w:szCs w:val="16"/>
              </w:rPr>
              <w:t xml:space="preserve">Average </w:t>
            </w:r>
            <w:r w:rsidRPr="002614F2">
              <w:rPr>
                <w:rFonts w:ascii="Arial" w:hAnsi="Arial" w:cs="Arial"/>
                <w:b/>
                <w:bCs/>
                <w:sz w:val="16"/>
                <w:szCs w:val="16"/>
              </w:rPr>
              <w:t>s</w:t>
            </w:r>
            <w:r w:rsidRPr="002614F2">
              <w:rPr>
                <w:rFonts w:ascii="Arial" w:hAnsi="Arial" w:cs="Arial"/>
                <w:b/>
                <w:bCs/>
                <w:color w:val="000000"/>
                <w:sz w:val="16"/>
                <w:szCs w:val="16"/>
              </w:rPr>
              <w:t xml:space="preserve">taffing </w:t>
            </w:r>
            <w:r w:rsidRPr="002614F2">
              <w:rPr>
                <w:rFonts w:ascii="Arial" w:hAnsi="Arial" w:cs="Arial"/>
                <w:b/>
                <w:bCs/>
                <w:sz w:val="16"/>
                <w:szCs w:val="16"/>
              </w:rPr>
              <w:t>l</w:t>
            </w:r>
            <w:r w:rsidRPr="002614F2">
              <w:rPr>
                <w:rFonts w:ascii="Arial" w:hAnsi="Arial" w:cs="Arial"/>
                <w:b/>
                <w:bCs/>
                <w:color w:val="000000"/>
                <w:sz w:val="16"/>
                <w:szCs w:val="16"/>
              </w:rPr>
              <w:t>evel (number)</w:t>
            </w:r>
          </w:p>
        </w:tc>
        <w:tc>
          <w:tcPr>
            <w:tcW w:w="960" w:type="dxa"/>
            <w:tcBorders>
              <w:top w:val="nil"/>
              <w:left w:val="nil"/>
              <w:bottom w:val="single" w:sz="4" w:space="0" w:color="auto"/>
              <w:right w:val="nil"/>
            </w:tcBorders>
            <w:shd w:val="clear" w:color="auto" w:fill="auto"/>
            <w:noWrap/>
            <w:vAlign w:val="bottom"/>
            <w:hideMark/>
          </w:tcPr>
          <w:p w14:paraId="5D53D1D3" w14:textId="77777777" w:rsidR="002614F2" w:rsidRPr="002614F2" w:rsidRDefault="002614F2" w:rsidP="002614F2">
            <w:pPr>
              <w:spacing w:before="0" w:after="0" w:line="240" w:lineRule="auto"/>
              <w:jc w:val="right"/>
              <w:rPr>
                <w:rFonts w:ascii="Arial" w:hAnsi="Arial" w:cs="Arial"/>
                <w:color w:val="000000"/>
                <w:sz w:val="16"/>
                <w:szCs w:val="16"/>
              </w:rPr>
            </w:pPr>
            <w:r w:rsidRPr="002614F2">
              <w:rPr>
                <w:rFonts w:ascii="Arial" w:hAnsi="Arial" w:cs="Arial"/>
                <w:color w:val="000000"/>
                <w:sz w:val="16"/>
                <w:szCs w:val="16"/>
              </w:rPr>
              <w:t>457</w:t>
            </w:r>
          </w:p>
        </w:tc>
        <w:tc>
          <w:tcPr>
            <w:tcW w:w="960" w:type="dxa"/>
            <w:tcBorders>
              <w:top w:val="nil"/>
              <w:left w:val="nil"/>
              <w:bottom w:val="single" w:sz="4" w:space="0" w:color="auto"/>
              <w:right w:val="nil"/>
            </w:tcBorders>
            <w:shd w:val="clear" w:color="000000" w:fill="D9D9D9"/>
            <w:noWrap/>
            <w:vAlign w:val="bottom"/>
            <w:hideMark/>
          </w:tcPr>
          <w:p w14:paraId="73A5668A" w14:textId="77777777" w:rsidR="002614F2" w:rsidRPr="002614F2" w:rsidRDefault="002614F2" w:rsidP="002614F2">
            <w:pPr>
              <w:spacing w:before="0" w:after="0" w:line="240" w:lineRule="auto"/>
              <w:jc w:val="right"/>
              <w:rPr>
                <w:rFonts w:ascii="Arial" w:hAnsi="Arial" w:cs="Arial"/>
                <w:color w:val="000000"/>
                <w:sz w:val="16"/>
                <w:szCs w:val="16"/>
              </w:rPr>
            </w:pPr>
            <w:r w:rsidRPr="002614F2">
              <w:rPr>
                <w:rFonts w:ascii="Arial" w:hAnsi="Arial" w:cs="Arial"/>
                <w:color w:val="000000"/>
                <w:sz w:val="16"/>
                <w:szCs w:val="16"/>
              </w:rPr>
              <w:t>530</w:t>
            </w:r>
          </w:p>
        </w:tc>
        <w:tc>
          <w:tcPr>
            <w:tcW w:w="960" w:type="dxa"/>
            <w:tcBorders>
              <w:top w:val="nil"/>
              <w:left w:val="nil"/>
              <w:bottom w:val="nil"/>
              <w:right w:val="nil"/>
            </w:tcBorders>
            <w:shd w:val="clear" w:color="auto" w:fill="auto"/>
            <w:noWrap/>
            <w:vAlign w:val="center"/>
            <w:hideMark/>
          </w:tcPr>
          <w:p w14:paraId="2B5BA2A3" w14:textId="77777777" w:rsidR="002614F2" w:rsidRPr="002614F2" w:rsidRDefault="002614F2" w:rsidP="002614F2">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center"/>
            <w:hideMark/>
          </w:tcPr>
          <w:p w14:paraId="757B0D45" w14:textId="77777777" w:rsidR="002614F2" w:rsidRPr="002614F2" w:rsidRDefault="002614F2" w:rsidP="002614F2">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0CB909E7" w14:textId="77777777" w:rsidR="002614F2" w:rsidRPr="002614F2" w:rsidRDefault="002614F2" w:rsidP="002614F2">
            <w:pPr>
              <w:spacing w:before="0" w:after="0" w:line="240" w:lineRule="auto"/>
              <w:rPr>
                <w:rFonts w:ascii="Times New Roman" w:hAnsi="Times New Roman"/>
                <w:sz w:val="20"/>
              </w:rPr>
            </w:pPr>
          </w:p>
        </w:tc>
      </w:tr>
    </w:tbl>
    <w:p w14:paraId="10A5B00D" w14:textId="77777777" w:rsidR="00275707" w:rsidRPr="005E4992" w:rsidRDefault="00275707" w:rsidP="001E6884">
      <w:pPr>
        <w:pStyle w:val="FootnoteText"/>
        <w:spacing w:before="120"/>
        <w:rPr>
          <w:rFonts w:cs="Arial"/>
          <w:iCs/>
          <w:sz w:val="15"/>
          <w:szCs w:val="15"/>
        </w:rPr>
      </w:pPr>
      <w:r w:rsidRPr="005E4992">
        <w:rPr>
          <w:rFonts w:cs="Arial"/>
          <w:iCs/>
          <w:sz w:val="15"/>
          <w:szCs w:val="15"/>
          <w:vertAlign w:val="superscript"/>
        </w:rPr>
        <w:t>(a)</w:t>
      </w:r>
      <w:r>
        <w:rPr>
          <w:rFonts w:cs="Arial"/>
          <w:iCs/>
          <w:sz w:val="15"/>
          <w:szCs w:val="15"/>
        </w:rPr>
        <w:tab/>
      </w:r>
      <w:r w:rsidRPr="001E6884">
        <w:rPr>
          <w:rStyle w:val="FootnoteTextChar"/>
        </w:rPr>
        <w:t>Expenses not requiring appropriation in the Budget year are made up of net assets received free of charge</w:t>
      </w:r>
      <w:r w:rsidRPr="005E4992">
        <w:rPr>
          <w:rFonts w:cs="Arial"/>
          <w:iCs/>
          <w:sz w:val="15"/>
          <w:szCs w:val="15"/>
        </w:rPr>
        <w:t>.</w:t>
      </w:r>
    </w:p>
    <w:p w14:paraId="70050FB2" w14:textId="1B5978ED" w:rsidR="00275707" w:rsidRDefault="00275707" w:rsidP="00275707">
      <w:pPr>
        <w:spacing w:after="0" w:line="240" w:lineRule="auto"/>
        <w:rPr>
          <w:rFonts w:ascii="Arial" w:hAnsi="Arial"/>
          <w:b/>
          <w:bCs/>
          <w:iCs/>
          <w:szCs w:val="26"/>
          <w:lang w:val="x-none"/>
        </w:rPr>
      </w:pPr>
    </w:p>
    <w:p w14:paraId="0D380EDC" w14:textId="5E0CBF1E" w:rsidR="00275707" w:rsidRPr="00722A74" w:rsidRDefault="00275707" w:rsidP="00275707">
      <w:pPr>
        <w:pStyle w:val="Heading5"/>
        <w:rPr>
          <w:b/>
          <w:i w:val="0"/>
        </w:rPr>
      </w:pPr>
      <w:r w:rsidRPr="00722A74">
        <w:rPr>
          <w:b/>
          <w:i w:val="0"/>
        </w:rPr>
        <w:t>Performance measure</w:t>
      </w:r>
      <w:r w:rsidR="0014549F" w:rsidRPr="00722A74">
        <w:rPr>
          <w:b/>
          <w:i w:val="0"/>
        </w:rPr>
        <w:t xml:space="preserve"> for </w:t>
      </w:r>
      <w:r w:rsidR="00B6537D">
        <w:rPr>
          <w:b/>
          <w:i w:val="0"/>
        </w:rPr>
        <w:t>AIHW</w:t>
      </w:r>
    </w:p>
    <w:p w14:paraId="6BEF2051" w14:textId="4A6ADCBB" w:rsidR="00275707" w:rsidRPr="00722A74" w:rsidRDefault="0014549F" w:rsidP="00CD4749">
      <w:pPr>
        <w:pStyle w:val="ChartandTableFootnoteAlpha"/>
        <w:numPr>
          <w:ilvl w:val="0"/>
          <w:numId w:val="0"/>
        </w:numPr>
        <w:rPr>
          <w:sz w:val="20"/>
        </w:rPr>
      </w:pPr>
      <w:r w:rsidRPr="00722A74">
        <w:rPr>
          <w:rFonts w:ascii="Book Antiqua" w:hAnsi="Book Antiqua"/>
          <w:color w:val="auto"/>
          <w:sz w:val="20"/>
        </w:rPr>
        <w:t xml:space="preserve">There have been no changes to performance information for the AIHW since the </w:t>
      </w:r>
      <w:r w:rsidR="00F96DEC">
        <w:rPr>
          <w:rFonts w:ascii="Book Antiqua" w:hAnsi="Book Antiqua"/>
          <w:color w:val="auto"/>
          <w:sz w:val="20"/>
        </w:rPr>
        <w:br/>
      </w:r>
      <w:r w:rsidRPr="00722A74">
        <w:rPr>
          <w:rFonts w:ascii="Book Antiqua" w:hAnsi="Book Antiqua"/>
          <w:color w:val="auto"/>
          <w:sz w:val="20"/>
        </w:rPr>
        <w:t>202</w:t>
      </w:r>
      <w:r w:rsidR="00F02DD3" w:rsidRPr="00722A74">
        <w:rPr>
          <w:rFonts w:ascii="Book Antiqua" w:hAnsi="Book Antiqua"/>
          <w:color w:val="auto"/>
          <w:sz w:val="20"/>
        </w:rPr>
        <w:t>3–24</w:t>
      </w:r>
      <w:r w:rsidR="00E96985">
        <w:rPr>
          <w:rFonts w:ascii="Book Antiqua" w:hAnsi="Book Antiqua"/>
          <w:color w:val="auto"/>
          <w:sz w:val="20"/>
        </w:rPr>
        <w:t> </w:t>
      </w:r>
      <w:r w:rsidRPr="00722A74">
        <w:rPr>
          <w:rFonts w:ascii="Book Antiqua" w:hAnsi="Book Antiqua"/>
          <w:color w:val="auto"/>
          <w:sz w:val="20"/>
        </w:rPr>
        <w:t>Budget which require new or modified per</w:t>
      </w:r>
      <w:r w:rsidR="009B7FD0">
        <w:rPr>
          <w:rFonts w:ascii="Book Antiqua" w:hAnsi="Book Antiqua"/>
          <w:color w:val="auto"/>
          <w:sz w:val="20"/>
        </w:rPr>
        <w:t xml:space="preserve">formance </w:t>
      </w:r>
      <w:r w:rsidR="009B7FD0" w:rsidRPr="00A76841">
        <w:rPr>
          <w:rFonts w:ascii="Book Antiqua" w:hAnsi="Book Antiqua" w:cs="BookAntiqua"/>
          <w:sz w:val="20"/>
        </w:rPr>
        <w:t>measures</w:t>
      </w:r>
      <w:r w:rsidR="00F02DD3" w:rsidRPr="00722A74">
        <w:rPr>
          <w:rFonts w:ascii="Book Antiqua" w:hAnsi="Book Antiqua"/>
          <w:color w:val="auto"/>
          <w:sz w:val="20"/>
        </w:rPr>
        <w:t>. Refer page 201</w:t>
      </w:r>
      <w:r w:rsidRPr="00722A74">
        <w:rPr>
          <w:rFonts w:ascii="Book Antiqua" w:hAnsi="Book Antiqua"/>
          <w:color w:val="auto"/>
          <w:sz w:val="20"/>
        </w:rPr>
        <w:t xml:space="preserve"> of the</w:t>
      </w:r>
      <w:r w:rsidRPr="00722A74">
        <w:rPr>
          <w:rFonts w:ascii="Book Antiqua" w:hAnsi="Book Antiqua"/>
          <w:i/>
          <w:color w:val="auto"/>
          <w:sz w:val="20"/>
        </w:rPr>
        <w:t xml:space="preserve"> Health </w:t>
      </w:r>
      <w:r w:rsidR="00F02DD3" w:rsidRPr="00722A74">
        <w:rPr>
          <w:rFonts w:ascii="Book Antiqua" w:hAnsi="Book Antiqua"/>
          <w:i/>
          <w:color w:val="auto"/>
          <w:sz w:val="20"/>
        </w:rPr>
        <w:t xml:space="preserve">and Aged Care </w:t>
      </w:r>
      <w:r w:rsidRPr="00722A74">
        <w:rPr>
          <w:rFonts w:ascii="Book Antiqua" w:hAnsi="Book Antiqua"/>
          <w:i/>
          <w:color w:val="auto"/>
          <w:sz w:val="20"/>
        </w:rPr>
        <w:t>Portfolio Budget Statements 202</w:t>
      </w:r>
      <w:r w:rsidR="00F02DD3" w:rsidRPr="00722A74">
        <w:rPr>
          <w:rFonts w:ascii="Book Antiqua" w:hAnsi="Book Antiqua"/>
          <w:i/>
          <w:color w:val="auto"/>
          <w:sz w:val="20"/>
        </w:rPr>
        <w:t>3–24</w:t>
      </w:r>
      <w:r w:rsidRPr="00722A74">
        <w:rPr>
          <w:rFonts w:ascii="Book Antiqua" w:hAnsi="Book Antiqua"/>
          <w:color w:val="auto"/>
          <w:sz w:val="20"/>
        </w:rPr>
        <w:t xml:space="preserve"> for current performance information.</w:t>
      </w:r>
      <w:r w:rsidR="009B7FD0">
        <w:rPr>
          <w:rFonts w:ascii="Book Antiqua" w:hAnsi="Book Antiqua"/>
          <w:color w:val="auto"/>
          <w:sz w:val="20"/>
        </w:rPr>
        <w:t xml:space="preserve"> </w:t>
      </w:r>
    </w:p>
    <w:p w14:paraId="4FB7A655" w14:textId="0F039D6A" w:rsidR="00275707" w:rsidRPr="00E41681" w:rsidRDefault="00275707" w:rsidP="00275707">
      <w:pPr>
        <w:pStyle w:val="Heading2-TOC"/>
      </w:pPr>
      <w:r>
        <w:rPr>
          <w:lang w:val="en-GB"/>
        </w:rPr>
        <w:br w:type="page"/>
      </w:r>
      <w:r w:rsidR="00D91D52">
        <w:fldChar w:fldCharType="begin"/>
      </w:r>
      <w:r w:rsidR="00D91D52">
        <w:instrText xml:space="preserve"> </w:instrText>
      </w:r>
      <w:proofErr w:type="gramStart"/>
      <w:r w:rsidR="00D91D52">
        <w:instrText>TC  "</w:instrText>
      </w:r>
      <w:bookmarkStart w:id="480" w:name="_Toc157240278"/>
      <w:bookmarkStart w:id="481" w:name="_Toc157421340"/>
      <w:bookmarkStart w:id="482" w:name="_Toc157596664"/>
      <w:proofErr w:type="gramEnd"/>
      <w:r w:rsidR="00D91D52">
        <w:instrText>Section 3: Special account flows and budgeted financial statements</w:instrText>
      </w:r>
      <w:bookmarkEnd w:id="480"/>
      <w:bookmarkEnd w:id="481"/>
      <w:bookmarkEnd w:id="482"/>
      <w:r w:rsidR="00D91D52">
        <w:instrText xml:space="preserve">" \f </w:instrText>
      </w:r>
      <w:proofErr w:type="spellStart"/>
      <w:r w:rsidR="00D91D52">
        <w:instrText>aihw</w:instrText>
      </w:r>
      <w:proofErr w:type="spellEnd"/>
      <w:r w:rsidR="00D91D52">
        <w:instrText xml:space="preserve"> \l 1 </w:instrText>
      </w:r>
      <w:r w:rsidR="00D91D52">
        <w:fldChar w:fldCharType="end"/>
      </w:r>
      <w:bookmarkStart w:id="483" w:name="_Toc157592021"/>
      <w:bookmarkStart w:id="484" w:name="_Toc157592204"/>
      <w:r w:rsidRPr="00E41681">
        <w:t>Section 3: Spe</w:t>
      </w:r>
      <w:r w:rsidR="00CD4749">
        <w:t xml:space="preserve">cial account flows and budgeted </w:t>
      </w:r>
      <w:r w:rsidRPr="00E41681">
        <w:t>financial statements</w:t>
      </w:r>
      <w:bookmarkEnd w:id="483"/>
      <w:bookmarkEnd w:id="484"/>
    </w:p>
    <w:p w14:paraId="5374DBBA" w14:textId="4752B476" w:rsidR="00275707" w:rsidRPr="004D3E2B" w:rsidRDefault="00D91D52" w:rsidP="00275707">
      <w:pPr>
        <w:pStyle w:val="Heading3"/>
      </w:pPr>
      <w:r>
        <w:fldChar w:fldCharType="begin"/>
      </w:r>
      <w:r>
        <w:instrText xml:space="preserve"> </w:instrText>
      </w:r>
      <w:proofErr w:type="gramStart"/>
      <w:r>
        <w:instrText>TC  "</w:instrText>
      </w:r>
      <w:bookmarkStart w:id="485" w:name="_Toc157240279"/>
      <w:bookmarkStart w:id="486" w:name="_Toc157421341"/>
      <w:bookmarkStart w:id="487" w:name="_Toc157596665"/>
      <w:proofErr w:type="gramEnd"/>
      <w:r>
        <w:instrText>3.1</w:instrText>
      </w:r>
      <w:r>
        <w:tab/>
        <w:instrText>Special account flows and balances</w:instrText>
      </w:r>
      <w:bookmarkEnd w:id="485"/>
      <w:bookmarkEnd w:id="486"/>
      <w:bookmarkEnd w:id="487"/>
      <w:r>
        <w:instrText xml:space="preserve">" \f </w:instrText>
      </w:r>
      <w:proofErr w:type="spellStart"/>
      <w:r>
        <w:instrText>aihw</w:instrText>
      </w:r>
      <w:proofErr w:type="spellEnd"/>
      <w:r>
        <w:instrText xml:space="preserve"> \l 2 </w:instrText>
      </w:r>
      <w:r>
        <w:fldChar w:fldCharType="end"/>
      </w:r>
      <w:bookmarkStart w:id="488" w:name="_Toc157592022"/>
      <w:bookmarkStart w:id="489" w:name="_Toc157592205"/>
      <w:r w:rsidR="00275707" w:rsidRPr="004D3E2B">
        <w:t>3.1</w:t>
      </w:r>
      <w:r w:rsidR="00275707" w:rsidRPr="004D3E2B">
        <w:tab/>
        <w:t>Special account flows</w:t>
      </w:r>
      <w:r w:rsidR="00275707">
        <w:t xml:space="preserve"> and balances</w:t>
      </w:r>
      <w:bookmarkEnd w:id="488"/>
      <w:bookmarkEnd w:id="489"/>
    </w:p>
    <w:p w14:paraId="451E4809" w14:textId="77777777" w:rsidR="00275707" w:rsidRDefault="00275707" w:rsidP="00275707">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0DF0CBAF" w14:textId="30DF5155" w:rsidR="00275707" w:rsidRPr="001F1182" w:rsidRDefault="00F02DD3" w:rsidP="00F02DD3">
      <w:pPr>
        <w:autoSpaceDE w:val="0"/>
        <w:autoSpaceDN w:val="0"/>
        <w:adjustRightInd w:val="0"/>
        <w:spacing w:before="0" w:after="0" w:line="240" w:lineRule="auto"/>
        <w:rPr>
          <w:sz w:val="20"/>
        </w:rPr>
      </w:pPr>
      <w:r w:rsidRPr="001F1182">
        <w:rPr>
          <w:rFonts w:cs="BookAntiqua"/>
          <w:sz w:val="20"/>
        </w:rPr>
        <w:t>Table 3.1 is not applicable to the AIHW in 2023–24 as it does not manage any special accounts.</w:t>
      </w:r>
    </w:p>
    <w:p w14:paraId="69C2A9BA" w14:textId="1094047A" w:rsidR="00275707" w:rsidRDefault="00D91D52" w:rsidP="00F02DD3">
      <w:pPr>
        <w:pStyle w:val="Heading3"/>
        <w:spacing w:before="240"/>
      </w:pPr>
      <w:r>
        <w:fldChar w:fldCharType="begin"/>
      </w:r>
      <w:r>
        <w:instrText xml:space="preserve"> </w:instrText>
      </w:r>
      <w:proofErr w:type="gramStart"/>
      <w:r>
        <w:instrText>TC  "</w:instrText>
      </w:r>
      <w:bookmarkStart w:id="490" w:name="_Toc157240280"/>
      <w:bookmarkStart w:id="491" w:name="_Toc157421342"/>
      <w:bookmarkStart w:id="492" w:name="_Toc157596666"/>
      <w:proofErr w:type="gramEnd"/>
      <w:r>
        <w:instrText>3.2</w:instrText>
      </w:r>
      <w:r>
        <w:tab/>
        <w:instrText>Budgeted financial statements</w:instrText>
      </w:r>
      <w:bookmarkEnd w:id="490"/>
      <w:bookmarkEnd w:id="491"/>
      <w:bookmarkEnd w:id="492"/>
      <w:r>
        <w:instrText xml:space="preserve">" \f </w:instrText>
      </w:r>
      <w:proofErr w:type="spellStart"/>
      <w:r>
        <w:instrText>aihw</w:instrText>
      </w:r>
      <w:proofErr w:type="spellEnd"/>
      <w:r>
        <w:instrText xml:space="preserve"> \l 2 </w:instrText>
      </w:r>
      <w:r>
        <w:fldChar w:fldCharType="end"/>
      </w:r>
      <w:bookmarkStart w:id="493" w:name="_Toc157592023"/>
      <w:bookmarkStart w:id="494" w:name="_Toc157592206"/>
      <w:r w:rsidR="00275707" w:rsidRPr="005554F9">
        <w:t>3.2</w:t>
      </w:r>
      <w:r w:rsidR="00275707">
        <w:tab/>
        <w:t>Budgeted financial statements</w:t>
      </w:r>
      <w:bookmarkEnd w:id="493"/>
      <w:bookmarkEnd w:id="494"/>
    </w:p>
    <w:p w14:paraId="6BF62467" w14:textId="77777777" w:rsidR="00275707" w:rsidRPr="004928FF" w:rsidRDefault="00275707" w:rsidP="00275707">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57FBD40C" w14:textId="77777777" w:rsidR="00497EA0" w:rsidRPr="00E96985" w:rsidRDefault="00497EA0" w:rsidP="00497EA0">
      <w:pPr>
        <w:spacing w:before="80" w:after="0" w:line="240" w:lineRule="auto"/>
        <w:rPr>
          <w:rFonts w:ascii="Arial" w:hAnsi="Arial" w:cs="Arial"/>
          <w:b/>
          <w:sz w:val="22"/>
          <w:szCs w:val="22"/>
        </w:rPr>
      </w:pPr>
      <w:r w:rsidRPr="00E96985">
        <w:rPr>
          <w:rFonts w:ascii="Arial" w:hAnsi="Arial" w:cs="Arial"/>
          <w:b/>
          <w:sz w:val="22"/>
          <w:szCs w:val="22"/>
        </w:rPr>
        <w:t>Departmental resources</w:t>
      </w:r>
    </w:p>
    <w:p w14:paraId="7302B849" w14:textId="77777777" w:rsidR="00497EA0" w:rsidRPr="00E96985" w:rsidRDefault="00497EA0" w:rsidP="00FF564E">
      <w:pPr>
        <w:spacing w:before="120" w:after="0" w:line="240" w:lineRule="auto"/>
        <w:rPr>
          <w:rFonts w:ascii="Arial" w:hAnsi="Arial" w:cs="Arial"/>
          <w:b/>
          <w:sz w:val="20"/>
        </w:rPr>
      </w:pPr>
      <w:r w:rsidRPr="00E96985">
        <w:rPr>
          <w:rFonts w:ascii="Arial" w:hAnsi="Arial" w:cs="Arial"/>
          <w:b/>
          <w:sz w:val="20"/>
        </w:rPr>
        <w:t>Comprehensive Income Statement</w:t>
      </w:r>
    </w:p>
    <w:p w14:paraId="38022597" w14:textId="2EF16302" w:rsidR="00FF564E" w:rsidRDefault="00497EA0" w:rsidP="00FF564E">
      <w:pPr>
        <w:spacing w:before="120" w:after="0" w:line="240" w:lineRule="auto"/>
        <w:rPr>
          <w:sz w:val="20"/>
        </w:rPr>
      </w:pPr>
      <w:r w:rsidRPr="004B254C">
        <w:rPr>
          <w:sz w:val="20"/>
        </w:rPr>
        <w:t xml:space="preserve">Appropriation revenue from Government will be $0.7 million higher in 2023–24 than </w:t>
      </w:r>
      <w:r w:rsidR="003C79A6" w:rsidRPr="004B254C">
        <w:rPr>
          <w:sz w:val="20"/>
        </w:rPr>
        <w:br/>
      </w:r>
      <w:r w:rsidRPr="004B254C">
        <w:rPr>
          <w:sz w:val="20"/>
        </w:rPr>
        <w:t>2022–23.</w:t>
      </w:r>
    </w:p>
    <w:p w14:paraId="00BA2906" w14:textId="32245CA0" w:rsidR="00497EA0" w:rsidRPr="004B254C" w:rsidRDefault="00497EA0" w:rsidP="00FF564E">
      <w:pPr>
        <w:spacing w:before="120" w:after="0" w:line="240" w:lineRule="auto"/>
        <w:rPr>
          <w:sz w:val="20"/>
        </w:rPr>
      </w:pPr>
      <w:r w:rsidRPr="004B254C">
        <w:rPr>
          <w:sz w:val="20"/>
        </w:rPr>
        <w:t xml:space="preserve">The AIHW has received approval to budget for a deficit of $1.7 million in 2023–24 before accounting adjustments required for office leases under AASB16. This deficit will mainly be used to invest in improved ICT and data security. </w:t>
      </w:r>
    </w:p>
    <w:p w14:paraId="00C488DA" w14:textId="77777777" w:rsidR="00497EA0" w:rsidRPr="004B254C" w:rsidRDefault="00497EA0" w:rsidP="00497EA0">
      <w:pPr>
        <w:spacing w:before="0" w:after="0" w:line="240" w:lineRule="auto"/>
        <w:rPr>
          <w:sz w:val="20"/>
        </w:rPr>
      </w:pPr>
    </w:p>
    <w:p w14:paraId="0EC2B31F" w14:textId="77777777" w:rsidR="00497EA0" w:rsidRPr="00E96985" w:rsidRDefault="00497EA0" w:rsidP="00497EA0">
      <w:pPr>
        <w:spacing w:before="0" w:after="0" w:line="240" w:lineRule="auto"/>
        <w:rPr>
          <w:rFonts w:ascii="Arial" w:hAnsi="Arial" w:cs="Arial"/>
          <w:b/>
          <w:sz w:val="20"/>
        </w:rPr>
      </w:pPr>
      <w:r w:rsidRPr="00E96985">
        <w:rPr>
          <w:rFonts w:ascii="Arial" w:hAnsi="Arial" w:cs="Arial"/>
          <w:b/>
          <w:sz w:val="20"/>
        </w:rPr>
        <w:t>Balance Sheet</w:t>
      </w:r>
    </w:p>
    <w:p w14:paraId="7A03C50E" w14:textId="77777777" w:rsidR="00497EA0" w:rsidRPr="004B254C" w:rsidRDefault="00497EA0" w:rsidP="00FF564E">
      <w:pPr>
        <w:spacing w:before="120" w:after="0" w:line="240" w:lineRule="auto"/>
        <w:rPr>
          <w:sz w:val="20"/>
        </w:rPr>
      </w:pPr>
      <w:r w:rsidRPr="004B254C">
        <w:rPr>
          <w:sz w:val="20"/>
        </w:rPr>
        <w:t xml:space="preserve">The AIHW’s cash and equity will reduce </w:t>
      </w:r>
      <w:proofErr w:type="gramStart"/>
      <w:r w:rsidRPr="004B254C">
        <w:rPr>
          <w:sz w:val="20"/>
        </w:rPr>
        <w:t>in order to</w:t>
      </w:r>
      <w:proofErr w:type="gramEnd"/>
      <w:r w:rsidRPr="004B254C">
        <w:rPr>
          <w:sz w:val="20"/>
        </w:rPr>
        <w:t xml:space="preserve"> fund the budgeted deficit, but both will remain at adequate levels. </w:t>
      </w:r>
    </w:p>
    <w:p w14:paraId="01DE09B9" w14:textId="6745C0D6" w:rsidR="00275707" w:rsidRDefault="00275707" w:rsidP="00497EA0">
      <w:pPr>
        <w:spacing w:before="0" w:after="0" w:line="240" w:lineRule="auto"/>
        <w:rPr>
          <w:rFonts w:ascii="Arial Bold" w:hAnsi="Arial Bold"/>
          <w:b/>
          <w:sz w:val="20"/>
        </w:rPr>
      </w:pPr>
      <w:r>
        <w:br w:type="page"/>
      </w:r>
    </w:p>
    <w:p w14:paraId="3E27AB9D" w14:textId="77777777" w:rsidR="00275707" w:rsidRPr="004928FF" w:rsidRDefault="00275707" w:rsidP="00275707">
      <w:pPr>
        <w:pStyle w:val="Heading4"/>
      </w:pPr>
      <w:r w:rsidRPr="00EC73D1">
        <w:t>3.2.2</w:t>
      </w:r>
      <w:r>
        <w:tab/>
      </w:r>
      <w:r w:rsidRPr="004928FF">
        <w:t xml:space="preserve">Budgeted </w:t>
      </w:r>
      <w:r>
        <w:t>f</w:t>
      </w:r>
      <w:r w:rsidRPr="004928FF">
        <w:t xml:space="preserve">inancial </w:t>
      </w:r>
      <w:r>
        <w:t>s</w:t>
      </w:r>
      <w:r w:rsidRPr="004928FF">
        <w:t>tatements</w:t>
      </w:r>
    </w:p>
    <w:p w14:paraId="12EF82BA" w14:textId="2F12B2E0" w:rsidR="00275707" w:rsidRDefault="00275707" w:rsidP="00275707">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2614F2" w:rsidRPr="002614F2" w14:paraId="3F8293B0" w14:textId="77777777" w:rsidTr="00F065BE">
        <w:trPr>
          <w:trHeight w:val="680"/>
          <w:jc w:val="center"/>
        </w:trPr>
        <w:tc>
          <w:tcPr>
            <w:tcW w:w="3080" w:type="dxa"/>
            <w:tcBorders>
              <w:top w:val="single" w:sz="4" w:space="0" w:color="auto"/>
              <w:left w:val="nil"/>
              <w:bottom w:val="nil"/>
              <w:right w:val="nil"/>
            </w:tcBorders>
            <w:shd w:val="clear" w:color="auto" w:fill="auto"/>
            <w:hideMark/>
          </w:tcPr>
          <w:p w14:paraId="0171A8C9" w14:textId="77777777" w:rsidR="002614F2" w:rsidRPr="002614F2" w:rsidRDefault="002614F2" w:rsidP="00F065BE">
            <w:pPr>
              <w:spacing w:before="24"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0064DACD" w14:textId="2333DFDA" w:rsidR="002614F2" w:rsidRPr="002614F2" w:rsidRDefault="002614F2" w:rsidP="00F065BE">
            <w:pPr>
              <w:spacing w:before="24" w:after="0" w:line="240" w:lineRule="auto"/>
              <w:jc w:val="right"/>
              <w:rPr>
                <w:rFonts w:ascii="Arial" w:hAnsi="Arial" w:cs="Arial"/>
                <w:b/>
                <w:bCs/>
                <w:sz w:val="16"/>
                <w:szCs w:val="16"/>
              </w:rPr>
            </w:pPr>
            <w:r>
              <w:rPr>
                <w:rFonts w:ascii="Arial" w:hAnsi="Arial" w:cs="Arial"/>
                <w:b/>
                <w:bCs/>
                <w:sz w:val="16"/>
                <w:szCs w:val="16"/>
              </w:rPr>
              <w:t>2022–</w:t>
            </w:r>
            <w:r w:rsidRPr="002614F2">
              <w:rPr>
                <w:rFonts w:ascii="Arial" w:hAnsi="Arial" w:cs="Arial"/>
                <w:b/>
                <w:bCs/>
                <w:sz w:val="16"/>
                <w:szCs w:val="16"/>
              </w:rPr>
              <w:t>23</w:t>
            </w:r>
            <w:r w:rsidRPr="002614F2">
              <w:rPr>
                <w:rFonts w:ascii="Arial" w:hAnsi="Arial" w:cs="Arial"/>
                <w:b/>
                <w:bCs/>
                <w:sz w:val="16"/>
                <w:szCs w:val="16"/>
              </w:rPr>
              <w:br/>
              <w:t>Actual</w:t>
            </w:r>
            <w:r w:rsidRPr="002614F2">
              <w:rPr>
                <w:rFonts w:ascii="Arial" w:hAnsi="Arial" w:cs="Arial"/>
                <w:b/>
                <w:bCs/>
                <w:sz w:val="16"/>
                <w:szCs w:val="16"/>
              </w:rPr>
              <w:br/>
            </w:r>
            <w:r w:rsidRPr="002614F2">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382A8B4B" w14:textId="2525B1A7" w:rsidR="002614F2" w:rsidRPr="002614F2" w:rsidRDefault="002614F2" w:rsidP="00F065BE">
            <w:pPr>
              <w:spacing w:before="24" w:after="0" w:line="240" w:lineRule="auto"/>
              <w:jc w:val="right"/>
              <w:rPr>
                <w:rFonts w:ascii="Arial" w:hAnsi="Arial" w:cs="Arial"/>
                <w:b/>
                <w:bCs/>
                <w:sz w:val="16"/>
                <w:szCs w:val="16"/>
              </w:rPr>
            </w:pPr>
            <w:r w:rsidRPr="002614F2">
              <w:rPr>
                <w:rFonts w:ascii="Arial" w:hAnsi="Arial" w:cs="Arial"/>
                <w:b/>
                <w:bCs/>
                <w:sz w:val="16"/>
                <w:szCs w:val="16"/>
              </w:rPr>
              <w:t>2023</w:t>
            </w:r>
            <w:r>
              <w:rPr>
                <w:rFonts w:ascii="Arial" w:hAnsi="Arial" w:cs="Arial"/>
                <w:b/>
                <w:bCs/>
                <w:sz w:val="16"/>
                <w:szCs w:val="16"/>
              </w:rPr>
              <w:t>–</w:t>
            </w:r>
            <w:r w:rsidRPr="002614F2">
              <w:rPr>
                <w:rFonts w:ascii="Arial" w:hAnsi="Arial" w:cs="Arial"/>
                <w:b/>
                <w:bCs/>
                <w:sz w:val="16"/>
                <w:szCs w:val="16"/>
              </w:rPr>
              <w:t>24</w:t>
            </w:r>
            <w:r w:rsidRPr="002614F2">
              <w:rPr>
                <w:rFonts w:ascii="Arial" w:hAnsi="Arial" w:cs="Arial"/>
                <w:b/>
                <w:bCs/>
                <w:sz w:val="16"/>
                <w:szCs w:val="16"/>
              </w:rPr>
              <w:br/>
              <w:t>Revised</w:t>
            </w:r>
            <w:r w:rsidRPr="002614F2">
              <w:rPr>
                <w:rFonts w:ascii="Arial" w:hAnsi="Arial" w:cs="Arial"/>
                <w:b/>
                <w:bCs/>
                <w:sz w:val="16"/>
                <w:szCs w:val="16"/>
              </w:rPr>
              <w:br/>
              <w:t>Budget</w:t>
            </w:r>
            <w:r w:rsidRPr="002614F2">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532E90A6" w14:textId="2CBDEA89" w:rsidR="002614F2" w:rsidRPr="002614F2" w:rsidRDefault="002614F2" w:rsidP="00F065BE">
            <w:pPr>
              <w:spacing w:before="24" w:after="0" w:line="240" w:lineRule="auto"/>
              <w:jc w:val="right"/>
              <w:rPr>
                <w:rFonts w:ascii="Arial" w:hAnsi="Arial" w:cs="Arial"/>
                <w:b/>
                <w:bCs/>
                <w:sz w:val="16"/>
                <w:szCs w:val="16"/>
              </w:rPr>
            </w:pPr>
            <w:r>
              <w:rPr>
                <w:rFonts w:ascii="Arial" w:hAnsi="Arial" w:cs="Arial"/>
                <w:b/>
                <w:bCs/>
                <w:sz w:val="16"/>
                <w:szCs w:val="16"/>
              </w:rPr>
              <w:t>2024–</w:t>
            </w:r>
            <w:r w:rsidRPr="002614F2">
              <w:rPr>
                <w:rFonts w:ascii="Arial" w:hAnsi="Arial" w:cs="Arial"/>
                <w:b/>
                <w:bCs/>
                <w:sz w:val="16"/>
                <w:szCs w:val="16"/>
              </w:rPr>
              <w:t>25 Forward Estimate</w:t>
            </w:r>
            <w:r w:rsidRPr="002614F2">
              <w:rPr>
                <w:rFonts w:ascii="Arial" w:hAnsi="Arial" w:cs="Arial"/>
                <w:b/>
                <w:bCs/>
                <w:sz w:val="16"/>
                <w:szCs w:val="16"/>
              </w:rPr>
              <w:br/>
            </w:r>
            <w:r w:rsidRPr="002614F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3C7020EC" w14:textId="6743807D" w:rsidR="002614F2" w:rsidRPr="002614F2" w:rsidRDefault="002614F2" w:rsidP="00F065BE">
            <w:pPr>
              <w:spacing w:before="24" w:after="0" w:line="240" w:lineRule="auto"/>
              <w:jc w:val="right"/>
              <w:rPr>
                <w:rFonts w:ascii="Arial" w:hAnsi="Arial" w:cs="Arial"/>
                <w:b/>
                <w:bCs/>
                <w:sz w:val="16"/>
                <w:szCs w:val="16"/>
              </w:rPr>
            </w:pPr>
            <w:r>
              <w:rPr>
                <w:rFonts w:ascii="Arial" w:hAnsi="Arial" w:cs="Arial"/>
                <w:b/>
                <w:bCs/>
                <w:sz w:val="16"/>
                <w:szCs w:val="16"/>
              </w:rPr>
              <w:t>2025–</w:t>
            </w:r>
            <w:r w:rsidRPr="002614F2">
              <w:rPr>
                <w:rFonts w:ascii="Arial" w:hAnsi="Arial" w:cs="Arial"/>
                <w:b/>
                <w:bCs/>
                <w:sz w:val="16"/>
                <w:szCs w:val="16"/>
              </w:rPr>
              <w:t>26 Forward Estimate</w:t>
            </w:r>
            <w:r w:rsidRPr="002614F2">
              <w:rPr>
                <w:rFonts w:ascii="Arial" w:hAnsi="Arial" w:cs="Arial"/>
                <w:b/>
                <w:bCs/>
                <w:sz w:val="16"/>
                <w:szCs w:val="16"/>
              </w:rPr>
              <w:br/>
            </w:r>
            <w:r w:rsidRPr="002614F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34ABD7CD" w14:textId="67979077" w:rsidR="002614F2" w:rsidRPr="002614F2" w:rsidRDefault="002614F2" w:rsidP="00F065BE">
            <w:pPr>
              <w:spacing w:before="24" w:after="0" w:line="240" w:lineRule="auto"/>
              <w:jc w:val="right"/>
              <w:rPr>
                <w:rFonts w:ascii="Arial" w:hAnsi="Arial" w:cs="Arial"/>
                <w:b/>
                <w:bCs/>
                <w:sz w:val="16"/>
                <w:szCs w:val="16"/>
              </w:rPr>
            </w:pPr>
            <w:r>
              <w:rPr>
                <w:rFonts w:ascii="Arial" w:hAnsi="Arial" w:cs="Arial"/>
                <w:b/>
                <w:bCs/>
                <w:sz w:val="16"/>
                <w:szCs w:val="16"/>
              </w:rPr>
              <w:t>2026–</w:t>
            </w:r>
            <w:r w:rsidRPr="002614F2">
              <w:rPr>
                <w:rFonts w:ascii="Arial" w:hAnsi="Arial" w:cs="Arial"/>
                <w:b/>
                <w:bCs/>
                <w:sz w:val="16"/>
                <w:szCs w:val="16"/>
              </w:rPr>
              <w:t>27 Forward Estimate</w:t>
            </w:r>
            <w:r w:rsidRPr="002614F2">
              <w:rPr>
                <w:rFonts w:ascii="Arial" w:hAnsi="Arial" w:cs="Arial"/>
                <w:b/>
                <w:bCs/>
                <w:sz w:val="16"/>
                <w:szCs w:val="16"/>
              </w:rPr>
              <w:br/>
            </w:r>
            <w:r w:rsidRPr="002614F2">
              <w:rPr>
                <w:rFonts w:ascii="Arial" w:hAnsi="Arial" w:cs="Arial"/>
                <w:sz w:val="16"/>
                <w:szCs w:val="16"/>
              </w:rPr>
              <w:t>$'000</w:t>
            </w:r>
          </w:p>
        </w:tc>
      </w:tr>
      <w:tr w:rsidR="002614F2" w:rsidRPr="002614F2" w14:paraId="14331145"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0F6893F8"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EXPENSES</w:t>
            </w:r>
          </w:p>
        </w:tc>
        <w:tc>
          <w:tcPr>
            <w:tcW w:w="960" w:type="dxa"/>
            <w:tcBorders>
              <w:top w:val="nil"/>
              <w:left w:val="nil"/>
              <w:bottom w:val="nil"/>
              <w:right w:val="nil"/>
            </w:tcBorders>
            <w:shd w:val="clear" w:color="auto" w:fill="auto"/>
            <w:noWrap/>
            <w:vAlign w:val="bottom"/>
            <w:hideMark/>
          </w:tcPr>
          <w:p w14:paraId="3A013A1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000000" w:fill="D9D9D9"/>
            <w:noWrap/>
            <w:vAlign w:val="bottom"/>
            <w:hideMark/>
          </w:tcPr>
          <w:p w14:paraId="5C1DF8D1"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04DF44D1"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045FC612"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93E403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 </w:t>
            </w:r>
          </w:p>
        </w:tc>
      </w:tr>
      <w:tr w:rsidR="002614F2" w:rsidRPr="002614F2" w14:paraId="46B80050"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062A44E2"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1EA14A2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63,469</w:t>
            </w:r>
          </w:p>
        </w:tc>
        <w:tc>
          <w:tcPr>
            <w:tcW w:w="960" w:type="dxa"/>
            <w:tcBorders>
              <w:top w:val="nil"/>
              <w:left w:val="nil"/>
              <w:bottom w:val="nil"/>
              <w:right w:val="nil"/>
            </w:tcBorders>
            <w:shd w:val="clear" w:color="000000" w:fill="D9D9D9"/>
            <w:noWrap/>
            <w:vAlign w:val="bottom"/>
            <w:hideMark/>
          </w:tcPr>
          <w:p w14:paraId="2CA6688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86,762</w:t>
            </w:r>
          </w:p>
        </w:tc>
        <w:tc>
          <w:tcPr>
            <w:tcW w:w="960" w:type="dxa"/>
            <w:tcBorders>
              <w:top w:val="nil"/>
              <w:left w:val="nil"/>
              <w:bottom w:val="nil"/>
              <w:right w:val="nil"/>
            </w:tcBorders>
            <w:shd w:val="clear" w:color="auto" w:fill="auto"/>
            <w:noWrap/>
            <w:vAlign w:val="bottom"/>
            <w:hideMark/>
          </w:tcPr>
          <w:p w14:paraId="0705AD6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87,673</w:t>
            </w:r>
          </w:p>
        </w:tc>
        <w:tc>
          <w:tcPr>
            <w:tcW w:w="960" w:type="dxa"/>
            <w:tcBorders>
              <w:top w:val="nil"/>
              <w:left w:val="nil"/>
              <w:bottom w:val="nil"/>
              <w:right w:val="nil"/>
            </w:tcBorders>
            <w:shd w:val="clear" w:color="auto" w:fill="auto"/>
            <w:noWrap/>
            <w:vAlign w:val="bottom"/>
            <w:hideMark/>
          </w:tcPr>
          <w:p w14:paraId="7FDA53D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88,919</w:t>
            </w:r>
          </w:p>
        </w:tc>
        <w:tc>
          <w:tcPr>
            <w:tcW w:w="960" w:type="dxa"/>
            <w:tcBorders>
              <w:top w:val="nil"/>
              <w:left w:val="nil"/>
              <w:bottom w:val="nil"/>
              <w:right w:val="nil"/>
            </w:tcBorders>
            <w:shd w:val="clear" w:color="auto" w:fill="auto"/>
            <w:noWrap/>
            <w:vAlign w:val="bottom"/>
            <w:hideMark/>
          </w:tcPr>
          <w:p w14:paraId="75CFFA0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89,661</w:t>
            </w:r>
          </w:p>
        </w:tc>
      </w:tr>
      <w:tr w:rsidR="002614F2" w:rsidRPr="002614F2" w14:paraId="7036BE49"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1BF0DD33"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Supplier expenses</w:t>
            </w:r>
          </w:p>
        </w:tc>
        <w:tc>
          <w:tcPr>
            <w:tcW w:w="960" w:type="dxa"/>
            <w:tcBorders>
              <w:top w:val="nil"/>
              <w:left w:val="nil"/>
              <w:bottom w:val="nil"/>
              <w:right w:val="nil"/>
            </w:tcBorders>
            <w:shd w:val="clear" w:color="auto" w:fill="auto"/>
            <w:noWrap/>
            <w:vAlign w:val="bottom"/>
            <w:hideMark/>
          </w:tcPr>
          <w:p w14:paraId="0262A2B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45,582</w:t>
            </w:r>
          </w:p>
        </w:tc>
        <w:tc>
          <w:tcPr>
            <w:tcW w:w="960" w:type="dxa"/>
            <w:tcBorders>
              <w:top w:val="nil"/>
              <w:left w:val="nil"/>
              <w:bottom w:val="nil"/>
              <w:right w:val="nil"/>
            </w:tcBorders>
            <w:shd w:val="clear" w:color="000000" w:fill="D9D9D9"/>
            <w:noWrap/>
            <w:vAlign w:val="bottom"/>
            <w:hideMark/>
          </w:tcPr>
          <w:p w14:paraId="1D09921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20,901</w:t>
            </w:r>
          </w:p>
        </w:tc>
        <w:tc>
          <w:tcPr>
            <w:tcW w:w="960" w:type="dxa"/>
            <w:tcBorders>
              <w:top w:val="nil"/>
              <w:left w:val="nil"/>
              <w:bottom w:val="nil"/>
              <w:right w:val="nil"/>
            </w:tcBorders>
            <w:shd w:val="clear" w:color="auto" w:fill="auto"/>
            <w:noWrap/>
            <w:vAlign w:val="bottom"/>
            <w:hideMark/>
          </w:tcPr>
          <w:p w14:paraId="1335372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18,476</w:t>
            </w:r>
          </w:p>
        </w:tc>
        <w:tc>
          <w:tcPr>
            <w:tcW w:w="960" w:type="dxa"/>
            <w:tcBorders>
              <w:top w:val="nil"/>
              <w:left w:val="nil"/>
              <w:bottom w:val="nil"/>
              <w:right w:val="nil"/>
            </w:tcBorders>
            <w:shd w:val="clear" w:color="auto" w:fill="auto"/>
            <w:noWrap/>
            <w:vAlign w:val="bottom"/>
            <w:hideMark/>
          </w:tcPr>
          <w:p w14:paraId="7B91744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17,170</w:t>
            </w:r>
          </w:p>
        </w:tc>
        <w:tc>
          <w:tcPr>
            <w:tcW w:w="960" w:type="dxa"/>
            <w:tcBorders>
              <w:top w:val="nil"/>
              <w:left w:val="nil"/>
              <w:bottom w:val="nil"/>
              <w:right w:val="nil"/>
            </w:tcBorders>
            <w:shd w:val="clear" w:color="auto" w:fill="auto"/>
            <w:noWrap/>
            <w:vAlign w:val="bottom"/>
            <w:hideMark/>
          </w:tcPr>
          <w:p w14:paraId="1626F94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16,600</w:t>
            </w:r>
          </w:p>
        </w:tc>
      </w:tr>
      <w:tr w:rsidR="002614F2" w:rsidRPr="002614F2" w14:paraId="6E4BDF0E"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7F2EE303"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Depreciation and amortisation</w:t>
            </w:r>
          </w:p>
        </w:tc>
        <w:tc>
          <w:tcPr>
            <w:tcW w:w="960" w:type="dxa"/>
            <w:tcBorders>
              <w:top w:val="nil"/>
              <w:left w:val="nil"/>
              <w:bottom w:val="nil"/>
              <w:right w:val="nil"/>
            </w:tcBorders>
            <w:shd w:val="clear" w:color="auto" w:fill="auto"/>
            <w:noWrap/>
            <w:vAlign w:val="bottom"/>
            <w:hideMark/>
          </w:tcPr>
          <w:p w14:paraId="44C7EAE4"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6,295</w:t>
            </w:r>
          </w:p>
        </w:tc>
        <w:tc>
          <w:tcPr>
            <w:tcW w:w="960" w:type="dxa"/>
            <w:tcBorders>
              <w:top w:val="nil"/>
              <w:left w:val="nil"/>
              <w:bottom w:val="nil"/>
              <w:right w:val="nil"/>
            </w:tcBorders>
            <w:shd w:val="clear" w:color="000000" w:fill="D9D9D9"/>
            <w:noWrap/>
            <w:vAlign w:val="bottom"/>
            <w:hideMark/>
          </w:tcPr>
          <w:p w14:paraId="448B0FF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6,594</w:t>
            </w:r>
          </w:p>
        </w:tc>
        <w:tc>
          <w:tcPr>
            <w:tcW w:w="960" w:type="dxa"/>
            <w:tcBorders>
              <w:top w:val="nil"/>
              <w:left w:val="nil"/>
              <w:bottom w:val="nil"/>
              <w:right w:val="nil"/>
            </w:tcBorders>
            <w:shd w:val="clear" w:color="auto" w:fill="auto"/>
            <w:noWrap/>
            <w:vAlign w:val="bottom"/>
            <w:hideMark/>
          </w:tcPr>
          <w:p w14:paraId="25F00FC2"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6,745</w:t>
            </w:r>
          </w:p>
        </w:tc>
        <w:tc>
          <w:tcPr>
            <w:tcW w:w="960" w:type="dxa"/>
            <w:tcBorders>
              <w:top w:val="nil"/>
              <w:left w:val="nil"/>
              <w:bottom w:val="nil"/>
              <w:right w:val="nil"/>
            </w:tcBorders>
            <w:shd w:val="clear" w:color="auto" w:fill="auto"/>
            <w:noWrap/>
            <w:vAlign w:val="bottom"/>
            <w:hideMark/>
          </w:tcPr>
          <w:p w14:paraId="0599529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6,745</w:t>
            </w:r>
          </w:p>
        </w:tc>
        <w:tc>
          <w:tcPr>
            <w:tcW w:w="960" w:type="dxa"/>
            <w:tcBorders>
              <w:top w:val="nil"/>
              <w:left w:val="nil"/>
              <w:bottom w:val="nil"/>
              <w:right w:val="nil"/>
            </w:tcBorders>
            <w:shd w:val="clear" w:color="auto" w:fill="auto"/>
            <w:noWrap/>
            <w:vAlign w:val="bottom"/>
            <w:hideMark/>
          </w:tcPr>
          <w:p w14:paraId="6601CE1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6,783</w:t>
            </w:r>
          </w:p>
        </w:tc>
      </w:tr>
      <w:tr w:rsidR="002614F2" w:rsidRPr="002614F2" w14:paraId="3CD95F5F"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6FB91DB6"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 xml:space="preserve">Interest on </w:t>
            </w:r>
            <w:proofErr w:type="spellStart"/>
            <w:r w:rsidRPr="002614F2">
              <w:rPr>
                <w:rFonts w:ascii="Arial" w:hAnsi="Arial" w:cs="Arial"/>
                <w:sz w:val="16"/>
                <w:szCs w:val="16"/>
              </w:rPr>
              <w:t>RoU</w:t>
            </w:r>
            <w:proofErr w:type="spellEnd"/>
          </w:p>
        </w:tc>
        <w:tc>
          <w:tcPr>
            <w:tcW w:w="960" w:type="dxa"/>
            <w:tcBorders>
              <w:top w:val="nil"/>
              <w:left w:val="nil"/>
              <w:bottom w:val="nil"/>
              <w:right w:val="nil"/>
            </w:tcBorders>
            <w:shd w:val="clear" w:color="auto" w:fill="auto"/>
            <w:noWrap/>
            <w:vAlign w:val="bottom"/>
            <w:hideMark/>
          </w:tcPr>
          <w:p w14:paraId="2BB5B24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351</w:t>
            </w:r>
          </w:p>
        </w:tc>
        <w:tc>
          <w:tcPr>
            <w:tcW w:w="960" w:type="dxa"/>
            <w:tcBorders>
              <w:top w:val="nil"/>
              <w:left w:val="nil"/>
              <w:bottom w:val="nil"/>
              <w:right w:val="nil"/>
            </w:tcBorders>
            <w:shd w:val="clear" w:color="000000" w:fill="D9D9D9"/>
            <w:noWrap/>
            <w:vAlign w:val="bottom"/>
            <w:hideMark/>
          </w:tcPr>
          <w:p w14:paraId="748400B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280</w:t>
            </w:r>
          </w:p>
        </w:tc>
        <w:tc>
          <w:tcPr>
            <w:tcW w:w="960" w:type="dxa"/>
            <w:tcBorders>
              <w:top w:val="nil"/>
              <w:left w:val="nil"/>
              <w:bottom w:val="nil"/>
              <w:right w:val="nil"/>
            </w:tcBorders>
            <w:shd w:val="clear" w:color="auto" w:fill="auto"/>
            <w:noWrap/>
            <w:vAlign w:val="bottom"/>
            <w:hideMark/>
          </w:tcPr>
          <w:p w14:paraId="071C408E"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237</w:t>
            </w:r>
          </w:p>
        </w:tc>
        <w:tc>
          <w:tcPr>
            <w:tcW w:w="960" w:type="dxa"/>
            <w:tcBorders>
              <w:top w:val="nil"/>
              <w:left w:val="nil"/>
              <w:bottom w:val="nil"/>
              <w:right w:val="nil"/>
            </w:tcBorders>
            <w:shd w:val="clear" w:color="auto" w:fill="auto"/>
            <w:noWrap/>
            <w:vAlign w:val="bottom"/>
            <w:hideMark/>
          </w:tcPr>
          <w:p w14:paraId="61E53391"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200</w:t>
            </w:r>
          </w:p>
        </w:tc>
        <w:tc>
          <w:tcPr>
            <w:tcW w:w="960" w:type="dxa"/>
            <w:tcBorders>
              <w:top w:val="nil"/>
              <w:left w:val="nil"/>
              <w:bottom w:val="nil"/>
              <w:right w:val="nil"/>
            </w:tcBorders>
            <w:shd w:val="clear" w:color="auto" w:fill="auto"/>
            <w:noWrap/>
            <w:vAlign w:val="bottom"/>
            <w:hideMark/>
          </w:tcPr>
          <w:p w14:paraId="30F8336B"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270</w:t>
            </w:r>
          </w:p>
        </w:tc>
      </w:tr>
      <w:tr w:rsidR="002614F2" w:rsidRPr="002614F2" w14:paraId="0092A352"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7A2C8EA2" w14:textId="77777777" w:rsidR="002614F2" w:rsidRPr="002614F2" w:rsidRDefault="002614F2" w:rsidP="00C51A01">
            <w:pPr>
              <w:spacing w:before="0" w:after="0" w:line="240" w:lineRule="auto"/>
              <w:ind w:leftChars="75" w:left="143"/>
              <w:rPr>
                <w:rFonts w:ascii="Arial" w:hAnsi="Arial" w:cs="Arial"/>
                <w:b/>
                <w:bCs/>
                <w:sz w:val="16"/>
                <w:szCs w:val="16"/>
              </w:rPr>
            </w:pPr>
            <w:r w:rsidRPr="002614F2">
              <w:rPr>
                <w:rFonts w:ascii="Arial" w:hAnsi="Arial" w:cs="Arial"/>
                <w:b/>
                <w:bCs/>
                <w:sz w:val="16"/>
                <w:szCs w:val="16"/>
              </w:rPr>
              <w:t>Total expenses</w:t>
            </w:r>
          </w:p>
        </w:tc>
        <w:tc>
          <w:tcPr>
            <w:tcW w:w="960" w:type="dxa"/>
            <w:tcBorders>
              <w:top w:val="nil"/>
              <w:left w:val="nil"/>
              <w:bottom w:val="single" w:sz="4" w:space="0" w:color="auto"/>
              <w:right w:val="nil"/>
            </w:tcBorders>
            <w:shd w:val="clear" w:color="auto" w:fill="auto"/>
            <w:noWrap/>
            <w:vAlign w:val="bottom"/>
            <w:hideMark/>
          </w:tcPr>
          <w:p w14:paraId="1A68D5DD"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115,697</w:t>
            </w:r>
          </w:p>
        </w:tc>
        <w:tc>
          <w:tcPr>
            <w:tcW w:w="960" w:type="dxa"/>
            <w:tcBorders>
              <w:top w:val="nil"/>
              <w:left w:val="nil"/>
              <w:bottom w:val="single" w:sz="4" w:space="0" w:color="auto"/>
              <w:right w:val="nil"/>
            </w:tcBorders>
            <w:shd w:val="clear" w:color="000000" w:fill="D9D9D9"/>
            <w:noWrap/>
            <w:vAlign w:val="bottom"/>
            <w:hideMark/>
          </w:tcPr>
          <w:p w14:paraId="42E14040"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114,537</w:t>
            </w:r>
          </w:p>
        </w:tc>
        <w:tc>
          <w:tcPr>
            <w:tcW w:w="960" w:type="dxa"/>
            <w:tcBorders>
              <w:top w:val="nil"/>
              <w:left w:val="nil"/>
              <w:bottom w:val="single" w:sz="4" w:space="0" w:color="auto"/>
              <w:right w:val="nil"/>
            </w:tcBorders>
            <w:shd w:val="clear" w:color="auto" w:fill="auto"/>
            <w:noWrap/>
            <w:vAlign w:val="bottom"/>
            <w:hideMark/>
          </w:tcPr>
          <w:p w14:paraId="566A9D3B"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113,131</w:t>
            </w:r>
          </w:p>
        </w:tc>
        <w:tc>
          <w:tcPr>
            <w:tcW w:w="960" w:type="dxa"/>
            <w:tcBorders>
              <w:top w:val="nil"/>
              <w:left w:val="nil"/>
              <w:bottom w:val="single" w:sz="4" w:space="0" w:color="auto"/>
              <w:right w:val="nil"/>
            </w:tcBorders>
            <w:shd w:val="clear" w:color="auto" w:fill="auto"/>
            <w:noWrap/>
            <w:vAlign w:val="bottom"/>
            <w:hideMark/>
          </w:tcPr>
          <w:p w14:paraId="531ED34C"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113,034</w:t>
            </w:r>
          </w:p>
        </w:tc>
        <w:tc>
          <w:tcPr>
            <w:tcW w:w="960" w:type="dxa"/>
            <w:tcBorders>
              <w:top w:val="nil"/>
              <w:left w:val="nil"/>
              <w:bottom w:val="single" w:sz="4" w:space="0" w:color="auto"/>
              <w:right w:val="nil"/>
            </w:tcBorders>
            <w:shd w:val="clear" w:color="auto" w:fill="auto"/>
            <w:noWrap/>
            <w:vAlign w:val="bottom"/>
            <w:hideMark/>
          </w:tcPr>
          <w:p w14:paraId="609CF5E8"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113,314</w:t>
            </w:r>
          </w:p>
        </w:tc>
      </w:tr>
      <w:tr w:rsidR="002614F2" w:rsidRPr="002614F2" w14:paraId="5216EAE2" w14:textId="77777777" w:rsidTr="00F065BE">
        <w:trPr>
          <w:trHeight w:val="283"/>
          <w:jc w:val="center"/>
        </w:trPr>
        <w:tc>
          <w:tcPr>
            <w:tcW w:w="3080" w:type="dxa"/>
            <w:tcBorders>
              <w:top w:val="nil"/>
              <w:left w:val="nil"/>
              <w:bottom w:val="nil"/>
              <w:right w:val="nil"/>
            </w:tcBorders>
            <w:shd w:val="clear" w:color="auto" w:fill="auto"/>
            <w:noWrap/>
            <w:vAlign w:val="bottom"/>
            <w:hideMark/>
          </w:tcPr>
          <w:p w14:paraId="149032B2"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 xml:space="preserve">LESS: </w:t>
            </w:r>
          </w:p>
        </w:tc>
        <w:tc>
          <w:tcPr>
            <w:tcW w:w="960" w:type="dxa"/>
            <w:tcBorders>
              <w:top w:val="nil"/>
              <w:left w:val="nil"/>
              <w:bottom w:val="nil"/>
              <w:right w:val="nil"/>
            </w:tcBorders>
            <w:shd w:val="clear" w:color="auto" w:fill="auto"/>
            <w:noWrap/>
            <w:vAlign w:val="bottom"/>
            <w:hideMark/>
          </w:tcPr>
          <w:p w14:paraId="7AF58917" w14:textId="77777777" w:rsidR="002614F2" w:rsidRPr="002614F2" w:rsidRDefault="002614F2" w:rsidP="002614F2">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38992610"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665608DB"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0D9E999F"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87816FF"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343628F1"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543DCD6C"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OWN-SOURCE INCOME</w:t>
            </w:r>
          </w:p>
        </w:tc>
        <w:tc>
          <w:tcPr>
            <w:tcW w:w="960" w:type="dxa"/>
            <w:tcBorders>
              <w:top w:val="nil"/>
              <w:left w:val="nil"/>
              <w:bottom w:val="nil"/>
              <w:right w:val="nil"/>
            </w:tcBorders>
            <w:shd w:val="clear" w:color="auto" w:fill="auto"/>
            <w:noWrap/>
            <w:vAlign w:val="bottom"/>
            <w:hideMark/>
          </w:tcPr>
          <w:p w14:paraId="61FE8299" w14:textId="77777777" w:rsidR="002614F2" w:rsidRPr="002614F2" w:rsidRDefault="002614F2" w:rsidP="002614F2">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7BE503AA"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1BCA9A07"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4683CF64"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9B808CB"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6BF09D3D"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1CCD6D2F" w14:textId="77777777" w:rsidR="002614F2" w:rsidRPr="002614F2" w:rsidRDefault="002614F2" w:rsidP="00C51A01">
            <w:pPr>
              <w:spacing w:before="0" w:after="0" w:line="240" w:lineRule="auto"/>
              <w:ind w:leftChars="75" w:left="143"/>
              <w:rPr>
                <w:rFonts w:ascii="Arial" w:hAnsi="Arial" w:cs="Arial"/>
                <w:b/>
                <w:bCs/>
                <w:sz w:val="16"/>
                <w:szCs w:val="16"/>
              </w:rPr>
            </w:pPr>
            <w:r w:rsidRPr="002614F2">
              <w:rPr>
                <w:rFonts w:ascii="Arial" w:hAnsi="Arial" w:cs="Arial"/>
                <w:b/>
                <w:bCs/>
                <w:sz w:val="16"/>
                <w:szCs w:val="16"/>
              </w:rPr>
              <w:t>Revenue</w:t>
            </w:r>
          </w:p>
        </w:tc>
        <w:tc>
          <w:tcPr>
            <w:tcW w:w="960" w:type="dxa"/>
            <w:tcBorders>
              <w:top w:val="nil"/>
              <w:left w:val="nil"/>
              <w:bottom w:val="nil"/>
              <w:right w:val="nil"/>
            </w:tcBorders>
            <w:shd w:val="clear" w:color="auto" w:fill="auto"/>
            <w:noWrap/>
            <w:vAlign w:val="bottom"/>
            <w:hideMark/>
          </w:tcPr>
          <w:p w14:paraId="0FE2706E" w14:textId="77777777" w:rsidR="002614F2" w:rsidRPr="002614F2" w:rsidRDefault="002614F2" w:rsidP="002614F2">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7CFFE2F4"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7FB2B747"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062E1CC0"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211B244"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1D4111A2"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08CD1264" w14:textId="77777777" w:rsidR="002614F2" w:rsidRPr="002614F2" w:rsidRDefault="002614F2" w:rsidP="00C51A01">
            <w:pPr>
              <w:spacing w:before="0" w:after="0" w:line="240" w:lineRule="auto"/>
              <w:ind w:leftChars="150" w:left="285"/>
              <w:rPr>
                <w:rFonts w:ascii="Arial" w:hAnsi="Arial" w:cs="Arial"/>
                <w:sz w:val="16"/>
                <w:szCs w:val="16"/>
              </w:rPr>
            </w:pPr>
            <w:r w:rsidRPr="002614F2">
              <w:rPr>
                <w:rFonts w:ascii="Arial" w:hAnsi="Arial" w:cs="Arial"/>
                <w:sz w:val="16"/>
                <w:szCs w:val="16"/>
              </w:rPr>
              <w:t>Interest</w:t>
            </w:r>
          </w:p>
        </w:tc>
        <w:tc>
          <w:tcPr>
            <w:tcW w:w="960" w:type="dxa"/>
            <w:tcBorders>
              <w:top w:val="nil"/>
              <w:left w:val="nil"/>
              <w:bottom w:val="nil"/>
              <w:right w:val="nil"/>
            </w:tcBorders>
            <w:shd w:val="clear" w:color="auto" w:fill="auto"/>
            <w:noWrap/>
            <w:vAlign w:val="bottom"/>
            <w:hideMark/>
          </w:tcPr>
          <w:p w14:paraId="3E474917"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3,191</w:t>
            </w:r>
          </w:p>
        </w:tc>
        <w:tc>
          <w:tcPr>
            <w:tcW w:w="960" w:type="dxa"/>
            <w:tcBorders>
              <w:top w:val="nil"/>
              <w:left w:val="nil"/>
              <w:bottom w:val="nil"/>
              <w:right w:val="nil"/>
            </w:tcBorders>
            <w:shd w:val="clear" w:color="000000" w:fill="D9D9D9"/>
            <w:noWrap/>
            <w:vAlign w:val="bottom"/>
            <w:hideMark/>
          </w:tcPr>
          <w:p w14:paraId="4FCBCB2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4,600</w:t>
            </w:r>
          </w:p>
        </w:tc>
        <w:tc>
          <w:tcPr>
            <w:tcW w:w="960" w:type="dxa"/>
            <w:tcBorders>
              <w:top w:val="nil"/>
              <w:left w:val="nil"/>
              <w:bottom w:val="nil"/>
              <w:right w:val="nil"/>
            </w:tcBorders>
            <w:shd w:val="clear" w:color="auto" w:fill="auto"/>
            <w:noWrap/>
            <w:vAlign w:val="bottom"/>
            <w:hideMark/>
          </w:tcPr>
          <w:p w14:paraId="583C674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4,000</w:t>
            </w:r>
          </w:p>
        </w:tc>
        <w:tc>
          <w:tcPr>
            <w:tcW w:w="960" w:type="dxa"/>
            <w:tcBorders>
              <w:top w:val="nil"/>
              <w:left w:val="nil"/>
              <w:bottom w:val="nil"/>
              <w:right w:val="nil"/>
            </w:tcBorders>
            <w:shd w:val="clear" w:color="auto" w:fill="auto"/>
            <w:noWrap/>
            <w:vAlign w:val="bottom"/>
            <w:hideMark/>
          </w:tcPr>
          <w:p w14:paraId="205435F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4,000</w:t>
            </w:r>
          </w:p>
        </w:tc>
        <w:tc>
          <w:tcPr>
            <w:tcW w:w="960" w:type="dxa"/>
            <w:tcBorders>
              <w:top w:val="nil"/>
              <w:left w:val="nil"/>
              <w:bottom w:val="nil"/>
              <w:right w:val="nil"/>
            </w:tcBorders>
            <w:shd w:val="clear" w:color="auto" w:fill="auto"/>
            <w:noWrap/>
            <w:vAlign w:val="bottom"/>
            <w:hideMark/>
          </w:tcPr>
          <w:p w14:paraId="59A80127"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4,000</w:t>
            </w:r>
          </w:p>
        </w:tc>
      </w:tr>
      <w:tr w:rsidR="002614F2" w:rsidRPr="002614F2" w14:paraId="6A0CAAE0" w14:textId="77777777" w:rsidTr="002614F2">
        <w:trPr>
          <w:trHeight w:val="225"/>
          <w:jc w:val="center"/>
        </w:trPr>
        <w:tc>
          <w:tcPr>
            <w:tcW w:w="3080" w:type="dxa"/>
            <w:tcBorders>
              <w:top w:val="nil"/>
              <w:left w:val="nil"/>
              <w:bottom w:val="nil"/>
              <w:right w:val="nil"/>
            </w:tcBorders>
            <w:shd w:val="clear" w:color="auto" w:fill="auto"/>
            <w:vAlign w:val="bottom"/>
            <w:hideMark/>
          </w:tcPr>
          <w:p w14:paraId="644E2CDF" w14:textId="77777777" w:rsidR="002614F2" w:rsidRPr="002614F2" w:rsidRDefault="002614F2" w:rsidP="00C51A01">
            <w:pPr>
              <w:spacing w:before="0" w:after="0" w:line="240" w:lineRule="auto"/>
              <w:ind w:leftChars="150" w:left="285"/>
              <w:rPr>
                <w:rFonts w:ascii="Arial" w:hAnsi="Arial" w:cs="Arial"/>
                <w:sz w:val="16"/>
                <w:szCs w:val="16"/>
              </w:rPr>
            </w:pPr>
            <w:r w:rsidRPr="002614F2">
              <w:rPr>
                <w:rFonts w:ascii="Arial" w:hAnsi="Arial" w:cs="Arial"/>
                <w:sz w:val="16"/>
                <w:szCs w:val="16"/>
              </w:rPr>
              <w:t>Sale of goods and services</w:t>
            </w:r>
          </w:p>
        </w:tc>
        <w:tc>
          <w:tcPr>
            <w:tcW w:w="960" w:type="dxa"/>
            <w:tcBorders>
              <w:top w:val="nil"/>
              <w:left w:val="nil"/>
              <w:bottom w:val="nil"/>
              <w:right w:val="nil"/>
            </w:tcBorders>
            <w:shd w:val="clear" w:color="auto" w:fill="auto"/>
            <w:noWrap/>
            <w:vAlign w:val="bottom"/>
            <w:hideMark/>
          </w:tcPr>
          <w:p w14:paraId="261C499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77,336</w:t>
            </w:r>
          </w:p>
        </w:tc>
        <w:tc>
          <w:tcPr>
            <w:tcW w:w="960" w:type="dxa"/>
            <w:tcBorders>
              <w:top w:val="nil"/>
              <w:left w:val="nil"/>
              <w:bottom w:val="nil"/>
              <w:right w:val="nil"/>
            </w:tcBorders>
            <w:shd w:val="clear" w:color="000000" w:fill="D9D9D9"/>
            <w:noWrap/>
            <w:vAlign w:val="bottom"/>
            <w:hideMark/>
          </w:tcPr>
          <w:p w14:paraId="26410DB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73,000</w:t>
            </w:r>
          </w:p>
        </w:tc>
        <w:tc>
          <w:tcPr>
            <w:tcW w:w="960" w:type="dxa"/>
            <w:tcBorders>
              <w:top w:val="nil"/>
              <w:left w:val="nil"/>
              <w:bottom w:val="nil"/>
              <w:right w:val="nil"/>
            </w:tcBorders>
            <w:shd w:val="clear" w:color="auto" w:fill="auto"/>
            <w:noWrap/>
            <w:vAlign w:val="bottom"/>
            <w:hideMark/>
          </w:tcPr>
          <w:p w14:paraId="28B8CF3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73,000</w:t>
            </w:r>
          </w:p>
        </w:tc>
        <w:tc>
          <w:tcPr>
            <w:tcW w:w="960" w:type="dxa"/>
            <w:tcBorders>
              <w:top w:val="nil"/>
              <w:left w:val="nil"/>
              <w:bottom w:val="nil"/>
              <w:right w:val="nil"/>
            </w:tcBorders>
            <w:shd w:val="clear" w:color="auto" w:fill="auto"/>
            <w:noWrap/>
            <w:vAlign w:val="bottom"/>
            <w:hideMark/>
          </w:tcPr>
          <w:p w14:paraId="54F3779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73,000</w:t>
            </w:r>
          </w:p>
        </w:tc>
        <w:tc>
          <w:tcPr>
            <w:tcW w:w="960" w:type="dxa"/>
            <w:tcBorders>
              <w:top w:val="nil"/>
              <w:left w:val="nil"/>
              <w:bottom w:val="nil"/>
              <w:right w:val="nil"/>
            </w:tcBorders>
            <w:shd w:val="clear" w:color="auto" w:fill="auto"/>
            <w:noWrap/>
            <w:vAlign w:val="bottom"/>
            <w:hideMark/>
          </w:tcPr>
          <w:p w14:paraId="1B3F64D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73,000</w:t>
            </w:r>
          </w:p>
        </w:tc>
      </w:tr>
      <w:tr w:rsidR="002614F2" w:rsidRPr="002614F2" w14:paraId="5043D7C3"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03044F9C" w14:textId="77777777" w:rsidR="002614F2" w:rsidRPr="002614F2" w:rsidRDefault="002614F2" w:rsidP="00C51A01">
            <w:pPr>
              <w:spacing w:before="0" w:after="0" w:line="240" w:lineRule="auto"/>
              <w:ind w:leftChars="150" w:left="285"/>
              <w:rPr>
                <w:rFonts w:ascii="Arial" w:hAnsi="Arial" w:cs="Arial"/>
                <w:sz w:val="16"/>
                <w:szCs w:val="16"/>
              </w:rPr>
            </w:pPr>
            <w:r w:rsidRPr="002614F2">
              <w:rPr>
                <w:rFonts w:ascii="Arial" w:hAnsi="Arial" w:cs="Arial"/>
                <w:sz w:val="16"/>
                <w:szCs w:val="16"/>
              </w:rPr>
              <w:t>Other revenue</w:t>
            </w:r>
          </w:p>
        </w:tc>
        <w:tc>
          <w:tcPr>
            <w:tcW w:w="960" w:type="dxa"/>
            <w:tcBorders>
              <w:top w:val="nil"/>
              <w:left w:val="nil"/>
              <w:bottom w:val="nil"/>
              <w:right w:val="nil"/>
            </w:tcBorders>
            <w:shd w:val="clear" w:color="auto" w:fill="auto"/>
            <w:noWrap/>
            <w:vAlign w:val="bottom"/>
            <w:hideMark/>
          </w:tcPr>
          <w:p w14:paraId="576ECD4A"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23</w:t>
            </w:r>
          </w:p>
        </w:tc>
        <w:tc>
          <w:tcPr>
            <w:tcW w:w="960" w:type="dxa"/>
            <w:tcBorders>
              <w:top w:val="nil"/>
              <w:left w:val="nil"/>
              <w:bottom w:val="nil"/>
              <w:right w:val="nil"/>
            </w:tcBorders>
            <w:shd w:val="clear" w:color="000000" w:fill="D9D9D9"/>
            <w:noWrap/>
            <w:vAlign w:val="bottom"/>
            <w:hideMark/>
          </w:tcPr>
          <w:p w14:paraId="50C683E0"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w:t>
            </w:r>
          </w:p>
        </w:tc>
        <w:tc>
          <w:tcPr>
            <w:tcW w:w="960" w:type="dxa"/>
            <w:tcBorders>
              <w:top w:val="nil"/>
              <w:left w:val="nil"/>
              <w:bottom w:val="nil"/>
              <w:right w:val="nil"/>
            </w:tcBorders>
            <w:shd w:val="clear" w:color="auto" w:fill="auto"/>
            <w:noWrap/>
            <w:vAlign w:val="bottom"/>
            <w:hideMark/>
          </w:tcPr>
          <w:p w14:paraId="6ABDF9B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30</w:t>
            </w:r>
          </w:p>
        </w:tc>
        <w:tc>
          <w:tcPr>
            <w:tcW w:w="960" w:type="dxa"/>
            <w:tcBorders>
              <w:top w:val="nil"/>
              <w:left w:val="nil"/>
              <w:bottom w:val="nil"/>
              <w:right w:val="nil"/>
            </w:tcBorders>
            <w:shd w:val="clear" w:color="auto" w:fill="auto"/>
            <w:noWrap/>
            <w:vAlign w:val="bottom"/>
            <w:hideMark/>
          </w:tcPr>
          <w:p w14:paraId="1522F845"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799B276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r>
      <w:tr w:rsidR="002614F2" w:rsidRPr="002614F2" w14:paraId="4FBEDEDB"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55B92DFA" w14:textId="77777777" w:rsidR="002614F2" w:rsidRPr="002614F2" w:rsidRDefault="002614F2" w:rsidP="00C51A01">
            <w:pPr>
              <w:spacing w:before="0" w:after="0" w:line="240" w:lineRule="auto"/>
              <w:ind w:leftChars="150" w:left="285"/>
              <w:rPr>
                <w:rFonts w:ascii="Arial" w:hAnsi="Arial" w:cs="Arial"/>
                <w:b/>
                <w:bCs/>
                <w:sz w:val="16"/>
                <w:szCs w:val="16"/>
              </w:rPr>
            </w:pPr>
            <w:r w:rsidRPr="002614F2">
              <w:rPr>
                <w:rFonts w:ascii="Arial" w:hAnsi="Arial" w:cs="Arial"/>
                <w:b/>
                <w:bCs/>
                <w:sz w:val="16"/>
                <w:szCs w:val="16"/>
              </w:rPr>
              <w:t>Total revenue</w:t>
            </w:r>
          </w:p>
        </w:tc>
        <w:tc>
          <w:tcPr>
            <w:tcW w:w="960" w:type="dxa"/>
            <w:tcBorders>
              <w:top w:val="nil"/>
              <w:left w:val="nil"/>
              <w:bottom w:val="single" w:sz="4" w:space="0" w:color="auto"/>
              <w:right w:val="nil"/>
            </w:tcBorders>
            <w:shd w:val="clear" w:color="auto" w:fill="auto"/>
            <w:noWrap/>
            <w:vAlign w:val="bottom"/>
            <w:hideMark/>
          </w:tcPr>
          <w:p w14:paraId="3C25BD5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80,550</w:t>
            </w:r>
          </w:p>
        </w:tc>
        <w:tc>
          <w:tcPr>
            <w:tcW w:w="960" w:type="dxa"/>
            <w:tcBorders>
              <w:top w:val="nil"/>
              <w:left w:val="nil"/>
              <w:bottom w:val="single" w:sz="4" w:space="0" w:color="auto"/>
              <w:right w:val="nil"/>
            </w:tcBorders>
            <w:shd w:val="clear" w:color="000000" w:fill="D9D9D9"/>
            <w:noWrap/>
            <w:vAlign w:val="bottom"/>
            <w:hideMark/>
          </w:tcPr>
          <w:p w14:paraId="0EDE880F"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77,630</w:t>
            </w:r>
          </w:p>
        </w:tc>
        <w:tc>
          <w:tcPr>
            <w:tcW w:w="960" w:type="dxa"/>
            <w:tcBorders>
              <w:top w:val="nil"/>
              <w:left w:val="nil"/>
              <w:bottom w:val="single" w:sz="4" w:space="0" w:color="auto"/>
              <w:right w:val="nil"/>
            </w:tcBorders>
            <w:shd w:val="clear" w:color="auto" w:fill="auto"/>
            <w:noWrap/>
            <w:vAlign w:val="bottom"/>
            <w:hideMark/>
          </w:tcPr>
          <w:p w14:paraId="0A1650D0"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77,030</w:t>
            </w:r>
          </w:p>
        </w:tc>
        <w:tc>
          <w:tcPr>
            <w:tcW w:w="960" w:type="dxa"/>
            <w:tcBorders>
              <w:top w:val="nil"/>
              <w:left w:val="nil"/>
              <w:bottom w:val="single" w:sz="4" w:space="0" w:color="auto"/>
              <w:right w:val="nil"/>
            </w:tcBorders>
            <w:shd w:val="clear" w:color="auto" w:fill="auto"/>
            <w:noWrap/>
            <w:vAlign w:val="bottom"/>
            <w:hideMark/>
          </w:tcPr>
          <w:p w14:paraId="1526F93B"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77,000</w:t>
            </w:r>
          </w:p>
        </w:tc>
        <w:tc>
          <w:tcPr>
            <w:tcW w:w="960" w:type="dxa"/>
            <w:tcBorders>
              <w:top w:val="nil"/>
              <w:left w:val="nil"/>
              <w:bottom w:val="single" w:sz="4" w:space="0" w:color="auto"/>
              <w:right w:val="nil"/>
            </w:tcBorders>
            <w:shd w:val="clear" w:color="auto" w:fill="auto"/>
            <w:noWrap/>
            <w:vAlign w:val="bottom"/>
            <w:hideMark/>
          </w:tcPr>
          <w:p w14:paraId="133412B8"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77,000</w:t>
            </w:r>
          </w:p>
        </w:tc>
      </w:tr>
      <w:tr w:rsidR="002614F2" w:rsidRPr="002614F2" w14:paraId="7DCCB5EA" w14:textId="77777777" w:rsidTr="00F065BE">
        <w:trPr>
          <w:trHeight w:val="283"/>
          <w:jc w:val="center"/>
        </w:trPr>
        <w:tc>
          <w:tcPr>
            <w:tcW w:w="3080" w:type="dxa"/>
            <w:tcBorders>
              <w:top w:val="nil"/>
              <w:left w:val="nil"/>
              <w:bottom w:val="nil"/>
              <w:right w:val="nil"/>
            </w:tcBorders>
            <w:shd w:val="clear" w:color="auto" w:fill="auto"/>
            <w:noWrap/>
            <w:vAlign w:val="bottom"/>
            <w:hideMark/>
          </w:tcPr>
          <w:p w14:paraId="6878525F" w14:textId="77777777" w:rsidR="002614F2" w:rsidRPr="002614F2" w:rsidRDefault="002614F2" w:rsidP="00C51A01">
            <w:pPr>
              <w:spacing w:before="0" w:after="0" w:line="240" w:lineRule="auto"/>
              <w:ind w:leftChars="75" w:left="143"/>
              <w:rPr>
                <w:rFonts w:ascii="Arial" w:hAnsi="Arial" w:cs="Arial"/>
                <w:b/>
                <w:bCs/>
                <w:sz w:val="16"/>
                <w:szCs w:val="16"/>
              </w:rPr>
            </w:pPr>
            <w:r w:rsidRPr="002614F2">
              <w:rPr>
                <w:rFonts w:ascii="Arial" w:hAnsi="Arial" w:cs="Arial"/>
                <w:b/>
                <w:bCs/>
                <w:sz w:val="16"/>
                <w:szCs w:val="16"/>
              </w:rPr>
              <w:t>Gains</w:t>
            </w:r>
          </w:p>
        </w:tc>
        <w:tc>
          <w:tcPr>
            <w:tcW w:w="960" w:type="dxa"/>
            <w:tcBorders>
              <w:top w:val="nil"/>
              <w:left w:val="nil"/>
              <w:bottom w:val="nil"/>
              <w:right w:val="nil"/>
            </w:tcBorders>
            <w:shd w:val="clear" w:color="auto" w:fill="auto"/>
            <w:noWrap/>
            <w:vAlign w:val="bottom"/>
            <w:hideMark/>
          </w:tcPr>
          <w:p w14:paraId="6AFCE60B" w14:textId="77777777" w:rsidR="002614F2" w:rsidRPr="002614F2" w:rsidRDefault="002614F2" w:rsidP="002614F2">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0312248B"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6A109560"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193F7C84"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3988901"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0AE6202D"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316BC7F2" w14:textId="77777777" w:rsidR="002614F2" w:rsidRPr="002614F2" w:rsidRDefault="002614F2" w:rsidP="00C51A01">
            <w:pPr>
              <w:spacing w:before="0" w:after="0" w:line="240" w:lineRule="auto"/>
              <w:ind w:leftChars="150" w:left="285"/>
              <w:rPr>
                <w:rFonts w:ascii="Arial" w:hAnsi="Arial" w:cs="Arial"/>
                <w:sz w:val="16"/>
                <w:szCs w:val="16"/>
              </w:rPr>
            </w:pPr>
            <w:r w:rsidRPr="002614F2">
              <w:rPr>
                <w:rFonts w:ascii="Arial" w:hAnsi="Arial" w:cs="Arial"/>
                <w:sz w:val="16"/>
                <w:szCs w:val="16"/>
              </w:rPr>
              <w:t>Other</w:t>
            </w:r>
          </w:p>
        </w:tc>
        <w:tc>
          <w:tcPr>
            <w:tcW w:w="960" w:type="dxa"/>
            <w:tcBorders>
              <w:top w:val="nil"/>
              <w:left w:val="nil"/>
              <w:bottom w:val="nil"/>
              <w:right w:val="nil"/>
            </w:tcBorders>
            <w:shd w:val="clear" w:color="auto" w:fill="auto"/>
            <w:noWrap/>
            <w:vAlign w:val="bottom"/>
            <w:hideMark/>
          </w:tcPr>
          <w:p w14:paraId="0EE2652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1E4F8BF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CBA6EA8"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73405A3"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1C9198E"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r>
      <w:tr w:rsidR="002614F2" w:rsidRPr="002614F2" w14:paraId="5FEEA92F"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396D0BAE" w14:textId="77777777" w:rsidR="002614F2" w:rsidRPr="002614F2" w:rsidRDefault="002614F2" w:rsidP="00C51A01">
            <w:pPr>
              <w:spacing w:before="0" w:after="0" w:line="240" w:lineRule="auto"/>
              <w:ind w:leftChars="150" w:left="285"/>
              <w:rPr>
                <w:rFonts w:ascii="Arial" w:hAnsi="Arial" w:cs="Arial"/>
                <w:b/>
                <w:bCs/>
                <w:sz w:val="16"/>
                <w:szCs w:val="16"/>
              </w:rPr>
            </w:pPr>
            <w:r w:rsidRPr="002614F2">
              <w:rPr>
                <w:rFonts w:ascii="Arial" w:hAnsi="Arial" w:cs="Arial"/>
                <w:b/>
                <w:bCs/>
                <w:sz w:val="16"/>
                <w:szCs w:val="16"/>
              </w:rPr>
              <w:t>Total gains</w:t>
            </w:r>
          </w:p>
        </w:tc>
        <w:tc>
          <w:tcPr>
            <w:tcW w:w="960" w:type="dxa"/>
            <w:tcBorders>
              <w:top w:val="nil"/>
              <w:left w:val="nil"/>
              <w:bottom w:val="single" w:sz="4" w:space="0" w:color="auto"/>
              <w:right w:val="nil"/>
            </w:tcBorders>
            <w:shd w:val="clear" w:color="auto" w:fill="auto"/>
            <w:noWrap/>
            <w:vAlign w:val="bottom"/>
            <w:hideMark/>
          </w:tcPr>
          <w:p w14:paraId="2765E7E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0B7F6783"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31B2BC18"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30E6C4B4"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2014FB0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r>
      <w:tr w:rsidR="002614F2" w:rsidRPr="002614F2" w14:paraId="7EBAC77B" w14:textId="77777777" w:rsidTr="002614F2">
        <w:trPr>
          <w:trHeight w:val="225"/>
          <w:jc w:val="center"/>
        </w:trPr>
        <w:tc>
          <w:tcPr>
            <w:tcW w:w="3080" w:type="dxa"/>
            <w:tcBorders>
              <w:top w:val="nil"/>
              <w:left w:val="nil"/>
              <w:bottom w:val="nil"/>
              <w:right w:val="nil"/>
            </w:tcBorders>
            <w:shd w:val="clear" w:color="auto" w:fill="auto"/>
            <w:noWrap/>
            <w:vAlign w:val="bottom"/>
            <w:hideMark/>
          </w:tcPr>
          <w:p w14:paraId="61DD5D05" w14:textId="77777777" w:rsidR="002614F2" w:rsidRPr="002614F2" w:rsidRDefault="002614F2" w:rsidP="00C51A01">
            <w:pPr>
              <w:spacing w:before="0" w:after="0" w:line="240" w:lineRule="auto"/>
              <w:ind w:leftChars="75" w:left="143"/>
              <w:rPr>
                <w:rFonts w:ascii="Arial" w:hAnsi="Arial" w:cs="Arial"/>
                <w:b/>
                <w:bCs/>
                <w:sz w:val="16"/>
                <w:szCs w:val="16"/>
              </w:rPr>
            </w:pPr>
            <w:r w:rsidRPr="002614F2">
              <w:rPr>
                <w:rFonts w:ascii="Arial" w:hAnsi="Arial" w:cs="Arial"/>
                <w:b/>
                <w:bCs/>
                <w:sz w:val="16"/>
                <w:szCs w:val="16"/>
              </w:rPr>
              <w:t>Total own-source income</w:t>
            </w:r>
          </w:p>
        </w:tc>
        <w:tc>
          <w:tcPr>
            <w:tcW w:w="960" w:type="dxa"/>
            <w:tcBorders>
              <w:top w:val="nil"/>
              <w:left w:val="nil"/>
              <w:bottom w:val="single" w:sz="4" w:space="0" w:color="auto"/>
              <w:right w:val="nil"/>
            </w:tcBorders>
            <w:shd w:val="clear" w:color="auto" w:fill="auto"/>
            <w:noWrap/>
            <w:vAlign w:val="bottom"/>
            <w:hideMark/>
          </w:tcPr>
          <w:p w14:paraId="044666B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80,550</w:t>
            </w:r>
          </w:p>
        </w:tc>
        <w:tc>
          <w:tcPr>
            <w:tcW w:w="960" w:type="dxa"/>
            <w:tcBorders>
              <w:top w:val="nil"/>
              <w:left w:val="nil"/>
              <w:bottom w:val="single" w:sz="4" w:space="0" w:color="auto"/>
              <w:right w:val="nil"/>
            </w:tcBorders>
            <w:shd w:val="clear" w:color="000000" w:fill="D9D9D9"/>
            <w:noWrap/>
            <w:vAlign w:val="bottom"/>
            <w:hideMark/>
          </w:tcPr>
          <w:p w14:paraId="1BDED1B9"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77,630</w:t>
            </w:r>
          </w:p>
        </w:tc>
        <w:tc>
          <w:tcPr>
            <w:tcW w:w="960" w:type="dxa"/>
            <w:tcBorders>
              <w:top w:val="nil"/>
              <w:left w:val="nil"/>
              <w:bottom w:val="single" w:sz="4" w:space="0" w:color="auto"/>
              <w:right w:val="nil"/>
            </w:tcBorders>
            <w:shd w:val="clear" w:color="auto" w:fill="auto"/>
            <w:noWrap/>
            <w:vAlign w:val="bottom"/>
            <w:hideMark/>
          </w:tcPr>
          <w:p w14:paraId="4E2060E0"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77,030</w:t>
            </w:r>
          </w:p>
        </w:tc>
        <w:tc>
          <w:tcPr>
            <w:tcW w:w="960" w:type="dxa"/>
            <w:tcBorders>
              <w:top w:val="nil"/>
              <w:left w:val="nil"/>
              <w:bottom w:val="single" w:sz="4" w:space="0" w:color="auto"/>
              <w:right w:val="nil"/>
            </w:tcBorders>
            <w:shd w:val="clear" w:color="auto" w:fill="auto"/>
            <w:noWrap/>
            <w:vAlign w:val="bottom"/>
            <w:hideMark/>
          </w:tcPr>
          <w:p w14:paraId="4B3153D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77,000</w:t>
            </w:r>
          </w:p>
        </w:tc>
        <w:tc>
          <w:tcPr>
            <w:tcW w:w="960" w:type="dxa"/>
            <w:tcBorders>
              <w:top w:val="nil"/>
              <w:left w:val="nil"/>
              <w:bottom w:val="single" w:sz="4" w:space="0" w:color="auto"/>
              <w:right w:val="nil"/>
            </w:tcBorders>
            <w:shd w:val="clear" w:color="auto" w:fill="auto"/>
            <w:noWrap/>
            <w:vAlign w:val="bottom"/>
            <w:hideMark/>
          </w:tcPr>
          <w:p w14:paraId="3E69DFC8"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77,000</w:t>
            </w:r>
          </w:p>
        </w:tc>
      </w:tr>
      <w:tr w:rsidR="002614F2" w:rsidRPr="002614F2" w14:paraId="78317483" w14:textId="77777777" w:rsidTr="00F065BE">
        <w:trPr>
          <w:trHeight w:val="454"/>
          <w:jc w:val="center"/>
        </w:trPr>
        <w:tc>
          <w:tcPr>
            <w:tcW w:w="3080" w:type="dxa"/>
            <w:tcBorders>
              <w:top w:val="nil"/>
              <w:left w:val="nil"/>
              <w:bottom w:val="nil"/>
              <w:right w:val="nil"/>
            </w:tcBorders>
            <w:shd w:val="clear" w:color="auto" w:fill="auto"/>
            <w:vAlign w:val="bottom"/>
            <w:hideMark/>
          </w:tcPr>
          <w:p w14:paraId="5E83B2FE"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 xml:space="preserve">Net cost of (contribution by) services </w:t>
            </w:r>
          </w:p>
        </w:tc>
        <w:tc>
          <w:tcPr>
            <w:tcW w:w="960" w:type="dxa"/>
            <w:tcBorders>
              <w:top w:val="nil"/>
              <w:left w:val="nil"/>
              <w:bottom w:val="single" w:sz="4" w:space="0" w:color="auto"/>
              <w:right w:val="nil"/>
            </w:tcBorders>
            <w:shd w:val="clear" w:color="auto" w:fill="auto"/>
            <w:noWrap/>
            <w:vAlign w:val="bottom"/>
            <w:hideMark/>
          </w:tcPr>
          <w:p w14:paraId="7D76971B"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35,147</w:t>
            </w:r>
          </w:p>
        </w:tc>
        <w:tc>
          <w:tcPr>
            <w:tcW w:w="960" w:type="dxa"/>
            <w:tcBorders>
              <w:top w:val="nil"/>
              <w:left w:val="nil"/>
              <w:bottom w:val="single" w:sz="4" w:space="0" w:color="auto"/>
              <w:right w:val="nil"/>
            </w:tcBorders>
            <w:shd w:val="clear" w:color="000000" w:fill="D9D9D9"/>
            <w:noWrap/>
            <w:vAlign w:val="bottom"/>
            <w:hideMark/>
          </w:tcPr>
          <w:p w14:paraId="498FE909"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36,907</w:t>
            </w:r>
          </w:p>
        </w:tc>
        <w:tc>
          <w:tcPr>
            <w:tcW w:w="960" w:type="dxa"/>
            <w:tcBorders>
              <w:top w:val="nil"/>
              <w:left w:val="nil"/>
              <w:bottom w:val="single" w:sz="4" w:space="0" w:color="auto"/>
              <w:right w:val="nil"/>
            </w:tcBorders>
            <w:shd w:val="clear" w:color="auto" w:fill="auto"/>
            <w:noWrap/>
            <w:vAlign w:val="bottom"/>
            <w:hideMark/>
          </w:tcPr>
          <w:p w14:paraId="30EBCC6C"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36,101</w:t>
            </w:r>
          </w:p>
        </w:tc>
        <w:tc>
          <w:tcPr>
            <w:tcW w:w="960" w:type="dxa"/>
            <w:tcBorders>
              <w:top w:val="nil"/>
              <w:left w:val="nil"/>
              <w:bottom w:val="single" w:sz="4" w:space="0" w:color="auto"/>
              <w:right w:val="nil"/>
            </w:tcBorders>
            <w:shd w:val="clear" w:color="auto" w:fill="auto"/>
            <w:noWrap/>
            <w:vAlign w:val="bottom"/>
            <w:hideMark/>
          </w:tcPr>
          <w:p w14:paraId="610E1004"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36,034</w:t>
            </w:r>
          </w:p>
        </w:tc>
        <w:tc>
          <w:tcPr>
            <w:tcW w:w="960" w:type="dxa"/>
            <w:tcBorders>
              <w:top w:val="nil"/>
              <w:left w:val="nil"/>
              <w:bottom w:val="single" w:sz="4" w:space="0" w:color="auto"/>
              <w:right w:val="nil"/>
            </w:tcBorders>
            <w:shd w:val="clear" w:color="auto" w:fill="auto"/>
            <w:noWrap/>
            <w:vAlign w:val="bottom"/>
            <w:hideMark/>
          </w:tcPr>
          <w:p w14:paraId="73895FE9"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36,314</w:t>
            </w:r>
          </w:p>
        </w:tc>
      </w:tr>
      <w:tr w:rsidR="002614F2" w:rsidRPr="002614F2" w14:paraId="053D8846" w14:textId="77777777" w:rsidTr="00F065BE">
        <w:trPr>
          <w:trHeight w:val="283"/>
          <w:jc w:val="center"/>
        </w:trPr>
        <w:tc>
          <w:tcPr>
            <w:tcW w:w="3080" w:type="dxa"/>
            <w:tcBorders>
              <w:top w:val="nil"/>
              <w:left w:val="nil"/>
              <w:bottom w:val="nil"/>
              <w:right w:val="nil"/>
            </w:tcBorders>
            <w:shd w:val="clear" w:color="auto" w:fill="auto"/>
            <w:noWrap/>
            <w:vAlign w:val="bottom"/>
            <w:hideMark/>
          </w:tcPr>
          <w:p w14:paraId="1C4FC3FF"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Revenue from Government</w:t>
            </w:r>
          </w:p>
        </w:tc>
        <w:tc>
          <w:tcPr>
            <w:tcW w:w="960" w:type="dxa"/>
            <w:tcBorders>
              <w:top w:val="nil"/>
              <w:left w:val="nil"/>
              <w:bottom w:val="nil"/>
              <w:right w:val="nil"/>
            </w:tcBorders>
            <w:shd w:val="clear" w:color="auto" w:fill="auto"/>
            <w:noWrap/>
            <w:vAlign w:val="bottom"/>
            <w:hideMark/>
          </w:tcPr>
          <w:p w14:paraId="3B1ED19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34,846</w:t>
            </w:r>
          </w:p>
        </w:tc>
        <w:tc>
          <w:tcPr>
            <w:tcW w:w="960" w:type="dxa"/>
            <w:tcBorders>
              <w:top w:val="nil"/>
              <w:left w:val="nil"/>
              <w:bottom w:val="nil"/>
              <w:right w:val="nil"/>
            </w:tcBorders>
            <w:shd w:val="clear" w:color="000000" w:fill="D9D9D9"/>
            <w:noWrap/>
            <w:vAlign w:val="bottom"/>
            <w:hideMark/>
          </w:tcPr>
          <w:p w14:paraId="285BAAC2"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35,544</w:t>
            </w:r>
          </w:p>
        </w:tc>
        <w:tc>
          <w:tcPr>
            <w:tcW w:w="960" w:type="dxa"/>
            <w:tcBorders>
              <w:top w:val="nil"/>
              <w:left w:val="nil"/>
              <w:bottom w:val="nil"/>
              <w:right w:val="nil"/>
            </w:tcBorders>
            <w:shd w:val="clear" w:color="auto" w:fill="auto"/>
            <w:noWrap/>
            <w:vAlign w:val="bottom"/>
            <w:hideMark/>
          </w:tcPr>
          <w:p w14:paraId="5FB2959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36,524</w:t>
            </w:r>
          </w:p>
        </w:tc>
        <w:tc>
          <w:tcPr>
            <w:tcW w:w="960" w:type="dxa"/>
            <w:tcBorders>
              <w:top w:val="nil"/>
              <w:left w:val="nil"/>
              <w:bottom w:val="nil"/>
              <w:right w:val="nil"/>
            </w:tcBorders>
            <w:shd w:val="clear" w:color="auto" w:fill="auto"/>
            <w:noWrap/>
            <w:vAlign w:val="bottom"/>
            <w:hideMark/>
          </w:tcPr>
          <w:p w14:paraId="612195C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36,700</w:t>
            </w:r>
          </w:p>
        </w:tc>
        <w:tc>
          <w:tcPr>
            <w:tcW w:w="960" w:type="dxa"/>
            <w:tcBorders>
              <w:top w:val="nil"/>
              <w:left w:val="nil"/>
              <w:bottom w:val="nil"/>
              <w:right w:val="nil"/>
            </w:tcBorders>
            <w:shd w:val="clear" w:color="auto" w:fill="auto"/>
            <w:noWrap/>
            <w:vAlign w:val="bottom"/>
            <w:hideMark/>
          </w:tcPr>
          <w:p w14:paraId="607BB78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37,171</w:t>
            </w:r>
          </w:p>
        </w:tc>
      </w:tr>
      <w:tr w:rsidR="002614F2" w:rsidRPr="002614F2" w14:paraId="174AF109" w14:textId="77777777" w:rsidTr="00F065BE">
        <w:trPr>
          <w:trHeight w:val="283"/>
          <w:jc w:val="center"/>
        </w:trPr>
        <w:tc>
          <w:tcPr>
            <w:tcW w:w="3080" w:type="dxa"/>
            <w:tcBorders>
              <w:top w:val="nil"/>
              <w:left w:val="nil"/>
              <w:bottom w:val="nil"/>
              <w:right w:val="nil"/>
            </w:tcBorders>
            <w:shd w:val="clear" w:color="auto" w:fill="auto"/>
            <w:noWrap/>
            <w:vAlign w:val="bottom"/>
            <w:hideMark/>
          </w:tcPr>
          <w:p w14:paraId="24A1960F"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Surplus (deficit)</w:t>
            </w:r>
          </w:p>
        </w:tc>
        <w:tc>
          <w:tcPr>
            <w:tcW w:w="960" w:type="dxa"/>
            <w:tcBorders>
              <w:top w:val="nil"/>
              <w:left w:val="nil"/>
              <w:bottom w:val="single" w:sz="4" w:space="0" w:color="auto"/>
              <w:right w:val="nil"/>
            </w:tcBorders>
            <w:shd w:val="clear" w:color="auto" w:fill="auto"/>
            <w:noWrap/>
            <w:vAlign w:val="bottom"/>
            <w:hideMark/>
          </w:tcPr>
          <w:p w14:paraId="660692D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(301)</w:t>
            </w:r>
          </w:p>
        </w:tc>
        <w:tc>
          <w:tcPr>
            <w:tcW w:w="960" w:type="dxa"/>
            <w:tcBorders>
              <w:top w:val="nil"/>
              <w:left w:val="nil"/>
              <w:bottom w:val="single" w:sz="4" w:space="0" w:color="auto"/>
              <w:right w:val="nil"/>
            </w:tcBorders>
            <w:shd w:val="clear" w:color="000000" w:fill="D9D9D9"/>
            <w:noWrap/>
            <w:vAlign w:val="bottom"/>
            <w:hideMark/>
          </w:tcPr>
          <w:p w14:paraId="253D2B30"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(1,363)</w:t>
            </w:r>
          </w:p>
        </w:tc>
        <w:tc>
          <w:tcPr>
            <w:tcW w:w="960" w:type="dxa"/>
            <w:tcBorders>
              <w:top w:val="nil"/>
              <w:left w:val="nil"/>
              <w:bottom w:val="single" w:sz="4" w:space="0" w:color="auto"/>
              <w:right w:val="nil"/>
            </w:tcBorders>
            <w:shd w:val="clear" w:color="auto" w:fill="auto"/>
            <w:noWrap/>
            <w:vAlign w:val="bottom"/>
            <w:hideMark/>
          </w:tcPr>
          <w:p w14:paraId="36AE906D"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423</w:t>
            </w:r>
          </w:p>
        </w:tc>
        <w:tc>
          <w:tcPr>
            <w:tcW w:w="960" w:type="dxa"/>
            <w:tcBorders>
              <w:top w:val="nil"/>
              <w:left w:val="nil"/>
              <w:bottom w:val="single" w:sz="4" w:space="0" w:color="auto"/>
              <w:right w:val="nil"/>
            </w:tcBorders>
            <w:shd w:val="clear" w:color="auto" w:fill="auto"/>
            <w:noWrap/>
            <w:vAlign w:val="bottom"/>
            <w:hideMark/>
          </w:tcPr>
          <w:p w14:paraId="61E7841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666</w:t>
            </w:r>
          </w:p>
        </w:tc>
        <w:tc>
          <w:tcPr>
            <w:tcW w:w="960" w:type="dxa"/>
            <w:tcBorders>
              <w:top w:val="nil"/>
              <w:left w:val="nil"/>
              <w:bottom w:val="single" w:sz="4" w:space="0" w:color="auto"/>
              <w:right w:val="nil"/>
            </w:tcBorders>
            <w:shd w:val="clear" w:color="auto" w:fill="auto"/>
            <w:noWrap/>
            <w:vAlign w:val="bottom"/>
            <w:hideMark/>
          </w:tcPr>
          <w:p w14:paraId="09C2F558"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857</w:t>
            </w:r>
          </w:p>
        </w:tc>
      </w:tr>
      <w:tr w:rsidR="002614F2" w:rsidRPr="002614F2" w14:paraId="1CDD93D7" w14:textId="77777777" w:rsidTr="00F065BE">
        <w:trPr>
          <w:trHeight w:val="454"/>
          <w:jc w:val="center"/>
        </w:trPr>
        <w:tc>
          <w:tcPr>
            <w:tcW w:w="3080" w:type="dxa"/>
            <w:tcBorders>
              <w:top w:val="nil"/>
              <w:left w:val="nil"/>
              <w:bottom w:val="nil"/>
              <w:right w:val="nil"/>
            </w:tcBorders>
            <w:shd w:val="clear" w:color="auto" w:fill="auto"/>
            <w:vAlign w:val="bottom"/>
            <w:hideMark/>
          </w:tcPr>
          <w:p w14:paraId="310DA55C"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Surplus (deficit)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738D9203"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(301)</w:t>
            </w:r>
          </w:p>
        </w:tc>
        <w:tc>
          <w:tcPr>
            <w:tcW w:w="960" w:type="dxa"/>
            <w:tcBorders>
              <w:top w:val="nil"/>
              <w:left w:val="nil"/>
              <w:bottom w:val="single" w:sz="4" w:space="0" w:color="auto"/>
              <w:right w:val="nil"/>
            </w:tcBorders>
            <w:shd w:val="clear" w:color="000000" w:fill="D9D9D9"/>
            <w:noWrap/>
            <w:vAlign w:val="bottom"/>
            <w:hideMark/>
          </w:tcPr>
          <w:p w14:paraId="192763E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(1,363)</w:t>
            </w:r>
          </w:p>
        </w:tc>
        <w:tc>
          <w:tcPr>
            <w:tcW w:w="960" w:type="dxa"/>
            <w:tcBorders>
              <w:top w:val="nil"/>
              <w:left w:val="nil"/>
              <w:bottom w:val="single" w:sz="4" w:space="0" w:color="auto"/>
              <w:right w:val="nil"/>
            </w:tcBorders>
            <w:shd w:val="clear" w:color="auto" w:fill="auto"/>
            <w:noWrap/>
            <w:vAlign w:val="bottom"/>
            <w:hideMark/>
          </w:tcPr>
          <w:p w14:paraId="173003C3"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423</w:t>
            </w:r>
          </w:p>
        </w:tc>
        <w:tc>
          <w:tcPr>
            <w:tcW w:w="960" w:type="dxa"/>
            <w:tcBorders>
              <w:top w:val="nil"/>
              <w:left w:val="nil"/>
              <w:bottom w:val="single" w:sz="4" w:space="0" w:color="auto"/>
              <w:right w:val="nil"/>
            </w:tcBorders>
            <w:shd w:val="clear" w:color="auto" w:fill="auto"/>
            <w:noWrap/>
            <w:vAlign w:val="bottom"/>
            <w:hideMark/>
          </w:tcPr>
          <w:p w14:paraId="280D12D4"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666</w:t>
            </w:r>
          </w:p>
        </w:tc>
        <w:tc>
          <w:tcPr>
            <w:tcW w:w="960" w:type="dxa"/>
            <w:tcBorders>
              <w:top w:val="nil"/>
              <w:left w:val="nil"/>
              <w:bottom w:val="single" w:sz="4" w:space="0" w:color="auto"/>
              <w:right w:val="nil"/>
            </w:tcBorders>
            <w:shd w:val="clear" w:color="auto" w:fill="auto"/>
            <w:noWrap/>
            <w:vAlign w:val="bottom"/>
            <w:hideMark/>
          </w:tcPr>
          <w:p w14:paraId="18981154"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857</w:t>
            </w:r>
          </w:p>
        </w:tc>
      </w:tr>
      <w:tr w:rsidR="002614F2" w:rsidRPr="002614F2" w14:paraId="2CAAF03F" w14:textId="77777777" w:rsidTr="00F065BE">
        <w:trPr>
          <w:trHeight w:val="283"/>
          <w:jc w:val="center"/>
        </w:trPr>
        <w:tc>
          <w:tcPr>
            <w:tcW w:w="3080" w:type="dxa"/>
            <w:tcBorders>
              <w:top w:val="nil"/>
              <w:left w:val="nil"/>
              <w:bottom w:val="nil"/>
              <w:right w:val="nil"/>
            </w:tcBorders>
            <w:shd w:val="clear" w:color="auto" w:fill="auto"/>
            <w:noWrap/>
            <w:vAlign w:val="bottom"/>
            <w:hideMark/>
          </w:tcPr>
          <w:p w14:paraId="7B7D6E27"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OTHER COMPREHENSIVE INCOME</w:t>
            </w:r>
          </w:p>
        </w:tc>
        <w:tc>
          <w:tcPr>
            <w:tcW w:w="960" w:type="dxa"/>
            <w:tcBorders>
              <w:top w:val="nil"/>
              <w:left w:val="nil"/>
              <w:bottom w:val="nil"/>
              <w:right w:val="nil"/>
            </w:tcBorders>
            <w:shd w:val="clear" w:color="auto" w:fill="auto"/>
            <w:noWrap/>
            <w:vAlign w:val="bottom"/>
            <w:hideMark/>
          </w:tcPr>
          <w:p w14:paraId="15F7C036" w14:textId="77777777" w:rsidR="002614F2" w:rsidRPr="002614F2" w:rsidRDefault="002614F2" w:rsidP="002614F2">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5C959CC6"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72AC4ADE" w14:textId="77777777" w:rsidR="002614F2" w:rsidRPr="002614F2" w:rsidRDefault="002614F2" w:rsidP="002614F2">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6C118EA" w14:textId="77777777" w:rsidR="002614F2" w:rsidRPr="002614F2" w:rsidRDefault="002614F2" w:rsidP="002614F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8E5A2FF" w14:textId="77777777" w:rsidR="002614F2" w:rsidRPr="002614F2" w:rsidRDefault="002614F2" w:rsidP="002614F2">
            <w:pPr>
              <w:spacing w:before="0" w:after="0" w:line="240" w:lineRule="auto"/>
              <w:jc w:val="right"/>
              <w:rPr>
                <w:rFonts w:ascii="Times New Roman" w:hAnsi="Times New Roman"/>
                <w:sz w:val="20"/>
              </w:rPr>
            </w:pPr>
          </w:p>
        </w:tc>
      </w:tr>
      <w:tr w:rsidR="002614F2" w:rsidRPr="002614F2" w14:paraId="1D08127F" w14:textId="77777777" w:rsidTr="00F065BE">
        <w:trPr>
          <w:trHeight w:val="425"/>
          <w:jc w:val="center"/>
        </w:trPr>
        <w:tc>
          <w:tcPr>
            <w:tcW w:w="3080" w:type="dxa"/>
            <w:tcBorders>
              <w:top w:val="nil"/>
              <w:left w:val="nil"/>
              <w:bottom w:val="nil"/>
              <w:right w:val="nil"/>
            </w:tcBorders>
            <w:shd w:val="clear" w:color="auto" w:fill="auto"/>
            <w:vAlign w:val="bottom"/>
            <w:hideMark/>
          </w:tcPr>
          <w:p w14:paraId="34CF7209" w14:textId="77777777" w:rsidR="002614F2" w:rsidRPr="002614F2" w:rsidRDefault="002614F2" w:rsidP="00C51A01">
            <w:pPr>
              <w:spacing w:before="0" w:after="0" w:line="240" w:lineRule="auto"/>
              <w:ind w:leftChars="75" w:left="143"/>
              <w:rPr>
                <w:rFonts w:ascii="Arial" w:hAnsi="Arial" w:cs="Arial"/>
                <w:sz w:val="16"/>
                <w:szCs w:val="16"/>
              </w:rPr>
            </w:pPr>
            <w:r w:rsidRPr="002614F2">
              <w:rPr>
                <w:rFonts w:ascii="Arial" w:hAnsi="Arial" w:cs="Arial"/>
                <w:sz w:val="16"/>
                <w:szCs w:val="16"/>
              </w:rPr>
              <w:t>Changes in asset revaluation reserves</w:t>
            </w:r>
          </w:p>
        </w:tc>
        <w:tc>
          <w:tcPr>
            <w:tcW w:w="960" w:type="dxa"/>
            <w:tcBorders>
              <w:top w:val="nil"/>
              <w:left w:val="nil"/>
              <w:bottom w:val="nil"/>
              <w:right w:val="nil"/>
            </w:tcBorders>
            <w:shd w:val="clear" w:color="auto" w:fill="auto"/>
            <w:noWrap/>
            <w:vAlign w:val="bottom"/>
            <w:hideMark/>
          </w:tcPr>
          <w:p w14:paraId="1556923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35353F99"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56D599B6"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5B76BFBF"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75A6DA0D" w14:textId="77777777" w:rsidR="002614F2" w:rsidRPr="002614F2" w:rsidRDefault="002614F2" w:rsidP="002614F2">
            <w:pPr>
              <w:spacing w:before="0" w:after="0" w:line="240" w:lineRule="auto"/>
              <w:jc w:val="right"/>
              <w:rPr>
                <w:rFonts w:ascii="Arial" w:hAnsi="Arial" w:cs="Arial"/>
                <w:sz w:val="16"/>
                <w:szCs w:val="16"/>
              </w:rPr>
            </w:pPr>
            <w:r w:rsidRPr="002614F2">
              <w:rPr>
                <w:rFonts w:ascii="Arial" w:hAnsi="Arial" w:cs="Arial"/>
                <w:sz w:val="16"/>
                <w:szCs w:val="16"/>
              </w:rPr>
              <w:t>-</w:t>
            </w:r>
          </w:p>
        </w:tc>
      </w:tr>
      <w:tr w:rsidR="002614F2" w:rsidRPr="002614F2" w14:paraId="0484ECEC" w14:textId="77777777" w:rsidTr="00F065BE">
        <w:trPr>
          <w:trHeight w:val="454"/>
          <w:jc w:val="center"/>
        </w:trPr>
        <w:tc>
          <w:tcPr>
            <w:tcW w:w="3080" w:type="dxa"/>
            <w:tcBorders>
              <w:top w:val="nil"/>
              <w:left w:val="nil"/>
              <w:bottom w:val="nil"/>
              <w:right w:val="nil"/>
            </w:tcBorders>
            <w:shd w:val="clear" w:color="auto" w:fill="auto"/>
            <w:vAlign w:val="bottom"/>
            <w:hideMark/>
          </w:tcPr>
          <w:p w14:paraId="59BA49A8" w14:textId="77777777" w:rsidR="002614F2" w:rsidRPr="002614F2" w:rsidRDefault="002614F2" w:rsidP="00C51A01">
            <w:pPr>
              <w:spacing w:before="0" w:after="0" w:line="240" w:lineRule="auto"/>
              <w:ind w:leftChars="75" w:left="143"/>
              <w:rPr>
                <w:rFonts w:ascii="Arial" w:hAnsi="Arial" w:cs="Arial"/>
                <w:b/>
                <w:bCs/>
                <w:sz w:val="16"/>
                <w:szCs w:val="16"/>
              </w:rPr>
            </w:pPr>
            <w:r w:rsidRPr="002614F2">
              <w:rPr>
                <w:rFonts w:ascii="Arial" w:hAnsi="Arial" w:cs="Arial"/>
                <w:b/>
                <w:bCs/>
                <w:sz w:val="16"/>
                <w:szCs w:val="16"/>
              </w:rPr>
              <w:t>Total other comprehensive income (loss)</w:t>
            </w:r>
          </w:p>
        </w:tc>
        <w:tc>
          <w:tcPr>
            <w:tcW w:w="960" w:type="dxa"/>
            <w:tcBorders>
              <w:top w:val="nil"/>
              <w:left w:val="nil"/>
              <w:bottom w:val="single" w:sz="4" w:space="0" w:color="auto"/>
              <w:right w:val="nil"/>
            </w:tcBorders>
            <w:shd w:val="clear" w:color="auto" w:fill="auto"/>
            <w:noWrap/>
            <w:vAlign w:val="bottom"/>
            <w:hideMark/>
          </w:tcPr>
          <w:p w14:paraId="5AA8A2B9"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1277743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0BB32A9F"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7376BCCC"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2D35D04D"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w:t>
            </w:r>
          </w:p>
        </w:tc>
      </w:tr>
      <w:tr w:rsidR="002614F2" w:rsidRPr="002614F2" w14:paraId="05140FEA" w14:textId="77777777" w:rsidTr="00F065BE">
        <w:trPr>
          <w:trHeight w:val="624"/>
          <w:jc w:val="center"/>
        </w:trPr>
        <w:tc>
          <w:tcPr>
            <w:tcW w:w="3080" w:type="dxa"/>
            <w:tcBorders>
              <w:top w:val="nil"/>
              <w:left w:val="nil"/>
              <w:bottom w:val="single" w:sz="4" w:space="0" w:color="auto"/>
              <w:right w:val="nil"/>
            </w:tcBorders>
            <w:shd w:val="clear" w:color="auto" w:fill="auto"/>
            <w:vAlign w:val="bottom"/>
            <w:hideMark/>
          </w:tcPr>
          <w:p w14:paraId="7A81D021" w14:textId="77777777" w:rsidR="002614F2" w:rsidRPr="002614F2" w:rsidRDefault="002614F2" w:rsidP="002614F2">
            <w:pPr>
              <w:spacing w:before="0" w:after="0" w:line="240" w:lineRule="auto"/>
              <w:rPr>
                <w:rFonts w:ascii="Arial" w:hAnsi="Arial" w:cs="Arial"/>
                <w:b/>
                <w:bCs/>
                <w:sz w:val="16"/>
                <w:szCs w:val="16"/>
              </w:rPr>
            </w:pPr>
            <w:r w:rsidRPr="002614F2">
              <w:rPr>
                <w:rFonts w:ascii="Arial" w:hAnsi="Arial" w:cs="Arial"/>
                <w:b/>
                <w:bCs/>
                <w:sz w:val="16"/>
                <w:szCs w:val="16"/>
              </w:rPr>
              <w:t>Total comprehensive income (loss)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611A7D3E"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(301)</w:t>
            </w:r>
          </w:p>
        </w:tc>
        <w:tc>
          <w:tcPr>
            <w:tcW w:w="960" w:type="dxa"/>
            <w:tcBorders>
              <w:top w:val="nil"/>
              <w:left w:val="nil"/>
              <w:bottom w:val="single" w:sz="4" w:space="0" w:color="auto"/>
              <w:right w:val="nil"/>
            </w:tcBorders>
            <w:shd w:val="clear" w:color="000000" w:fill="D9D9D9"/>
            <w:noWrap/>
            <w:vAlign w:val="bottom"/>
            <w:hideMark/>
          </w:tcPr>
          <w:p w14:paraId="5043AC15"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(1,363)</w:t>
            </w:r>
          </w:p>
        </w:tc>
        <w:tc>
          <w:tcPr>
            <w:tcW w:w="960" w:type="dxa"/>
            <w:tcBorders>
              <w:top w:val="nil"/>
              <w:left w:val="nil"/>
              <w:bottom w:val="single" w:sz="4" w:space="0" w:color="auto"/>
              <w:right w:val="nil"/>
            </w:tcBorders>
            <w:shd w:val="clear" w:color="auto" w:fill="auto"/>
            <w:noWrap/>
            <w:vAlign w:val="bottom"/>
            <w:hideMark/>
          </w:tcPr>
          <w:p w14:paraId="4F2D856F"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423</w:t>
            </w:r>
          </w:p>
        </w:tc>
        <w:tc>
          <w:tcPr>
            <w:tcW w:w="960" w:type="dxa"/>
            <w:tcBorders>
              <w:top w:val="nil"/>
              <w:left w:val="nil"/>
              <w:bottom w:val="single" w:sz="4" w:space="0" w:color="auto"/>
              <w:right w:val="nil"/>
            </w:tcBorders>
            <w:shd w:val="clear" w:color="auto" w:fill="auto"/>
            <w:noWrap/>
            <w:vAlign w:val="bottom"/>
            <w:hideMark/>
          </w:tcPr>
          <w:p w14:paraId="2064CB11"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666</w:t>
            </w:r>
          </w:p>
        </w:tc>
        <w:tc>
          <w:tcPr>
            <w:tcW w:w="960" w:type="dxa"/>
            <w:tcBorders>
              <w:top w:val="nil"/>
              <w:left w:val="nil"/>
              <w:bottom w:val="single" w:sz="4" w:space="0" w:color="auto"/>
              <w:right w:val="nil"/>
            </w:tcBorders>
            <w:shd w:val="clear" w:color="auto" w:fill="auto"/>
            <w:noWrap/>
            <w:vAlign w:val="bottom"/>
            <w:hideMark/>
          </w:tcPr>
          <w:p w14:paraId="55CF198D" w14:textId="77777777" w:rsidR="002614F2" w:rsidRPr="002614F2" w:rsidRDefault="002614F2" w:rsidP="002614F2">
            <w:pPr>
              <w:spacing w:before="0" w:after="0" w:line="240" w:lineRule="auto"/>
              <w:jc w:val="right"/>
              <w:rPr>
                <w:rFonts w:ascii="Arial" w:hAnsi="Arial" w:cs="Arial"/>
                <w:b/>
                <w:bCs/>
                <w:sz w:val="16"/>
                <w:szCs w:val="16"/>
              </w:rPr>
            </w:pPr>
            <w:r w:rsidRPr="002614F2">
              <w:rPr>
                <w:rFonts w:ascii="Arial" w:hAnsi="Arial" w:cs="Arial"/>
                <w:b/>
                <w:bCs/>
                <w:sz w:val="16"/>
                <w:szCs w:val="16"/>
              </w:rPr>
              <w:t>857</w:t>
            </w:r>
          </w:p>
        </w:tc>
      </w:tr>
    </w:tbl>
    <w:p w14:paraId="2920ED58" w14:textId="79226279" w:rsidR="00275707" w:rsidRDefault="00275707" w:rsidP="00275707">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322494" w:rsidRPr="00322494" w14:paraId="76226FB9" w14:textId="77777777" w:rsidTr="004B254C">
        <w:trPr>
          <w:trHeight w:val="225"/>
          <w:jc w:val="center"/>
        </w:trPr>
        <w:tc>
          <w:tcPr>
            <w:tcW w:w="7880" w:type="dxa"/>
            <w:gridSpan w:val="6"/>
            <w:tcBorders>
              <w:top w:val="single" w:sz="4" w:space="0" w:color="auto"/>
              <w:left w:val="nil"/>
              <w:bottom w:val="nil"/>
              <w:right w:val="nil"/>
            </w:tcBorders>
            <w:shd w:val="clear" w:color="auto" w:fill="auto"/>
            <w:noWrap/>
            <w:vAlign w:val="bottom"/>
            <w:hideMark/>
          </w:tcPr>
          <w:p w14:paraId="07738783" w14:textId="77777777" w:rsidR="00322494" w:rsidRPr="00322494" w:rsidRDefault="00322494" w:rsidP="004B254C">
            <w:pPr>
              <w:spacing w:before="24" w:after="24" w:line="240" w:lineRule="auto"/>
              <w:rPr>
                <w:rFonts w:ascii="Arial" w:hAnsi="Arial" w:cs="Arial"/>
                <w:b/>
                <w:bCs/>
                <w:color w:val="000000"/>
                <w:sz w:val="16"/>
                <w:szCs w:val="16"/>
              </w:rPr>
            </w:pPr>
            <w:r w:rsidRPr="00322494">
              <w:rPr>
                <w:rFonts w:ascii="Arial" w:hAnsi="Arial" w:cs="Arial"/>
                <w:b/>
                <w:bCs/>
                <w:color w:val="000000"/>
                <w:sz w:val="16"/>
                <w:szCs w:val="16"/>
              </w:rPr>
              <w:t>Note: Reconciliation of comprehensive income attributable to the agency</w:t>
            </w:r>
          </w:p>
        </w:tc>
      </w:tr>
      <w:tr w:rsidR="00322494" w:rsidRPr="00322494" w14:paraId="1750CBEB" w14:textId="77777777" w:rsidTr="00322494">
        <w:trPr>
          <w:trHeight w:val="397"/>
          <w:jc w:val="center"/>
        </w:trPr>
        <w:tc>
          <w:tcPr>
            <w:tcW w:w="3080" w:type="dxa"/>
            <w:tcBorders>
              <w:top w:val="single" w:sz="4" w:space="0" w:color="auto"/>
              <w:left w:val="nil"/>
              <w:bottom w:val="nil"/>
              <w:right w:val="nil"/>
            </w:tcBorders>
            <w:shd w:val="clear" w:color="auto" w:fill="auto"/>
            <w:vAlign w:val="bottom"/>
            <w:hideMark/>
          </w:tcPr>
          <w:p w14:paraId="222502D2" w14:textId="77777777" w:rsidR="00322494" w:rsidRPr="00322494" w:rsidRDefault="00322494" w:rsidP="00322494">
            <w:pPr>
              <w:spacing w:before="24" w:after="0" w:line="240" w:lineRule="auto"/>
              <w:jc w:val="right"/>
              <w:rPr>
                <w:rFonts w:ascii="Arial" w:hAnsi="Arial" w:cs="Arial"/>
                <w:sz w:val="16"/>
                <w:szCs w:val="16"/>
              </w:rPr>
            </w:pPr>
            <w:r w:rsidRPr="00322494">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00E9FA73" w14:textId="20F07345" w:rsidR="00322494" w:rsidRPr="00322494" w:rsidRDefault="00322494" w:rsidP="00322494">
            <w:pPr>
              <w:spacing w:before="24" w:after="0" w:line="240" w:lineRule="auto"/>
              <w:jc w:val="right"/>
              <w:rPr>
                <w:rFonts w:ascii="Arial" w:hAnsi="Arial" w:cs="Arial"/>
                <w:b/>
                <w:bCs/>
                <w:sz w:val="16"/>
                <w:szCs w:val="16"/>
              </w:rPr>
            </w:pPr>
            <w:r>
              <w:rPr>
                <w:rFonts w:ascii="Arial" w:hAnsi="Arial" w:cs="Arial"/>
                <w:b/>
                <w:bCs/>
                <w:sz w:val="16"/>
                <w:szCs w:val="16"/>
              </w:rPr>
              <w:t>2022–</w:t>
            </w:r>
            <w:r w:rsidRPr="00322494">
              <w:rPr>
                <w:rFonts w:ascii="Arial" w:hAnsi="Arial" w:cs="Arial"/>
                <w:b/>
                <w:bCs/>
                <w:sz w:val="16"/>
                <w:szCs w:val="16"/>
              </w:rPr>
              <w:t>23</w:t>
            </w:r>
            <w:r w:rsidRPr="00322494">
              <w:rPr>
                <w:rFonts w:ascii="Arial" w:hAnsi="Arial" w:cs="Arial"/>
                <w:sz w:val="16"/>
                <w:szCs w:val="16"/>
              </w:rPr>
              <w:t xml:space="preserve"> $'000</w:t>
            </w:r>
          </w:p>
        </w:tc>
        <w:tc>
          <w:tcPr>
            <w:tcW w:w="960" w:type="dxa"/>
            <w:tcBorders>
              <w:top w:val="single" w:sz="4" w:space="0" w:color="auto"/>
              <w:left w:val="nil"/>
              <w:bottom w:val="single" w:sz="4" w:space="0" w:color="auto"/>
              <w:right w:val="nil"/>
            </w:tcBorders>
            <w:shd w:val="clear" w:color="000000" w:fill="D9D9D9"/>
            <w:vAlign w:val="bottom"/>
            <w:hideMark/>
          </w:tcPr>
          <w:p w14:paraId="2B39BE2F" w14:textId="5D1FE00C" w:rsidR="00322494" w:rsidRPr="00322494" w:rsidRDefault="00322494" w:rsidP="00322494">
            <w:pPr>
              <w:spacing w:before="24" w:after="0" w:line="240" w:lineRule="auto"/>
              <w:jc w:val="right"/>
              <w:rPr>
                <w:rFonts w:ascii="Arial" w:hAnsi="Arial" w:cs="Arial"/>
                <w:b/>
                <w:bCs/>
                <w:sz w:val="16"/>
                <w:szCs w:val="16"/>
              </w:rPr>
            </w:pPr>
            <w:r>
              <w:rPr>
                <w:rFonts w:ascii="Arial" w:hAnsi="Arial" w:cs="Arial"/>
                <w:b/>
                <w:bCs/>
                <w:sz w:val="16"/>
                <w:szCs w:val="16"/>
              </w:rPr>
              <w:t>2023–</w:t>
            </w:r>
            <w:r w:rsidRPr="00322494">
              <w:rPr>
                <w:rFonts w:ascii="Arial" w:hAnsi="Arial" w:cs="Arial"/>
                <w:b/>
                <w:bCs/>
                <w:sz w:val="16"/>
                <w:szCs w:val="16"/>
              </w:rPr>
              <w:t xml:space="preserve">24 </w:t>
            </w:r>
            <w:r w:rsidRPr="00322494">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6141D196" w14:textId="62FD2F52" w:rsidR="00322494" w:rsidRPr="00322494" w:rsidRDefault="00322494" w:rsidP="00322494">
            <w:pPr>
              <w:spacing w:before="24" w:after="0" w:line="240" w:lineRule="auto"/>
              <w:jc w:val="right"/>
              <w:rPr>
                <w:rFonts w:ascii="Arial" w:hAnsi="Arial" w:cs="Arial"/>
                <w:b/>
                <w:bCs/>
                <w:sz w:val="16"/>
                <w:szCs w:val="16"/>
              </w:rPr>
            </w:pPr>
            <w:r>
              <w:rPr>
                <w:rFonts w:ascii="Arial" w:hAnsi="Arial" w:cs="Arial"/>
                <w:b/>
                <w:bCs/>
                <w:sz w:val="16"/>
                <w:szCs w:val="16"/>
              </w:rPr>
              <w:t>2024–</w:t>
            </w:r>
            <w:r w:rsidRPr="00322494">
              <w:rPr>
                <w:rFonts w:ascii="Arial" w:hAnsi="Arial" w:cs="Arial"/>
                <w:b/>
                <w:bCs/>
                <w:sz w:val="16"/>
                <w:szCs w:val="16"/>
              </w:rPr>
              <w:t>25</w:t>
            </w:r>
            <w:r w:rsidRPr="00322494">
              <w:rPr>
                <w:rFonts w:ascii="Arial" w:hAnsi="Arial" w:cs="Arial"/>
                <w:sz w:val="16"/>
                <w:szCs w:val="16"/>
              </w:rPr>
              <w:t xml:space="preserve"> $'000</w:t>
            </w:r>
          </w:p>
        </w:tc>
        <w:tc>
          <w:tcPr>
            <w:tcW w:w="960" w:type="dxa"/>
            <w:tcBorders>
              <w:top w:val="single" w:sz="4" w:space="0" w:color="auto"/>
              <w:left w:val="nil"/>
              <w:bottom w:val="single" w:sz="4" w:space="0" w:color="auto"/>
              <w:right w:val="nil"/>
            </w:tcBorders>
            <w:shd w:val="clear" w:color="auto" w:fill="auto"/>
            <w:vAlign w:val="bottom"/>
            <w:hideMark/>
          </w:tcPr>
          <w:p w14:paraId="35125BE5" w14:textId="586A3643" w:rsidR="00322494" w:rsidRPr="00322494" w:rsidRDefault="00322494" w:rsidP="00322494">
            <w:pPr>
              <w:spacing w:before="24" w:after="0" w:line="240" w:lineRule="auto"/>
              <w:jc w:val="right"/>
              <w:rPr>
                <w:rFonts w:ascii="Arial" w:hAnsi="Arial" w:cs="Arial"/>
                <w:b/>
                <w:bCs/>
                <w:sz w:val="16"/>
                <w:szCs w:val="16"/>
              </w:rPr>
            </w:pPr>
            <w:r>
              <w:rPr>
                <w:rFonts w:ascii="Arial" w:hAnsi="Arial" w:cs="Arial"/>
                <w:b/>
                <w:bCs/>
                <w:sz w:val="16"/>
                <w:szCs w:val="16"/>
              </w:rPr>
              <w:t>2025–</w:t>
            </w:r>
            <w:r w:rsidRPr="00322494">
              <w:rPr>
                <w:rFonts w:ascii="Arial" w:hAnsi="Arial" w:cs="Arial"/>
                <w:b/>
                <w:bCs/>
                <w:sz w:val="16"/>
                <w:szCs w:val="16"/>
              </w:rPr>
              <w:t>26</w:t>
            </w:r>
            <w:r w:rsidRPr="00322494">
              <w:rPr>
                <w:rFonts w:ascii="Arial" w:hAnsi="Arial" w:cs="Arial"/>
                <w:sz w:val="16"/>
                <w:szCs w:val="16"/>
              </w:rPr>
              <w:t xml:space="preserve"> $'000</w:t>
            </w:r>
          </w:p>
        </w:tc>
        <w:tc>
          <w:tcPr>
            <w:tcW w:w="960" w:type="dxa"/>
            <w:tcBorders>
              <w:top w:val="single" w:sz="4" w:space="0" w:color="auto"/>
              <w:left w:val="nil"/>
              <w:bottom w:val="single" w:sz="4" w:space="0" w:color="auto"/>
              <w:right w:val="nil"/>
            </w:tcBorders>
            <w:shd w:val="clear" w:color="auto" w:fill="auto"/>
            <w:vAlign w:val="bottom"/>
            <w:hideMark/>
          </w:tcPr>
          <w:p w14:paraId="1C5C2DAB" w14:textId="5100AF95" w:rsidR="00322494" w:rsidRPr="00322494" w:rsidRDefault="00322494" w:rsidP="00322494">
            <w:pPr>
              <w:spacing w:before="24" w:after="0" w:line="240" w:lineRule="auto"/>
              <w:jc w:val="right"/>
              <w:rPr>
                <w:rFonts w:ascii="Arial" w:hAnsi="Arial" w:cs="Arial"/>
                <w:b/>
                <w:bCs/>
                <w:sz w:val="16"/>
                <w:szCs w:val="16"/>
              </w:rPr>
            </w:pPr>
            <w:r>
              <w:rPr>
                <w:rFonts w:ascii="Arial" w:hAnsi="Arial" w:cs="Arial"/>
                <w:b/>
                <w:bCs/>
                <w:sz w:val="16"/>
                <w:szCs w:val="16"/>
              </w:rPr>
              <w:t>2026–</w:t>
            </w:r>
            <w:r w:rsidRPr="00322494">
              <w:rPr>
                <w:rFonts w:ascii="Arial" w:hAnsi="Arial" w:cs="Arial"/>
                <w:b/>
                <w:bCs/>
                <w:sz w:val="16"/>
                <w:szCs w:val="16"/>
              </w:rPr>
              <w:t xml:space="preserve">27 </w:t>
            </w:r>
            <w:r w:rsidRPr="00322494">
              <w:rPr>
                <w:rFonts w:ascii="Arial" w:hAnsi="Arial" w:cs="Arial"/>
                <w:sz w:val="16"/>
                <w:szCs w:val="16"/>
              </w:rPr>
              <w:t>$'000</w:t>
            </w:r>
          </w:p>
        </w:tc>
      </w:tr>
      <w:tr w:rsidR="00322494" w:rsidRPr="00322494" w14:paraId="05E9E6D1" w14:textId="77777777" w:rsidTr="0023699A">
        <w:trPr>
          <w:trHeight w:val="595"/>
          <w:jc w:val="center"/>
        </w:trPr>
        <w:tc>
          <w:tcPr>
            <w:tcW w:w="3080" w:type="dxa"/>
            <w:tcBorders>
              <w:top w:val="nil"/>
              <w:left w:val="nil"/>
              <w:bottom w:val="nil"/>
              <w:right w:val="nil"/>
            </w:tcBorders>
            <w:shd w:val="clear" w:color="auto" w:fill="auto"/>
            <w:vAlign w:val="bottom"/>
            <w:hideMark/>
          </w:tcPr>
          <w:p w14:paraId="11ABC533" w14:textId="77777777" w:rsidR="00322494" w:rsidRPr="00322494" w:rsidRDefault="00322494" w:rsidP="00322494">
            <w:pPr>
              <w:spacing w:before="0" w:after="0" w:line="240" w:lineRule="auto"/>
              <w:rPr>
                <w:rFonts w:ascii="Arial" w:hAnsi="Arial" w:cs="Arial"/>
                <w:b/>
                <w:bCs/>
                <w:sz w:val="16"/>
                <w:szCs w:val="16"/>
              </w:rPr>
            </w:pPr>
            <w:r w:rsidRPr="00322494">
              <w:rPr>
                <w:rFonts w:ascii="Arial" w:hAnsi="Arial" w:cs="Arial"/>
                <w:b/>
                <w:bCs/>
                <w:sz w:val="16"/>
                <w:szCs w:val="16"/>
              </w:rPr>
              <w:t>Total comprehensive income (loss) attributable to the Australian Government</w:t>
            </w:r>
          </w:p>
        </w:tc>
        <w:tc>
          <w:tcPr>
            <w:tcW w:w="960" w:type="dxa"/>
            <w:tcBorders>
              <w:top w:val="nil"/>
              <w:left w:val="nil"/>
              <w:bottom w:val="nil"/>
              <w:right w:val="nil"/>
            </w:tcBorders>
            <w:shd w:val="clear" w:color="auto" w:fill="auto"/>
            <w:noWrap/>
            <w:vAlign w:val="bottom"/>
            <w:hideMark/>
          </w:tcPr>
          <w:p w14:paraId="05B8EC4E" w14:textId="77777777" w:rsidR="00322494" w:rsidRPr="00322494" w:rsidRDefault="00322494" w:rsidP="00322494">
            <w:pPr>
              <w:spacing w:before="0" w:after="0" w:line="240" w:lineRule="auto"/>
              <w:jc w:val="right"/>
              <w:rPr>
                <w:rFonts w:ascii="Arial" w:hAnsi="Arial" w:cs="Arial"/>
                <w:b/>
                <w:bCs/>
                <w:color w:val="000000"/>
                <w:sz w:val="16"/>
                <w:szCs w:val="16"/>
              </w:rPr>
            </w:pPr>
            <w:r w:rsidRPr="00322494">
              <w:rPr>
                <w:rFonts w:ascii="Arial" w:hAnsi="Arial" w:cs="Arial"/>
                <w:b/>
                <w:bCs/>
                <w:color w:val="000000"/>
                <w:sz w:val="16"/>
                <w:szCs w:val="16"/>
              </w:rPr>
              <w:t>(301)</w:t>
            </w:r>
          </w:p>
        </w:tc>
        <w:tc>
          <w:tcPr>
            <w:tcW w:w="960" w:type="dxa"/>
            <w:tcBorders>
              <w:top w:val="nil"/>
              <w:left w:val="nil"/>
              <w:bottom w:val="nil"/>
              <w:right w:val="nil"/>
            </w:tcBorders>
            <w:shd w:val="clear" w:color="000000" w:fill="D9D9D9"/>
            <w:vAlign w:val="bottom"/>
            <w:hideMark/>
          </w:tcPr>
          <w:p w14:paraId="224E1759"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(1,363)</w:t>
            </w:r>
          </w:p>
        </w:tc>
        <w:tc>
          <w:tcPr>
            <w:tcW w:w="960" w:type="dxa"/>
            <w:tcBorders>
              <w:top w:val="nil"/>
              <w:left w:val="nil"/>
              <w:bottom w:val="nil"/>
              <w:right w:val="nil"/>
            </w:tcBorders>
            <w:shd w:val="clear" w:color="auto" w:fill="auto"/>
            <w:vAlign w:val="bottom"/>
            <w:hideMark/>
          </w:tcPr>
          <w:p w14:paraId="28E26EDA"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423</w:t>
            </w:r>
          </w:p>
        </w:tc>
        <w:tc>
          <w:tcPr>
            <w:tcW w:w="960" w:type="dxa"/>
            <w:tcBorders>
              <w:top w:val="nil"/>
              <w:left w:val="nil"/>
              <w:bottom w:val="nil"/>
              <w:right w:val="nil"/>
            </w:tcBorders>
            <w:shd w:val="clear" w:color="auto" w:fill="auto"/>
            <w:vAlign w:val="bottom"/>
            <w:hideMark/>
          </w:tcPr>
          <w:p w14:paraId="11C3598B"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666</w:t>
            </w:r>
          </w:p>
        </w:tc>
        <w:tc>
          <w:tcPr>
            <w:tcW w:w="960" w:type="dxa"/>
            <w:tcBorders>
              <w:top w:val="nil"/>
              <w:left w:val="nil"/>
              <w:bottom w:val="nil"/>
              <w:right w:val="nil"/>
            </w:tcBorders>
            <w:shd w:val="clear" w:color="auto" w:fill="auto"/>
            <w:vAlign w:val="bottom"/>
            <w:hideMark/>
          </w:tcPr>
          <w:p w14:paraId="0E4EF3C1"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857</w:t>
            </w:r>
          </w:p>
        </w:tc>
      </w:tr>
      <w:tr w:rsidR="00322494" w:rsidRPr="00322494" w14:paraId="634407C3" w14:textId="77777777" w:rsidTr="0023699A">
        <w:trPr>
          <w:trHeight w:val="454"/>
          <w:jc w:val="center"/>
        </w:trPr>
        <w:tc>
          <w:tcPr>
            <w:tcW w:w="3080" w:type="dxa"/>
            <w:tcBorders>
              <w:top w:val="nil"/>
              <w:left w:val="nil"/>
              <w:bottom w:val="nil"/>
              <w:right w:val="nil"/>
            </w:tcBorders>
            <w:shd w:val="clear" w:color="auto" w:fill="auto"/>
            <w:vAlign w:val="bottom"/>
            <w:hideMark/>
          </w:tcPr>
          <w:p w14:paraId="7948A023" w14:textId="77777777" w:rsidR="00322494" w:rsidRPr="00322494" w:rsidRDefault="00322494" w:rsidP="00322494">
            <w:pPr>
              <w:spacing w:before="0" w:after="0" w:line="240" w:lineRule="auto"/>
              <w:ind w:leftChars="75" w:left="143"/>
              <w:rPr>
                <w:rFonts w:ascii="Arial" w:hAnsi="Arial" w:cs="Arial"/>
                <w:color w:val="000000"/>
                <w:sz w:val="16"/>
                <w:szCs w:val="16"/>
              </w:rPr>
            </w:pPr>
            <w:proofErr w:type="gramStart"/>
            <w:r w:rsidRPr="00322494">
              <w:rPr>
                <w:rFonts w:ascii="Arial" w:hAnsi="Arial" w:cs="Arial"/>
                <w:color w:val="000000"/>
                <w:sz w:val="16"/>
                <w:szCs w:val="16"/>
              </w:rPr>
              <w:t>plus</w:t>
            </w:r>
            <w:proofErr w:type="gramEnd"/>
            <w:r w:rsidRPr="00322494">
              <w:rPr>
                <w:rFonts w:ascii="Arial" w:hAnsi="Arial" w:cs="Arial"/>
                <w:color w:val="000000"/>
                <w:sz w:val="16"/>
                <w:szCs w:val="16"/>
              </w:rPr>
              <w:t xml:space="preserve"> depreciation and amortisation expenses for </w:t>
            </w:r>
            <w:proofErr w:type="spellStart"/>
            <w:r w:rsidRPr="00322494">
              <w:rPr>
                <w:rFonts w:ascii="Arial" w:hAnsi="Arial" w:cs="Arial"/>
                <w:color w:val="000000"/>
                <w:sz w:val="16"/>
                <w:szCs w:val="16"/>
              </w:rPr>
              <w:t>RoU</w:t>
            </w:r>
            <w:proofErr w:type="spellEnd"/>
          </w:p>
        </w:tc>
        <w:tc>
          <w:tcPr>
            <w:tcW w:w="960" w:type="dxa"/>
            <w:tcBorders>
              <w:top w:val="nil"/>
              <w:left w:val="nil"/>
              <w:bottom w:val="nil"/>
              <w:right w:val="nil"/>
            </w:tcBorders>
            <w:shd w:val="clear" w:color="auto" w:fill="auto"/>
            <w:noWrap/>
            <w:vAlign w:val="bottom"/>
            <w:hideMark/>
          </w:tcPr>
          <w:p w14:paraId="7234521A"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4,774</w:t>
            </w:r>
          </w:p>
        </w:tc>
        <w:tc>
          <w:tcPr>
            <w:tcW w:w="960" w:type="dxa"/>
            <w:tcBorders>
              <w:top w:val="nil"/>
              <w:left w:val="nil"/>
              <w:bottom w:val="nil"/>
              <w:right w:val="nil"/>
            </w:tcBorders>
            <w:shd w:val="clear" w:color="000000" w:fill="D9D9D9"/>
            <w:noWrap/>
            <w:vAlign w:val="bottom"/>
            <w:hideMark/>
          </w:tcPr>
          <w:p w14:paraId="5C3EA528"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4,794</w:t>
            </w:r>
          </w:p>
        </w:tc>
        <w:tc>
          <w:tcPr>
            <w:tcW w:w="960" w:type="dxa"/>
            <w:tcBorders>
              <w:top w:val="nil"/>
              <w:left w:val="nil"/>
              <w:bottom w:val="nil"/>
              <w:right w:val="nil"/>
            </w:tcBorders>
            <w:shd w:val="clear" w:color="auto" w:fill="auto"/>
            <w:noWrap/>
            <w:vAlign w:val="bottom"/>
            <w:hideMark/>
          </w:tcPr>
          <w:p w14:paraId="6A52D728"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4,945</w:t>
            </w:r>
          </w:p>
        </w:tc>
        <w:tc>
          <w:tcPr>
            <w:tcW w:w="960" w:type="dxa"/>
            <w:tcBorders>
              <w:top w:val="nil"/>
              <w:left w:val="nil"/>
              <w:bottom w:val="nil"/>
              <w:right w:val="nil"/>
            </w:tcBorders>
            <w:shd w:val="clear" w:color="auto" w:fill="auto"/>
            <w:noWrap/>
            <w:vAlign w:val="bottom"/>
            <w:hideMark/>
          </w:tcPr>
          <w:p w14:paraId="0714FB64"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4,945</w:t>
            </w:r>
          </w:p>
        </w:tc>
        <w:tc>
          <w:tcPr>
            <w:tcW w:w="960" w:type="dxa"/>
            <w:tcBorders>
              <w:top w:val="nil"/>
              <w:left w:val="nil"/>
              <w:bottom w:val="nil"/>
              <w:right w:val="nil"/>
            </w:tcBorders>
            <w:shd w:val="clear" w:color="auto" w:fill="auto"/>
            <w:noWrap/>
            <w:vAlign w:val="bottom"/>
            <w:hideMark/>
          </w:tcPr>
          <w:p w14:paraId="4AFCE758"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4,983</w:t>
            </w:r>
          </w:p>
        </w:tc>
      </w:tr>
      <w:tr w:rsidR="00322494" w:rsidRPr="00322494" w14:paraId="340FE8CE" w14:textId="77777777" w:rsidTr="0023699A">
        <w:trPr>
          <w:trHeight w:val="283"/>
          <w:jc w:val="center"/>
        </w:trPr>
        <w:tc>
          <w:tcPr>
            <w:tcW w:w="3080" w:type="dxa"/>
            <w:tcBorders>
              <w:top w:val="nil"/>
              <w:left w:val="nil"/>
              <w:bottom w:val="nil"/>
              <w:right w:val="nil"/>
            </w:tcBorders>
            <w:shd w:val="clear" w:color="auto" w:fill="auto"/>
            <w:vAlign w:val="bottom"/>
            <w:hideMark/>
          </w:tcPr>
          <w:p w14:paraId="43EABA27" w14:textId="77777777" w:rsidR="00322494" w:rsidRPr="00322494" w:rsidRDefault="00322494" w:rsidP="00322494">
            <w:pPr>
              <w:spacing w:before="0" w:after="0" w:line="240" w:lineRule="auto"/>
              <w:ind w:leftChars="75" w:left="143"/>
              <w:rPr>
                <w:rFonts w:ascii="Arial" w:hAnsi="Arial" w:cs="Arial"/>
                <w:color w:val="000000"/>
                <w:sz w:val="16"/>
                <w:szCs w:val="16"/>
              </w:rPr>
            </w:pPr>
            <w:r w:rsidRPr="00322494">
              <w:rPr>
                <w:rFonts w:ascii="Arial" w:hAnsi="Arial" w:cs="Arial"/>
                <w:color w:val="000000"/>
                <w:sz w:val="16"/>
                <w:szCs w:val="16"/>
              </w:rPr>
              <w:t>less lease principal repayments</w:t>
            </w:r>
          </w:p>
        </w:tc>
        <w:tc>
          <w:tcPr>
            <w:tcW w:w="960" w:type="dxa"/>
            <w:tcBorders>
              <w:top w:val="nil"/>
              <w:left w:val="nil"/>
              <w:bottom w:val="nil"/>
              <w:right w:val="nil"/>
            </w:tcBorders>
            <w:shd w:val="clear" w:color="auto" w:fill="auto"/>
            <w:noWrap/>
            <w:vAlign w:val="bottom"/>
            <w:hideMark/>
          </w:tcPr>
          <w:p w14:paraId="1EF43CBE"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(4,940)</w:t>
            </w:r>
          </w:p>
        </w:tc>
        <w:tc>
          <w:tcPr>
            <w:tcW w:w="960" w:type="dxa"/>
            <w:tcBorders>
              <w:top w:val="nil"/>
              <w:left w:val="nil"/>
              <w:bottom w:val="nil"/>
              <w:right w:val="nil"/>
            </w:tcBorders>
            <w:shd w:val="clear" w:color="000000" w:fill="D9D9D9"/>
            <w:noWrap/>
            <w:vAlign w:val="bottom"/>
            <w:hideMark/>
          </w:tcPr>
          <w:p w14:paraId="1ACAFEF2"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(5,138)</w:t>
            </w:r>
          </w:p>
        </w:tc>
        <w:tc>
          <w:tcPr>
            <w:tcW w:w="960" w:type="dxa"/>
            <w:tcBorders>
              <w:top w:val="nil"/>
              <w:left w:val="nil"/>
              <w:bottom w:val="nil"/>
              <w:right w:val="nil"/>
            </w:tcBorders>
            <w:shd w:val="clear" w:color="auto" w:fill="auto"/>
            <w:noWrap/>
            <w:vAlign w:val="bottom"/>
            <w:hideMark/>
          </w:tcPr>
          <w:p w14:paraId="78A34D0C"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(5,368)</w:t>
            </w:r>
          </w:p>
        </w:tc>
        <w:tc>
          <w:tcPr>
            <w:tcW w:w="960" w:type="dxa"/>
            <w:tcBorders>
              <w:top w:val="nil"/>
              <w:left w:val="nil"/>
              <w:bottom w:val="nil"/>
              <w:right w:val="nil"/>
            </w:tcBorders>
            <w:shd w:val="clear" w:color="auto" w:fill="auto"/>
            <w:noWrap/>
            <w:vAlign w:val="bottom"/>
            <w:hideMark/>
          </w:tcPr>
          <w:p w14:paraId="2BCFBBF9"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(5,611)</w:t>
            </w:r>
          </w:p>
        </w:tc>
        <w:tc>
          <w:tcPr>
            <w:tcW w:w="960" w:type="dxa"/>
            <w:tcBorders>
              <w:top w:val="nil"/>
              <w:left w:val="nil"/>
              <w:bottom w:val="nil"/>
              <w:right w:val="nil"/>
            </w:tcBorders>
            <w:shd w:val="clear" w:color="auto" w:fill="auto"/>
            <w:noWrap/>
            <w:vAlign w:val="bottom"/>
            <w:hideMark/>
          </w:tcPr>
          <w:p w14:paraId="5B6B079D" w14:textId="77777777" w:rsidR="00322494" w:rsidRPr="00322494" w:rsidRDefault="00322494" w:rsidP="00322494">
            <w:pPr>
              <w:spacing w:before="0" w:after="0" w:line="240" w:lineRule="auto"/>
              <w:jc w:val="right"/>
              <w:rPr>
                <w:rFonts w:ascii="Arial" w:hAnsi="Arial" w:cs="Arial"/>
                <w:sz w:val="16"/>
                <w:szCs w:val="16"/>
              </w:rPr>
            </w:pPr>
            <w:r w:rsidRPr="00322494">
              <w:rPr>
                <w:rFonts w:ascii="Arial" w:hAnsi="Arial" w:cs="Arial"/>
                <w:sz w:val="16"/>
                <w:szCs w:val="16"/>
              </w:rPr>
              <w:t>(5,840)</w:t>
            </w:r>
          </w:p>
        </w:tc>
      </w:tr>
      <w:tr w:rsidR="00322494" w:rsidRPr="00322494" w14:paraId="5385F4EF" w14:textId="77777777" w:rsidTr="0023699A">
        <w:trPr>
          <w:trHeight w:val="454"/>
          <w:jc w:val="center"/>
        </w:trPr>
        <w:tc>
          <w:tcPr>
            <w:tcW w:w="3080" w:type="dxa"/>
            <w:tcBorders>
              <w:top w:val="nil"/>
              <w:left w:val="nil"/>
              <w:bottom w:val="single" w:sz="4" w:space="0" w:color="auto"/>
              <w:right w:val="nil"/>
            </w:tcBorders>
            <w:shd w:val="clear" w:color="auto" w:fill="auto"/>
            <w:vAlign w:val="bottom"/>
            <w:hideMark/>
          </w:tcPr>
          <w:p w14:paraId="6162E759" w14:textId="77777777" w:rsidR="00322494" w:rsidRPr="00322494" w:rsidRDefault="00322494" w:rsidP="00322494">
            <w:pPr>
              <w:spacing w:before="0" w:after="0" w:line="240" w:lineRule="auto"/>
              <w:rPr>
                <w:rFonts w:ascii="Arial" w:hAnsi="Arial" w:cs="Arial"/>
                <w:b/>
                <w:bCs/>
                <w:sz w:val="16"/>
                <w:szCs w:val="16"/>
              </w:rPr>
            </w:pPr>
            <w:r w:rsidRPr="00322494">
              <w:rPr>
                <w:rFonts w:ascii="Arial" w:hAnsi="Arial" w:cs="Arial"/>
                <w:b/>
                <w:bCs/>
                <w:sz w:val="16"/>
                <w:szCs w:val="16"/>
              </w:rPr>
              <w:t>Total comprehensive income (loss) attributable to the agency</w:t>
            </w:r>
          </w:p>
        </w:tc>
        <w:tc>
          <w:tcPr>
            <w:tcW w:w="960" w:type="dxa"/>
            <w:tcBorders>
              <w:top w:val="nil"/>
              <w:left w:val="nil"/>
              <w:bottom w:val="single" w:sz="4" w:space="0" w:color="auto"/>
              <w:right w:val="nil"/>
            </w:tcBorders>
            <w:shd w:val="clear" w:color="auto" w:fill="auto"/>
            <w:noWrap/>
            <w:vAlign w:val="bottom"/>
            <w:hideMark/>
          </w:tcPr>
          <w:p w14:paraId="2A522A3C"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(467)</w:t>
            </w:r>
          </w:p>
        </w:tc>
        <w:tc>
          <w:tcPr>
            <w:tcW w:w="960" w:type="dxa"/>
            <w:tcBorders>
              <w:top w:val="nil"/>
              <w:left w:val="nil"/>
              <w:bottom w:val="single" w:sz="4" w:space="0" w:color="auto"/>
              <w:right w:val="nil"/>
            </w:tcBorders>
            <w:shd w:val="clear" w:color="000000" w:fill="D9D9D9"/>
            <w:noWrap/>
            <w:vAlign w:val="bottom"/>
            <w:hideMark/>
          </w:tcPr>
          <w:p w14:paraId="2D2AFEAA"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(1,707)</w:t>
            </w:r>
          </w:p>
        </w:tc>
        <w:tc>
          <w:tcPr>
            <w:tcW w:w="960" w:type="dxa"/>
            <w:tcBorders>
              <w:top w:val="nil"/>
              <w:left w:val="nil"/>
              <w:bottom w:val="single" w:sz="4" w:space="0" w:color="auto"/>
              <w:right w:val="nil"/>
            </w:tcBorders>
            <w:shd w:val="clear" w:color="auto" w:fill="auto"/>
            <w:noWrap/>
            <w:vAlign w:val="bottom"/>
            <w:hideMark/>
          </w:tcPr>
          <w:p w14:paraId="65788271"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5B311C37"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06144ACB" w14:textId="77777777" w:rsidR="00322494" w:rsidRPr="00322494" w:rsidRDefault="00322494" w:rsidP="00322494">
            <w:pPr>
              <w:spacing w:before="0" w:after="0" w:line="240" w:lineRule="auto"/>
              <w:jc w:val="right"/>
              <w:rPr>
                <w:rFonts w:ascii="Arial" w:hAnsi="Arial" w:cs="Arial"/>
                <w:b/>
                <w:bCs/>
                <w:sz w:val="16"/>
                <w:szCs w:val="16"/>
              </w:rPr>
            </w:pPr>
            <w:r w:rsidRPr="00322494">
              <w:rPr>
                <w:rFonts w:ascii="Arial" w:hAnsi="Arial" w:cs="Arial"/>
                <w:b/>
                <w:bCs/>
                <w:sz w:val="16"/>
                <w:szCs w:val="16"/>
              </w:rPr>
              <w:t>-</w:t>
            </w:r>
          </w:p>
        </w:tc>
      </w:tr>
    </w:tbl>
    <w:p w14:paraId="64A34286" w14:textId="77777777" w:rsidR="00275707" w:rsidRPr="000549D1" w:rsidRDefault="00275707" w:rsidP="001E6884">
      <w:pPr>
        <w:pStyle w:val="FootnoteText"/>
        <w:spacing w:before="120"/>
        <w:rPr>
          <w:snapToGrid w:val="0"/>
        </w:rPr>
      </w:pPr>
      <w:proofErr w:type="spellStart"/>
      <w:r w:rsidRPr="000549D1">
        <w:rPr>
          <w:snapToGrid w:val="0"/>
        </w:rPr>
        <w:t>RoU</w:t>
      </w:r>
      <w:proofErr w:type="spellEnd"/>
      <w:r w:rsidRPr="000549D1">
        <w:rPr>
          <w:snapToGrid w:val="0"/>
        </w:rPr>
        <w:t xml:space="preserve"> = Right-of-Use asset</w:t>
      </w:r>
    </w:p>
    <w:p w14:paraId="663BF601" w14:textId="77777777" w:rsidR="00275707" w:rsidRDefault="00275707" w:rsidP="00275707">
      <w:pPr>
        <w:spacing w:before="0" w:after="0" w:line="240" w:lineRule="auto"/>
        <w:rPr>
          <w:rFonts w:ascii="Arial" w:hAnsi="Arial"/>
          <w:b/>
          <w:snapToGrid w:val="0"/>
          <w:sz w:val="20"/>
        </w:rPr>
      </w:pPr>
      <w:r>
        <w:rPr>
          <w:snapToGrid w:val="0"/>
        </w:rPr>
        <w:br w:type="page"/>
      </w:r>
    </w:p>
    <w:p w14:paraId="255970B6" w14:textId="2147839B" w:rsidR="00275707" w:rsidRDefault="00275707" w:rsidP="00275707">
      <w:pPr>
        <w:pStyle w:val="TableHeading"/>
        <w:spacing w:before="0"/>
        <w:rPr>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1A756D" w:rsidRPr="001A756D" w14:paraId="576EEB25" w14:textId="77777777" w:rsidTr="001A756D">
        <w:trPr>
          <w:trHeight w:val="765"/>
          <w:jc w:val="center"/>
        </w:trPr>
        <w:tc>
          <w:tcPr>
            <w:tcW w:w="3080" w:type="dxa"/>
            <w:tcBorders>
              <w:top w:val="single" w:sz="4" w:space="0" w:color="auto"/>
              <w:left w:val="nil"/>
              <w:bottom w:val="nil"/>
              <w:right w:val="nil"/>
            </w:tcBorders>
            <w:shd w:val="clear" w:color="auto" w:fill="auto"/>
            <w:vAlign w:val="bottom"/>
            <w:hideMark/>
          </w:tcPr>
          <w:p w14:paraId="58A64C47" w14:textId="77777777" w:rsidR="001A756D" w:rsidRPr="001A756D" w:rsidRDefault="001A756D" w:rsidP="001A756D">
            <w:pPr>
              <w:spacing w:before="24" w:after="0" w:line="240" w:lineRule="auto"/>
              <w:jc w:val="right"/>
              <w:rPr>
                <w:rFonts w:ascii="Arial" w:hAnsi="Arial" w:cs="Arial"/>
                <w:b/>
                <w:bCs/>
                <w:sz w:val="16"/>
                <w:szCs w:val="16"/>
              </w:rPr>
            </w:pPr>
            <w:r w:rsidRPr="001A756D">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7EC91DD3" w14:textId="248607AA" w:rsidR="001A756D" w:rsidRPr="001A756D" w:rsidRDefault="001A756D" w:rsidP="001A756D">
            <w:pPr>
              <w:spacing w:before="24" w:after="0" w:line="240" w:lineRule="auto"/>
              <w:jc w:val="right"/>
              <w:rPr>
                <w:rFonts w:ascii="Arial" w:hAnsi="Arial" w:cs="Arial"/>
                <w:b/>
                <w:bCs/>
                <w:sz w:val="16"/>
                <w:szCs w:val="16"/>
              </w:rPr>
            </w:pPr>
            <w:r>
              <w:rPr>
                <w:rFonts w:ascii="Arial" w:hAnsi="Arial" w:cs="Arial"/>
                <w:b/>
                <w:bCs/>
                <w:sz w:val="16"/>
                <w:szCs w:val="16"/>
              </w:rPr>
              <w:t>2022–</w:t>
            </w:r>
            <w:r w:rsidRPr="001A756D">
              <w:rPr>
                <w:rFonts w:ascii="Arial" w:hAnsi="Arial" w:cs="Arial"/>
                <w:b/>
                <w:bCs/>
                <w:sz w:val="16"/>
                <w:szCs w:val="16"/>
              </w:rPr>
              <w:t>23</w:t>
            </w:r>
            <w:r w:rsidRPr="001A756D">
              <w:rPr>
                <w:rFonts w:ascii="Arial" w:hAnsi="Arial" w:cs="Arial"/>
                <w:b/>
                <w:bCs/>
                <w:sz w:val="16"/>
                <w:szCs w:val="16"/>
              </w:rPr>
              <w:br/>
              <w:t>Actual</w:t>
            </w:r>
            <w:r w:rsidRPr="001A756D">
              <w:rPr>
                <w:rFonts w:ascii="Arial" w:hAnsi="Arial" w:cs="Arial"/>
                <w:b/>
                <w:bCs/>
                <w:sz w:val="16"/>
                <w:szCs w:val="16"/>
              </w:rPr>
              <w:br/>
            </w:r>
            <w:r w:rsidRPr="001A756D">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048A2649" w14:textId="33486E6E" w:rsidR="001A756D" w:rsidRPr="001A756D" w:rsidRDefault="001A756D" w:rsidP="001A756D">
            <w:pPr>
              <w:spacing w:before="24" w:after="0" w:line="240" w:lineRule="auto"/>
              <w:jc w:val="right"/>
              <w:rPr>
                <w:rFonts w:ascii="Arial" w:hAnsi="Arial" w:cs="Arial"/>
                <w:b/>
                <w:bCs/>
                <w:sz w:val="16"/>
                <w:szCs w:val="16"/>
              </w:rPr>
            </w:pPr>
            <w:r>
              <w:rPr>
                <w:rFonts w:ascii="Arial" w:hAnsi="Arial" w:cs="Arial"/>
                <w:b/>
                <w:bCs/>
                <w:sz w:val="16"/>
                <w:szCs w:val="16"/>
              </w:rPr>
              <w:t>2023–</w:t>
            </w:r>
            <w:r w:rsidRPr="001A756D">
              <w:rPr>
                <w:rFonts w:ascii="Arial" w:hAnsi="Arial" w:cs="Arial"/>
                <w:b/>
                <w:bCs/>
                <w:sz w:val="16"/>
                <w:szCs w:val="16"/>
              </w:rPr>
              <w:t>24</w:t>
            </w:r>
            <w:r w:rsidRPr="001A756D">
              <w:rPr>
                <w:rFonts w:ascii="Arial" w:hAnsi="Arial" w:cs="Arial"/>
                <w:b/>
                <w:bCs/>
                <w:sz w:val="16"/>
                <w:szCs w:val="16"/>
              </w:rPr>
              <w:br/>
              <w:t>Revised</w:t>
            </w:r>
            <w:r w:rsidRPr="001A756D">
              <w:rPr>
                <w:rFonts w:ascii="Arial" w:hAnsi="Arial" w:cs="Arial"/>
                <w:b/>
                <w:bCs/>
                <w:sz w:val="16"/>
                <w:szCs w:val="16"/>
              </w:rPr>
              <w:br/>
              <w:t>Budget</w:t>
            </w:r>
            <w:r w:rsidRPr="001A756D">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42EB7119" w14:textId="328C7936" w:rsidR="001A756D" w:rsidRPr="001A756D" w:rsidRDefault="001A756D" w:rsidP="001A756D">
            <w:pPr>
              <w:spacing w:before="24" w:after="0" w:line="240" w:lineRule="auto"/>
              <w:jc w:val="right"/>
              <w:rPr>
                <w:rFonts w:ascii="Arial" w:hAnsi="Arial" w:cs="Arial"/>
                <w:b/>
                <w:bCs/>
                <w:sz w:val="16"/>
                <w:szCs w:val="16"/>
              </w:rPr>
            </w:pPr>
            <w:r>
              <w:rPr>
                <w:rFonts w:ascii="Arial" w:hAnsi="Arial" w:cs="Arial"/>
                <w:b/>
                <w:bCs/>
                <w:sz w:val="16"/>
                <w:szCs w:val="16"/>
              </w:rPr>
              <w:t>2024–</w:t>
            </w:r>
            <w:r w:rsidRPr="001A756D">
              <w:rPr>
                <w:rFonts w:ascii="Arial" w:hAnsi="Arial" w:cs="Arial"/>
                <w:b/>
                <w:bCs/>
                <w:sz w:val="16"/>
                <w:szCs w:val="16"/>
              </w:rPr>
              <w:t>25 Forward Estimate</w:t>
            </w:r>
            <w:r w:rsidRPr="001A756D">
              <w:rPr>
                <w:rFonts w:ascii="Arial" w:hAnsi="Arial" w:cs="Arial"/>
                <w:b/>
                <w:bCs/>
                <w:sz w:val="16"/>
                <w:szCs w:val="16"/>
              </w:rPr>
              <w:br/>
            </w:r>
            <w:r w:rsidRPr="001A756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5D5E96DC" w14:textId="684D88D9" w:rsidR="001A756D" w:rsidRPr="001A756D" w:rsidRDefault="001A756D" w:rsidP="001A756D">
            <w:pPr>
              <w:spacing w:before="24" w:after="0" w:line="240" w:lineRule="auto"/>
              <w:jc w:val="right"/>
              <w:rPr>
                <w:rFonts w:ascii="Arial" w:hAnsi="Arial" w:cs="Arial"/>
                <w:b/>
                <w:bCs/>
                <w:sz w:val="16"/>
                <w:szCs w:val="16"/>
              </w:rPr>
            </w:pPr>
            <w:r>
              <w:rPr>
                <w:rFonts w:ascii="Arial" w:hAnsi="Arial" w:cs="Arial"/>
                <w:b/>
                <w:bCs/>
                <w:sz w:val="16"/>
                <w:szCs w:val="16"/>
              </w:rPr>
              <w:t>2025–</w:t>
            </w:r>
            <w:r w:rsidRPr="001A756D">
              <w:rPr>
                <w:rFonts w:ascii="Arial" w:hAnsi="Arial" w:cs="Arial"/>
                <w:b/>
                <w:bCs/>
                <w:sz w:val="16"/>
                <w:szCs w:val="16"/>
              </w:rPr>
              <w:t>26 Forward Estimate</w:t>
            </w:r>
            <w:r w:rsidRPr="001A756D">
              <w:rPr>
                <w:rFonts w:ascii="Arial" w:hAnsi="Arial" w:cs="Arial"/>
                <w:b/>
                <w:bCs/>
                <w:sz w:val="16"/>
                <w:szCs w:val="16"/>
              </w:rPr>
              <w:br/>
            </w:r>
            <w:r w:rsidRPr="001A756D">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10CE5A67" w14:textId="5EAC7BF5" w:rsidR="001A756D" w:rsidRPr="001A756D" w:rsidRDefault="001A756D" w:rsidP="001A756D">
            <w:pPr>
              <w:spacing w:before="24" w:after="0" w:line="240" w:lineRule="auto"/>
              <w:jc w:val="right"/>
              <w:rPr>
                <w:rFonts w:ascii="Arial" w:hAnsi="Arial" w:cs="Arial"/>
                <w:b/>
                <w:bCs/>
                <w:sz w:val="16"/>
                <w:szCs w:val="16"/>
              </w:rPr>
            </w:pPr>
            <w:r>
              <w:rPr>
                <w:rFonts w:ascii="Arial" w:hAnsi="Arial" w:cs="Arial"/>
                <w:b/>
                <w:bCs/>
                <w:sz w:val="16"/>
                <w:szCs w:val="16"/>
              </w:rPr>
              <w:t>2026–</w:t>
            </w:r>
            <w:r w:rsidRPr="001A756D">
              <w:rPr>
                <w:rFonts w:ascii="Arial" w:hAnsi="Arial" w:cs="Arial"/>
                <w:b/>
                <w:bCs/>
                <w:sz w:val="16"/>
                <w:szCs w:val="16"/>
              </w:rPr>
              <w:t>27 Forward Estimate</w:t>
            </w:r>
            <w:r w:rsidRPr="001A756D">
              <w:rPr>
                <w:rFonts w:ascii="Arial" w:hAnsi="Arial" w:cs="Arial"/>
                <w:b/>
                <w:bCs/>
                <w:sz w:val="16"/>
                <w:szCs w:val="16"/>
              </w:rPr>
              <w:br/>
            </w:r>
            <w:r w:rsidRPr="001A756D">
              <w:rPr>
                <w:rFonts w:ascii="Arial" w:hAnsi="Arial" w:cs="Arial"/>
                <w:sz w:val="16"/>
                <w:szCs w:val="16"/>
              </w:rPr>
              <w:t>$'000</w:t>
            </w:r>
          </w:p>
        </w:tc>
      </w:tr>
      <w:tr w:rsidR="001A756D" w:rsidRPr="001A756D" w14:paraId="6E69ED5A"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553FE074" w14:textId="77777777" w:rsidR="001A756D" w:rsidRPr="001A756D" w:rsidRDefault="001A756D" w:rsidP="001A756D">
            <w:pPr>
              <w:spacing w:before="0" w:after="0" w:line="240" w:lineRule="auto"/>
              <w:rPr>
                <w:rFonts w:ascii="Arial" w:hAnsi="Arial" w:cs="Arial"/>
                <w:b/>
                <w:bCs/>
                <w:color w:val="000000"/>
                <w:sz w:val="16"/>
                <w:szCs w:val="16"/>
              </w:rPr>
            </w:pPr>
            <w:r w:rsidRPr="001A756D">
              <w:rPr>
                <w:rFonts w:ascii="Arial" w:hAnsi="Arial" w:cs="Arial"/>
                <w:b/>
                <w:bCs/>
                <w:color w:val="000000"/>
                <w:sz w:val="16"/>
                <w:szCs w:val="16"/>
              </w:rPr>
              <w:t>ASSETS</w:t>
            </w:r>
          </w:p>
        </w:tc>
        <w:tc>
          <w:tcPr>
            <w:tcW w:w="960" w:type="dxa"/>
            <w:tcBorders>
              <w:top w:val="nil"/>
              <w:left w:val="nil"/>
              <w:bottom w:val="nil"/>
              <w:right w:val="nil"/>
            </w:tcBorders>
            <w:shd w:val="clear" w:color="auto" w:fill="auto"/>
            <w:noWrap/>
            <w:vAlign w:val="bottom"/>
            <w:hideMark/>
          </w:tcPr>
          <w:p w14:paraId="0E929F34" w14:textId="77777777" w:rsidR="001A756D" w:rsidRPr="001A756D" w:rsidRDefault="001A756D" w:rsidP="001A756D">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9F2584C" w14:textId="77777777" w:rsidR="001A756D" w:rsidRPr="001A756D" w:rsidRDefault="001A756D" w:rsidP="001A756D">
            <w:pPr>
              <w:spacing w:before="0" w:after="0" w:line="240" w:lineRule="auto"/>
              <w:jc w:val="right"/>
              <w:rPr>
                <w:rFonts w:ascii="Arial" w:hAnsi="Arial" w:cs="Arial"/>
                <w:color w:val="000000"/>
                <w:sz w:val="16"/>
                <w:szCs w:val="16"/>
              </w:rPr>
            </w:pPr>
            <w:r w:rsidRPr="001A756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51321D3F" w14:textId="77777777" w:rsidR="001A756D" w:rsidRPr="001A756D" w:rsidRDefault="001A756D" w:rsidP="001A756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A98D83A"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4ABD07C"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588962AF"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70C37A65"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163B79B1" w14:textId="77777777" w:rsidR="001A756D" w:rsidRPr="001A756D" w:rsidRDefault="001A756D" w:rsidP="001A756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2B83EAA" w14:textId="77777777" w:rsidR="001A756D" w:rsidRPr="001A756D" w:rsidRDefault="001A756D" w:rsidP="001A756D">
            <w:pPr>
              <w:spacing w:before="0" w:after="0" w:line="240" w:lineRule="auto"/>
              <w:jc w:val="right"/>
              <w:rPr>
                <w:rFonts w:ascii="Arial" w:hAnsi="Arial" w:cs="Arial"/>
                <w:color w:val="000000"/>
                <w:sz w:val="16"/>
                <w:szCs w:val="16"/>
              </w:rPr>
            </w:pPr>
            <w:r w:rsidRPr="001A756D">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148BE8C" w14:textId="77777777" w:rsidR="001A756D" w:rsidRPr="001A756D" w:rsidRDefault="001A756D" w:rsidP="001A756D">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EC2E2F2"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5891F79"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7BE7D64E"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299BCBD6"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Cash and cash equivalents</w:t>
            </w:r>
          </w:p>
        </w:tc>
        <w:tc>
          <w:tcPr>
            <w:tcW w:w="960" w:type="dxa"/>
            <w:tcBorders>
              <w:top w:val="nil"/>
              <w:left w:val="nil"/>
              <w:bottom w:val="nil"/>
              <w:right w:val="nil"/>
            </w:tcBorders>
            <w:shd w:val="clear" w:color="auto" w:fill="auto"/>
            <w:noWrap/>
            <w:vAlign w:val="bottom"/>
            <w:hideMark/>
          </w:tcPr>
          <w:p w14:paraId="58E798AC"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106,780</w:t>
            </w:r>
          </w:p>
        </w:tc>
        <w:tc>
          <w:tcPr>
            <w:tcW w:w="960" w:type="dxa"/>
            <w:tcBorders>
              <w:top w:val="nil"/>
              <w:left w:val="nil"/>
              <w:bottom w:val="nil"/>
              <w:right w:val="nil"/>
            </w:tcBorders>
            <w:shd w:val="clear" w:color="000000" w:fill="D9D9D9"/>
            <w:noWrap/>
            <w:vAlign w:val="bottom"/>
            <w:hideMark/>
          </w:tcPr>
          <w:p w14:paraId="47D8E6B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106,872</w:t>
            </w:r>
          </w:p>
        </w:tc>
        <w:tc>
          <w:tcPr>
            <w:tcW w:w="960" w:type="dxa"/>
            <w:tcBorders>
              <w:top w:val="nil"/>
              <w:left w:val="nil"/>
              <w:bottom w:val="nil"/>
              <w:right w:val="nil"/>
            </w:tcBorders>
            <w:shd w:val="clear" w:color="auto" w:fill="auto"/>
            <w:noWrap/>
            <w:vAlign w:val="bottom"/>
            <w:hideMark/>
          </w:tcPr>
          <w:p w14:paraId="6717A0FE"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107,772</w:t>
            </w:r>
          </w:p>
        </w:tc>
        <w:tc>
          <w:tcPr>
            <w:tcW w:w="960" w:type="dxa"/>
            <w:tcBorders>
              <w:top w:val="nil"/>
              <w:left w:val="nil"/>
              <w:bottom w:val="nil"/>
              <w:right w:val="nil"/>
            </w:tcBorders>
            <w:shd w:val="clear" w:color="auto" w:fill="auto"/>
            <w:noWrap/>
            <w:vAlign w:val="bottom"/>
            <w:hideMark/>
          </w:tcPr>
          <w:p w14:paraId="1088180D"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106,972</w:t>
            </w:r>
          </w:p>
        </w:tc>
        <w:tc>
          <w:tcPr>
            <w:tcW w:w="960" w:type="dxa"/>
            <w:tcBorders>
              <w:top w:val="nil"/>
              <w:left w:val="nil"/>
              <w:bottom w:val="nil"/>
              <w:right w:val="nil"/>
            </w:tcBorders>
            <w:shd w:val="clear" w:color="auto" w:fill="auto"/>
            <w:noWrap/>
            <w:vAlign w:val="bottom"/>
            <w:hideMark/>
          </w:tcPr>
          <w:p w14:paraId="500F742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106,972</w:t>
            </w:r>
          </w:p>
        </w:tc>
      </w:tr>
      <w:tr w:rsidR="001A756D" w:rsidRPr="001A756D" w14:paraId="1F0A9327"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08155BE3"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Trade and other receivables</w:t>
            </w:r>
          </w:p>
        </w:tc>
        <w:tc>
          <w:tcPr>
            <w:tcW w:w="960" w:type="dxa"/>
            <w:tcBorders>
              <w:top w:val="nil"/>
              <w:left w:val="nil"/>
              <w:bottom w:val="nil"/>
              <w:right w:val="nil"/>
            </w:tcBorders>
            <w:shd w:val="clear" w:color="auto" w:fill="auto"/>
            <w:noWrap/>
            <w:vAlign w:val="bottom"/>
            <w:hideMark/>
          </w:tcPr>
          <w:p w14:paraId="3672B628"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7,771</w:t>
            </w:r>
          </w:p>
        </w:tc>
        <w:tc>
          <w:tcPr>
            <w:tcW w:w="960" w:type="dxa"/>
            <w:tcBorders>
              <w:top w:val="nil"/>
              <w:left w:val="nil"/>
              <w:bottom w:val="nil"/>
              <w:right w:val="nil"/>
            </w:tcBorders>
            <w:shd w:val="clear" w:color="000000" w:fill="D9D9D9"/>
            <w:noWrap/>
            <w:vAlign w:val="bottom"/>
            <w:hideMark/>
          </w:tcPr>
          <w:p w14:paraId="69C2FA3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8,872</w:t>
            </w:r>
          </w:p>
        </w:tc>
        <w:tc>
          <w:tcPr>
            <w:tcW w:w="960" w:type="dxa"/>
            <w:tcBorders>
              <w:top w:val="nil"/>
              <w:left w:val="nil"/>
              <w:bottom w:val="nil"/>
              <w:right w:val="nil"/>
            </w:tcBorders>
            <w:shd w:val="clear" w:color="auto" w:fill="auto"/>
            <w:noWrap/>
            <w:vAlign w:val="bottom"/>
            <w:hideMark/>
          </w:tcPr>
          <w:p w14:paraId="7805059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8,872</w:t>
            </w:r>
          </w:p>
        </w:tc>
        <w:tc>
          <w:tcPr>
            <w:tcW w:w="960" w:type="dxa"/>
            <w:tcBorders>
              <w:top w:val="nil"/>
              <w:left w:val="nil"/>
              <w:bottom w:val="nil"/>
              <w:right w:val="nil"/>
            </w:tcBorders>
            <w:shd w:val="clear" w:color="auto" w:fill="auto"/>
            <w:noWrap/>
            <w:vAlign w:val="bottom"/>
            <w:hideMark/>
          </w:tcPr>
          <w:p w14:paraId="73B438E2"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8,872</w:t>
            </w:r>
          </w:p>
        </w:tc>
        <w:tc>
          <w:tcPr>
            <w:tcW w:w="960" w:type="dxa"/>
            <w:tcBorders>
              <w:top w:val="nil"/>
              <w:left w:val="nil"/>
              <w:bottom w:val="nil"/>
              <w:right w:val="nil"/>
            </w:tcBorders>
            <w:shd w:val="clear" w:color="auto" w:fill="auto"/>
            <w:noWrap/>
            <w:vAlign w:val="bottom"/>
            <w:hideMark/>
          </w:tcPr>
          <w:p w14:paraId="63F73DCB"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8,872</w:t>
            </w:r>
          </w:p>
        </w:tc>
      </w:tr>
      <w:tr w:rsidR="001A756D" w:rsidRPr="001A756D" w14:paraId="0B70E381"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73BC030D" w14:textId="77777777" w:rsidR="001A756D" w:rsidRPr="001A756D" w:rsidRDefault="001A756D" w:rsidP="001A756D">
            <w:pPr>
              <w:spacing w:before="0" w:after="0" w:line="240" w:lineRule="auto"/>
              <w:ind w:leftChars="150" w:left="285"/>
              <w:rPr>
                <w:rFonts w:ascii="Arial" w:hAnsi="Arial" w:cs="Arial"/>
                <w:b/>
                <w:bCs/>
                <w:color w:val="000000"/>
                <w:sz w:val="16"/>
                <w:szCs w:val="16"/>
              </w:rPr>
            </w:pPr>
            <w:r w:rsidRPr="001A756D">
              <w:rPr>
                <w:rFonts w:ascii="Arial" w:hAnsi="Arial"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14:paraId="0ECDF94B"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114,551</w:t>
            </w:r>
          </w:p>
        </w:tc>
        <w:tc>
          <w:tcPr>
            <w:tcW w:w="960" w:type="dxa"/>
            <w:tcBorders>
              <w:top w:val="nil"/>
              <w:left w:val="nil"/>
              <w:bottom w:val="single" w:sz="4" w:space="0" w:color="auto"/>
              <w:right w:val="nil"/>
            </w:tcBorders>
            <w:shd w:val="clear" w:color="000000" w:fill="D9D9D9"/>
            <w:noWrap/>
            <w:vAlign w:val="bottom"/>
            <w:hideMark/>
          </w:tcPr>
          <w:p w14:paraId="0EE1778F"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115,744</w:t>
            </w:r>
          </w:p>
        </w:tc>
        <w:tc>
          <w:tcPr>
            <w:tcW w:w="960" w:type="dxa"/>
            <w:tcBorders>
              <w:top w:val="nil"/>
              <w:left w:val="nil"/>
              <w:bottom w:val="single" w:sz="4" w:space="0" w:color="auto"/>
              <w:right w:val="nil"/>
            </w:tcBorders>
            <w:shd w:val="clear" w:color="auto" w:fill="auto"/>
            <w:noWrap/>
            <w:vAlign w:val="bottom"/>
            <w:hideMark/>
          </w:tcPr>
          <w:p w14:paraId="7AB45D19"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116,644</w:t>
            </w:r>
          </w:p>
        </w:tc>
        <w:tc>
          <w:tcPr>
            <w:tcW w:w="960" w:type="dxa"/>
            <w:tcBorders>
              <w:top w:val="nil"/>
              <w:left w:val="nil"/>
              <w:bottom w:val="single" w:sz="4" w:space="0" w:color="auto"/>
              <w:right w:val="nil"/>
            </w:tcBorders>
            <w:shd w:val="clear" w:color="auto" w:fill="auto"/>
            <w:noWrap/>
            <w:vAlign w:val="bottom"/>
            <w:hideMark/>
          </w:tcPr>
          <w:p w14:paraId="7464721A"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115,844</w:t>
            </w:r>
          </w:p>
        </w:tc>
        <w:tc>
          <w:tcPr>
            <w:tcW w:w="960" w:type="dxa"/>
            <w:tcBorders>
              <w:top w:val="nil"/>
              <w:left w:val="nil"/>
              <w:bottom w:val="single" w:sz="4" w:space="0" w:color="auto"/>
              <w:right w:val="nil"/>
            </w:tcBorders>
            <w:shd w:val="clear" w:color="auto" w:fill="auto"/>
            <w:noWrap/>
            <w:vAlign w:val="bottom"/>
            <w:hideMark/>
          </w:tcPr>
          <w:p w14:paraId="4C7A508C"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115,844</w:t>
            </w:r>
          </w:p>
        </w:tc>
      </w:tr>
      <w:tr w:rsidR="001A756D" w:rsidRPr="001A756D" w14:paraId="6291C835"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04D47AC6"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14:paraId="6676A62A" w14:textId="77777777" w:rsidR="001A756D" w:rsidRPr="001A756D" w:rsidRDefault="001A756D" w:rsidP="001A756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0D187D9" w14:textId="77777777" w:rsidR="001A756D" w:rsidRPr="001A756D" w:rsidRDefault="001A756D" w:rsidP="001A756D">
            <w:pPr>
              <w:spacing w:before="0" w:after="0" w:line="240" w:lineRule="auto"/>
              <w:jc w:val="right"/>
              <w:rPr>
                <w:rFonts w:ascii="Arial" w:hAnsi="Arial" w:cs="Arial"/>
                <w:color w:val="31869B"/>
                <w:sz w:val="16"/>
                <w:szCs w:val="16"/>
              </w:rPr>
            </w:pPr>
            <w:r w:rsidRPr="001A756D">
              <w:rPr>
                <w:rFonts w:ascii="Arial" w:hAnsi="Arial" w:cs="Arial"/>
                <w:color w:val="31869B"/>
                <w:sz w:val="16"/>
                <w:szCs w:val="16"/>
              </w:rPr>
              <w:t> </w:t>
            </w:r>
          </w:p>
        </w:tc>
        <w:tc>
          <w:tcPr>
            <w:tcW w:w="960" w:type="dxa"/>
            <w:tcBorders>
              <w:top w:val="nil"/>
              <w:left w:val="nil"/>
              <w:bottom w:val="nil"/>
              <w:right w:val="nil"/>
            </w:tcBorders>
            <w:shd w:val="clear" w:color="auto" w:fill="auto"/>
            <w:noWrap/>
            <w:vAlign w:val="bottom"/>
            <w:hideMark/>
          </w:tcPr>
          <w:p w14:paraId="315593EF" w14:textId="77777777" w:rsidR="001A756D" w:rsidRPr="001A756D" w:rsidRDefault="001A756D" w:rsidP="001A756D">
            <w:pPr>
              <w:spacing w:before="0" w:after="0" w:line="240" w:lineRule="auto"/>
              <w:jc w:val="right"/>
              <w:rPr>
                <w:rFonts w:ascii="Arial" w:hAnsi="Arial" w:cs="Arial"/>
                <w:color w:val="31869B"/>
                <w:sz w:val="16"/>
                <w:szCs w:val="16"/>
              </w:rPr>
            </w:pPr>
          </w:p>
        </w:tc>
        <w:tc>
          <w:tcPr>
            <w:tcW w:w="960" w:type="dxa"/>
            <w:tcBorders>
              <w:top w:val="nil"/>
              <w:left w:val="nil"/>
              <w:bottom w:val="nil"/>
              <w:right w:val="nil"/>
            </w:tcBorders>
            <w:shd w:val="clear" w:color="auto" w:fill="auto"/>
            <w:noWrap/>
            <w:vAlign w:val="bottom"/>
            <w:hideMark/>
          </w:tcPr>
          <w:p w14:paraId="3B18F44B"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760AB20"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5F15CA52"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0DBA9470"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14:paraId="49DD57D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30,674</w:t>
            </w:r>
          </w:p>
        </w:tc>
        <w:tc>
          <w:tcPr>
            <w:tcW w:w="960" w:type="dxa"/>
            <w:tcBorders>
              <w:top w:val="nil"/>
              <w:left w:val="nil"/>
              <w:bottom w:val="nil"/>
              <w:right w:val="nil"/>
            </w:tcBorders>
            <w:shd w:val="clear" w:color="000000" w:fill="D9D9D9"/>
            <w:noWrap/>
            <w:vAlign w:val="bottom"/>
            <w:hideMark/>
          </w:tcPr>
          <w:p w14:paraId="4B7FB41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27,323</w:t>
            </w:r>
          </w:p>
        </w:tc>
        <w:tc>
          <w:tcPr>
            <w:tcW w:w="960" w:type="dxa"/>
            <w:tcBorders>
              <w:top w:val="nil"/>
              <w:left w:val="nil"/>
              <w:bottom w:val="nil"/>
              <w:right w:val="nil"/>
            </w:tcBorders>
            <w:shd w:val="clear" w:color="auto" w:fill="auto"/>
            <w:noWrap/>
            <w:vAlign w:val="bottom"/>
            <w:hideMark/>
          </w:tcPr>
          <w:p w14:paraId="7D2BA54C"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23,223</w:t>
            </w:r>
          </w:p>
        </w:tc>
        <w:tc>
          <w:tcPr>
            <w:tcW w:w="960" w:type="dxa"/>
            <w:tcBorders>
              <w:top w:val="nil"/>
              <w:left w:val="nil"/>
              <w:bottom w:val="nil"/>
              <w:right w:val="nil"/>
            </w:tcBorders>
            <w:shd w:val="clear" w:color="auto" w:fill="auto"/>
            <w:noWrap/>
            <w:vAlign w:val="bottom"/>
            <w:hideMark/>
          </w:tcPr>
          <w:p w14:paraId="0E714C7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17,623</w:t>
            </w:r>
          </w:p>
        </w:tc>
        <w:tc>
          <w:tcPr>
            <w:tcW w:w="960" w:type="dxa"/>
            <w:tcBorders>
              <w:top w:val="nil"/>
              <w:left w:val="nil"/>
              <w:bottom w:val="nil"/>
              <w:right w:val="nil"/>
            </w:tcBorders>
            <w:shd w:val="clear" w:color="auto" w:fill="auto"/>
            <w:noWrap/>
            <w:vAlign w:val="bottom"/>
            <w:hideMark/>
          </w:tcPr>
          <w:p w14:paraId="2B906F9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16,485</w:t>
            </w:r>
          </w:p>
        </w:tc>
      </w:tr>
      <w:tr w:rsidR="001A756D" w:rsidRPr="001A756D" w14:paraId="0A729579"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61FF9D27"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 xml:space="preserve">Property, </w:t>
            </w:r>
            <w:proofErr w:type="gramStart"/>
            <w:r w:rsidRPr="001A756D">
              <w:rPr>
                <w:rFonts w:ascii="Arial" w:hAnsi="Arial" w:cs="Arial"/>
                <w:color w:val="000000"/>
                <w:sz w:val="16"/>
                <w:szCs w:val="16"/>
              </w:rPr>
              <w:t>plant</w:t>
            </w:r>
            <w:proofErr w:type="gramEnd"/>
            <w:r w:rsidRPr="001A756D">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263CDA8E"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2,881</w:t>
            </w:r>
          </w:p>
        </w:tc>
        <w:tc>
          <w:tcPr>
            <w:tcW w:w="960" w:type="dxa"/>
            <w:tcBorders>
              <w:top w:val="nil"/>
              <w:left w:val="nil"/>
              <w:bottom w:val="nil"/>
              <w:right w:val="nil"/>
            </w:tcBorders>
            <w:shd w:val="clear" w:color="000000" w:fill="D9D9D9"/>
            <w:noWrap/>
            <w:vAlign w:val="bottom"/>
            <w:hideMark/>
          </w:tcPr>
          <w:p w14:paraId="079936F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2,882</w:t>
            </w:r>
          </w:p>
        </w:tc>
        <w:tc>
          <w:tcPr>
            <w:tcW w:w="960" w:type="dxa"/>
            <w:tcBorders>
              <w:top w:val="nil"/>
              <w:left w:val="nil"/>
              <w:bottom w:val="nil"/>
              <w:right w:val="nil"/>
            </w:tcBorders>
            <w:shd w:val="clear" w:color="auto" w:fill="auto"/>
            <w:noWrap/>
            <w:vAlign w:val="bottom"/>
            <w:hideMark/>
          </w:tcPr>
          <w:p w14:paraId="1BDDFF6A"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2,882</w:t>
            </w:r>
          </w:p>
        </w:tc>
        <w:tc>
          <w:tcPr>
            <w:tcW w:w="960" w:type="dxa"/>
            <w:tcBorders>
              <w:top w:val="nil"/>
              <w:left w:val="nil"/>
              <w:bottom w:val="nil"/>
              <w:right w:val="nil"/>
            </w:tcBorders>
            <w:shd w:val="clear" w:color="auto" w:fill="auto"/>
            <w:noWrap/>
            <w:vAlign w:val="bottom"/>
            <w:hideMark/>
          </w:tcPr>
          <w:p w14:paraId="2E9C5801"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2,882</w:t>
            </w:r>
          </w:p>
        </w:tc>
        <w:tc>
          <w:tcPr>
            <w:tcW w:w="960" w:type="dxa"/>
            <w:tcBorders>
              <w:top w:val="nil"/>
              <w:left w:val="nil"/>
              <w:bottom w:val="nil"/>
              <w:right w:val="nil"/>
            </w:tcBorders>
            <w:shd w:val="clear" w:color="auto" w:fill="auto"/>
            <w:noWrap/>
            <w:vAlign w:val="bottom"/>
            <w:hideMark/>
          </w:tcPr>
          <w:p w14:paraId="3EE8F7AE"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2,882</w:t>
            </w:r>
          </w:p>
        </w:tc>
      </w:tr>
      <w:tr w:rsidR="001A756D" w:rsidRPr="001A756D" w14:paraId="7B84748A"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68DCEC77"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Intangibles</w:t>
            </w:r>
          </w:p>
        </w:tc>
        <w:tc>
          <w:tcPr>
            <w:tcW w:w="960" w:type="dxa"/>
            <w:tcBorders>
              <w:top w:val="nil"/>
              <w:left w:val="nil"/>
              <w:bottom w:val="nil"/>
              <w:right w:val="nil"/>
            </w:tcBorders>
            <w:shd w:val="clear" w:color="auto" w:fill="auto"/>
            <w:noWrap/>
            <w:vAlign w:val="bottom"/>
            <w:hideMark/>
          </w:tcPr>
          <w:p w14:paraId="7E688331"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1,574</w:t>
            </w:r>
          </w:p>
        </w:tc>
        <w:tc>
          <w:tcPr>
            <w:tcW w:w="960" w:type="dxa"/>
            <w:tcBorders>
              <w:top w:val="nil"/>
              <w:left w:val="nil"/>
              <w:bottom w:val="nil"/>
              <w:right w:val="nil"/>
            </w:tcBorders>
            <w:shd w:val="clear" w:color="000000" w:fill="D9D9D9"/>
            <w:noWrap/>
            <w:vAlign w:val="bottom"/>
            <w:hideMark/>
          </w:tcPr>
          <w:p w14:paraId="0A7DF992"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1,374</w:t>
            </w:r>
          </w:p>
        </w:tc>
        <w:tc>
          <w:tcPr>
            <w:tcW w:w="960" w:type="dxa"/>
            <w:tcBorders>
              <w:top w:val="nil"/>
              <w:left w:val="nil"/>
              <w:bottom w:val="nil"/>
              <w:right w:val="nil"/>
            </w:tcBorders>
            <w:shd w:val="clear" w:color="auto" w:fill="auto"/>
            <w:noWrap/>
            <w:vAlign w:val="bottom"/>
            <w:hideMark/>
          </w:tcPr>
          <w:p w14:paraId="1DDC18CD"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1,174</w:t>
            </w:r>
          </w:p>
        </w:tc>
        <w:tc>
          <w:tcPr>
            <w:tcW w:w="960" w:type="dxa"/>
            <w:tcBorders>
              <w:top w:val="nil"/>
              <w:left w:val="nil"/>
              <w:bottom w:val="nil"/>
              <w:right w:val="nil"/>
            </w:tcBorders>
            <w:shd w:val="clear" w:color="auto" w:fill="auto"/>
            <w:noWrap/>
            <w:vAlign w:val="bottom"/>
            <w:hideMark/>
          </w:tcPr>
          <w:p w14:paraId="1FB0443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974</w:t>
            </w:r>
          </w:p>
        </w:tc>
        <w:tc>
          <w:tcPr>
            <w:tcW w:w="960" w:type="dxa"/>
            <w:tcBorders>
              <w:top w:val="nil"/>
              <w:left w:val="nil"/>
              <w:bottom w:val="nil"/>
              <w:right w:val="nil"/>
            </w:tcBorders>
            <w:shd w:val="clear" w:color="auto" w:fill="auto"/>
            <w:noWrap/>
            <w:vAlign w:val="bottom"/>
            <w:hideMark/>
          </w:tcPr>
          <w:p w14:paraId="4836DB3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974</w:t>
            </w:r>
          </w:p>
        </w:tc>
      </w:tr>
      <w:tr w:rsidR="001A756D" w:rsidRPr="001A756D" w14:paraId="009CAE24"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2377CEBE"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Other</w:t>
            </w:r>
          </w:p>
        </w:tc>
        <w:tc>
          <w:tcPr>
            <w:tcW w:w="960" w:type="dxa"/>
            <w:tcBorders>
              <w:top w:val="nil"/>
              <w:left w:val="nil"/>
              <w:bottom w:val="nil"/>
              <w:right w:val="nil"/>
            </w:tcBorders>
            <w:shd w:val="clear" w:color="auto" w:fill="auto"/>
            <w:noWrap/>
            <w:vAlign w:val="bottom"/>
            <w:hideMark/>
          </w:tcPr>
          <w:p w14:paraId="46430532"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4,469</w:t>
            </w:r>
          </w:p>
        </w:tc>
        <w:tc>
          <w:tcPr>
            <w:tcW w:w="960" w:type="dxa"/>
            <w:tcBorders>
              <w:top w:val="nil"/>
              <w:left w:val="nil"/>
              <w:bottom w:val="nil"/>
              <w:right w:val="nil"/>
            </w:tcBorders>
            <w:shd w:val="clear" w:color="000000" w:fill="D9D9D9"/>
            <w:noWrap/>
            <w:vAlign w:val="bottom"/>
            <w:hideMark/>
          </w:tcPr>
          <w:p w14:paraId="142B358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4,469</w:t>
            </w:r>
          </w:p>
        </w:tc>
        <w:tc>
          <w:tcPr>
            <w:tcW w:w="960" w:type="dxa"/>
            <w:tcBorders>
              <w:top w:val="nil"/>
              <w:left w:val="nil"/>
              <w:bottom w:val="nil"/>
              <w:right w:val="nil"/>
            </w:tcBorders>
            <w:shd w:val="clear" w:color="auto" w:fill="auto"/>
            <w:noWrap/>
            <w:vAlign w:val="bottom"/>
            <w:hideMark/>
          </w:tcPr>
          <w:p w14:paraId="58B0E77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4,469</w:t>
            </w:r>
          </w:p>
        </w:tc>
        <w:tc>
          <w:tcPr>
            <w:tcW w:w="960" w:type="dxa"/>
            <w:tcBorders>
              <w:top w:val="nil"/>
              <w:left w:val="nil"/>
              <w:bottom w:val="nil"/>
              <w:right w:val="nil"/>
            </w:tcBorders>
            <w:shd w:val="clear" w:color="auto" w:fill="auto"/>
            <w:noWrap/>
            <w:vAlign w:val="bottom"/>
            <w:hideMark/>
          </w:tcPr>
          <w:p w14:paraId="15AB8F6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4,469</w:t>
            </w:r>
          </w:p>
        </w:tc>
        <w:tc>
          <w:tcPr>
            <w:tcW w:w="960" w:type="dxa"/>
            <w:tcBorders>
              <w:top w:val="nil"/>
              <w:left w:val="nil"/>
              <w:bottom w:val="nil"/>
              <w:right w:val="nil"/>
            </w:tcBorders>
            <w:shd w:val="clear" w:color="auto" w:fill="auto"/>
            <w:noWrap/>
            <w:vAlign w:val="bottom"/>
            <w:hideMark/>
          </w:tcPr>
          <w:p w14:paraId="71A9227B"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4,469</w:t>
            </w:r>
          </w:p>
        </w:tc>
      </w:tr>
      <w:tr w:rsidR="001A756D" w:rsidRPr="001A756D" w14:paraId="20E5FE10"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15D14C75" w14:textId="77777777" w:rsidR="001A756D" w:rsidRPr="001A756D" w:rsidRDefault="001A756D" w:rsidP="001A756D">
            <w:pPr>
              <w:spacing w:before="0" w:after="0" w:line="240" w:lineRule="auto"/>
              <w:ind w:leftChars="150" w:left="285"/>
              <w:rPr>
                <w:rFonts w:ascii="Arial" w:hAnsi="Arial" w:cs="Arial"/>
                <w:b/>
                <w:bCs/>
                <w:color w:val="000000"/>
                <w:sz w:val="16"/>
                <w:szCs w:val="16"/>
              </w:rPr>
            </w:pPr>
            <w:r w:rsidRPr="001A756D">
              <w:rPr>
                <w:rFonts w:ascii="Arial" w:hAnsi="Arial"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14:paraId="196EF2E2"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39,598</w:t>
            </w:r>
          </w:p>
        </w:tc>
        <w:tc>
          <w:tcPr>
            <w:tcW w:w="960" w:type="dxa"/>
            <w:tcBorders>
              <w:top w:val="nil"/>
              <w:left w:val="nil"/>
              <w:bottom w:val="single" w:sz="4" w:space="0" w:color="auto"/>
              <w:right w:val="nil"/>
            </w:tcBorders>
            <w:shd w:val="clear" w:color="000000" w:fill="D9D9D9"/>
            <w:noWrap/>
            <w:vAlign w:val="bottom"/>
            <w:hideMark/>
          </w:tcPr>
          <w:p w14:paraId="506886EE"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36,048</w:t>
            </w:r>
          </w:p>
        </w:tc>
        <w:tc>
          <w:tcPr>
            <w:tcW w:w="960" w:type="dxa"/>
            <w:tcBorders>
              <w:top w:val="nil"/>
              <w:left w:val="nil"/>
              <w:bottom w:val="single" w:sz="4" w:space="0" w:color="auto"/>
              <w:right w:val="nil"/>
            </w:tcBorders>
            <w:shd w:val="clear" w:color="auto" w:fill="auto"/>
            <w:noWrap/>
            <w:vAlign w:val="bottom"/>
            <w:hideMark/>
          </w:tcPr>
          <w:p w14:paraId="550D2AD8"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31,748</w:t>
            </w:r>
          </w:p>
        </w:tc>
        <w:tc>
          <w:tcPr>
            <w:tcW w:w="960" w:type="dxa"/>
            <w:tcBorders>
              <w:top w:val="nil"/>
              <w:left w:val="nil"/>
              <w:bottom w:val="single" w:sz="4" w:space="0" w:color="auto"/>
              <w:right w:val="nil"/>
            </w:tcBorders>
            <w:shd w:val="clear" w:color="auto" w:fill="auto"/>
            <w:noWrap/>
            <w:vAlign w:val="bottom"/>
            <w:hideMark/>
          </w:tcPr>
          <w:p w14:paraId="75318279"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25,948</w:t>
            </w:r>
          </w:p>
        </w:tc>
        <w:tc>
          <w:tcPr>
            <w:tcW w:w="960" w:type="dxa"/>
            <w:tcBorders>
              <w:top w:val="nil"/>
              <w:left w:val="nil"/>
              <w:bottom w:val="single" w:sz="4" w:space="0" w:color="auto"/>
              <w:right w:val="nil"/>
            </w:tcBorders>
            <w:shd w:val="clear" w:color="auto" w:fill="auto"/>
            <w:noWrap/>
            <w:vAlign w:val="bottom"/>
            <w:hideMark/>
          </w:tcPr>
          <w:p w14:paraId="07674C47"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24,810</w:t>
            </w:r>
          </w:p>
        </w:tc>
      </w:tr>
      <w:tr w:rsidR="001A756D" w:rsidRPr="001A756D" w14:paraId="6B30B1FE"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32505D1E"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Total assets</w:t>
            </w:r>
          </w:p>
        </w:tc>
        <w:tc>
          <w:tcPr>
            <w:tcW w:w="960" w:type="dxa"/>
            <w:tcBorders>
              <w:top w:val="nil"/>
              <w:left w:val="nil"/>
              <w:bottom w:val="single" w:sz="4" w:space="0" w:color="auto"/>
              <w:right w:val="nil"/>
            </w:tcBorders>
            <w:shd w:val="clear" w:color="auto" w:fill="auto"/>
            <w:noWrap/>
            <w:vAlign w:val="bottom"/>
            <w:hideMark/>
          </w:tcPr>
          <w:p w14:paraId="50110F4E"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154,149</w:t>
            </w:r>
          </w:p>
        </w:tc>
        <w:tc>
          <w:tcPr>
            <w:tcW w:w="960" w:type="dxa"/>
            <w:tcBorders>
              <w:top w:val="nil"/>
              <w:left w:val="nil"/>
              <w:bottom w:val="single" w:sz="4" w:space="0" w:color="auto"/>
              <w:right w:val="nil"/>
            </w:tcBorders>
            <w:shd w:val="clear" w:color="000000" w:fill="D9D9D9"/>
            <w:noWrap/>
            <w:vAlign w:val="bottom"/>
            <w:hideMark/>
          </w:tcPr>
          <w:p w14:paraId="39850126"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151,792</w:t>
            </w:r>
          </w:p>
        </w:tc>
        <w:tc>
          <w:tcPr>
            <w:tcW w:w="960" w:type="dxa"/>
            <w:tcBorders>
              <w:top w:val="nil"/>
              <w:left w:val="nil"/>
              <w:bottom w:val="single" w:sz="4" w:space="0" w:color="auto"/>
              <w:right w:val="nil"/>
            </w:tcBorders>
            <w:shd w:val="clear" w:color="auto" w:fill="auto"/>
            <w:noWrap/>
            <w:vAlign w:val="bottom"/>
            <w:hideMark/>
          </w:tcPr>
          <w:p w14:paraId="3E89D22A"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148,392</w:t>
            </w:r>
          </w:p>
        </w:tc>
        <w:tc>
          <w:tcPr>
            <w:tcW w:w="960" w:type="dxa"/>
            <w:tcBorders>
              <w:top w:val="nil"/>
              <w:left w:val="nil"/>
              <w:bottom w:val="single" w:sz="4" w:space="0" w:color="auto"/>
              <w:right w:val="nil"/>
            </w:tcBorders>
            <w:shd w:val="clear" w:color="auto" w:fill="auto"/>
            <w:noWrap/>
            <w:vAlign w:val="bottom"/>
            <w:hideMark/>
          </w:tcPr>
          <w:p w14:paraId="48507A69"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141,792</w:t>
            </w:r>
          </w:p>
        </w:tc>
        <w:tc>
          <w:tcPr>
            <w:tcW w:w="960" w:type="dxa"/>
            <w:tcBorders>
              <w:top w:val="nil"/>
              <w:left w:val="nil"/>
              <w:bottom w:val="single" w:sz="4" w:space="0" w:color="auto"/>
              <w:right w:val="nil"/>
            </w:tcBorders>
            <w:shd w:val="clear" w:color="auto" w:fill="auto"/>
            <w:noWrap/>
            <w:vAlign w:val="bottom"/>
            <w:hideMark/>
          </w:tcPr>
          <w:p w14:paraId="5274F03A"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140,654</w:t>
            </w:r>
          </w:p>
        </w:tc>
      </w:tr>
      <w:tr w:rsidR="001A756D" w:rsidRPr="001A756D" w14:paraId="4680B478"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46293DB5" w14:textId="77777777" w:rsidR="001A756D" w:rsidRPr="001A756D" w:rsidRDefault="001A756D" w:rsidP="001A756D">
            <w:pPr>
              <w:spacing w:before="0" w:after="0" w:line="240" w:lineRule="auto"/>
              <w:rPr>
                <w:rFonts w:ascii="Arial" w:hAnsi="Arial" w:cs="Arial"/>
                <w:b/>
                <w:bCs/>
                <w:color w:val="000000"/>
                <w:sz w:val="16"/>
                <w:szCs w:val="16"/>
              </w:rPr>
            </w:pPr>
            <w:r w:rsidRPr="001A756D">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14:paraId="373119E7" w14:textId="77777777" w:rsidR="001A756D" w:rsidRPr="001A756D" w:rsidRDefault="001A756D" w:rsidP="001A756D">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1BB81E4" w14:textId="77777777" w:rsidR="001A756D" w:rsidRPr="001A756D" w:rsidRDefault="001A756D" w:rsidP="001A756D">
            <w:pPr>
              <w:spacing w:before="0" w:after="0" w:line="240" w:lineRule="auto"/>
              <w:jc w:val="right"/>
              <w:rPr>
                <w:rFonts w:ascii="Arial" w:hAnsi="Arial" w:cs="Arial"/>
                <w:color w:val="31869B"/>
                <w:sz w:val="16"/>
                <w:szCs w:val="16"/>
              </w:rPr>
            </w:pPr>
            <w:r w:rsidRPr="001A756D">
              <w:rPr>
                <w:rFonts w:ascii="Arial" w:hAnsi="Arial" w:cs="Arial"/>
                <w:color w:val="31869B"/>
                <w:sz w:val="16"/>
                <w:szCs w:val="16"/>
              </w:rPr>
              <w:t> </w:t>
            </w:r>
          </w:p>
        </w:tc>
        <w:tc>
          <w:tcPr>
            <w:tcW w:w="960" w:type="dxa"/>
            <w:tcBorders>
              <w:top w:val="nil"/>
              <w:left w:val="nil"/>
              <w:bottom w:val="nil"/>
              <w:right w:val="nil"/>
            </w:tcBorders>
            <w:shd w:val="clear" w:color="auto" w:fill="auto"/>
            <w:noWrap/>
            <w:vAlign w:val="bottom"/>
            <w:hideMark/>
          </w:tcPr>
          <w:p w14:paraId="4172F2E7" w14:textId="77777777" w:rsidR="001A756D" w:rsidRPr="001A756D" w:rsidRDefault="001A756D" w:rsidP="001A756D">
            <w:pPr>
              <w:spacing w:before="0" w:after="0" w:line="240" w:lineRule="auto"/>
              <w:jc w:val="right"/>
              <w:rPr>
                <w:rFonts w:ascii="Arial" w:hAnsi="Arial" w:cs="Arial"/>
                <w:color w:val="31869B"/>
                <w:sz w:val="16"/>
                <w:szCs w:val="16"/>
              </w:rPr>
            </w:pPr>
          </w:p>
        </w:tc>
        <w:tc>
          <w:tcPr>
            <w:tcW w:w="960" w:type="dxa"/>
            <w:tcBorders>
              <w:top w:val="nil"/>
              <w:left w:val="nil"/>
              <w:bottom w:val="nil"/>
              <w:right w:val="nil"/>
            </w:tcBorders>
            <w:shd w:val="clear" w:color="auto" w:fill="auto"/>
            <w:noWrap/>
            <w:vAlign w:val="bottom"/>
            <w:hideMark/>
          </w:tcPr>
          <w:p w14:paraId="71DD511F"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27DFDDC"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577CEEDC"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52982760"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322B682A" w14:textId="77777777" w:rsidR="001A756D" w:rsidRPr="001A756D" w:rsidRDefault="001A756D" w:rsidP="001A756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647E860" w14:textId="77777777" w:rsidR="001A756D" w:rsidRPr="001A756D" w:rsidRDefault="001A756D" w:rsidP="001A756D">
            <w:pPr>
              <w:spacing w:before="0" w:after="0" w:line="240" w:lineRule="auto"/>
              <w:jc w:val="right"/>
              <w:rPr>
                <w:rFonts w:ascii="Arial" w:hAnsi="Arial" w:cs="Arial"/>
                <w:color w:val="31869B"/>
                <w:sz w:val="16"/>
                <w:szCs w:val="16"/>
              </w:rPr>
            </w:pPr>
            <w:r w:rsidRPr="001A756D">
              <w:rPr>
                <w:rFonts w:ascii="Arial" w:hAnsi="Arial" w:cs="Arial"/>
                <w:color w:val="31869B"/>
                <w:sz w:val="16"/>
                <w:szCs w:val="16"/>
              </w:rPr>
              <w:t> </w:t>
            </w:r>
          </w:p>
        </w:tc>
        <w:tc>
          <w:tcPr>
            <w:tcW w:w="960" w:type="dxa"/>
            <w:tcBorders>
              <w:top w:val="nil"/>
              <w:left w:val="nil"/>
              <w:bottom w:val="nil"/>
              <w:right w:val="nil"/>
            </w:tcBorders>
            <w:shd w:val="clear" w:color="auto" w:fill="auto"/>
            <w:noWrap/>
            <w:vAlign w:val="bottom"/>
            <w:hideMark/>
          </w:tcPr>
          <w:p w14:paraId="4FAA91E7" w14:textId="77777777" w:rsidR="001A756D" w:rsidRPr="001A756D" w:rsidRDefault="001A756D" w:rsidP="001A756D">
            <w:pPr>
              <w:spacing w:before="0" w:after="0" w:line="240" w:lineRule="auto"/>
              <w:jc w:val="right"/>
              <w:rPr>
                <w:rFonts w:ascii="Arial" w:hAnsi="Arial" w:cs="Arial"/>
                <w:color w:val="31869B"/>
                <w:sz w:val="16"/>
                <w:szCs w:val="16"/>
              </w:rPr>
            </w:pPr>
          </w:p>
        </w:tc>
        <w:tc>
          <w:tcPr>
            <w:tcW w:w="960" w:type="dxa"/>
            <w:tcBorders>
              <w:top w:val="nil"/>
              <w:left w:val="nil"/>
              <w:bottom w:val="nil"/>
              <w:right w:val="nil"/>
            </w:tcBorders>
            <w:shd w:val="clear" w:color="auto" w:fill="auto"/>
            <w:noWrap/>
            <w:vAlign w:val="bottom"/>
            <w:hideMark/>
          </w:tcPr>
          <w:p w14:paraId="5DAC1B64"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EA3A851"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03C44EB8"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6EE45A0A"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495F35F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5,321</w:t>
            </w:r>
          </w:p>
        </w:tc>
        <w:tc>
          <w:tcPr>
            <w:tcW w:w="960" w:type="dxa"/>
            <w:tcBorders>
              <w:top w:val="nil"/>
              <w:left w:val="nil"/>
              <w:bottom w:val="nil"/>
              <w:right w:val="nil"/>
            </w:tcBorders>
            <w:shd w:val="clear" w:color="000000" w:fill="D9D9D9"/>
            <w:noWrap/>
            <w:vAlign w:val="bottom"/>
            <w:hideMark/>
          </w:tcPr>
          <w:p w14:paraId="64A5C973"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7,260</w:t>
            </w:r>
          </w:p>
        </w:tc>
        <w:tc>
          <w:tcPr>
            <w:tcW w:w="960" w:type="dxa"/>
            <w:tcBorders>
              <w:top w:val="nil"/>
              <w:left w:val="nil"/>
              <w:bottom w:val="nil"/>
              <w:right w:val="nil"/>
            </w:tcBorders>
            <w:shd w:val="clear" w:color="auto" w:fill="auto"/>
            <w:noWrap/>
            <w:vAlign w:val="bottom"/>
            <w:hideMark/>
          </w:tcPr>
          <w:p w14:paraId="472E2BA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8,805</w:t>
            </w:r>
          </w:p>
        </w:tc>
        <w:tc>
          <w:tcPr>
            <w:tcW w:w="960" w:type="dxa"/>
            <w:tcBorders>
              <w:top w:val="nil"/>
              <w:left w:val="nil"/>
              <w:bottom w:val="nil"/>
              <w:right w:val="nil"/>
            </w:tcBorders>
            <w:shd w:val="clear" w:color="auto" w:fill="auto"/>
            <w:noWrap/>
            <w:vAlign w:val="bottom"/>
            <w:hideMark/>
          </w:tcPr>
          <w:p w14:paraId="514C73B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7,150</w:t>
            </w:r>
          </w:p>
        </w:tc>
        <w:tc>
          <w:tcPr>
            <w:tcW w:w="960" w:type="dxa"/>
            <w:tcBorders>
              <w:top w:val="nil"/>
              <w:left w:val="nil"/>
              <w:bottom w:val="nil"/>
              <w:right w:val="nil"/>
            </w:tcBorders>
            <w:shd w:val="clear" w:color="auto" w:fill="auto"/>
            <w:noWrap/>
            <w:vAlign w:val="bottom"/>
            <w:hideMark/>
          </w:tcPr>
          <w:p w14:paraId="7CFFFE1B"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10,995</w:t>
            </w:r>
          </w:p>
        </w:tc>
      </w:tr>
      <w:tr w:rsidR="001A756D" w:rsidRPr="001A756D" w14:paraId="4F3CDC30"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1D0C9488"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Other payables</w:t>
            </w:r>
          </w:p>
        </w:tc>
        <w:tc>
          <w:tcPr>
            <w:tcW w:w="960" w:type="dxa"/>
            <w:tcBorders>
              <w:top w:val="nil"/>
              <w:left w:val="nil"/>
              <w:bottom w:val="nil"/>
              <w:right w:val="nil"/>
            </w:tcBorders>
            <w:shd w:val="clear" w:color="auto" w:fill="auto"/>
            <w:noWrap/>
            <w:vAlign w:val="bottom"/>
            <w:hideMark/>
          </w:tcPr>
          <w:p w14:paraId="06AAD4EA"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1,839</w:t>
            </w:r>
          </w:p>
        </w:tc>
        <w:tc>
          <w:tcPr>
            <w:tcW w:w="960" w:type="dxa"/>
            <w:tcBorders>
              <w:top w:val="nil"/>
              <w:left w:val="nil"/>
              <w:bottom w:val="nil"/>
              <w:right w:val="nil"/>
            </w:tcBorders>
            <w:shd w:val="clear" w:color="000000" w:fill="D9D9D9"/>
            <w:noWrap/>
            <w:vAlign w:val="bottom"/>
            <w:hideMark/>
          </w:tcPr>
          <w:p w14:paraId="62B6CEA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2,747</w:t>
            </w:r>
          </w:p>
        </w:tc>
        <w:tc>
          <w:tcPr>
            <w:tcW w:w="960" w:type="dxa"/>
            <w:tcBorders>
              <w:top w:val="nil"/>
              <w:left w:val="nil"/>
              <w:bottom w:val="nil"/>
              <w:right w:val="nil"/>
            </w:tcBorders>
            <w:shd w:val="clear" w:color="auto" w:fill="auto"/>
            <w:noWrap/>
            <w:vAlign w:val="bottom"/>
            <w:hideMark/>
          </w:tcPr>
          <w:p w14:paraId="1A21C41E"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2,747</w:t>
            </w:r>
          </w:p>
        </w:tc>
        <w:tc>
          <w:tcPr>
            <w:tcW w:w="960" w:type="dxa"/>
            <w:tcBorders>
              <w:top w:val="nil"/>
              <w:left w:val="nil"/>
              <w:bottom w:val="nil"/>
              <w:right w:val="nil"/>
            </w:tcBorders>
            <w:shd w:val="clear" w:color="auto" w:fill="auto"/>
            <w:noWrap/>
            <w:vAlign w:val="bottom"/>
            <w:hideMark/>
          </w:tcPr>
          <w:p w14:paraId="1C6D6D4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2,747</w:t>
            </w:r>
          </w:p>
        </w:tc>
        <w:tc>
          <w:tcPr>
            <w:tcW w:w="960" w:type="dxa"/>
            <w:tcBorders>
              <w:top w:val="nil"/>
              <w:left w:val="nil"/>
              <w:bottom w:val="nil"/>
              <w:right w:val="nil"/>
            </w:tcBorders>
            <w:shd w:val="clear" w:color="auto" w:fill="auto"/>
            <w:noWrap/>
            <w:vAlign w:val="bottom"/>
            <w:hideMark/>
          </w:tcPr>
          <w:p w14:paraId="2D05B6A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2,747</w:t>
            </w:r>
          </w:p>
        </w:tc>
      </w:tr>
      <w:tr w:rsidR="001A756D" w:rsidRPr="001A756D" w14:paraId="589D7870"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6CD80E21"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Unearned revenue</w:t>
            </w:r>
          </w:p>
        </w:tc>
        <w:tc>
          <w:tcPr>
            <w:tcW w:w="960" w:type="dxa"/>
            <w:tcBorders>
              <w:top w:val="nil"/>
              <w:left w:val="nil"/>
              <w:bottom w:val="nil"/>
              <w:right w:val="nil"/>
            </w:tcBorders>
            <w:shd w:val="clear" w:color="auto" w:fill="auto"/>
            <w:noWrap/>
            <w:vAlign w:val="bottom"/>
            <w:hideMark/>
          </w:tcPr>
          <w:p w14:paraId="37A2E90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63,085</w:t>
            </w:r>
          </w:p>
        </w:tc>
        <w:tc>
          <w:tcPr>
            <w:tcW w:w="960" w:type="dxa"/>
            <w:tcBorders>
              <w:top w:val="nil"/>
              <w:left w:val="nil"/>
              <w:bottom w:val="nil"/>
              <w:right w:val="nil"/>
            </w:tcBorders>
            <w:shd w:val="clear" w:color="000000" w:fill="D9D9D9"/>
            <w:noWrap/>
            <w:vAlign w:val="bottom"/>
            <w:hideMark/>
          </w:tcPr>
          <w:p w14:paraId="7FD24758"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63,283</w:t>
            </w:r>
          </w:p>
        </w:tc>
        <w:tc>
          <w:tcPr>
            <w:tcW w:w="960" w:type="dxa"/>
            <w:tcBorders>
              <w:top w:val="nil"/>
              <w:left w:val="nil"/>
              <w:bottom w:val="nil"/>
              <w:right w:val="nil"/>
            </w:tcBorders>
            <w:shd w:val="clear" w:color="auto" w:fill="auto"/>
            <w:noWrap/>
            <w:vAlign w:val="bottom"/>
            <w:hideMark/>
          </w:tcPr>
          <w:p w14:paraId="4107F5B4"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63,283</w:t>
            </w:r>
          </w:p>
        </w:tc>
        <w:tc>
          <w:tcPr>
            <w:tcW w:w="960" w:type="dxa"/>
            <w:tcBorders>
              <w:top w:val="nil"/>
              <w:left w:val="nil"/>
              <w:bottom w:val="nil"/>
              <w:right w:val="nil"/>
            </w:tcBorders>
            <w:shd w:val="clear" w:color="auto" w:fill="auto"/>
            <w:noWrap/>
            <w:vAlign w:val="bottom"/>
            <w:hideMark/>
          </w:tcPr>
          <w:p w14:paraId="6969C23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63,283</w:t>
            </w:r>
          </w:p>
        </w:tc>
        <w:tc>
          <w:tcPr>
            <w:tcW w:w="960" w:type="dxa"/>
            <w:tcBorders>
              <w:top w:val="nil"/>
              <w:left w:val="nil"/>
              <w:bottom w:val="nil"/>
              <w:right w:val="nil"/>
            </w:tcBorders>
            <w:shd w:val="clear" w:color="auto" w:fill="auto"/>
            <w:noWrap/>
            <w:vAlign w:val="bottom"/>
            <w:hideMark/>
          </w:tcPr>
          <w:p w14:paraId="194DCC2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63,283</w:t>
            </w:r>
          </w:p>
        </w:tc>
      </w:tr>
      <w:tr w:rsidR="001A756D" w:rsidRPr="001A756D" w14:paraId="4C874B63"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2C224817" w14:textId="77777777" w:rsidR="001A756D" w:rsidRPr="001A756D" w:rsidRDefault="001A756D" w:rsidP="001A756D">
            <w:pPr>
              <w:spacing w:before="0" w:after="0" w:line="240" w:lineRule="auto"/>
              <w:ind w:leftChars="150" w:left="285"/>
              <w:rPr>
                <w:rFonts w:ascii="Arial" w:hAnsi="Arial" w:cs="Arial"/>
                <w:b/>
                <w:bCs/>
                <w:color w:val="000000"/>
                <w:sz w:val="16"/>
                <w:szCs w:val="16"/>
              </w:rPr>
            </w:pPr>
            <w:r w:rsidRPr="001A756D">
              <w:rPr>
                <w:rFonts w:ascii="Arial" w:hAnsi="Arial"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14:paraId="3A34674F"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70,245</w:t>
            </w:r>
          </w:p>
        </w:tc>
        <w:tc>
          <w:tcPr>
            <w:tcW w:w="960" w:type="dxa"/>
            <w:tcBorders>
              <w:top w:val="nil"/>
              <w:left w:val="nil"/>
              <w:bottom w:val="single" w:sz="4" w:space="0" w:color="auto"/>
              <w:right w:val="nil"/>
            </w:tcBorders>
            <w:shd w:val="clear" w:color="000000" w:fill="D9D9D9"/>
            <w:noWrap/>
            <w:vAlign w:val="bottom"/>
            <w:hideMark/>
          </w:tcPr>
          <w:p w14:paraId="076C0A15"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73,290</w:t>
            </w:r>
          </w:p>
        </w:tc>
        <w:tc>
          <w:tcPr>
            <w:tcW w:w="960" w:type="dxa"/>
            <w:tcBorders>
              <w:top w:val="nil"/>
              <w:left w:val="nil"/>
              <w:bottom w:val="single" w:sz="4" w:space="0" w:color="auto"/>
              <w:right w:val="nil"/>
            </w:tcBorders>
            <w:shd w:val="clear" w:color="auto" w:fill="auto"/>
            <w:noWrap/>
            <w:vAlign w:val="bottom"/>
            <w:hideMark/>
          </w:tcPr>
          <w:p w14:paraId="56CB8CF0"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74,835</w:t>
            </w:r>
          </w:p>
        </w:tc>
        <w:tc>
          <w:tcPr>
            <w:tcW w:w="960" w:type="dxa"/>
            <w:tcBorders>
              <w:top w:val="nil"/>
              <w:left w:val="nil"/>
              <w:bottom w:val="single" w:sz="4" w:space="0" w:color="auto"/>
              <w:right w:val="nil"/>
            </w:tcBorders>
            <w:shd w:val="clear" w:color="auto" w:fill="auto"/>
            <w:noWrap/>
            <w:vAlign w:val="bottom"/>
            <w:hideMark/>
          </w:tcPr>
          <w:p w14:paraId="59EAADB3"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73,180</w:t>
            </w:r>
          </w:p>
        </w:tc>
        <w:tc>
          <w:tcPr>
            <w:tcW w:w="960" w:type="dxa"/>
            <w:tcBorders>
              <w:top w:val="nil"/>
              <w:left w:val="nil"/>
              <w:bottom w:val="single" w:sz="4" w:space="0" w:color="auto"/>
              <w:right w:val="nil"/>
            </w:tcBorders>
            <w:shd w:val="clear" w:color="auto" w:fill="auto"/>
            <w:noWrap/>
            <w:vAlign w:val="bottom"/>
            <w:hideMark/>
          </w:tcPr>
          <w:p w14:paraId="1B16960E"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77,025</w:t>
            </w:r>
          </w:p>
        </w:tc>
      </w:tr>
      <w:tr w:rsidR="001A756D" w:rsidRPr="001A756D" w14:paraId="760A3963"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7D63E68F"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Interest bearing liabilities</w:t>
            </w:r>
          </w:p>
        </w:tc>
        <w:tc>
          <w:tcPr>
            <w:tcW w:w="960" w:type="dxa"/>
            <w:tcBorders>
              <w:top w:val="nil"/>
              <w:left w:val="nil"/>
              <w:bottom w:val="nil"/>
              <w:right w:val="nil"/>
            </w:tcBorders>
            <w:shd w:val="clear" w:color="auto" w:fill="auto"/>
            <w:noWrap/>
            <w:vAlign w:val="bottom"/>
            <w:hideMark/>
          </w:tcPr>
          <w:p w14:paraId="7C90F4BB" w14:textId="77777777" w:rsidR="001A756D" w:rsidRPr="001A756D" w:rsidRDefault="001A756D" w:rsidP="001A756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009A2A4"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CB15F64" w14:textId="77777777" w:rsidR="001A756D" w:rsidRPr="001A756D" w:rsidRDefault="001A756D" w:rsidP="001A756D">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BA57C28"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698FC0C"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220D560C"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014893CA"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Leases</w:t>
            </w:r>
          </w:p>
        </w:tc>
        <w:tc>
          <w:tcPr>
            <w:tcW w:w="960" w:type="dxa"/>
            <w:tcBorders>
              <w:top w:val="nil"/>
              <w:left w:val="nil"/>
              <w:bottom w:val="nil"/>
              <w:right w:val="nil"/>
            </w:tcBorders>
            <w:shd w:val="clear" w:color="auto" w:fill="auto"/>
            <w:noWrap/>
            <w:vAlign w:val="bottom"/>
            <w:hideMark/>
          </w:tcPr>
          <w:p w14:paraId="585A5392"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28,488</w:t>
            </w:r>
          </w:p>
        </w:tc>
        <w:tc>
          <w:tcPr>
            <w:tcW w:w="960" w:type="dxa"/>
            <w:tcBorders>
              <w:top w:val="nil"/>
              <w:left w:val="nil"/>
              <w:bottom w:val="nil"/>
              <w:right w:val="nil"/>
            </w:tcBorders>
            <w:shd w:val="clear" w:color="000000" w:fill="D9D9D9"/>
            <w:noWrap/>
            <w:vAlign w:val="bottom"/>
            <w:hideMark/>
          </w:tcPr>
          <w:p w14:paraId="1C44E1C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24,450</w:t>
            </w:r>
          </w:p>
        </w:tc>
        <w:tc>
          <w:tcPr>
            <w:tcW w:w="960" w:type="dxa"/>
            <w:tcBorders>
              <w:top w:val="nil"/>
              <w:left w:val="nil"/>
              <w:bottom w:val="nil"/>
              <w:right w:val="nil"/>
            </w:tcBorders>
            <w:shd w:val="clear" w:color="auto" w:fill="auto"/>
            <w:noWrap/>
            <w:vAlign w:val="bottom"/>
            <w:hideMark/>
          </w:tcPr>
          <w:p w14:paraId="19977202"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19,082</w:t>
            </w:r>
          </w:p>
        </w:tc>
        <w:tc>
          <w:tcPr>
            <w:tcW w:w="960" w:type="dxa"/>
            <w:tcBorders>
              <w:top w:val="nil"/>
              <w:left w:val="nil"/>
              <w:bottom w:val="nil"/>
              <w:right w:val="nil"/>
            </w:tcBorders>
            <w:shd w:val="clear" w:color="auto" w:fill="auto"/>
            <w:noWrap/>
            <w:vAlign w:val="bottom"/>
            <w:hideMark/>
          </w:tcPr>
          <w:p w14:paraId="61FD65DB"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13,471</w:t>
            </w:r>
          </w:p>
        </w:tc>
        <w:tc>
          <w:tcPr>
            <w:tcW w:w="960" w:type="dxa"/>
            <w:tcBorders>
              <w:top w:val="nil"/>
              <w:left w:val="nil"/>
              <w:bottom w:val="nil"/>
              <w:right w:val="nil"/>
            </w:tcBorders>
            <w:shd w:val="clear" w:color="auto" w:fill="auto"/>
            <w:noWrap/>
            <w:vAlign w:val="bottom"/>
            <w:hideMark/>
          </w:tcPr>
          <w:p w14:paraId="5139661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7,631</w:t>
            </w:r>
          </w:p>
        </w:tc>
      </w:tr>
      <w:tr w:rsidR="001A756D" w:rsidRPr="001A756D" w14:paraId="2FFA9403"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74AAC2DA" w14:textId="77777777" w:rsidR="001A756D" w:rsidRPr="001A756D" w:rsidRDefault="001A756D" w:rsidP="001A756D">
            <w:pPr>
              <w:spacing w:before="0" w:after="0" w:line="240" w:lineRule="auto"/>
              <w:ind w:leftChars="150" w:left="285"/>
              <w:rPr>
                <w:rFonts w:ascii="Arial" w:hAnsi="Arial" w:cs="Arial"/>
                <w:b/>
                <w:bCs/>
                <w:color w:val="000000"/>
                <w:sz w:val="16"/>
                <w:szCs w:val="16"/>
              </w:rPr>
            </w:pPr>
            <w:r w:rsidRPr="001A756D">
              <w:rPr>
                <w:rFonts w:ascii="Arial" w:hAnsi="Arial" w:cs="Arial"/>
                <w:b/>
                <w:bCs/>
                <w:color w:val="000000"/>
                <w:sz w:val="16"/>
                <w:szCs w:val="16"/>
              </w:rPr>
              <w:t xml:space="preserve">Total </w:t>
            </w:r>
            <w:proofErr w:type="gramStart"/>
            <w:r w:rsidRPr="001A756D">
              <w:rPr>
                <w:rFonts w:ascii="Arial" w:hAnsi="Arial" w:cs="Arial"/>
                <w:b/>
                <w:bCs/>
                <w:color w:val="000000"/>
                <w:sz w:val="16"/>
                <w:szCs w:val="16"/>
              </w:rPr>
              <w:t>interest bearing</w:t>
            </w:r>
            <w:proofErr w:type="gramEnd"/>
            <w:r w:rsidRPr="001A756D">
              <w:rPr>
                <w:rFonts w:ascii="Arial" w:hAnsi="Arial" w:cs="Arial"/>
                <w:b/>
                <w:bCs/>
                <w:color w:val="000000"/>
                <w:sz w:val="16"/>
                <w:szCs w:val="16"/>
              </w:rPr>
              <w:t xml:space="preserve"> liabilities</w:t>
            </w:r>
          </w:p>
        </w:tc>
        <w:tc>
          <w:tcPr>
            <w:tcW w:w="960" w:type="dxa"/>
            <w:tcBorders>
              <w:top w:val="nil"/>
              <w:left w:val="nil"/>
              <w:bottom w:val="single" w:sz="4" w:space="0" w:color="auto"/>
              <w:right w:val="nil"/>
            </w:tcBorders>
            <w:shd w:val="clear" w:color="auto" w:fill="auto"/>
            <w:noWrap/>
            <w:vAlign w:val="bottom"/>
            <w:hideMark/>
          </w:tcPr>
          <w:p w14:paraId="560223C0"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28,488</w:t>
            </w:r>
          </w:p>
        </w:tc>
        <w:tc>
          <w:tcPr>
            <w:tcW w:w="960" w:type="dxa"/>
            <w:tcBorders>
              <w:top w:val="nil"/>
              <w:left w:val="nil"/>
              <w:bottom w:val="single" w:sz="4" w:space="0" w:color="auto"/>
              <w:right w:val="nil"/>
            </w:tcBorders>
            <w:shd w:val="clear" w:color="000000" w:fill="D9D9D9"/>
            <w:noWrap/>
            <w:vAlign w:val="bottom"/>
            <w:hideMark/>
          </w:tcPr>
          <w:p w14:paraId="2B224EA6"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24,450</w:t>
            </w:r>
          </w:p>
        </w:tc>
        <w:tc>
          <w:tcPr>
            <w:tcW w:w="960" w:type="dxa"/>
            <w:tcBorders>
              <w:top w:val="nil"/>
              <w:left w:val="nil"/>
              <w:bottom w:val="single" w:sz="4" w:space="0" w:color="auto"/>
              <w:right w:val="nil"/>
            </w:tcBorders>
            <w:shd w:val="clear" w:color="auto" w:fill="auto"/>
            <w:noWrap/>
            <w:vAlign w:val="bottom"/>
            <w:hideMark/>
          </w:tcPr>
          <w:p w14:paraId="5E2FFE3C"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19,082</w:t>
            </w:r>
          </w:p>
        </w:tc>
        <w:tc>
          <w:tcPr>
            <w:tcW w:w="960" w:type="dxa"/>
            <w:tcBorders>
              <w:top w:val="nil"/>
              <w:left w:val="nil"/>
              <w:bottom w:val="single" w:sz="4" w:space="0" w:color="auto"/>
              <w:right w:val="nil"/>
            </w:tcBorders>
            <w:shd w:val="clear" w:color="auto" w:fill="auto"/>
            <w:noWrap/>
            <w:vAlign w:val="bottom"/>
            <w:hideMark/>
          </w:tcPr>
          <w:p w14:paraId="72392C05"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13,471</w:t>
            </w:r>
          </w:p>
        </w:tc>
        <w:tc>
          <w:tcPr>
            <w:tcW w:w="960" w:type="dxa"/>
            <w:tcBorders>
              <w:top w:val="nil"/>
              <w:left w:val="nil"/>
              <w:bottom w:val="single" w:sz="4" w:space="0" w:color="auto"/>
              <w:right w:val="nil"/>
            </w:tcBorders>
            <w:shd w:val="clear" w:color="auto" w:fill="auto"/>
            <w:noWrap/>
            <w:vAlign w:val="bottom"/>
            <w:hideMark/>
          </w:tcPr>
          <w:p w14:paraId="165AAF0F"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7,631</w:t>
            </w:r>
          </w:p>
        </w:tc>
      </w:tr>
      <w:tr w:rsidR="001A756D" w:rsidRPr="001A756D" w14:paraId="23D44A65"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3B0D0E75"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14:paraId="7EF07066" w14:textId="77777777" w:rsidR="001A756D" w:rsidRPr="001A756D" w:rsidRDefault="001A756D" w:rsidP="001A756D">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914E759" w14:textId="77777777" w:rsidR="001A756D" w:rsidRPr="001A756D" w:rsidRDefault="001A756D" w:rsidP="001A756D">
            <w:pPr>
              <w:spacing w:before="0" w:after="0" w:line="240" w:lineRule="auto"/>
              <w:jc w:val="right"/>
              <w:rPr>
                <w:rFonts w:ascii="Arial" w:hAnsi="Arial" w:cs="Arial"/>
                <w:color w:val="31869B"/>
                <w:sz w:val="16"/>
                <w:szCs w:val="16"/>
              </w:rPr>
            </w:pPr>
            <w:r w:rsidRPr="001A756D">
              <w:rPr>
                <w:rFonts w:ascii="Arial" w:hAnsi="Arial" w:cs="Arial"/>
                <w:color w:val="31869B"/>
                <w:sz w:val="16"/>
                <w:szCs w:val="16"/>
              </w:rPr>
              <w:t> </w:t>
            </w:r>
          </w:p>
        </w:tc>
        <w:tc>
          <w:tcPr>
            <w:tcW w:w="960" w:type="dxa"/>
            <w:tcBorders>
              <w:top w:val="nil"/>
              <w:left w:val="nil"/>
              <w:bottom w:val="nil"/>
              <w:right w:val="nil"/>
            </w:tcBorders>
            <w:shd w:val="clear" w:color="auto" w:fill="auto"/>
            <w:noWrap/>
            <w:vAlign w:val="bottom"/>
            <w:hideMark/>
          </w:tcPr>
          <w:p w14:paraId="61FC298E" w14:textId="77777777" w:rsidR="001A756D" w:rsidRPr="001A756D" w:rsidRDefault="001A756D" w:rsidP="001A756D">
            <w:pPr>
              <w:spacing w:before="0" w:after="0" w:line="240" w:lineRule="auto"/>
              <w:jc w:val="right"/>
              <w:rPr>
                <w:rFonts w:ascii="Arial" w:hAnsi="Arial" w:cs="Arial"/>
                <w:color w:val="31869B"/>
                <w:sz w:val="16"/>
                <w:szCs w:val="16"/>
              </w:rPr>
            </w:pPr>
          </w:p>
        </w:tc>
        <w:tc>
          <w:tcPr>
            <w:tcW w:w="960" w:type="dxa"/>
            <w:tcBorders>
              <w:top w:val="nil"/>
              <w:left w:val="nil"/>
              <w:bottom w:val="nil"/>
              <w:right w:val="nil"/>
            </w:tcBorders>
            <w:shd w:val="clear" w:color="auto" w:fill="auto"/>
            <w:noWrap/>
            <w:vAlign w:val="bottom"/>
            <w:hideMark/>
          </w:tcPr>
          <w:p w14:paraId="21D31FD4"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B78C96E"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5777F510"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2236B878"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Employees</w:t>
            </w:r>
          </w:p>
        </w:tc>
        <w:tc>
          <w:tcPr>
            <w:tcW w:w="960" w:type="dxa"/>
            <w:tcBorders>
              <w:top w:val="nil"/>
              <w:left w:val="nil"/>
              <w:bottom w:val="nil"/>
              <w:right w:val="nil"/>
            </w:tcBorders>
            <w:shd w:val="clear" w:color="auto" w:fill="auto"/>
            <w:noWrap/>
            <w:vAlign w:val="bottom"/>
            <w:hideMark/>
          </w:tcPr>
          <w:p w14:paraId="284F9AC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19,129</w:t>
            </w:r>
          </w:p>
        </w:tc>
        <w:tc>
          <w:tcPr>
            <w:tcW w:w="960" w:type="dxa"/>
            <w:tcBorders>
              <w:top w:val="nil"/>
              <w:left w:val="nil"/>
              <w:bottom w:val="nil"/>
              <w:right w:val="nil"/>
            </w:tcBorders>
            <w:shd w:val="clear" w:color="000000" w:fill="D9D9D9"/>
            <w:noWrap/>
            <w:vAlign w:val="bottom"/>
            <w:hideMark/>
          </w:tcPr>
          <w:p w14:paraId="10F18D34"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19,129</w:t>
            </w:r>
          </w:p>
        </w:tc>
        <w:tc>
          <w:tcPr>
            <w:tcW w:w="960" w:type="dxa"/>
            <w:tcBorders>
              <w:top w:val="nil"/>
              <w:left w:val="nil"/>
              <w:bottom w:val="nil"/>
              <w:right w:val="nil"/>
            </w:tcBorders>
            <w:shd w:val="clear" w:color="auto" w:fill="auto"/>
            <w:noWrap/>
            <w:vAlign w:val="bottom"/>
            <w:hideMark/>
          </w:tcPr>
          <w:p w14:paraId="1DC2AD41"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19,129</w:t>
            </w:r>
          </w:p>
        </w:tc>
        <w:tc>
          <w:tcPr>
            <w:tcW w:w="960" w:type="dxa"/>
            <w:tcBorders>
              <w:top w:val="nil"/>
              <w:left w:val="nil"/>
              <w:bottom w:val="nil"/>
              <w:right w:val="nil"/>
            </w:tcBorders>
            <w:shd w:val="clear" w:color="auto" w:fill="auto"/>
            <w:noWrap/>
            <w:vAlign w:val="bottom"/>
            <w:hideMark/>
          </w:tcPr>
          <w:p w14:paraId="507D544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19,129</w:t>
            </w:r>
          </w:p>
        </w:tc>
        <w:tc>
          <w:tcPr>
            <w:tcW w:w="960" w:type="dxa"/>
            <w:tcBorders>
              <w:top w:val="nil"/>
              <w:left w:val="nil"/>
              <w:bottom w:val="nil"/>
              <w:right w:val="nil"/>
            </w:tcBorders>
            <w:shd w:val="clear" w:color="auto" w:fill="auto"/>
            <w:noWrap/>
            <w:vAlign w:val="bottom"/>
            <w:hideMark/>
          </w:tcPr>
          <w:p w14:paraId="7317147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19,129</w:t>
            </w:r>
          </w:p>
        </w:tc>
      </w:tr>
      <w:tr w:rsidR="001A756D" w:rsidRPr="001A756D" w14:paraId="22EC5E80"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300141B4" w14:textId="77777777" w:rsidR="001A756D" w:rsidRPr="001A756D" w:rsidRDefault="001A756D" w:rsidP="001A756D">
            <w:pPr>
              <w:spacing w:before="0" w:after="0" w:line="240" w:lineRule="auto"/>
              <w:ind w:leftChars="150" w:left="285"/>
              <w:rPr>
                <w:rFonts w:ascii="Arial" w:hAnsi="Arial" w:cs="Arial"/>
                <w:color w:val="000000"/>
                <w:sz w:val="16"/>
                <w:szCs w:val="16"/>
              </w:rPr>
            </w:pPr>
            <w:r w:rsidRPr="001A756D">
              <w:rPr>
                <w:rFonts w:ascii="Arial" w:hAnsi="Arial" w:cs="Arial"/>
                <w:color w:val="000000"/>
                <w:sz w:val="16"/>
                <w:szCs w:val="16"/>
              </w:rPr>
              <w:t>Other provisions</w:t>
            </w:r>
          </w:p>
        </w:tc>
        <w:tc>
          <w:tcPr>
            <w:tcW w:w="960" w:type="dxa"/>
            <w:tcBorders>
              <w:top w:val="nil"/>
              <w:left w:val="nil"/>
              <w:bottom w:val="nil"/>
              <w:right w:val="nil"/>
            </w:tcBorders>
            <w:shd w:val="clear" w:color="auto" w:fill="auto"/>
            <w:noWrap/>
            <w:vAlign w:val="bottom"/>
            <w:hideMark/>
          </w:tcPr>
          <w:p w14:paraId="3B425688"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720</w:t>
            </w:r>
          </w:p>
        </w:tc>
        <w:tc>
          <w:tcPr>
            <w:tcW w:w="960" w:type="dxa"/>
            <w:tcBorders>
              <w:top w:val="nil"/>
              <w:left w:val="nil"/>
              <w:bottom w:val="nil"/>
              <w:right w:val="nil"/>
            </w:tcBorders>
            <w:shd w:val="clear" w:color="000000" w:fill="D9D9D9"/>
            <w:noWrap/>
            <w:vAlign w:val="bottom"/>
            <w:hideMark/>
          </w:tcPr>
          <w:p w14:paraId="7AFE657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720</w:t>
            </w:r>
          </w:p>
        </w:tc>
        <w:tc>
          <w:tcPr>
            <w:tcW w:w="960" w:type="dxa"/>
            <w:tcBorders>
              <w:top w:val="nil"/>
              <w:left w:val="nil"/>
              <w:bottom w:val="nil"/>
              <w:right w:val="nil"/>
            </w:tcBorders>
            <w:shd w:val="clear" w:color="auto" w:fill="auto"/>
            <w:noWrap/>
            <w:vAlign w:val="bottom"/>
            <w:hideMark/>
          </w:tcPr>
          <w:p w14:paraId="0C8759B4"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720</w:t>
            </w:r>
          </w:p>
        </w:tc>
        <w:tc>
          <w:tcPr>
            <w:tcW w:w="960" w:type="dxa"/>
            <w:tcBorders>
              <w:top w:val="nil"/>
              <w:left w:val="nil"/>
              <w:bottom w:val="nil"/>
              <w:right w:val="nil"/>
            </w:tcBorders>
            <w:shd w:val="clear" w:color="auto" w:fill="auto"/>
            <w:noWrap/>
            <w:vAlign w:val="bottom"/>
            <w:hideMark/>
          </w:tcPr>
          <w:p w14:paraId="3F890F5B"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720</w:t>
            </w:r>
          </w:p>
        </w:tc>
        <w:tc>
          <w:tcPr>
            <w:tcW w:w="960" w:type="dxa"/>
            <w:tcBorders>
              <w:top w:val="nil"/>
              <w:left w:val="nil"/>
              <w:bottom w:val="nil"/>
              <w:right w:val="nil"/>
            </w:tcBorders>
            <w:shd w:val="clear" w:color="auto" w:fill="auto"/>
            <w:noWrap/>
            <w:vAlign w:val="bottom"/>
            <w:hideMark/>
          </w:tcPr>
          <w:p w14:paraId="081EDC0C"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720</w:t>
            </w:r>
          </w:p>
        </w:tc>
      </w:tr>
      <w:tr w:rsidR="001A756D" w:rsidRPr="001A756D" w14:paraId="2CB5D3A6"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60F2196F" w14:textId="77777777" w:rsidR="001A756D" w:rsidRPr="001A756D" w:rsidRDefault="001A756D" w:rsidP="001A756D">
            <w:pPr>
              <w:spacing w:before="0" w:after="0" w:line="240" w:lineRule="auto"/>
              <w:ind w:leftChars="150" w:left="285"/>
              <w:rPr>
                <w:rFonts w:ascii="Arial" w:hAnsi="Arial" w:cs="Arial"/>
                <w:b/>
                <w:bCs/>
                <w:color w:val="000000"/>
                <w:sz w:val="16"/>
                <w:szCs w:val="16"/>
              </w:rPr>
            </w:pPr>
            <w:r w:rsidRPr="001A756D">
              <w:rPr>
                <w:rFonts w:ascii="Arial" w:hAnsi="Arial" w:cs="Arial"/>
                <w:b/>
                <w:bCs/>
                <w:color w:val="000000"/>
                <w:sz w:val="16"/>
                <w:szCs w:val="16"/>
              </w:rPr>
              <w:t>Total provisions</w:t>
            </w:r>
          </w:p>
        </w:tc>
        <w:tc>
          <w:tcPr>
            <w:tcW w:w="960" w:type="dxa"/>
            <w:tcBorders>
              <w:top w:val="nil"/>
              <w:left w:val="nil"/>
              <w:bottom w:val="nil"/>
              <w:right w:val="nil"/>
            </w:tcBorders>
            <w:shd w:val="clear" w:color="auto" w:fill="auto"/>
            <w:noWrap/>
            <w:vAlign w:val="bottom"/>
            <w:hideMark/>
          </w:tcPr>
          <w:p w14:paraId="42C6955C"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19,849</w:t>
            </w:r>
          </w:p>
        </w:tc>
        <w:tc>
          <w:tcPr>
            <w:tcW w:w="960" w:type="dxa"/>
            <w:tcBorders>
              <w:top w:val="nil"/>
              <w:left w:val="nil"/>
              <w:bottom w:val="nil"/>
              <w:right w:val="nil"/>
            </w:tcBorders>
            <w:shd w:val="clear" w:color="000000" w:fill="D9D9D9"/>
            <w:noWrap/>
            <w:vAlign w:val="bottom"/>
            <w:hideMark/>
          </w:tcPr>
          <w:p w14:paraId="575CC2B0"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19,849</w:t>
            </w:r>
          </w:p>
        </w:tc>
        <w:tc>
          <w:tcPr>
            <w:tcW w:w="960" w:type="dxa"/>
            <w:tcBorders>
              <w:top w:val="nil"/>
              <w:left w:val="nil"/>
              <w:bottom w:val="nil"/>
              <w:right w:val="nil"/>
            </w:tcBorders>
            <w:shd w:val="clear" w:color="auto" w:fill="auto"/>
            <w:noWrap/>
            <w:vAlign w:val="bottom"/>
            <w:hideMark/>
          </w:tcPr>
          <w:p w14:paraId="1CA5B2BB"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19,849</w:t>
            </w:r>
          </w:p>
        </w:tc>
        <w:tc>
          <w:tcPr>
            <w:tcW w:w="960" w:type="dxa"/>
            <w:tcBorders>
              <w:top w:val="nil"/>
              <w:left w:val="nil"/>
              <w:bottom w:val="nil"/>
              <w:right w:val="nil"/>
            </w:tcBorders>
            <w:shd w:val="clear" w:color="auto" w:fill="auto"/>
            <w:noWrap/>
            <w:vAlign w:val="bottom"/>
            <w:hideMark/>
          </w:tcPr>
          <w:p w14:paraId="1BC66CC7"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19,849</w:t>
            </w:r>
          </w:p>
        </w:tc>
        <w:tc>
          <w:tcPr>
            <w:tcW w:w="960" w:type="dxa"/>
            <w:tcBorders>
              <w:top w:val="nil"/>
              <w:left w:val="nil"/>
              <w:bottom w:val="nil"/>
              <w:right w:val="nil"/>
            </w:tcBorders>
            <w:shd w:val="clear" w:color="auto" w:fill="auto"/>
            <w:noWrap/>
            <w:vAlign w:val="bottom"/>
            <w:hideMark/>
          </w:tcPr>
          <w:p w14:paraId="2647D4A7"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19,849</w:t>
            </w:r>
          </w:p>
        </w:tc>
      </w:tr>
      <w:tr w:rsidR="001A756D" w:rsidRPr="001A756D" w14:paraId="409BEE3E"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56855DFF"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Total liabilities</w:t>
            </w:r>
          </w:p>
        </w:tc>
        <w:tc>
          <w:tcPr>
            <w:tcW w:w="960" w:type="dxa"/>
            <w:tcBorders>
              <w:top w:val="single" w:sz="4" w:space="0" w:color="auto"/>
              <w:left w:val="nil"/>
              <w:bottom w:val="single" w:sz="4" w:space="0" w:color="auto"/>
              <w:right w:val="nil"/>
            </w:tcBorders>
            <w:shd w:val="clear" w:color="auto" w:fill="auto"/>
            <w:noWrap/>
            <w:vAlign w:val="bottom"/>
            <w:hideMark/>
          </w:tcPr>
          <w:p w14:paraId="5573DF8B"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118,582</w:t>
            </w:r>
          </w:p>
        </w:tc>
        <w:tc>
          <w:tcPr>
            <w:tcW w:w="960" w:type="dxa"/>
            <w:tcBorders>
              <w:top w:val="single" w:sz="4" w:space="0" w:color="auto"/>
              <w:left w:val="nil"/>
              <w:bottom w:val="single" w:sz="4" w:space="0" w:color="auto"/>
              <w:right w:val="nil"/>
            </w:tcBorders>
            <w:shd w:val="clear" w:color="000000" w:fill="D9D9D9"/>
            <w:noWrap/>
            <w:vAlign w:val="bottom"/>
            <w:hideMark/>
          </w:tcPr>
          <w:p w14:paraId="5953C484"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117,589</w:t>
            </w:r>
          </w:p>
        </w:tc>
        <w:tc>
          <w:tcPr>
            <w:tcW w:w="960" w:type="dxa"/>
            <w:tcBorders>
              <w:top w:val="single" w:sz="4" w:space="0" w:color="auto"/>
              <w:left w:val="nil"/>
              <w:bottom w:val="single" w:sz="4" w:space="0" w:color="auto"/>
              <w:right w:val="nil"/>
            </w:tcBorders>
            <w:shd w:val="clear" w:color="auto" w:fill="auto"/>
            <w:noWrap/>
            <w:vAlign w:val="bottom"/>
            <w:hideMark/>
          </w:tcPr>
          <w:p w14:paraId="7DA6E0CE"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113,766</w:t>
            </w:r>
          </w:p>
        </w:tc>
        <w:tc>
          <w:tcPr>
            <w:tcW w:w="960" w:type="dxa"/>
            <w:tcBorders>
              <w:top w:val="single" w:sz="4" w:space="0" w:color="auto"/>
              <w:left w:val="nil"/>
              <w:bottom w:val="single" w:sz="4" w:space="0" w:color="auto"/>
              <w:right w:val="nil"/>
            </w:tcBorders>
            <w:shd w:val="clear" w:color="auto" w:fill="auto"/>
            <w:noWrap/>
            <w:vAlign w:val="bottom"/>
            <w:hideMark/>
          </w:tcPr>
          <w:p w14:paraId="060B2B69"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106,500</w:t>
            </w:r>
          </w:p>
        </w:tc>
        <w:tc>
          <w:tcPr>
            <w:tcW w:w="960" w:type="dxa"/>
            <w:tcBorders>
              <w:top w:val="single" w:sz="4" w:space="0" w:color="auto"/>
              <w:left w:val="nil"/>
              <w:bottom w:val="single" w:sz="4" w:space="0" w:color="auto"/>
              <w:right w:val="nil"/>
            </w:tcBorders>
            <w:shd w:val="clear" w:color="auto" w:fill="auto"/>
            <w:noWrap/>
            <w:vAlign w:val="bottom"/>
            <w:hideMark/>
          </w:tcPr>
          <w:p w14:paraId="758D1643"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104,505</w:t>
            </w:r>
          </w:p>
        </w:tc>
      </w:tr>
      <w:tr w:rsidR="001A756D" w:rsidRPr="001A756D" w14:paraId="6B648DAB"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390F9B90" w14:textId="77777777" w:rsidR="001A756D" w:rsidRPr="001A756D" w:rsidRDefault="001A756D" w:rsidP="001A756D">
            <w:pPr>
              <w:spacing w:before="0" w:after="0" w:line="240" w:lineRule="auto"/>
              <w:rPr>
                <w:rFonts w:ascii="Arial" w:hAnsi="Arial" w:cs="Arial"/>
                <w:b/>
                <w:bCs/>
                <w:color w:val="000000"/>
                <w:sz w:val="16"/>
                <w:szCs w:val="16"/>
              </w:rPr>
            </w:pPr>
            <w:r w:rsidRPr="001A756D">
              <w:rPr>
                <w:rFonts w:ascii="Arial" w:hAnsi="Arial" w:cs="Arial"/>
                <w:b/>
                <w:bCs/>
                <w:color w:val="000000"/>
                <w:sz w:val="16"/>
                <w:szCs w:val="16"/>
              </w:rPr>
              <w:t>Net assets</w:t>
            </w:r>
          </w:p>
        </w:tc>
        <w:tc>
          <w:tcPr>
            <w:tcW w:w="960" w:type="dxa"/>
            <w:tcBorders>
              <w:top w:val="nil"/>
              <w:left w:val="nil"/>
              <w:bottom w:val="single" w:sz="4" w:space="0" w:color="auto"/>
              <w:right w:val="nil"/>
            </w:tcBorders>
            <w:shd w:val="clear" w:color="auto" w:fill="auto"/>
            <w:noWrap/>
            <w:vAlign w:val="bottom"/>
            <w:hideMark/>
          </w:tcPr>
          <w:p w14:paraId="26CFB164"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35,567</w:t>
            </w:r>
          </w:p>
        </w:tc>
        <w:tc>
          <w:tcPr>
            <w:tcW w:w="960" w:type="dxa"/>
            <w:tcBorders>
              <w:top w:val="nil"/>
              <w:left w:val="nil"/>
              <w:bottom w:val="single" w:sz="4" w:space="0" w:color="auto"/>
              <w:right w:val="nil"/>
            </w:tcBorders>
            <w:shd w:val="clear" w:color="000000" w:fill="D9D9D9"/>
            <w:noWrap/>
            <w:vAlign w:val="bottom"/>
            <w:hideMark/>
          </w:tcPr>
          <w:p w14:paraId="08D50726"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34,203</w:t>
            </w:r>
          </w:p>
        </w:tc>
        <w:tc>
          <w:tcPr>
            <w:tcW w:w="960" w:type="dxa"/>
            <w:tcBorders>
              <w:top w:val="nil"/>
              <w:left w:val="nil"/>
              <w:bottom w:val="single" w:sz="4" w:space="0" w:color="auto"/>
              <w:right w:val="nil"/>
            </w:tcBorders>
            <w:shd w:val="clear" w:color="auto" w:fill="auto"/>
            <w:noWrap/>
            <w:vAlign w:val="bottom"/>
            <w:hideMark/>
          </w:tcPr>
          <w:p w14:paraId="6F7FEAA9"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34,626</w:t>
            </w:r>
          </w:p>
        </w:tc>
        <w:tc>
          <w:tcPr>
            <w:tcW w:w="960" w:type="dxa"/>
            <w:tcBorders>
              <w:top w:val="nil"/>
              <w:left w:val="nil"/>
              <w:bottom w:val="single" w:sz="4" w:space="0" w:color="auto"/>
              <w:right w:val="nil"/>
            </w:tcBorders>
            <w:shd w:val="clear" w:color="auto" w:fill="auto"/>
            <w:noWrap/>
            <w:vAlign w:val="bottom"/>
            <w:hideMark/>
          </w:tcPr>
          <w:p w14:paraId="195A3588"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35,292</w:t>
            </w:r>
          </w:p>
        </w:tc>
        <w:tc>
          <w:tcPr>
            <w:tcW w:w="960" w:type="dxa"/>
            <w:tcBorders>
              <w:top w:val="nil"/>
              <w:left w:val="nil"/>
              <w:bottom w:val="single" w:sz="4" w:space="0" w:color="auto"/>
              <w:right w:val="nil"/>
            </w:tcBorders>
            <w:shd w:val="clear" w:color="auto" w:fill="auto"/>
            <w:noWrap/>
            <w:vAlign w:val="bottom"/>
            <w:hideMark/>
          </w:tcPr>
          <w:p w14:paraId="34C457AE"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36,149</w:t>
            </w:r>
          </w:p>
        </w:tc>
      </w:tr>
      <w:tr w:rsidR="001A756D" w:rsidRPr="001A756D" w14:paraId="10A9459D" w14:textId="77777777" w:rsidTr="00491F2D">
        <w:trPr>
          <w:trHeight w:val="283"/>
          <w:jc w:val="center"/>
        </w:trPr>
        <w:tc>
          <w:tcPr>
            <w:tcW w:w="3080" w:type="dxa"/>
            <w:tcBorders>
              <w:top w:val="nil"/>
              <w:left w:val="nil"/>
              <w:bottom w:val="nil"/>
              <w:right w:val="nil"/>
            </w:tcBorders>
            <w:shd w:val="clear" w:color="auto" w:fill="auto"/>
            <w:noWrap/>
            <w:vAlign w:val="bottom"/>
            <w:hideMark/>
          </w:tcPr>
          <w:p w14:paraId="0B9BC2B3" w14:textId="08A4C86B" w:rsidR="001A756D" w:rsidRPr="001A756D" w:rsidRDefault="009805CF" w:rsidP="001A756D">
            <w:pPr>
              <w:spacing w:before="0" w:after="0" w:line="240" w:lineRule="auto"/>
              <w:rPr>
                <w:rFonts w:ascii="Arial" w:hAnsi="Arial" w:cs="Arial"/>
                <w:b/>
                <w:bCs/>
                <w:color w:val="000000"/>
                <w:sz w:val="16"/>
                <w:szCs w:val="16"/>
              </w:rPr>
            </w:pPr>
            <w:r>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bottom"/>
            <w:hideMark/>
          </w:tcPr>
          <w:p w14:paraId="7188FDF4" w14:textId="77777777" w:rsidR="001A756D" w:rsidRPr="001A756D" w:rsidRDefault="001A756D" w:rsidP="001A756D">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F836AEF" w14:textId="77777777" w:rsidR="001A756D" w:rsidRPr="001A756D" w:rsidRDefault="001A756D" w:rsidP="001A756D">
            <w:pPr>
              <w:spacing w:before="0" w:after="0" w:line="240" w:lineRule="auto"/>
              <w:jc w:val="right"/>
              <w:rPr>
                <w:rFonts w:ascii="Arial" w:hAnsi="Arial" w:cs="Arial"/>
                <w:color w:val="31869B"/>
                <w:sz w:val="16"/>
                <w:szCs w:val="16"/>
              </w:rPr>
            </w:pPr>
            <w:r w:rsidRPr="001A756D">
              <w:rPr>
                <w:rFonts w:ascii="Arial" w:hAnsi="Arial" w:cs="Arial"/>
                <w:color w:val="31869B"/>
                <w:sz w:val="16"/>
                <w:szCs w:val="16"/>
              </w:rPr>
              <w:t> </w:t>
            </w:r>
          </w:p>
        </w:tc>
        <w:tc>
          <w:tcPr>
            <w:tcW w:w="960" w:type="dxa"/>
            <w:tcBorders>
              <w:top w:val="nil"/>
              <w:left w:val="nil"/>
              <w:bottom w:val="nil"/>
              <w:right w:val="nil"/>
            </w:tcBorders>
            <w:shd w:val="clear" w:color="auto" w:fill="auto"/>
            <w:noWrap/>
            <w:vAlign w:val="bottom"/>
            <w:hideMark/>
          </w:tcPr>
          <w:p w14:paraId="5FAA1EE0" w14:textId="77777777" w:rsidR="001A756D" w:rsidRPr="001A756D" w:rsidRDefault="001A756D" w:rsidP="001A756D">
            <w:pPr>
              <w:spacing w:before="0" w:after="0" w:line="240" w:lineRule="auto"/>
              <w:jc w:val="right"/>
              <w:rPr>
                <w:rFonts w:ascii="Arial" w:hAnsi="Arial" w:cs="Arial"/>
                <w:color w:val="31869B"/>
                <w:sz w:val="16"/>
                <w:szCs w:val="16"/>
              </w:rPr>
            </w:pPr>
          </w:p>
        </w:tc>
        <w:tc>
          <w:tcPr>
            <w:tcW w:w="960" w:type="dxa"/>
            <w:tcBorders>
              <w:top w:val="nil"/>
              <w:left w:val="nil"/>
              <w:bottom w:val="nil"/>
              <w:right w:val="nil"/>
            </w:tcBorders>
            <w:shd w:val="clear" w:color="auto" w:fill="auto"/>
            <w:noWrap/>
            <w:vAlign w:val="bottom"/>
            <w:hideMark/>
          </w:tcPr>
          <w:p w14:paraId="1C6F5F3A" w14:textId="77777777" w:rsidR="001A756D" w:rsidRPr="001A756D" w:rsidRDefault="001A756D" w:rsidP="001A756D">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7A50477" w14:textId="77777777" w:rsidR="001A756D" w:rsidRPr="001A756D" w:rsidRDefault="001A756D" w:rsidP="001A756D">
            <w:pPr>
              <w:spacing w:before="0" w:after="0" w:line="240" w:lineRule="auto"/>
              <w:jc w:val="right"/>
              <w:rPr>
                <w:rFonts w:ascii="Times New Roman" w:hAnsi="Times New Roman"/>
                <w:sz w:val="20"/>
              </w:rPr>
            </w:pPr>
          </w:p>
        </w:tc>
      </w:tr>
      <w:tr w:rsidR="001A756D" w:rsidRPr="001A756D" w14:paraId="7FDD016E"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48E05F97" w14:textId="77777777" w:rsidR="001A756D" w:rsidRPr="001A756D" w:rsidRDefault="001A756D" w:rsidP="001A756D">
            <w:pPr>
              <w:spacing w:before="0" w:after="0" w:line="240" w:lineRule="auto"/>
              <w:ind w:leftChars="75" w:left="143"/>
              <w:rPr>
                <w:rFonts w:ascii="Arial" w:hAnsi="Arial" w:cs="Arial"/>
                <w:color w:val="000000"/>
                <w:sz w:val="16"/>
                <w:szCs w:val="16"/>
              </w:rPr>
            </w:pPr>
            <w:r w:rsidRPr="001A756D">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14:paraId="62C00F9A"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31,824</w:t>
            </w:r>
          </w:p>
        </w:tc>
        <w:tc>
          <w:tcPr>
            <w:tcW w:w="960" w:type="dxa"/>
            <w:tcBorders>
              <w:top w:val="nil"/>
              <w:left w:val="nil"/>
              <w:bottom w:val="nil"/>
              <w:right w:val="nil"/>
            </w:tcBorders>
            <w:shd w:val="clear" w:color="000000" w:fill="D9D9D9"/>
            <w:noWrap/>
            <w:vAlign w:val="bottom"/>
            <w:hideMark/>
          </w:tcPr>
          <w:p w14:paraId="7D23686C"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31,824</w:t>
            </w:r>
          </w:p>
        </w:tc>
        <w:tc>
          <w:tcPr>
            <w:tcW w:w="960" w:type="dxa"/>
            <w:tcBorders>
              <w:top w:val="nil"/>
              <w:left w:val="nil"/>
              <w:bottom w:val="nil"/>
              <w:right w:val="nil"/>
            </w:tcBorders>
            <w:shd w:val="clear" w:color="auto" w:fill="auto"/>
            <w:noWrap/>
            <w:vAlign w:val="bottom"/>
            <w:hideMark/>
          </w:tcPr>
          <w:p w14:paraId="526A038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31,824</w:t>
            </w:r>
          </w:p>
        </w:tc>
        <w:tc>
          <w:tcPr>
            <w:tcW w:w="960" w:type="dxa"/>
            <w:tcBorders>
              <w:top w:val="nil"/>
              <w:left w:val="nil"/>
              <w:bottom w:val="nil"/>
              <w:right w:val="nil"/>
            </w:tcBorders>
            <w:shd w:val="clear" w:color="auto" w:fill="auto"/>
            <w:noWrap/>
            <w:vAlign w:val="bottom"/>
            <w:hideMark/>
          </w:tcPr>
          <w:p w14:paraId="4815208A"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31,824</w:t>
            </w:r>
          </w:p>
        </w:tc>
        <w:tc>
          <w:tcPr>
            <w:tcW w:w="960" w:type="dxa"/>
            <w:tcBorders>
              <w:top w:val="nil"/>
              <w:left w:val="nil"/>
              <w:bottom w:val="nil"/>
              <w:right w:val="nil"/>
            </w:tcBorders>
            <w:shd w:val="clear" w:color="auto" w:fill="auto"/>
            <w:noWrap/>
            <w:vAlign w:val="bottom"/>
            <w:hideMark/>
          </w:tcPr>
          <w:p w14:paraId="6D8E1C35"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31,824</w:t>
            </w:r>
          </w:p>
        </w:tc>
      </w:tr>
      <w:tr w:rsidR="001A756D" w:rsidRPr="001A756D" w14:paraId="13857EB8" w14:textId="77777777" w:rsidTr="001A756D">
        <w:trPr>
          <w:trHeight w:val="225"/>
          <w:jc w:val="center"/>
        </w:trPr>
        <w:tc>
          <w:tcPr>
            <w:tcW w:w="3080" w:type="dxa"/>
            <w:tcBorders>
              <w:top w:val="nil"/>
              <w:left w:val="nil"/>
              <w:bottom w:val="nil"/>
              <w:right w:val="nil"/>
            </w:tcBorders>
            <w:shd w:val="clear" w:color="auto" w:fill="auto"/>
            <w:noWrap/>
            <w:vAlign w:val="bottom"/>
            <w:hideMark/>
          </w:tcPr>
          <w:p w14:paraId="5C8CD39E" w14:textId="77777777" w:rsidR="001A756D" w:rsidRPr="001A756D" w:rsidRDefault="001A756D" w:rsidP="001A756D">
            <w:pPr>
              <w:spacing w:before="0" w:after="0" w:line="240" w:lineRule="auto"/>
              <w:ind w:leftChars="75" w:left="143"/>
              <w:rPr>
                <w:rFonts w:ascii="Arial" w:hAnsi="Arial" w:cs="Arial"/>
                <w:color w:val="000000"/>
                <w:sz w:val="16"/>
                <w:szCs w:val="16"/>
              </w:rPr>
            </w:pPr>
            <w:r w:rsidRPr="001A756D">
              <w:rPr>
                <w:rFonts w:ascii="Arial" w:hAnsi="Arial" w:cs="Arial"/>
                <w:color w:val="000000"/>
                <w:sz w:val="16"/>
                <w:szCs w:val="16"/>
              </w:rPr>
              <w:t>Reserves</w:t>
            </w:r>
          </w:p>
        </w:tc>
        <w:tc>
          <w:tcPr>
            <w:tcW w:w="960" w:type="dxa"/>
            <w:tcBorders>
              <w:top w:val="nil"/>
              <w:left w:val="nil"/>
              <w:bottom w:val="nil"/>
              <w:right w:val="nil"/>
            </w:tcBorders>
            <w:shd w:val="clear" w:color="auto" w:fill="auto"/>
            <w:noWrap/>
            <w:vAlign w:val="bottom"/>
            <w:hideMark/>
          </w:tcPr>
          <w:p w14:paraId="219F3B94"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1,831</w:t>
            </w:r>
          </w:p>
        </w:tc>
        <w:tc>
          <w:tcPr>
            <w:tcW w:w="960" w:type="dxa"/>
            <w:tcBorders>
              <w:top w:val="nil"/>
              <w:left w:val="nil"/>
              <w:bottom w:val="nil"/>
              <w:right w:val="nil"/>
            </w:tcBorders>
            <w:shd w:val="clear" w:color="000000" w:fill="D9D9D9"/>
            <w:noWrap/>
            <w:vAlign w:val="bottom"/>
            <w:hideMark/>
          </w:tcPr>
          <w:p w14:paraId="74BD54C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1,830</w:t>
            </w:r>
          </w:p>
        </w:tc>
        <w:tc>
          <w:tcPr>
            <w:tcW w:w="960" w:type="dxa"/>
            <w:tcBorders>
              <w:top w:val="nil"/>
              <w:left w:val="nil"/>
              <w:bottom w:val="nil"/>
              <w:right w:val="nil"/>
            </w:tcBorders>
            <w:shd w:val="clear" w:color="auto" w:fill="auto"/>
            <w:noWrap/>
            <w:vAlign w:val="bottom"/>
            <w:hideMark/>
          </w:tcPr>
          <w:p w14:paraId="1E6B844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1,830</w:t>
            </w:r>
          </w:p>
        </w:tc>
        <w:tc>
          <w:tcPr>
            <w:tcW w:w="960" w:type="dxa"/>
            <w:tcBorders>
              <w:top w:val="nil"/>
              <w:left w:val="nil"/>
              <w:bottom w:val="nil"/>
              <w:right w:val="nil"/>
            </w:tcBorders>
            <w:shd w:val="clear" w:color="auto" w:fill="auto"/>
            <w:noWrap/>
            <w:vAlign w:val="bottom"/>
            <w:hideMark/>
          </w:tcPr>
          <w:p w14:paraId="1DBF8EF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1,830</w:t>
            </w:r>
          </w:p>
        </w:tc>
        <w:tc>
          <w:tcPr>
            <w:tcW w:w="960" w:type="dxa"/>
            <w:tcBorders>
              <w:top w:val="nil"/>
              <w:left w:val="nil"/>
              <w:bottom w:val="nil"/>
              <w:right w:val="nil"/>
            </w:tcBorders>
            <w:shd w:val="clear" w:color="auto" w:fill="auto"/>
            <w:noWrap/>
            <w:vAlign w:val="bottom"/>
            <w:hideMark/>
          </w:tcPr>
          <w:p w14:paraId="58DC390D"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1,830</w:t>
            </w:r>
          </w:p>
        </w:tc>
      </w:tr>
      <w:tr w:rsidR="001A756D" w:rsidRPr="001A756D" w14:paraId="5A8B9324" w14:textId="77777777" w:rsidTr="00491F2D">
        <w:trPr>
          <w:trHeight w:val="425"/>
          <w:jc w:val="center"/>
        </w:trPr>
        <w:tc>
          <w:tcPr>
            <w:tcW w:w="3080" w:type="dxa"/>
            <w:tcBorders>
              <w:top w:val="nil"/>
              <w:left w:val="nil"/>
              <w:bottom w:val="nil"/>
              <w:right w:val="nil"/>
            </w:tcBorders>
            <w:shd w:val="clear" w:color="auto" w:fill="auto"/>
            <w:vAlign w:val="bottom"/>
            <w:hideMark/>
          </w:tcPr>
          <w:p w14:paraId="035B07E7" w14:textId="77777777" w:rsidR="001A756D" w:rsidRPr="001A756D" w:rsidRDefault="001A756D" w:rsidP="001A756D">
            <w:pPr>
              <w:spacing w:before="0" w:after="0" w:line="240" w:lineRule="auto"/>
              <w:ind w:leftChars="75" w:left="143"/>
              <w:rPr>
                <w:rFonts w:ascii="Arial" w:hAnsi="Arial" w:cs="Arial"/>
                <w:color w:val="000000"/>
                <w:sz w:val="16"/>
                <w:szCs w:val="16"/>
              </w:rPr>
            </w:pPr>
            <w:r w:rsidRPr="001A756D">
              <w:rPr>
                <w:rFonts w:ascii="Arial" w:hAnsi="Arial" w:cs="Arial"/>
                <w:color w:val="000000"/>
                <w:sz w:val="16"/>
                <w:szCs w:val="16"/>
              </w:rPr>
              <w:t>Retained surpluses or (accumulated deficits)</w:t>
            </w:r>
          </w:p>
        </w:tc>
        <w:tc>
          <w:tcPr>
            <w:tcW w:w="960" w:type="dxa"/>
            <w:tcBorders>
              <w:top w:val="nil"/>
              <w:left w:val="nil"/>
              <w:bottom w:val="nil"/>
              <w:right w:val="nil"/>
            </w:tcBorders>
            <w:shd w:val="clear" w:color="auto" w:fill="auto"/>
            <w:noWrap/>
            <w:vAlign w:val="bottom"/>
            <w:hideMark/>
          </w:tcPr>
          <w:p w14:paraId="564ADF17"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1,912</w:t>
            </w:r>
          </w:p>
        </w:tc>
        <w:tc>
          <w:tcPr>
            <w:tcW w:w="960" w:type="dxa"/>
            <w:tcBorders>
              <w:top w:val="nil"/>
              <w:left w:val="nil"/>
              <w:bottom w:val="nil"/>
              <w:right w:val="nil"/>
            </w:tcBorders>
            <w:shd w:val="clear" w:color="000000" w:fill="D9D9D9"/>
            <w:noWrap/>
            <w:vAlign w:val="bottom"/>
            <w:hideMark/>
          </w:tcPr>
          <w:p w14:paraId="115D5BB6"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549</w:t>
            </w:r>
          </w:p>
        </w:tc>
        <w:tc>
          <w:tcPr>
            <w:tcW w:w="960" w:type="dxa"/>
            <w:tcBorders>
              <w:top w:val="nil"/>
              <w:left w:val="nil"/>
              <w:bottom w:val="nil"/>
              <w:right w:val="nil"/>
            </w:tcBorders>
            <w:shd w:val="clear" w:color="auto" w:fill="auto"/>
            <w:noWrap/>
            <w:vAlign w:val="bottom"/>
            <w:hideMark/>
          </w:tcPr>
          <w:p w14:paraId="45940D3D"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972</w:t>
            </w:r>
          </w:p>
        </w:tc>
        <w:tc>
          <w:tcPr>
            <w:tcW w:w="960" w:type="dxa"/>
            <w:tcBorders>
              <w:top w:val="nil"/>
              <w:left w:val="nil"/>
              <w:bottom w:val="nil"/>
              <w:right w:val="nil"/>
            </w:tcBorders>
            <w:shd w:val="clear" w:color="auto" w:fill="auto"/>
            <w:noWrap/>
            <w:vAlign w:val="bottom"/>
            <w:hideMark/>
          </w:tcPr>
          <w:p w14:paraId="5BCCB8DF"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1,638</w:t>
            </w:r>
          </w:p>
        </w:tc>
        <w:tc>
          <w:tcPr>
            <w:tcW w:w="960" w:type="dxa"/>
            <w:tcBorders>
              <w:top w:val="nil"/>
              <w:left w:val="nil"/>
              <w:bottom w:val="nil"/>
              <w:right w:val="nil"/>
            </w:tcBorders>
            <w:shd w:val="clear" w:color="auto" w:fill="auto"/>
            <w:noWrap/>
            <w:vAlign w:val="bottom"/>
            <w:hideMark/>
          </w:tcPr>
          <w:p w14:paraId="57DD2970" w14:textId="77777777" w:rsidR="001A756D" w:rsidRPr="001A756D" w:rsidRDefault="001A756D" w:rsidP="001A756D">
            <w:pPr>
              <w:spacing w:before="0" w:after="0" w:line="240" w:lineRule="auto"/>
              <w:jc w:val="right"/>
              <w:rPr>
                <w:rFonts w:ascii="Arial" w:hAnsi="Arial" w:cs="Arial"/>
                <w:sz w:val="16"/>
                <w:szCs w:val="16"/>
              </w:rPr>
            </w:pPr>
            <w:r w:rsidRPr="001A756D">
              <w:rPr>
                <w:rFonts w:ascii="Arial" w:hAnsi="Arial" w:cs="Arial"/>
                <w:sz w:val="16"/>
                <w:szCs w:val="16"/>
              </w:rPr>
              <w:t>2,495</w:t>
            </w:r>
          </w:p>
        </w:tc>
      </w:tr>
      <w:tr w:rsidR="001A756D" w:rsidRPr="001A756D" w14:paraId="2E7EF7C4" w14:textId="77777777" w:rsidTr="001A756D">
        <w:trPr>
          <w:trHeight w:val="225"/>
          <w:jc w:val="center"/>
        </w:trPr>
        <w:tc>
          <w:tcPr>
            <w:tcW w:w="3080" w:type="dxa"/>
            <w:tcBorders>
              <w:top w:val="nil"/>
              <w:left w:val="nil"/>
              <w:bottom w:val="single" w:sz="4" w:space="0" w:color="auto"/>
              <w:right w:val="nil"/>
            </w:tcBorders>
            <w:shd w:val="clear" w:color="auto" w:fill="auto"/>
            <w:noWrap/>
            <w:vAlign w:val="bottom"/>
            <w:hideMark/>
          </w:tcPr>
          <w:p w14:paraId="3798A3AC" w14:textId="77777777" w:rsidR="001A756D" w:rsidRPr="001A756D" w:rsidRDefault="001A756D" w:rsidP="001A756D">
            <w:pPr>
              <w:spacing w:before="0" w:after="0" w:line="240" w:lineRule="auto"/>
              <w:ind w:leftChars="75" w:left="143"/>
              <w:rPr>
                <w:rFonts w:ascii="Arial" w:hAnsi="Arial" w:cs="Arial"/>
                <w:b/>
                <w:bCs/>
                <w:color w:val="000000"/>
                <w:sz w:val="16"/>
                <w:szCs w:val="16"/>
              </w:rPr>
            </w:pPr>
            <w:r w:rsidRPr="001A756D">
              <w:rPr>
                <w:rFonts w:ascii="Arial" w:hAnsi="Arial" w:cs="Arial"/>
                <w:b/>
                <w:bCs/>
                <w:color w:val="000000"/>
                <w:sz w:val="16"/>
                <w:szCs w:val="16"/>
              </w:rPr>
              <w:t>Total equity</w:t>
            </w:r>
          </w:p>
        </w:tc>
        <w:tc>
          <w:tcPr>
            <w:tcW w:w="960" w:type="dxa"/>
            <w:tcBorders>
              <w:top w:val="nil"/>
              <w:left w:val="nil"/>
              <w:bottom w:val="single" w:sz="4" w:space="0" w:color="auto"/>
              <w:right w:val="nil"/>
            </w:tcBorders>
            <w:shd w:val="clear" w:color="auto" w:fill="auto"/>
            <w:noWrap/>
            <w:vAlign w:val="bottom"/>
            <w:hideMark/>
          </w:tcPr>
          <w:p w14:paraId="75CBBDEB"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35,567</w:t>
            </w:r>
          </w:p>
        </w:tc>
        <w:tc>
          <w:tcPr>
            <w:tcW w:w="960" w:type="dxa"/>
            <w:tcBorders>
              <w:top w:val="nil"/>
              <w:left w:val="nil"/>
              <w:bottom w:val="single" w:sz="4" w:space="0" w:color="auto"/>
              <w:right w:val="nil"/>
            </w:tcBorders>
            <w:shd w:val="clear" w:color="000000" w:fill="D9D9D9"/>
            <w:noWrap/>
            <w:vAlign w:val="bottom"/>
            <w:hideMark/>
          </w:tcPr>
          <w:p w14:paraId="2441E8AB"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34,203</w:t>
            </w:r>
          </w:p>
        </w:tc>
        <w:tc>
          <w:tcPr>
            <w:tcW w:w="960" w:type="dxa"/>
            <w:tcBorders>
              <w:top w:val="nil"/>
              <w:left w:val="nil"/>
              <w:bottom w:val="single" w:sz="4" w:space="0" w:color="auto"/>
              <w:right w:val="nil"/>
            </w:tcBorders>
            <w:shd w:val="clear" w:color="auto" w:fill="auto"/>
            <w:noWrap/>
            <w:vAlign w:val="bottom"/>
            <w:hideMark/>
          </w:tcPr>
          <w:p w14:paraId="0F87AB2F"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34,626</w:t>
            </w:r>
          </w:p>
        </w:tc>
        <w:tc>
          <w:tcPr>
            <w:tcW w:w="960" w:type="dxa"/>
            <w:tcBorders>
              <w:top w:val="nil"/>
              <w:left w:val="nil"/>
              <w:bottom w:val="single" w:sz="4" w:space="0" w:color="auto"/>
              <w:right w:val="nil"/>
            </w:tcBorders>
            <w:shd w:val="clear" w:color="auto" w:fill="auto"/>
            <w:noWrap/>
            <w:vAlign w:val="bottom"/>
            <w:hideMark/>
          </w:tcPr>
          <w:p w14:paraId="62BEF35A"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35,292</w:t>
            </w:r>
          </w:p>
        </w:tc>
        <w:tc>
          <w:tcPr>
            <w:tcW w:w="960" w:type="dxa"/>
            <w:tcBorders>
              <w:top w:val="nil"/>
              <w:left w:val="nil"/>
              <w:bottom w:val="single" w:sz="4" w:space="0" w:color="auto"/>
              <w:right w:val="nil"/>
            </w:tcBorders>
            <w:shd w:val="clear" w:color="auto" w:fill="auto"/>
            <w:noWrap/>
            <w:vAlign w:val="bottom"/>
            <w:hideMark/>
          </w:tcPr>
          <w:p w14:paraId="528AB643" w14:textId="77777777" w:rsidR="001A756D" w:rsidRPr="001A756D" w:rsidRDefault="001A756D" w:rsidP="001A756D">
            <w:pPr>
              <w:spacing w:before="0" w:after="0" w:line="240" w:lineRule="auto"/>
              <w:jc w:val="right"/>
              <w:rPr>
                <w:rFonts w:ascii="Arial" w:hAnsi="Arial" w:cs="Arial"/>
                <w:b/>
                <w:bCs/>
                <w:sz w:val="16"/>
                <w:szCs w:val="16"/>
              </w:rPr>
            </w:pPr>
            <w:r w:rsidRPr="001A756D">
              <w:rPr>
                <w:rFonts w:ascii="Arial" w:hAnsi="Arial" w:cs="Arial"/>
                <w:b/>
                <w:bCs/>
                <w:sz w:val="16"/>
                <w:szCs w:val="16"/>
              </w:rPr>
              <w:t>36,149</w:t>
            </w:r>
          </w:p>
        </w:tc>
      </w:tr>
    </w:tbl>
    <w:p w14:paraId="345C24BA" w14:textId="77777777" w:rsidR="00275707" w:rsidRPr="00014438" w:rsidRDefault="00275707" w:rsidP="00275707">
      <w:pPr>
        <w:pStyle w:val="SingleParagraph"/>
        <w:rPr>
          <w:snapToGrid w:val="0"/>
        </w:rPr>
      </w:pPr>
    </w:p>
    <w:p w14:paraId="4DF9CADC" w14:textId="77777777" w:rsidR="00275707" w:rsidRDefault="00275707" w:rsidP="00275707">
      <w:pPr>
        <w:spacing w:before="0" w:after="0" w:line="240" w:lineRule="auto"/>
        <w:rPr>
          <w:rFonts w:ascii="Arial" w:hAnsi="Arial"/>
          <w:b/>
          <w:snapToGrid w:val="0"/>
          <w:sz w:val="20"/>
        </w:rPr>
      </w:pPr>
      <w:r>
        <w:rPr>
          <w:snapToGrid w:val="0"/>
        </w:rPr>
        <w:br w:type="page"/>
      </w:r>
    </w:p>
    <w:p w14:paraId="02E84B38" w14:textId="350A87A3" w:rsidR="00275707" w:rsidRDefault="00275707" w:rsidP="00275707">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E96985">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880" w:type="dxa"/>
        <w:jc w:val="center"/>
        <w:tblLayout w:type="fixed"/>
        <w:tblLook w:val="04A0" w:firstRow="1" w:lastRow="0" w:firstColumn="1" w:lastColumn="0" w:noHBand="0" w:noVBand="1"/>
      </w:tblPr>
      <w:tblGrid>
        <w:gridCol w:w="3080"/>
        <w:gridCol w:w="1160"/>
        <w:gridCol w:w="1240"/>
        <w:gridCol w:w="1240"/>
        <w:gridCol w:w="1160"/>
      </w:tblGrid>
      <w:tr w:rsidR="00046C46" w:rsidRPr="00046C46" w14:paraId="5A51C254" w14:textId="77777777" w:rsidTr="00F0266C">
        <w:trPr>
          <w:trHeight w:val="680"/>
          <w:jc w:val="center"/>
        </w:trPr>
        <w:tc>
          <w:tcPr>
            <w:tcW w:w="3080" w:type="dxa"/>
            <w:tcBorders>
              <w:top w:val="single" w:sz="4" w:space="0" w:color="auto"/>
              <w:left w:val="nil"/>
              <w:bottom w:val="nil"/>
              <w:right w:val="nil"/>
            </w:tcBorders>
            <w:shd w:val="clear" w:color="auto" w:fill="auto"/>
            <w:hideMark/>
          </w:tcPr>
          <w:p w14:paraId="6191E0AD" w14:textId="77777777" w:rsidR="00046C46" w:rsidRPr="00046C46" w:rsidRDefault="00046C46" w:rsidP="002A21E7">
            <w:pPr>
              <w:spacing w:before="24" w:after="0" w:line="240" w:lineRule="auto"/>
              <w:jc w:val="right"/>
              <w:rPr>
                <w:rFonts w:ascii="Times New Roman" w:hAnsi="Times New Roman"/>
                <w:sz w:val="20"/>
                <w:szCs w:val="24"/>
              </w:rPr>
            </w:pPr>
          </w:p>
        </w:tc>
        <w:tc>
          <w:tcPr>
            <w:tcW w:w="1160" w:type="dxa"/>
            <w:tcBorders>
              <w:top w:val="single" w:sz="4" w:space="0" w:color="auto"/>
              <w:left w:val="nil"/>
              <w:bottom w:val="single" w:sz="4" w:space="0" w:color="auto"/>
              <w:right w:val="nil"/>
            </w:tcBorders>
            <w:shd w:val="clear" w:color="auto" w:fill="auto"/>
            <w:hideMark/>
          </w:tcPr>
          <w:p w14:paraId="3465482E" w14:textId="77777777" w:rsidR="00046C46" w:rsidRPr="00046C46" w:rsidRDefault="00046C46" w:rsidP="002A21E7">
            <w:pPr>
              <w:spacing w:before="24" w:after="0" w:line="240" w:lineRule="auto"/>
              <w:jc w:val="right"/>
              <w:rPr>
                <w:rFonts w:ascii="Arial" w:hAnsi="Arial" w:cs="Arial"/>
                <w:color w:val="000000"/>
                <w:sz w:val="16"/>
                <w:szCs w:val="16"/>
              </w:rPr>
            </w:pPr>
            <w:r w:rsidRPr="00046C46">
              <w:rPr>
                <w:rFonts w:ascii="Arial" w:hAnsi="Arial" w:cs="Arial"/>
                <w:b/>
                <w:bCs/>
                <w:color w:val="000000"/>
                <w:sz w:val="16"/>
                <w:szCs w:val="16"/>
              </w:rPr>
              <w:t xml:space="preserve">Retained earnings </w:t>
            </w:r>
            <w:r w:rsidRPr="00046C46">
              <w:rPr>
                <w:rFonts w:ascii="Arial" w:hAnsi="Arial" w:cs="Arial"/>
                <w:color w:val="000000"/>
                <w:sz w:val="16"/>
                <w:szCs w:val="16"/>
              </w:rPr>
              <w:br/>
            </w:r>
            <w:r w:rsidRPr="00046C46">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2C8EE5CD" w14:textId="77777777" w:rsidR="00046C46" w:rsidRPr="00046C46" w:rsidRDefault="00046C46" w:rsidP="002A21E7">
            <w:pPr>
              <w:spacing w:before="24" w:after="0" w:line="240" w:lineRule="auto"/>
              <w:jc w:val="right"/>
              <w:rPr>
                <w:rFonts w:ascii="Arial" w:hAnsi="Arial" w:cs="Arial"/>
                <w:color w:val="000000"/>
                <w:sz w:val="16"/>
                <w:szCs w:val="16"/>
              </w:rPr>
            </w:pPr>
            <w:r w:rsidRPr="00046C46">
              <w:rPr>
                <w:rFonts w:ascii="Arial" w:hAnsi="Arial" w:cs="Arial"/>
                <w:b/>
                <w:bCs/>
                <w:color w:val="000000"/>
                <w:sz w:val="16"/>
                <w:szCs w:val="16"/>
              </w:rPr>
              <w:t xml:space="preserve">Asset revaluation reserve </w:t>
            </w:r>
            <w:r w:rsidRPr="00046C46">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0112C231" w14:textId="77777777" w:rsidR="00046C46" w:rsidRPr="00046C46" w:rsidRDefault="00046C46" w:rsidP="002A21E7">
            <w:pPr>
              <w:spacing w:before="24" w:after="0" w:line="240" w:lineRule="auto"/>
              <w:jc w:val="right"/>
              <w:rPr>
                <w:rFonts w:ascii="Arial" w:hAnsi="Arial" w:cs="Arial"/>
                <w:color w:val="000000"/>
                <w:sz w:val="16"/>
                <w:szCs w:val="16"/>
              </w:rPr>
            </w:pPr>
            <w:r w:rsidRPr="00046C46">
              <w:rPr>
                <w:rFonts w:ascii="Arial" w:hAnsi="Arial" w:cs="Arial"/>
                <w:b/>
                <w:bCs/>
                <w:color w:val="000000"/>
                <w:sz w:val="16"/>
                <w:szCs w:val="16"/>
              </w:rPr>
              <w:t>Contributed equity/</w:t>
            </w:r>
            <w:r w:rsidRPr="00046C46">
              <w:rPr>
                <w:rFonts w:ascii="Arial" w:hAnsi="Arial" w:cs="Arial"/>
                <w:b/>
                <w:bCs/>
                <w:color w:val="000000"/>
                <w:sz w:val="16"/>
                <w:szCs w:val="16"/>
              </w:rPr>
              <w:br/>
              <w:t xml:space="preserve">capital </w:t>
            </w:r>
            <w:r w:rsidRPr="00046C46">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auto" w:fill="auto"/>
            <w:hideMark/>
          </w:tcPr>
          <w:p w14:paraId="47B087AD" w14:textId="77777777" w:rsidR="00046C46" w:rsidRPr="00046C46" w:rsidRDefault="00046C46" w:rsidP="002A21E7">
            <w:pPr>
              <w:spacing w:before="24" w:after="0" w:line="240" w:lineRule="auto"/>
              <w:jc w:val="right"/>
              <w:rPr>
                <w:rFonts w:ascii="Arial" w:hAnsi="Arial" w:cs="Arial"/>
                <w:color w:val="000000"/>
                <w:sz w:val="16"/>
                <w:szCs w:val="16"/>
              </w:rPr>
            </w:pPr>
            <w:r w:rsidRPr="00046C46">
              <w:rPr>
                <w:rFonts w:ascii="Arial" w:hAnsi="Arial" w:cs="Arial"/>
                <w:b/>
                <w:bCs/>
                <w:color w:val="000000"/>
                <w:sz w:val="16"/>
                <w:szCs w:val="16"/>
              </w:rPr>
              <w:t xml:space="preserve">Total </w:t>
            </w:r>
            <w:r w:rsidRPr="00046C46">
              <w:rPr>
                <w:rFonts w:ascii="Arial" w:hAnsi="Arial" w:cs="Arial"/>
                <w:b/>
                <w:bCs/>
                <w:color w:val="000000"/>
                <w:sz w:val="16"/>
                <w:szCs w:val="16"/>
              </w:rPr>
              <w:br/>
              <w:t xml:space="preserve">equity </w:t>
            </w:r>
            <w:r w:rsidRPr="00046C46">
              <w:rPr>
                <w:rFonts w:ascii="Arial" w:hAnsi="Arial" w:cs="Arial"/>
                <w:color w:val="000000"/>
                <w:sz w:val="16"/>
                <w:szCs w:val="16"/>
              </w:rPr>
              <w:br/>
            </w:r>
            <w:r w:rsidRPr="00046C46">
              <w:rPr>
                <w:rFonts w:ascii="Arial" w:hAnsi="Arial" w:cs="Arial"/>
                <w:color w:val="000000"/>
                <w:sz w:val="16"/>
                <w:szCs w:val="16"/>
              </w:rPr>
              <w:br/>
              <w:t>$'000</w:t>
            </w:r>
          </w:p>
        </w:tc>
      </w:tr>
      <w:tr w:rsidR="00046C46" w:rsidRPr="00046C46" w14:paraId="5E1F9F74" w14:textId="77777777" w:rsidTr="00F0266C">
        <w:trPr>
          <w:trHeight w:val="283"/>
          <w:jc w:val="center"/>
        </w:trPr>
        <w:tc>
          <w:tcPr>
            <w:tcW w:w="3080" w:type="dxa"/>
            <w:tcBorders>
              <w:top w:val="nil"/>
              <w:left w:val="nil"/>
              <w:bottom w:val="nil"/>
              <w:right w:val="nil"/>
            </w:tcBorders>
            <w:shd w:val="clear" w:color="auto" w:fill="auto"/>
            <w:vAlign w:val="bottom"/>
            <w:hideMark/>
          </w:tcPr>
          <w:p w14:paraId="0D98E497"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 xml:space="preserve">Opening balance as </w:t>
            </w:r>
            <w:proofErr w:type="gramStart"/>
            <w:r w:rsidRPr="00046C46">
              <w:rPr>
                <w:rFonts w:ascii="Arial" w:hAnsi="Arial" w:cs="Arial"/>
                <w:b/>
                <w:bCs/>
                <w:color w:val="000000"/>
                <w:sz w:val="16"/>
                <w:szCs w:val="16"/>
              </w:rPr>
              <w:t>at</w:t>
            </w:r>
            <w:proofErr w:type="gramEnd"/>
            <w:r w:rsidRPr="00046C46">
              <w:rPr>
                <w:rFonts w:ascii="Arial" w:hAnsi="Arial" w:cs="Arial"/>
                <w:b/>
                <w:bCs/>
                <w:color w:val="000000"/>
                <w:sz w:val="16"/>
                <w:szCs w:val="16"/>
              </w:rPr>
              <w:t xml:space="preserve"> 1 July 2023</w:t>
            </w:r>
          </w:p>
        </w:tc>
        <w:tc>
          <w:tcPr>
            <w:tcW w:w="1160" w:type="dxa"/>
            <w:tcBorders>
              <w:top w:val="nil"/>
              <w:left w:val="nil"/>
              <w:bottom w:val="nil"/>
              <w:right w:val="nil"/>
            </w:tcBorders>
            <w:shd w:val="clear" w:color="auto" w:fill="auto"/>
            <w:noWrap/>
            <w:vAlign w:val="bottom"/>
            <w:hideMark/>
          </w:tcPr>
          <w:p w14:paraId="3D8620B0" w14:textId="77777777" w:rsidR="00046C46" w:rsidRPr="00046C46" w:rsidRDefault="00046C46" w:rsidP="00046C46">
            <w:pPr>
              <w:spacing w:before="0" w:after="0" w:line="240" w:lineRule="auto"/>
              <w:rPr>
                <w:rFonts w:ascii="Arial" w:hAnsi="Arial" w:cs="Arial"/>
                <w:b/>
                <w:bCs/>
                <w:color w:val="000000"/>
                <w:sz w:val="16"/>
                <w:szCs w:val="16"/>
              </w:rPr>
            </w:pPr>
          </w:p>
        </w:tc>
        <w:tc>
          <w:tcPr>
            <w:tcW w:w="1240" w:type="dxa"/>
            <w:tcBorders>
              <w:top w:val="nil"/>
              <w:left w:val="nil"/>
              <w:bottom w:val="nil"/>
              <w:right w:val="nil"/>
            </w:tcBorders>
            <w:shd w:val="clear" w:color="auto" w:fill="auto"/>
            <w:noWrap/>
            <w:vAlign w:val="bottom"/>
            <w:hideMark/>
          </w:tcPr>
          <w:p w14:paraId="5DA0E3BE" w14:textId="77777777" w:rsidR="00046C46" w:rsidRPr="00046C46" w:rsidRDefault="00046C46" w:rsidP="00046C46">
            <w:pPr>
              <w:spacing w:before="0" w:after="0" w:line="240" w:lineRule="auto"/>
              <w:jc w:val="righ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14:paraId="004DC7C5" w14:textId="77777777" w:rsidR="00046C46" w:rsidRPr="00046C46" w:rsidRDefault="00046C46" w:rsidP="00046C46">
            <w:pPr>
              <w:spacing w:before="0" w:after="0" w:line="240" w:lineRule="auto"/>
              <w:jc w:val="right"/>
              <w:rPr>
                <w:rFonts w:ascii="Times New Roman" w:hAnsi="Times New Roman"/>
                <w:sz w:val="20"/>
              </w:rPr>
            </w:pPr>
          </w:p>
        </w:tc>
        <w:tc>
          <w:tcPr>
            <w:tcW w:w="1160" w:type="dxa"/>
            <w:tcBorders>
              <w:top w:val="nil"/>
              <w:left w:val="nil"/>
              <w:bottom w:val="nil"/>
              <w:right w:val="nil"/>
            </w:tcBorders>
            <w:shd w:val="clear" w:color="auto" w:fill="auto"/>
            <w:noWrap/>
            <w:vAlign w:val="bottom"/>
            <w:hideMark/>
          </w:tcPr>
          <w:p w14:paraId="42F57894"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57F38C50" w14:textId="77777777" w:rsidTr="002A21E7">
        <w:trPr>
          <w:trHeight w:val="454"/>
          <w:jc w:val="center"/>
        </w:trPr>
        <w:tc>
          <w:tcPr>
            <w:tcW w:w="3080" w:type="dxa"/>
            <w:tcBorders>
              <w:top w:val="nil"/>
              <w:left w:val="nil"/>
              <w:bottom w:val="nil"/>
              <w:right w:val="nil"/>
            </w:tcBorders>
            <w:shd w:val="clear" w:color="auto" w:fill="auto"/>
            <w:vAlign w:val="bottom"/>
            <w:hideMark/>
          </w:tcPr>
          <w:p w14:paraId="7E351D9F" w14:textId="77777777" w:rsidR="00046C46" w:rsidRPr="00046C46" w:rsidRDefault="00046C46" w:rsidP="00046C46">
            <w:pPr>
              <w:spacing w:before="0" w:after="0" w:line="240" w:lineRule="auto"/>
              <w:ind w:leftChars="75" w:left="143"/>
              <w:rPr>
                <w:rFonts w:ascii="Arial" w:hAnsi="Arial" w:cs="Arial"/>
                <w:color w:val="000000"/>
                <w:sz w:val="16"/>
                <w:szCs w:val="16"/>
              </w:rPr>
            </w:pPr>
            <w:r w:rsidRPr="00046C46">
              <w:rPr>
                <w:rFonts w:ascii="Arial" w:hAnsi="Arial" w:cs="Arial"/>
                <w:color w:val="000000"/>
                <w:sz w:val="16"/>
                <w:szCs w:val="16"/>
              </w:rPr>
              <w:t>Balance carried forward from previous period</w:t>
            </w:r>
          </w:p>
        </w:tc>
        <w:tc>
          <w:tcPr>
            <w:tcW w:w="1160" w:type="dxa"/>
            <w:tcBorders>
              <w:top w:val="nil"/>
              <w:left w:val="nil"/>
              <w:bottom w:val="nil"/>
              <w:right w:val="nil"/>
            </w:tcBorders>
            <w:shd w:val="clear" w:color="auto" w:fill="auto"/>
            <w:noWrap/>
            <w:vAlign w:val="bottom"/>
            <w:hideMark/>
          </w:tcPr>
          <w:p w14:paraId="56BE5FF6"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1,912</w:t>
            </w:r>
          </w:p>
        </w:tc>
        <w:tc>
          <w:tcPr>
            <w:tcW w:w="1240" w:type="dxa"/>
            <w:tcBorders>
              <w:top w:val="nil"/>
              <w:left w:val="nil"/>
              <w:bottom w:val="nil"/>
              <w:right w:val="nil"/>
            </w:tcBorders>
            <w:shd w:val="clear" w:color="auto" w:fill="auto"/>
            <w:noWrap/>
            <w:vAlign w:val="bottom"/>
            <w:hideMark/>
          </w:tcPr>
          <w:p w14:paraId="60743C4D"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1,830</w:t>
            </w:r>
          </w:p>
        </w:tc>
        <w:tc>
          <w:tcPr>
            <w:tcW w:w="1240" w:type="dxa"/>
            <w:tcBorders>
              <w:top w:val="nil"/>
              <w:left w:val="nil"/>
              <w:bottom w:val="nil"/>
              <w:right w:val="nil"/>
            </w:tcBorders>
            <w:shd w:val="clear" w:color="auto" w:fill="auto"/>
            <w:noWrap/>
            <w:vAlign w:val="bottom"/>
            <w:hideMark/>
          </w:tcPr>
          <w:p w14:paraId="663A514D"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31,824</w:t>
            </w:r>
          </w:p>
        </w:tc>
        <w:tc>
          <w:tcPr>
            <w:tcW w:w="1160" w:type="dxa"/>
            <w:tcBorders>
              <w:top w:val="nil"/>
              <w:left w:val="nil"/>
              <w:bottom w:val="nil"/>
              <w:right w:val="nil"/>
            </w:tcBorders>
            <w:shd w:val="clear" w:color="auto" w:fill="auto"/>
            <w:noWrap/>
            <w:vAlign w:val="bottom"/>
            <w:hideMark/>
          </w:tcPr>
          <w:p w14:paraId="664DF66C"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35,566</w:t>
            </w:r>
          </w:p>
        </w:tc>
      </w:tr>
      <w:tr w:rsidR="00046C46" w:rsidRPr="00046C46" w14:paraId="18C8DFB5" w14:textId="77777777" w:rsidTr="002A21E7">
        <w:trPr>
          <w:trHeight w:val="283"/>
          <w:jc w:val="center"/>
        </w:trPr>
        <w:tc>
          <w:tcPr>
            <w:tcW w:w="3080" w:type="dxa"/>
            <w:tcBorders>
              <w:top w:val="nil"/>
              <w:left w:val="nil"/>
              <w:bottom w:val="nil"/>
              <w:right w:val="nil"/>
            </w:tcBorders>
            <w:shd w:val="clear" w:color="auto" w:fill="auto"/>
            <w:noWrap/>
            <w:vAlign w:val="bottom"/>
            <w:hideMark/>
          </w:tcPr>
          <w:p w14:paraId="355AB54D" w14:textId="77777777"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Surplus (deficit) for the period</w:t>
            </w:r>
          </w:p>
        </w:tc>
        <w:tc>
          <w:tcPr>
            <w:tcW w:w="1160" w:type="dxa"/>
            <w:tcBorders>
              <w:top w:val="nil"/>
              <w:left w:val="nil"/>
              <w:bottom w:val="nil"/>
              <w:right w:val="nil"/>
            </w:tcBorders>
            <w:shd w:val="clear" w:color="auto" w:fill="auto"/>
            <w:noWrap/>
            <w:vAlign w:val="bottom"/>
            <w:hideMark/>
          </w:tcPr>
          <w:p w14:paraId="73EA1573"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(1,363)</w:t>
            </w:r>
          </w:p>
        </w:tc>
        <w:tc>
          <w:tcPr>
            <w:tcW w:w="1240" w:type="dxa"/>
            <w:tcBorders>
              <w:top w:val="nil"/>
              <w:left w:val="nil"/>
              <w:bottom w:val="nil"/>
              <w:right w:val="nil"/>
            </w:tcBorders>
            <w:shd w:val="clear" w:color="auto" w:fill="auto"/>
            <w:noWrap/>
            <w:vAlign w:val="bottom"/>
            <w:hideMark/>
          </w:tcPr>
          <w:p w14:paraId="7645CBB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6EA638AC"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1160" w:type="dxa"/>
            <w:tcBorders>
              <w:top w:val="nil"/>
              <w:left w:val="nil"/>
              <w:bottom w:val="nil"/>
              <w:right w:val="nil"/>
            </w:tcBorders>
            <w:shd w:val="clear" w:color="auto" w:fill="auto"/>
            <w:noWrap/>
            <w:vAlign w:val="bottom"/>
            <w:hideMark/>
          </w:tcPr>
          <w:p w14:paraId="79D91A0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(1,363)</w:t>
            </w:r>
          </w:p>
        </w:tc>
      </w:tr>
      <w:tr w:rsidR="00046C46" w:rsidRPr="00046C46" w14:paraId="76ECE369" w14:textId="77777777" w:rsidTr="002A21E7">
        <w:trPr>
          <w:trHeight w:val="283"/>
          <w:jc w:val="center"/>
        </w:trPr>
        <w:tc>
          <w:tcPr>
            <w:tcW w:w="3080" w:type="dxa"/>
            <w:tcBorders>
              <w:top w:val="nil"/>
              <w:left w:val="nil"/>
              <w:bottom w:val="nil"/>
              <w:right w:val="nil"/>
            </w:tcBorders>
            <w:shd w:val="clear" w:color="auto" w:fill="auto"/>
            <w:noWrap/>
            <w:vAlign w:val="bottom"/>
            <w:hideMark/>
          </w:tcPr>
          <w:p w14:paraId="6D3ACFC9" w14:textId="77777777" w:rsidR="00046C46" w:rsidRPr="00046C46" w:rsidRDefault="00046C46" w:rsidP="00046C46">
            <w:pPr>
              <w:spacing w:before="0" w:after="0" w:line="240" w:lineRule="auto"/>
              <w:ind w:leftChars="75" w:left="143"/>
              <w:rPr>
                <w:rFonts w:ascii="Arial" w:hAnsi="Arial" w:cs="Arial"/>
                <w:color w:val="000000"/>
                <w:sz w:val="16"/>
                <w:szCs w:val="16"/>
              </w:rPr>
            </w:pPr>
            <w:r w:rsidRPr="00046C46">
              <w:rPr>
                <w:rFonts w:ascii="Arial" w:hAnsi="Arial" w:cs="Arial"/>
                <w:color w:val="000000"/>
                <w:sz w:val="16"/>
                <w:szCs w:val="16"/>
              </w:rPr>
              <w:t>Appropriation (equity injection)</w:t>
            </w:r>
          </w:p>
        </w:tc>
        <w:tc>
          <w:tcPr>
            <w:tcW w:w="1160" w:type="dxa"/>
            <w:tcBorders>
              <w:top w:val="nil"/>
              <w:left w:val="nil"/>
              <w:bottom w:val="single" w:sz="4" w:space="0" w:color="auto"/>
              <w:right w:val="nil"/>
            </w:tcBorders>
            <w:shd w:val="clear" w:color="auto" w:fill="auto"/>
            <w:noWrap/>
            <w:vAlign w:val="bottom"/>
            <w:hideMark/>
          </w:tcPr>
          <w:p w14:paraId="0442323B"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1240" w:type="dxa"/>
            <w:tcBorders>
              <w:top w:val="nil"/>
              <w:left w:val="nil"/>
              <w:bottom w:val="single" w:sz="4" w:space="0" w:color="auto"/>
              <w:right w:val="nil"/>
            </w:tcBorders>
            <w:shd w:val="clear" w:color="auto" w:fill="auto"/>
            <w:noWrap/>
            <w:vAlign w:val="bottom"/>
            <w:hideMark/>
          </w:tcPr>
          <w:p w14:paraId="7A8DBD99"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1240" w:type="dxa"/>
            <w:tcBorders>
              <w:top w:val="nil"/>
              <w:left w:val="nil"/>
              <w:bottom w:val="single" w:sz="4" w:space="0" w:color="auto"/>
              <w:right w:val="nil"/>
            </w:tcBorders>
            <w:shd w:val="clear" w:color="auto" w:fill="auto"/>
            <w:noWrap/>
            <w:vAlign w:val="bottom"/>
            <w:hideMark/>
          </w:tcPr>
          <w:p w14:paraId="2AAF9151"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1160" w:type="dxa"/>
            <w:tcBorders>
              <w:top w:val="nil"/>
              <w:left w:val="nil"/>
              <w:bottom w:val="single" w:sz="4" w:space="0" w:color="auto"/>
              <w:right w:val="nil"/>
            </w:tcBorders>
            <w:shd w:val="clear" w:color="auto" w:fill="auto"/>
            <w:noWrap/>
            <w:vAlign w:val="bottom"/>
            <w:hideMark/>
          </w:tcPr>
          <w:p w14:paraId="2C669849"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r>
      <w:tr w:rsidR="00046C46" w:rsidRPr="00046C46" w14:paraId="5E222B02" w14:textId="77777777" w:rsidTr="002A21E7">
        <w:trPr>
          <w:trHeight w:val="454"/>
          <w:jc w:val="center"/>
        </w:trPr>
        <w:tc>
          <w:tcPr>
            <w:tcW w:w="3080" w:type="dxa"/>
            <w:tcBorders>
              <w:top w:val="nil"/>
              <w:left w:val="nil"/>
              <w:bottom w:val="single" w:sz="4" w:space="0" w:color="auto"/>
              <w:right w:val="nil"/>
            </w:tcBorders>
            <w:shd w:val="clear" w:color="auto" w:fill="auto"/>
            <w:vAlign w:val="bottom"/>
            <w:hideMark/>
          </w:tcPr>
          <w:p w14:paraId="78DD2A81"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 xml:space="preserve">Estimated closing balance as at </w:t>
            </w:r>
            <w:r w:rsidRPr="00046C46">
              <w:rPr>
                <w:rFonts w:ascii="Arial" w:hAnsi="Arial" w:cs="Arial"/>
                <w:b/>
                <w:bCs/>
                <w:color w:val="000000"/>
                <w:sz w:val="16"/>
                <w:szCs w:val="16"/>
              </w:rPr>
              <w:br/>
              <w:t>30 June 2024</w:t>
            </w:r>
          </w:p>
        </w:tc>
        <w:tc>
          <w:tcPr>
            <w:tcW w:w="1160" w:type="dxa"/>
            <w:tcBorders>
              <w:top w:val="nil"/>
              <w:left w:val="nil"/>
              <w:bottom w:val="single" w:sz="4" w:space="0" w:color="auto"/>
              <w:right w:val="nil"/>
            </w:tcBorders>
            <w:shd w:val="clear" w:color="auto" w:fill="auto"/>
            <w:noWrap/>
            <w:vAlign w:val="bottom"/>
            <w:hideMark/>
          </w:tcPr>
          <w:p w14:paraId="57B47E57"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549</w:t>
            </w:r>
          </w:p>
        </w:tc>
        <w:tc>
          <w:tcPr>
            <w:tcW w:w="1240" w:type="dxa"/>
            <w:tcBorders>
              <w:top w:val="nil"/>
              <w:left w:val="nil"/>
              <w:bottom w:val="single" w:sz="4" w:space="0" w:color="auto"/>
              <w:right w:val="nil"/>
            </w:tcBorders>
            <w:shd w:val="clear" w:color="auto" w:fill="auto"/>
            <w:noWrap/>
            <w:vAlign w:val="bottom"/>
            <w:hideMark/>
          </w:tcPr>
          <w:p w14:paraId="425FA39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1,830</w:t>
            </w:r>
          </w:p>
        </w:tc>
        <w:tc>
          <w:tcPr>
            <w:tcW w:w="1240" w:type="dxa"/>
            <w:tcBorders>
              <w:top w:val="nil"/>
              <w:left w:val="nil"/>
              <w:bottom w:val="single" w:sz="4" w:space="0" w:color="auto"/>
              <w:right w:val="nil"/>
            </w:tcBorders>
            <w:shd w:val="clear" w:color="auto" w:fill="auto"/>
            <w:noWrap/>
            <w:vAlign w:val="bottom"/>
            <w:hideMark/>
          </w:tcPr>
          <w:p w14:paraId="6A14162C"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31,824</w:t>
            </w:r>
          </w:p>
        </w:tc>
        <w:tc>
          <w:tcPr>
            <w:tcW w:w="1160" w:type="dxa"/>
            <w:tcBorders>
              <w:top w:val="nil"/>
              <w:left w:val="nil"/>
              <w:bottom w:val="single" w:sz="4" w:space="0" w:color="auto"/>
              <w:right w:val="nil"/>
            </w:tcBorders>
            <w:shd w:val="clear" w:color="auto" w:fill="auto"/>
            <w:noWrap/>
            <w:vAlign w:val="bottom"/>
            <w:hideMark/>
          </w:tcPr>
          <w:p w14:paraId="1FA37DE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34,203</w:t>
            </w:r>
          </w:p>
        </w:tc>
      </w:tr>
    </w:tbl>
    <w:p w14:paraId="2666D535" w14:textId="77777777" w:rsidR="00275707" w:rsidRDefault="00275707" w:rsidP="00275707">
      <w:pPr>
        <w:pStyle w:val="TableGraphic"/>
      </w:pPr>
    </w:p>
    <w:p w14:paraId="293191F6" w14:textId="77777777" w:rsidR="00F02DD3" w:rsidRDefault="00F02DD3">
      <w:pPr>
        <w:spacing w:before="0" w:after="0" w:line="240" w:lineRule="auto"/>
        <w:rPr>
          <w:rFonts w:ascii="Arial" w:hAnsi="Arial"/>
          <w:b/>
          <w:snapToGrid w:val="0"/>
          <w:sz w:val="20"/>
        </w:rPr>
      </w:pPr>
      <w:r>
        <w:rPr>
          <w:snapToGrid w:val="0"/>
        </w:rPr>
        <w:br w:type="page"/>
      </w:r>
    </w:p>
    <w:p w14:paraId="520E1AC9" w14:textId="22AD17C7" w:rsidR="00275707" w:rsidRDefault="00275707" w:rsidP="00275707">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7880" w:type="dxa"/>
        <w:jc w:val="center"/>
        <w:tblLayout w:type="fixed"/>
        <w:tblLook w:val="04A0" w:firstRow="1" w:lastRow="0" w:firstColumn="1" w:lastColumn="0" w:noHBand="0" w:noVBand="1"/>
      </w:tblPr>
      <w:tblGrid>
        <w:gridCol w:w="3141"/>
        <w:gridCol w:w="945"/>
        <w:gridCol w:w="947"/>
        <w:gridCol w:w="949"/>
        <w:gridCol w:w="949"/>
        <w:gridCol w:w="949"/>
      </w:tblGrid>
      <w:tr w:rsidR="00046C46" w:rsidRPr="00046C46" w14:paraId="72BE4DB3" w14:textId="77777777" w:rsidTr="00046C46">
        <w:trPr>
          <w:trHeight w:val="765"/>
          <w:jc w:val="center"/>
        </w:trPr>
        <w:tc>
          <w:tcPr>
            <w:tcW w:w="3141" w:type="dxa"/>
            <w:tcBorders>
              <w:top w:val="single" w:sz="4" w:space="0" w:color="auto"/>
              <w:left w:val="nil"/>
              <w:bottom w:val="nil"/>
              <w:right w:val="nil"/>
            </w:tcBorders>
            <w:shd w:val="clear" w:color="auto" w:fill="auto"/>
            <w:vAlign w:val="bottom"/>
            <w:hideMark/>
          </w:tcPr>
          <w:p w14:paraId="3BF23D29" w14:textId="77777777" w:rsidR="00046C46" w:rsidRPr="00046C46" w:rsidRDefault="00046C46" w:rsidP="00046C46">
            <w:pPr>
              <w:spacing w:before="24" w:after="0" w:line="240" w:lineRule="auto"/>
              <w:jc w:val="right"/>
              <w:rPr>
                <w:rFonts w:ascii="Arial" w:hAnsi="Arial" w:cs="Arial"/>
                <w:b/>
                <w:bCs/>
                <w:sz w:val="16"/>
                <w:szCs w:val="16"/>
              </w:rPr>
            </w:pPr>
            <w:r w:rsidRPr="00046C46">
              <w:rPr>
                <w:rFonts w:ascii="Arial" w:hAnsi="Arial" w:cs="Arial"/>
                <w:b/>
                <w:bCs/>
                <w:sz w:val="16"/>
                <w:szCs w:val="16"/>
              </w:rPr>
              <w:t> </w:t>
            </w:r>
          </w:p>
        </w:tc>
        <w:tc>
          <w:tcPr>
            <w:tcW w:w="945" w:type="dxa"/>
            <w:tcBorders>
              <w:top w:val="single" w:sz="4" w:space="0" w:color="auto"/>
              <w:left w:val="nil"/>
              <w:bottom w:val="single" w:sz="4" w:space="0" w:color="auto"/>
              <w:right w:val="nil"/>
            </w:tcBorders>
            <w:shd w:val="clear" w:color="auto" w:fill="auto"/>
            <w:vAlign w:val="bottom"/>
            <w:hideMark/>
          </w:tcPr>
          <w:p w14:paraId="5721319F" w14:textId="34F883BE" w:rsidR="00046C46" w:rsidRPr="00046C46" w:rsidRDefault="00046C46" w:rsidP="00046C46">
            <w:pPr>
              <w:spacing w:before="24" w:after="0" w:line="240" w:lineRule="auto"/>
              <w:jc w:val="right"/>
              <w:rPr>
                <w:rFonts w:ascii="Arial" w:hAnsi="Arial" w:cs="Arial"/>
                <w:b/>
                <w:bCs/>
                <w:sz w:val="16"/>
                <w:szCs w:val="16"/>
              </w:rPr>
            </w:pPr>
            <w:r w:rsidRPr="00046C46">
              <w:rPr>
                <w:rFonts w:ascii="Arial" w:hAnsi="Arial" w:cs="Arial"/>
                <w:b/>
                <w:bCs/>
                <w:sz w:val="16"/>
                <w:szCs w:val="16"/>
              </w:rPr>
              <w:t>2022</w:t>
            </w:r>
            <w:r>
              <w:rPr>
                <w:rFonts w:ascii="Arial" w:hAnsi="Arial" w:cs="Arial"/>
                <w:b/>
                <w:bCs/>
                <w:sz w:val="16"/>
                <w:szCs w:val="16"/>
              </w:rPr>
              <w:t>–</w:t>
            </w:r>
            <w:r w:rsidRPr="00046C46">
              <w:rPr>
                <w:rFonts w:ascii="Arial" w:hAnsi="Arial" w:cs="Arial"/>
                <w:b/>
                <w:bCs/>
                <w:sz w:val="16"/>
                <w:szCs w:val="16"/>
              </w:rPr>
              <w:t>23</w:t>
            </w:r>
            <w:r w:rsidRPr="00046C46">
              <w:rPr>
                <w:rFonts w:ascii="Arial" w:hAnsi="Arial" w:cs="Arial"/>
                <w:b/>
                <w:bCs/>
                <w:sz w:val="16"/>
                <w:szCs w:val="16"/>
              </w:rPr>
              <w:br/>
              <w:t>Actual</w:t>
            </w:r>
            <w:r w:rsidRPr="00046C46">
              <w:rPr>
                <w:rFonts w:ascii="Arial" w:hAnsi="Arial" w:cs="Arial"/>
                <w:b/>
                <w:bCs/>
                <w:sz w:val="16"/>
                <w:szCs w:val="16"/>
              </w:rPr>
              <w:br/>
            </w:r>
            <w:r w:rsidRPr="00046C46">
              <w:rPr>
                <w:rFonts w:ascii="Arial" w:hAnsi="Arial" w:cs="Arial"/>
                <w:sz w:val="16"/>
                <w:szCs w:val="16"/>
              </w:rPr>
              <w:br/>
              <w:t>$'000</w:t>
            </w:r>
          </w:p>
        </w:tc>
        <w:tc>
          <w:tcPr>
            <w:tcW w:w="947" w:type="dxa"/>
            <w:tcBorders>
              <w:top w:val="single" w:sz="4" w:space="0" w:color="auto"/>
              <w:left w:val="nil"/>
              <w:bottom w:val="single" w:sz="4" w:space="0" w:color="auto"/>
              <w:right w:val="nil"/>
            </w:tcBorders>
            <w:shd w:val="clear" w:color="000000" w:fill="D9D9D9"/>
            <w:vAlign w:val="bottom"/>
            <w:hideMark/>
          </w:tcPr>
          <w:p w14:paraId="2F7997E6" w14:textId="744D7F85"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2023–</w:t>
            </w:r>
            <w:r w:rsidRPr="00046C46">
              <w:rPr>
                <w:rFonts w:ascii="Arial" w:hAnsi="Arial" w:cs="Arial"/>
                <w:b/>
                <w:bCs/>
                <w:sz w:val="16"/>
                <w:szCs w:val="16"/>
              </w:rPr>
              <w:t>24</w:t>
            </w:r>
            <w:r w:rsidRPr="00046C46">
              <w:rPr>
                <w:rFonts w:ascii="Arial" w:hAnsi="Arial" w:cs="Arial"/>
                <w:b/>
                <w:bCs/>
                <w:sz w:val="16"/>
                <w:szCs w:val="16"/>
              </w:rPr>
              <w:br/>
              <w:t>Revised</w:t>
            </w:r>
            <w:r w:rsidRPr="00046C46">
              <w:rPr>
                <w:rFonts w:ascii="Arial" w:hAnsi="Arial" w:cs="Arial"/>
                <w:b/>
                <w:bCs/>
                <w:sz w:val="16"/>
                <w:szCs w:val="16"/>
              </w:rPr>
              <w:br/>
              <w:t>Budget</w:t>
            </w:r>
            <w:r w:rsidRPr="00046C46">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auto" w:fill="auto"/>
            <w:vAlign w:val="bottom"/>
            <w:hideMark/>
          </w:tcPr>
          <w:p w14:paraId="66C5250C" w14:textId="6EF2A6A2"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2024–</w:t>
            </w:r>
            <w:r w:rsidRPr="00046C46">
              <w:rPr>
                <w:rFonts w:ascii="Arial" w:hAnsi="Arial" w:cs="Arial"/>
                <w:b/>
                <w:bCs/>
                <w:sz w:val="16"/>
                <w:szCs w:val="16"/>
              </w:rPr>
              <w:t>25 Forward Estimate</w:t>
            </w:r>
            <w:r w:rsidRPr="00046C46">
              <w:rPr>
                <w:rFonts w:ascii="Arial" w:hAnsi="Arial" w:cs="Arial"/>
                <w:b/>
                <w:bCs/>
                <w:sz w:val="16"/>
                <w:szCs w:val="16"/>
              </w:rPr>
              <w:br/>
            </w:r>
            <w:r w:rsidRPr="00046C46">
              <w:rPr>
                <w:rFonts w:ascii="Arial" w:hAnsi="Arial" w:cs="Arial"/>
                <w:sz w:val="16"/>
                <w:szCs w:val="16"/>
              </w:rPr>
              <w:t>$'000</w:t>
            </w:r>
          </w:p>
        </w:tc>
        <w:tc>
          <w:tcPr>
            <w:tcW w:w="949" w:type="dxa"/>
            <w:tcBorders>
              <w:top w:val="single" w:sz="4" w:space="0" w:color="auto"/>
              <w:left w:val="nil"/>
              <w:bottom w:val="single" w:sz="4" w:space="0" w:color="auto"/>
              <w:right w:val="nil"/>
            </w:tcBorders>
            <w:shd w:val="clear" w:color="auto" w:fill="auto"/>
            <w:vAlign w:val="bottom"/>
            <w:hideMark/>
          </w:tcPr>
          <w:p w14:paraId="342B3D0A" w14:textId="402CE0F7" w:rsidR="00046C46" w:rsidRPr="00046C46" w:rsidRDefault="00046C46" w:rsidP="00046C46">
            <w:pPr>
              <w:spacing w:before="24" w:after="0" w:line="240" w:lineRule="auto"/>
              <w:jc w:val="right"/>
              <w:rPr>
                <w:rFonts w:ascii="Arial" w:hAnsi="Arial" w:cs="Arial"/>
                <w:b/>
                <w:bCs/>
                <w:sz w:val="16"/>
                <w:szCs w:val="16"/>
              </w:rPr>
            </w:pPr>
            <w:r w:rsidRPr="00046C46">
              <w:rPr>
                <w:rFonts w:ascii="Arial" w:hAnsi="Arial" w:cs="Arial"/>
                <w:b/>
                <w:bCs/>
                <w:sz w:val="16"/>
                <w:szCs w:val="16"/>
              </w:rPr>
              <w:t>2025</w:t>
            </w:r>
            <w:r>
              <w:rPr>
                <w:rFonts w:ascii="Arial" w:hAnsi="Arial" w:cs="Arial"/>
                <w:b/>
                <w:bCs/>
                <w:sz w:val="16"/>
                <w:szCs w:val="16"/>
              </w:rPr>
              <w:t>–</w:t>
            </w:r>
            <w:r w:rsidRPr="00046C46">
              <w:rPr>
                <w:rFonts w:ascii="Arial" w:hAnsi="Arial" w:cs="Arial"/>
                <w:b/>
                <w:bCs/>
                <w:sz w:val="16"/>
                <w:szCs w:val="16"/>
              </w:rPr>
              <w:t>26 Forward Estimate</w:t>
            </w:r>
            <w:r w:rsidRPr="00046C46">
              <w:rPr>
                <w:rFonts w:ascii="Arial" w:hAnsi="Arial" w:cs="Arial"/>
                <w:b/>
                <w:bCs/>
                <w:sz w:val="16"/>
                <w:szCs w:val="16"/>
              </w:rPr>
              <w:br/>
            </w:r>
            <w:r w:rsidRPr="00046C46">
              <w:rPr>
                <w:rFonts w:ascii="Arial" w:hAnsi="Arial" w:cs="Arial"/>
                <w:sz w:val="16"/>
                <w:szCs w:val="16"/>
              </w:rPr>
              <w:t>$'000</w:t>
            </w:r>
          </w:p>
        </w:tc>
        <w:tc>
          <w:tcPr>
            <w:tcW w:w="949" w:type="dxa"/>
            <w:tcBorders>
              <w:top w:val="single" w:sz="4" w:space="0" w:color="auto"/>
              <w:left w:val="nil"/>
              <w:bottom w:val="single" w:sz="4" w:space="0" w:color="auto"/>
              <w:right w:val="nil"/>
            </w:tcBorders>
            <w:shd w:val="clear" w:color="auto" w:fill="auto"/>
            <w:vAlign w:val="bottom"/>
            <w:hideMark/>
          </w:tcPr>
          <w:p w14:paraId="79D16FE3" w14:textId="4E164A5D" w:rsidR="00046C46" w:rsidRPr="00046C46" w:rsidRDefault="00046C46" w:rsidP="00046C46">
            <w:pPr>
              <w:spacing w:before="24" w:after="0" w:line="240" w:lineRule="auto"/>
              <w:jc w:val="right"/>
              <w:rPr>
                <w:rFonts w:ascii="Arial" w:hAnsi="Arial" w:cs="Arial"/>
                <w:b/>
                <w:bCs/>
                <w:sz w:val="16"/>
                <w:szCs w:val="16"/>
              </w:rPr>
            </w:pPr>
            <w:r w:rsidRPr="00046C46">
              <w:rPr>
                <w:rFonts w:ascii="Arial" w:hAnsi="Arial" w:cs="Arial"/>
                <w:b/>
                <w:bCs/>
                <w:sz w:val="16"/>
                <w:szCs w:val="16"/>
              </w:rPr>
              <w:t>2026</w:t>
            </w:r>
            <w:r>
              <w:rPr>
                <w:rFonts w:ascii="Arial" w:hAnsi="Arial" w:cs="Arial"/>
                <w:b/>
                <w:bCs/>
                <w:sz w:val="16"/>
                <w:szCs w:val="16"/>
              </w:rPr>
              <w:t>–</w:t>
            </w:r>
            <w:r w:rsidRPr="00046C46">
              <w:rPr>
                <w:rFonts w:ascii="Arial" w:hAnsi="Arial" w:cs="Arial"/>
                <w:b/>
                <w:bCs/>
                <w:sz w:val="16"/>
                <w:szCs w:val="16"/>
              </w:rPr>
              <w:t>27 Forward Estimate</w:t>
            </w:r>
            <w:r w:rsidRPr="00046C46">
              <w:rPr>
                <w:rFonts w:ascii="Arial" w:hAnsi="Arial" w:cs="Arial"/>
                <w:b/>
                <w:bCs/>
                <w:sz w:val="16"/>
                <w:szCs w:val="16"/>
              </w:rPr>
              <w:br/>
            </w:r>
            <w:r w:rsidRPr="00046C46">
              <w:rPr>
                <w:rFonts w:ascii="Arial" w:hAnsi="Arial" w:cs="Arial"/>
                <w:sz w:val="16"/>
                <w:szCs w:val="16"/>
              </w:rPr>
              <w:t>$'000</w:t>
            </w:r>
          </w:p>
        </w:tc>
      </w:tr>
      <w:tr w:rsidR="00046C46" w:rsidRPr="00046C46" w14:paraId="78860FDF"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09B7BE26"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OPERATING ACTIVITIES</w:t>
            </w:r>
          </w:p>
        </w:tc>
        <w:tc>
          <w:tcPr>
            <w:tcW w:w="945" w:type="dxa"/>
            <w:tcBorders>
              <w:top w:val="nil"/>
              <w:left w:val="nil"/>
              <w:bottom w:val="nil"/>
              <w:right w:val="nil"/>
            </w:tcBorders>
            <w:shd w:val="clear" w:color="auto" w:fill="auto"/>
            <w:noWrap/>
            <w:vAlign w:val="bottom"/>
            <w:hideMark/>
          </w:tcPr>
          <w:p w14:paraId="69065D7E" w14:textId="77777777" w:rsidR="00046C46" w:rsidRPr="00046C46" w:rsidRDefault="00046C46" w:rsidP="00046C46">
            <w:pPr>
              <w:spacing w:before="0" w:after="0" w:line="240" w:lineRule="auto"/>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center"/>
            <w:hideMark/>
          </w:tcPr>
          <w:p w14:paraId="343D92A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center"/>
            <w:hideMark/>
          </w:tcPr>
          <w:p w14:paraId="392ED486"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549BEEB2"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center"/>
            <w:hideMark/>
          </w:tcPr>
          <w:p w14:paraId="7D211095"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1C7FBE97"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4A1BE602"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received</w:t>
            </w:r>
          </w:p>
        </w:tc>
        <w:tc>
          <w:tcPr>
            <w:tcW w:w="945" w:type="dxa"/>
            <w:tcBorders>
              <w:top w:val="nil"/>
              <w:left w:val="nil"/>
              <w:bottom w:val="nil"/>
              <w:right w:val="nil"/>
            </w:tcBorders>
            <w:shd w:val="clear" w:color="auto" w:fill="auto"/>
            <w:noWrap/>
            <w:vAlign w:val="bottom"/>
            <w:hideMark/>
          </w:tcPr>
          <w:p w14:paraId="2B53A847"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436B858F"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0EEF89A8"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1680A92E"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60E7178F"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1A5C7873"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6BBF6113"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Goods and services</w:t>
            </w:r>
          </w:p>
        </w:tc>
        <w:tc>
          <w:tcPr>
            <w:tcW w:w="945" w:type="dxa"/>
            <w:tcBorders>
              <w:top w:val="nil"/>
              <w:left w:val="nil"/>
              <w:bottom w:val="nil"/>
              <w:right w:val="nil"/>
            </w:tcBorders>
            <w:shd w:val="clear" w:color="auto" w:fill="auto"/>
            <w:noWrap/>
            <w:vAlign w:val="bottom"/>
            <w:hideMark/>
          </w:tcPr>
          <w:p w14:paraId="27FBF4EA"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88,503</w:t>
            </w:r>
          </w:p>
        </w:tc>
        <w:tc>
          <w:tcPr>
            <w:tcW w:w="947" w:type="dxa"/>
            <w:tcBorders>
              <w:top w:val="nil"/>
              <w:left w:val="nil"/>
              <w:bottom w:val="nil"/>
              <w:right w:val="nil"/>
            </w:tcBorders>
            <w:shd w:val="clear" w:color="000000" w:fill="D9D9D9"/>
            <w:noWrap/>
            <w:vAlign w:val="bottom"/>
            <w:hideMark/>
          </w:tcPr>
          <w:p w14:paraId="07EF74C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73,000</w:t>
            </w:r>
          </w:p>
        </w:tc>
        <w:tc>
          <w:tcPr>
            <w:tcW w:w="949" w:type="dxa"/>
            <w:tcBorders>
              <w:top w:val="nil"/>
              <w:left w:val="nil"/>
              <w:bottom w:val="nil"/>
              <w:right w:val="nil"/>
            </w:tcBorders>
            <w:shd w:val="clear" w:color="auto" w:fill="auto"/>
            <w:noWrap/>
            <w:vAlign w:val="bottom"/>
            <w:hideMark/>
          </w:tcPr>
          <w:p w14:paraId="085F998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73,000</w:t>
            </w:r>
          </w:p>
        </w:tc>
        <w:tc>
          <w:tcPr>
            <w:tcW w:w="949" w:type="dxa"/>
            <w:tcBorders>
              <w:top w:val="nil"/>
              <w:left w:val="nil"/>
              <w:bottom w:val="nil"/>
              <w:right w:val="nil"/>
            </w:tcBorders>
            <w:shd w:val="clear" w:color="auto" w:fill="auto"/>
            <w:noWrap/>
            <w:vAlign w:val="bottom"/>
            <w:hideMark/>
          </w:tcPr>
          <w:p w14:paraId="5690F84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73,000</w:t>
            </w:r>
          </w:p>
        </w:tc>
        <w:tc>
          <w:tcPr>
            <w:tcW w:w="949" w:type="dxa"/>
            <w:tcBorders>
              <w:top w:val="nil"/>
              <w:left w:val="nil"/>
              <w:bottom w:val="nil"/>
              <w:right w:val="nil"/>
            </w:tcBorders>
            <w:shd w:val="clear" w:color="auto" w:fill="auto"/>
            <w:noWrap/>
            <w:vAlign w:val="bottom"/>
            <w:hideMark/>
          </w:tcPr>
          <w:p w14:paraId="1292874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73,000</w:t>
            </w:r>
          </w:p>
        </w:tc>
      </w:tr>
      <w:tr w:rsidR="00046C46" w:rsidRPr="00046C46" w14:paraId="7F77794D"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68859C75"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Appropriations</w:t>
            </w:r>
          </w:p>
        </w:tc>
        <w:tc>
          <w:tcPr>
            <w:tcW w:w="945" w:type="dxa"/>
            <w:tcBorders>
              <w:top w:val="nil"/>
              <w:left w:val="nil"/>
              <w:bottom w:val="nil"/>
              <w:right w:val="nil"/>
            </w:tcBorders>
            <w:shd w:val="clear" w:color="auto" w:fill="auto"/>
            <w:noWrap/>
            <w:vAlign w:val="bottom"/>
            <w:hideMark/>
          </w:tcPr>
          <w:p w14:paraId="68D015AF"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35,343</w:t>
            </w:r>
          </w:p>
        </w:tc>
        <w:tc>
          <w:tcPr>
            <w:tcW w:w="947" w:type="dxa"/>
            <w:tcBorders>
              <w:top w:val="nil"/>
              <w:left w:val="nil"/>
              <w:bottom w:val="nil"/>
              <w:right w:val="nil"/>
            </w:tcBorders>
            <w:shd w:val="clear" w:color="000000" w:fill="D9D9D9"/>
            <w:noWrap/>
            <w:vAlign w:val="bottom"/>
            <w:hideMark/>
          </w:tcPr>
          <w:p w14:paraId="11DCCAF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35,544</w:t>
            </w:r>
          </w:p>
        </w:tc>
        <w:tc>
          <w:tcPr>
            <w:tcW w:w="949" w:type="dxa"/>
            <w:tcBorders>
              <w:top w:val="nil"/>
              <w:left w:val="nil"/>
              <w:bottom w:val="nil"/>
              <w:right w:val="nil"/>
            </w:tcBorders>
            <w:shd w:val="clear" w:color="auto" w:fill="auto"/>
            <w:noWrap/>
            <w:vAlign w:val="bottom"/>
            <w:hideMark/>
          </w:tcPr>
          <w:p w14:paraId="5E63514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36,524</w:t>
            </w:r>
          </w:p>
        </w:tc>
        <w:tc>
          <w:tcPr>
            <w:tcW w:w="949" w:type="dxa"/>
            <w:tcBorders>
              <w:top w:val="nil"/>
              <w:left w:val="nil"/>
              <w:bottom w:val="nil"/>
              <w:right w:val="nil"/>
            </w:tcBorders>
            <w:shd w:val="clear" w:color="auto" w:fill="auto"/>
            <w:noWrap/>
            <w:vAlign w:val="bottom"/>
            <w:hideMark/>
          </w:tcPr>
          <w:p w14:paraId="2330F73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36,700</w:t>
            </w:r>
          </w:p>
        </w:tc>
        <w:tc>
          <w:tcPr>
            <w:tcW w:w="949" w:type="dxa"/>
            <w:tcBorders>
              <w:top w:val="nil"/>
              <w:left w:val="nil"/>
              <w:bottom w:val="nil"/>
              <w:right w:val="nil"/>
            </w:tcBorders>
            <w:shd w:val="clear" w:color="auto" w:fill="auto"/>
            <w:noWrap/>
            <w:vAlign w:val="bottom"/>
            <w:hideMark/>
          </w:tcPr>
          <w:p w14:paraId="2887DEB4"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37,171</w:t>
            </w:r>
          </w:p>
        </w:tc>
      </w:tr>
      <w:tr w:rsidR="00046C46" w:rsidRPr="00046C46" w14:paraId="511C4413"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25757DFA"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Other cash received</w:t>
            </w:r>
          </w:p>
        </w:tc>
        <w:tc>
          <w:tcPr>
            <w:tcW w:w="945" w:type="dxa"/>
            <w:tcBorders>
              <w:top w:val="nil"/>
              <w:left w:val="nil"/>
              <w:bottom w:val="nil"/>
              <w:right w:val="nil"/>
            </w:tcBorders>
            <w:shd w:val="clear" w:color="auto" w:fill="auto"/>
            <w:noWrap/>
            <w:vAlign w:val="bottom"/>
            <w:hideMark/>
          </w:tcPr>
          <w:p w14:paraId="276EB52A"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23</w:t>
            </w:r>
          </w:p>
        </w:tc>
        <w:tc>
          <w:tcPr>
            <w:tcW w:w="947" w:type="dxa"/>
            <w:tcBorders>
              <w:top w:val="nil"/>
              <w:left w:val="nil"/>
              <w:bottom w:val="nil"/>
              <w:right w:val="nil"/>
            </w:tcBorders>
            <w:shd w:val="clear" w:color="000000" w:fill="D9D9D9"/>
            <w:noWrap/>
            <w:vAlign w:val="bottom"/>
            <w:hideMark/>
          </w:tcPr>
          <w:p w14:paraId="5D28E1D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30</w:t>
            </w:r>
          </w:p>
        </w:tc>
        <w:tc>
          <w:tcPr>
            <w:tcW w:w="949" w:type="dxa"/>
            <w:tcBorders>
              <w:top w:val="nil"/>
              <w:left w:val="nil"/>
              <w:bottom w:val="nil"/>
              <w:right w:val="nil"/>
            </w:tcBorders>
            <w:shd w:val="clear" w:color="auto" w:fill="auto"/>
            <w:noWrap/>
            <w:vAlign w:val="bottom"/>
            <w:hideMark/>
          </w:tcPr>
          <w:p w14:paraId="046C462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30</w:t>
            </w:r>
          </w:p>
        </w:tc>
        <w:tc>
          <w:tcPr>
            <w:tcW w:w="949" w:type="dxa"/>
            <w:tcBorders>
              <w:top w:val="nil"/>
              <w:left w:val="nil"/>
              <w:bottom w:val="nil"/>
              <w:right w:val="nil"/>
            </w:tcBorders>
            <w:shd w:val="clear" w:color="auto" w:fill="auto"/>
            <w:noWrap/>
            <w:vAlign w:val="bottom"/>
            <w:hideMark/>
          </w:tcPr>
          <w:p w14:paraId="48CB17B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325A668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r>
      <w:tr w:rsidR="00046C46" w:rsidRPr="00046C46" w14:paraId="13AFD8D0"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446C707B"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Interest</w:t>
            </w:r>
          </w:p>
        </w:tc>
        <w:tc>
          <w:tcPr>
            <w:tcW w:w="945" w:type="dxa"/>
            <w:tcBorders>
              <w:top w:val="nil"/>
              <w:left w:val="nil"/>
              <w:bottom w:val="nil"/>
              <w:right w:val="nil"/>
            </w:tcBorders>
            <w:shd w:val="clear" w:color="auto" w:fill="auto"/>
            <w:noWrap/>
            <w:vAlign w:val="bottom"/>
            <w:hideMark/>
          </w:tcPr>
          <w:p w14:paraId="0F2407E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2,385</w:t>
            </w:r>
          </w:p>
        </w:tc>
        <w:tc>
          <w:tcPr>
            <w:tcW w:w="947" w:type="dxa"/>
            <w:tcBorders>
              <w:top w:val="nil"/>
              <w:left w:val="nil"/>
              <w:bottom w:val="nil"/>
              <w:right w:val="nil"/>
            </w:tcBorders>
            <w:shd w:val="clear" w:color="000000" w:fill="D9D9D9"/>
            <w:noWrap/>
            <w:vAlign w:val="bottom"/>
            <w:hideMark/>
          </w:tcPr>
          <w:p w14:paraId="744F43D6"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4,600</w:t>
            </w:r>
          </w:p>
        </w:tc>
        <w:tc>
          <w:tcPr>
            <w:tcW w:w="949" w:type="dxa"/>
            <w:tcBorders>
              <w:top w:val="nil"/>
              <w:left w:val="nil"/>
              <w:bottom w:val="nil"/>
              <w:right w:val="nil"/>
            </w:tcBorders>
            <w:shd w:val="clear" w:color="auto" w:fill="auto"/>
            <w:noWrap/>
            <w:vAlign w:val="bottom"/>
            <w:hideMark/>
          </w:tcPr>
          <w:p w14:paraId="1FEA67A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4,000</w:t>
            </w:r>
          </w:p>
        </w:tc>
        <w:tc>
          <w:tcPr>
            <w:tcW w:w="949" w:type="dxa"/>
            <w:tcBorders>
              <w:top w:val="nil"/>
              <w:left w:val="nil"/>
              <w:bottom w:val="nil"/>
              <w:right w:val="nil"/>
            </w:tcBorders>
            <w:shd w:val="clear" w:color="auto" w:fill="auto"/>
            <w:noWrap/>
            <w:vAlign w:val="bottom"/>
            <w:hideMark/>
          </w:tcPr>
          <w:p w14:paraId="7E97FFEE"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4,000</w:t>
            </w:r>
          </w:p>
        </w:tc>
        <w:tc>
          <w:tcPr>
            <w:tcW w:w="949" w:type="dxa"/>
            <w:tcBorders>
              <w:top w:val="nil"/>
              <w:left w:val="nil"/>
              <w:bottom w:val="nil"/>
              <w:right w:val="nil"/>
            </w:tcBorders>
            <w:shd w:val="clear" w:color="auto" w:fill="auto"/>
            <w:noWrap/>
            <w:vAlign w:val="bottom"/>
            <w:hideMark/>
          </w:tcPr>
          <w:p w14:paraId="2842547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4,000</w:t>
            </w:r>
          </w:p>
        </w:tc>
      </w:tr>
      <w:tr w:rsidR="00046C46" w:rsidRPr="00046C46" w14:paraId="068415CA"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5C1D6D24"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received</w:t>
            </w:r>
          </w:p>
        </w:tc>
        <w:tc>
          <w:tcPr>
            <w:tcW w:w="945" w:type="dxa"/>
            <w:tcBorders>
              <w:top w:val="nil"/>
              <w:left w:val="nil"/>
              <w:bottom w:val="single" w:sz="4" w:space="0" w:color="auto"/>
              <w:right w:val="nil"/>
            </w:tcBorders>
            <w:shd w:val="clear" w:color="auto" w:fill="auto"/>
            <w:noWrap/>
            <w:vAlign w:val="bottom"/>
            <w:hideMark/>
          </w:tcPr>
          <w:p w14:paraId="6FF0E62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126,254</w:t>
            </w:r>
          </w:p>
        </w:tc>
        <w:tc>
          <w:tcPr>
            <w:tcW w:w="947" w:type="dxa"/>
            <w:tcBorders>
              <w:top w:val="nil"/>
              <w:left w:val="nil"/>
              <w:bottom w:val="single" w:sz="4" w:space="0" w:color="auto"/>
              <w:right w:val="nil"/>
            </w:tcBorders>
            <w:shd w:val="clear" w:color="000000" w:fill="D9D9D9"/>
            <w:noWrap/>
            <w:vAlign w:val="bottom"/>
            <w:hideMark/>
          </w:tcPr>
          <w:p w14:paraId="07BA4B7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113,174</w:t>
            </w:r>
          </w:p>
        </w:tc>
        <w:tc>
          <w:tcPr>
            <w:tcW w:w="949" w:type="dxa"/>
            <w:tcBorders>
              <w:top w:val="nil"/>
              <w:left w:val="nil"/>
              <w:bottom w:val="single" w:sz="4" w:space="0" w:color="auto"/>
              <w:right w:val="nil"/>
            </w:tcBorders>
            <w:shd w:val="clear" w:color="auto" w:fill="auto"/>
            <w:noWrap/>
            <w:vAlign w:val="bottom"/>
            <w:hideMark/>
          </w:tcPr>
          <w:p w14:paraId="10EE2A9D"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113,554</w:t>
            </w:r>
          </w:p>
        </w:tc>
        <w:tc>
          <w:tcPr>
            <w:tcW w:w="949" w:type="dxa"/>
            <w:tcBorders>
              <w:top w:val="nil"/>
              <w:left w:val="nil"/>
              <w:bottom w:val="single" w:sz="4" w:space="0" w:color="auto"/>
              <w:right w:val="nil"/>
            </w:tcBorders>
            <w:shd w:val="clear" w:color="auto" w:fill="auto"/>
            <w:noWrap/>
            <w:vAlign w:val="bottom"/>
            <w:hideMark/>
          </w:tcPr>
          <w:p w14:paraId="1BE591B8"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113,700</w:t>
            </w:r>
          </w:p>
        </w:tc>
        <w:tc>
          <w:tcPr>
            <w:tcW w:w="949" w:type="dxa"/>
            <w:tcBorders>
              <w:top w:val="nil"/>
              <w:left w:val="nil"/>
              <w:bottom w:val="single" w:sz="4" w:space="0" w:color="auto"/>
              <w:right w:val="nil"/>
            </w:tcBorders>
            <w:shd w:val="clear" w:color="auto" w:fill="auto"/>
            <w:noWrap/>
            <w:vAlign w:val="bottom"/>
            <w:hideMark/>
          </w:tcPr>
          <w:p w14:paraId="5113FAA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114,171</w:t>
            </w:r>
          </w:p>
        </w:tc>
      </w:tr>
      <w:tr w:rsidR="00046C46" w:rsidRPr="00046C46" w14:paraId="19F8D30E" w14:textId="77777777" w:rsidTr="00BB27C2">
        <w:trPr>
          <w:trHeight w:val="283"/>
          <w:jc w:val="center"/>
        </w:trPr>
        <w:tc>
          <w:tcPr>
            <w:tcW w:w="3141" w:type="dxa"/>
            <w:tcBorders>
              <w:top w:val="nil"/>
              <w:left w:val="nil"/>
              <w:bottom w:val="nil"/>
              <w:right w:val="nil"/>
            </w:tcBorders>
            <w:shd w:val="clear" w:color="auto" w:fill="auto"/>
            <w:noWrap/>
            <w:vAlign w:val="bottom"/>
            <w:hideMark/>
          </w:tcPr>
          <w:p w14:paraId="1444AB8B"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used</w:t>
            </w:r>
          </w:p>
        </w:tc>
        <w:tc>
          <w:tcPr>
            <w:tcW w:w="945" w:type="dxa"/>
            <w:tcBorders>
              <w:top w:val="nil"/>
              <w:left w:val="nil"/>
              <w:bottom w:val="nil"/>
              <w:right w:val="nil"/>
            </w:tcBorders>
            <w:shd w:val="clear" w:color="auto" w:fill="auto"/>
            <w:noWrap/>
            <w:vAlign w:val="bottom"/>
            <w:hideMark/>
          </w:tcPr>
          <w:p w14:paraId="2975C013"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255664CF"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7E660CBF"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2C03FA64"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2FA9A3AC"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03CEF39A"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79C58431"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Employees</w:t>
            </w:r>
          </w:p>
        </w:tc>
        <w:tc>
          <w:tcPr>
            <w:tcW w:w="945" w:type="dxa"/>
            <w:tcBorders>
              <w:top w:val="nil"/>
              <w:left w:val="nil"/>
              <w:bottom w:val="nil"/>
              <w:right w:val="nil"/>
            </w:tcBorders>
            <w:shd w:val="clear" w:color="auto" w:fill="auto"/>
            <w:noWrap/>
            <w:vAlign w:val="bottom"/>
            <w:hideMark/>
          </w:tcPr>
          <w:p w14:paraId="296D504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60,435</w:t>
            </w:r>
          </w:p>
        </w:tc>
        <w:tc>
          <w:tcPr>
            <w:tcW w:w="947" w:type="dxa"/>
            <w:tcBorders>
              <w:top w:val="nil"/>
              <w:left w:val="nil"/>
              <w:bottom w:val="nil"/>
              <w:right w:val="nil"/>
            </w:tcBorders>
            <w:shd w:val="clear" w:color="000000" w:fill="D9D9D9"/>
            <w:noWrap/>
            <w:vAlign w:val="bottom"/>
            <w:hideMark/>
          </w:tcPr>
          <w:p w14:paraId="61AD6CA9"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86,762</w:t>
            </w:r>
          </w:p>
        </w:tc>
        <w:tc>
          <w:tcPr>
            <w:tcW w:w="949" w:type="dxa"/>
            <w:tcBorders>
              <w:top w:val="nil"/>
              <w:left w:val="nil"/>
              <w:bottom w:val="nil"/>
              <w:right w:val="nil"/>
            </w:tcBorders>
            <w:shd w:val="clear" w:color="auto" w:fill="auto"/>
            <w:noWrap/>
            <w:vAlign w:val="bottom"/>
            <w:hideMark/>
          </w:tcPr>
          <w:p w14:paraId="552E8A6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87,673</w:t>
            </w:r>
          </w:p>
        </w:tc>
        <w:tc>
          <w:tcPr>
            <w:tcW w:w="949" w:type="dxa"/>
            <w:tcBorders>
              <w:top w:val="nil"/>
              <w:left w:val="nil"/>
              <w:bottom w:val="nil"/>
              <w:right w:val="nil"/>
            </w:tcBorders>
            <w:shd w:val="clear" w:color="auto" w:fill="auto"/>
            <w:noWrap/>
            <w:vAlign w:val="bottom"/>
            <w:hideMark/>
          </w:tcPr>
          <w:p w14:paraId="75815B2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88,919</w:t>
            </w:r>
          </w:p>
        </w:tc>
        <w:tc>
          <w:tcPr>
            <w:tcW w:w="949" w:type="dxa"/>
            <w:tcBorders>
              <w:top w:val="nil"/>
              <w:left w:val="nil"/>
              <w:bottom w:val="nil"/>
              <w:right w:val="nil"/>
            </w:tcBorders>
            <w:shd w:val="clear" w:color="auto" w:fill="auto"/>
            <w:noWrap/>
            <w:vAlign w:val="bottom"/>
            <w:hideMark/>
          </w:tcPr>
          <w:p w14:paraId="7E93B68B"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89,661</w:t>
            </w:r>
          </w:p>
        </w:tc>
      </w:tr>
      <w:tr w:rsidR="00046C46" w:rsidRPr="00046C46" w14:paraId="0B202E53"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35640D39"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Suppliers</w:t>
            </w:r>
          </w:p>
        </w:tc>
        <w:tc>
          <w:tcPr>
            <w:tcW w:w="945" w:type="dxa"/>
            <w:tcBorders>
              <w:top w:val="nil"/>
              <w:left w:val="nil"/>
              <w:bottom w:val="nil"/>
              <w:right w:val="nil"/>
            </w:tcBorders>
            <w:shd w:val="clear" w:color="auto" w:fill="auto"/>
            <w:noWrap/>
            <w:vAlign w:val="bottom"/>
            <w:hideMark/>
          </w:tcPr>
          <w:p w14:paraId="5A5C18F9"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45,876</w:t>
            </w:r>
          </w:p>
        </w:tc>
        <w:tc>
          <w:tcPr>
            <w:tcW w:w="947" w:type="dxa"/>
            <w:tcBorders>
              <w:top w:val="nil"/>
              <w:left w:val="nil"/>
              <w:bottom w:val="nil"/>
              <w:right w:val="nil"/>
            </w:tcBorders>
            <w:shd w:val="clear" w:color="000000" w:fill="D9D9D9"/>
            <w:noWrap/>
            <w:vAlign w:val="bottom"/>
            <w:hideMark/>
          </w:tcPr>
          <w:p w14:paraId="1A36FD6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18,956</w:t>
            </w:r>
          </w:p>
        </w:tc>
        <w:tc>
          <w:tcPr>
            <w:tcW w:w="949" w:type="dxa"/>
            <w:tcBorders>
              <w:top w:val="nil"/>
              <w:left w:val="nil"/>
              <w:bottom w:val="nil"/>
              <w:right w:val="nil"/>
            </w:tcBorders>
            <w:shd w:val="clear" w:color="auto" w:fill="auto"/>
            <w:noWrap/>
            <w:vAlign w:val="bottom"/>
            <w:hideMark/>
          </w:tcPr>
          <w:p w14:paraId="4AA4E07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16,931</w:t>
            </w:r>
          </w:p>
        </w:tc>
        <w:tc>
          <w:tcPr>
            <w:tcW w:w="949" w:type="dxa"/>
            <w:tcBorders>
              <w:top w:val="nil"/>
              <w:left w:val="nil"/>
              <w:bottom w:val="nil"/>
              <w:right w:val="nil"/>
            </w:tcBorders>
            <w:shd w:val="clear" w:color="auto" w:fill="auto"/>
            <w:noWrap/>
            <w:vAlign w:val="bottom"/>
            <w:hideMark/>
          </w:tcPr>
          <w:p w14:paraId="324412F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18,825</w:t>
            </w:r>
          </w:p>
        </w:tc>
        <w:tc>
          <w:tcPr>
            <w:tcW w:w="949" w:type="dxa"/>
            <w:tcBorders>
              <w:top w:val="nil"/>
              <w:left w:val="nil"/>
              <w:bottom w:val="nil"/>
              <w:right w:val="nil"/>
            </w:tcBorders>
            <w:shd w:val="clear" w:color="auto" w:fill="auto"/>
            <w:noWrap/>
            <w:vAlign w:val="bottom"/>
            <w:hideMark/>
          </w:tcPr>
          <w:p w14:paraId="7898707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16,400</w:t>
            </w:r>
          </w:p>
        </w:tc>
      </w:tr>
      <w:tr w:rsidR="00046C46" w:rsidRPr="00046C46" w14:paraId="5E98F98B"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6C9DE191"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Interest payments on lease liability</w:t>
            </w:r>
          </w:p>
        </w:tc>
        <w:tc>
          <w:tcPr>
            <w:tcW w:w="945" w:type="dxa"/>
            <w:tcBorders>
              <w:top w:val="nil"/>
              <w:left w:val="nil"/>
              <w:bottom w:val="nil"/>
              <w:right w:val="nil"/>
            </w:tcBorders>
            <w:shd w:val="clear" w:color="auto" w:fill="auto"/>
            <w:noWrap/>
            <w:vAlign w:val="bottom"/>
            <w:hideMark/>
          </w:tcPr>
          <w:p w14:paraId="7FE3797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351</w:t>
            </w:r>
          </w:p>
        </w:tc>
        <w:tc>
          <w:tcPr>
            <w:tcW w:w="947" w:type="dxa"/>
            <w:tcBorders>
              <w:top w:val="nil"/>
              <w:left w:val="nil"/>
              <w:bottom w:val="nil"/>
              <w:right w:val="nil"/>
            </w:tcBorders>
            <w:shd w:val="clear" w:color="000000" w:fill="D9D9D9"/>
            <w:noWrap/>
            <w:vAlign w:val="bottom"/>
            <w:hideMark/>
          </w:tcPr>
          <w:p w14:paraId="54B721B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280</w:t>
            </w:r>
          </w:p>
        </w:tc>
        <w:tc>
          <w:tcPr>
            <w:tcW w:w="949" w:type="dxa"/>
            <w:tcBorders>
              <w:top w:val="nil"/>
              <w:left w:val="nil"/>
              <w:bottom w:val="nil"/>
              <w:right w:val="nil"/>
            </w:tcBorders>
            <w:shd w:val="clear" w:color="auto" w:fill="auto"/>
            <w:noWrap/>
            <w:vAlign w:val="bottom"/>
            <w:hideMark/>
          </w:tcPr>
          <w:p w14:paraId="1094795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237</w:t>
            </w:r>
          </w:p>
        </w:tc>
        <w:tc>
          <w:tcPr>
            <w:tcW w:w="949" w:type="dxa"/>
            <w:tcBorders>
              <w:top w:val="nil"/>
              <w:left w:val="nil"/>
              <w:bottom w:val="nil"/>
              <w:right w:val="nil"/>
            </w:tcBorders>
            <w:shd w:val="clear" w:color="auto" w:fill="auto"/>
            <w:noWrap/>
            <w:vAlign w:val="bottom"/>
            <w:hideMark/>
          </w:tcPr>
          <w:p w14:paraId="2AFECF2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200</w:t>
            </w:r>
          </w:p>
        </w:tc>
        <w:tc>
          <w:tcPr>
            <w:tcW w:w="949" w:type="dxa"/>
            <w:tcBorders>
              <w:top w:val="nil"/>
              <w:left w:val="nil"/>
              <w:bottom w:val="nil"/>
              <w:right w:val="nil"/>
            </w:tcBorders>
            <w:shd w:val="clear" w:color="auto" w:fill="auto"/>
            <w:noWrap/>
            <w:vAlign w:val="bottom"/>
            <w:hideMark/>
          </w:tcPr>
          <w:p w14:paraId="0C5CC90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270</w:t>
            </w:r>
          </w:p>
        </w:tc>
      </w:tr>
      <w:tr w:rsidR="00046C46" w:rsidRPr="00046C46" w14:paraId="1DFDB51E"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2DAA27D5"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Repayment of appropriation</w:t>
            </w:r>
          </w:p>
        </w:tc>
        <w:tc>
          <w:tcPr>
            <w:tcW w:w="945" w:type="dxa"/>
            <w:tcBorders>
              <w:top w:val="nil"/>
              <w:left w:val="nil"/>
              <w:bottom w:val="nil"/>
              <w:right w:val="nil"/>
            </w:tcBorders>
            <w:shd w:val="clear" w:color="auto" w:fill="auto"/>
            <w:noWrap/>
            <w:vAlign w:val="bottom"/>
            <w:hideMark/>
          </w:tcPr>
          <w:p w14:paraId="73C6E42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497</w:t>
            </w:r>
          </w:p>
        </w:tc>
        <w:tc>
          <w:tcPr>
            <w:tcW w:w="947" w:type="dxa"/>
            <w:tcBorders>
              <w:top w:val="nil"/>
              <w:left w:val="nil"/>
              <w:bottom w:val="nil"/>
              <w:right w:val="nil"/>
            </w:tcBorders>
            <w:shd w:val="clear" w:color="000000" w:fill="D9D9D9"/>
            <w:noWrap/>
            <w:vAlign w:val="bottom"/>
            <w:hideMark/>
          </w:tcPr>
          <w:p w14:paraId="302B9AD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13DFE886"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0FE81BE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5683EBE6"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r>
      <w:tr w:rsidR="00046C46" w:rsidRPr="00046C46" w14:paraId="718A5ED8"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2919FC38"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used</w:t>
            </w:r>
          </w:p>
        </w:tc>
        <w:tc>
          <w:tcPr>
            <w:tcW w:w="945" w:type="dxa"/>
            <w:tcBorders>
              <w:top w:val="nil"/>
              <w:left w:val="nil"/>
              <w:bottom w:val="single" w:sz="4" w:space="0" w:color="auto"/>
              <w:right w:val="nil"/>
            </w:tcBorders>
            <w:shd w:val="clear" w:color="auto" w:fill="auto"/>
            <w:noWrap/>
            <w:vAlign w:val="bottom"/>
            <w:hideMark/>
          </w:tcPr>
          <w:p w14:paraId="64EDAC4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107,159</w:t>
            </w:r>
          </w:p>
        </w:tc>
        <w:tc>
          <w:tcPr>
            <w:tcW w:w="947" w:type="dxa"/>
            <w:tcBorders>
              <w:top w:val="nil"/>
              <w:left w:val="nil"/>
              <w:bottom w:val="single" w:sz="4" w:space="0" w:color="auto"/>
              <w:right w:val="nil"/>
            </w:tcBorders>
            <w:shd w:val="clear" w:color="000000" w:fill="D9D9D9"/>
            <w:noWrap/>
            <w:vAlign w:val="bottom"/>
            <w:hideMark/>
          </w:tcPr>
          <w:p w14:paraId="0CF7525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105,998</w:t>
            </w:r>
          </w:p>
        </w:tc>
        <w:tc>
          <w:tcPr>
            <w:tcW w:w="949" w:type="dxa"/>
            <w:tcBorders>
              <w:top w:val="nil"/>
              <w:left w:val="nil"/>
              <w:bottom w:val="single" w:sz="4" w:space="0" w:color="auto"/>
              <w:right w:val="nil"/>
            </w:tcBorders>
            <w:shd w:val="clear" w:color="auto" w:fill="auto"/>
            <w:noWrap/>
            <w:vAlign w:val="bottom"/>
            <w:hideMark/>
          </w:tcPr>
          <w:p w14:paraId="071EF468"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104,841</w:t>
            </w:r>
          </w:p>
        </w:tc>
        <w:tc>
          <w:tcPr>
            <w:tcW w:w="949" w:type="dxa"/>
            <w:tcBorders>
              <w:top w:val="nil"/>
              <w:left w:val="nil"/>
              <w:bottom w:val="single" w:sz="4" w:space="0" w:color="auto"/>
              <w:right w:val="nil"/>
            </w:tcBorders>
            <w:shd w:val="clear" w:color="auto" w:fill="auto"/>
            <w:noWrap/>
            <w:vAlign w:val="bottom"/>
            <w:hideMark/>
          </w:tcPr>
          <w:p w14:paraId="4992E59D"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107,944</w:t>
            </w:r>
          </w:p>
        </w:tc>
        <w:tc>
          <w:tcPr>
            <w:tcW w:w="949" w:type="dxa"/>
            <w:tcBorders>
              <w:top w:val="nil"/>
              <w:left w:val="nil"/>
              <w:bottom w:val="single" w:sz="4" w:space="0" w:color="auto"/>
              <w:right w:val="nil"/>
            </w:tcBorders>
            <w:shd w:val="clear" w:color="auto" w:fill="auto"/>
            <w:noWrap/>
            <w:vAlign w:val="bottom"/>
            <w:hideMark/>
          </w:tcPr>
          <w:p w14:paraId="237F9BD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106,331</w:t>
            </w:r>
          </w:p>
        </w:tc>
      </w:tr>
      <w:tr w:rsidR="00046C46" w:rsidRPr="00046C46" w14:paraId="744A6B38" w14:textId="77777777" w:rsidTr="00BB27C2">
        <w:trPr>
          <w:trHeight w:val="425"/>
          <w:jc w:val="center"/>
        </w:trPr>
        <w:tc>
          <w:tcPr>
            <w:tcW w:w="3141" w:type="dxa"/>
            <w:tcBorders>
              <w:top w:val="nil"/>
              <w:left w:val="nil"/>
              <w:bottom w:val="nil"/>
              <w:right w:val="nil"/>
            </w:tcBorders>
            <w:shd w:val="clear" w:color="auto" w:fill="auto"/>
            <w:vAlign w:val="bottom"/>
            <w:hideMark/>
          </w:tcPr>
          <w:p w14:paraId="64657935"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Net cash from (or used by) operating activities</w:t>
            </w:r>
          </w:p>
        </w:tc>
        <w:tc>
          <w:tcPr>
            <w:tcW w:w="945" w:type="dxa"/>
            <w:tcBorders>
              <w:top w:val="nil"/>
              <w:left w:val="nil"/>
              <w:bottom w:val="single" w:sz="4" w:space="0" w:color="auto"/>
              <w:right w:val="nil"/>
            </w:tcBorders>
            <w:shd w:val="clear" w:color="auto" w:fill="auto"/>
            <w:noWrap/>
            <w:vAlign w:val="bottom"/>
            <w:hideMark/>
          </w:tcPr>
          <w:p w14:paraId="23E7C018"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19,095</w:t>
            </w:r>
          </w:p>
        </w:tc>
        <w:tc>
          <w:tcPr>
            <w:tcW w:w="947" w:type="dxa"/>
            <w:tcBorders>
              <w:top w:val="nil"/>
              <w:left w:val="nil"/>
              <w:bottom w:val="single" w:sz="4" w:space="0" w:color="auto"/>
              <w:right w:val="nil"/>
            </w:tcBorders>
            <w:shd w:val="clear" w:color="000000" w:fill="D9D9D9"/>
            <w:noWrap/>
            <w:vAlign w:val="bottom"/>
            <w:hideMark/>
          </w:tcPr>
          <w:p w14:paraId="0CC12A6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7,176</w:t>
            </w:r>
          </w:p>
        </w:tc>
        <w:tc>
          <w:tcPr>
            <w:tcW w:w="949" w:type="dxa"/>
            <w:tcBorders>
              <w:top w:val="nil"/>
              <w:left w:val="nil"/>
              <w:bottom w:val="single" w:sz="4" w:space="0" w:color="auto"/>
              <w:right w:val="nil"/>
            </w:tcBorders>
            <w:shd w:val="clear" w:color="auto" w:fill="auto"/>
            <w:noWrap/>
            <w:vAlign w:val="bottom"/>
            <w:hideMark/>
          </w:tcPr>
          <w:p w14:paraId="698417B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8,713</w:t>
            </w:r>
          </w:p>
        </w:tc>
        <w:tc>
          <w:tcPr>
            <w:tcW w:w="949" w:type="dxa"/>
            <w:tcBorders>
              <w:top w:val="nil"/>
              <w:left w:val="nil"/>
              <w:bottom w:val="single" w:sz="4" w:space="0" w:color="auto"/>
              <w:right w:val="nil"/>
            </w:tcBorders>
            <w:shd w:val="clear" w:color="auto" w:fill="auto"/>
            <w:noWrap/>
            <w:vAlign w:val="bottom"/>
            <w:hideMark/>
          </w:tcPr>
          <w:p w14:paraId="0B8EBC13"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5,756</w:t>
            </w:r>
          </w:p>
        </w:tc>
        <w:tc>
          <w:tcPr>
            <w:tcW w:w="949" w:type="dxa"/>
            <w:tcBorders>
              <w:top w:val="nil"/>
              <w:left w:val="nil"/>
              <w:bottom w:val="single" w:sz="4" w:space="0" w:color="auto"/>
              <w:right w:val="nil"/>
            </w:tcBorders>
            <w:shd w:val="clear" w:color="auto" w:fill="auto"/>
            <w:noWrap/>
            <w:vAlign w:val="bottom"/>
            <w:hideMark/>
          </w:tcPr>
          <w:p w14:paraId="7DD1CA4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7,840</w:t>
            </w:r>
          </w:p>
        </w:tc>
      </w:tr>
      <w:tr w:rsidR="00046C46" w:rsidRPr="00046C46" w14:paraId="70A5B2A6" w14:textId="77777777" w:rsidTr="00BB27C2">
        <w:trPr>
          <w:trHeight w:val="283"/>
          <w:jc w:val="center"/>
        </w:trPr>
        <w:tc>
          <w:tcPr>
            <w:tcW w:w="3141" w:type="dxa"/>
            <w:tcBorders>
              <w:top w:val="nil"/>
              <w:left w:val="nil"/>
              <w:bottom w:val="nil"/>
              <w:right w:val="nil"/>
            </w:tcBorders>
            <w:shd w:val="clear" w:color="auto" w:fill="auto"/>
            <w:noWrap/>
            <w:vAlign w:val="bottom"/>
            <w:hideMark/>
          </w:tcPr>
          <w:p w14:paraId="66004ABD"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INVESTING ACTIVITIES</w:t>
            </w:r>
          </w:p>
        </w:tc>
        <w:tc>
          <w:tcPr>
            <w:tcW w:w="945" w:type="dxa"/>
            <w:tcBorders>
              <w:top w:val="nil"/>
              <w:left w:val="nil"/>
              <w:bottom w:val="nil"/>
              <w:right w:val="nil"/>
            </w:tcBorders>
            <w:shd w:val="clear" w:color="auto" w:fill="auto"/>
            <w:noWrap/>
            <w:vAlign w:val="bottom"/>
            <w:hideMark/>
          </w:tcPr>
          <w:p w14:paraId="34401731" w14:textId="77777777" w:rsidR="00046C46" w:rsidRPr="00046C46" w:rsidRDefault="00046C46" w:rsidP="00046C46">
            <w:pPr>
              <w:spacing w:before="0" w:after="0" w:line="240" w:lineRule="auto"/>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19C6872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703C6AB0"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58D5DB9F"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1F573C01"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6A594FD7"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1FC384AA"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received</w:t>
            </w:r>
          </w:p>
        </w:tc>
        <w:tc>
          <w:tcPr>
            <w:tcW w:w="945" w:type="dxa"/>
            <w:tcBorders>
              <w:top w:val="nil"/>
              <w:left w:val="nil"/>
              <w:bottom w:val="nil"/>
              <w:right w:val="nil"/>
            </w:tcBorders>
            <w:shd w:val="clear" w:color="auto" w:fill="auto"/>
            <w:noWrap/>
            <w:vAlign w:val="bottom"/>
            <w:hideMark/>
          </w:tcPr>
          <w:p w14:paraId="2AC53910"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6B2AE35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67607A36"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7B3D6253"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7CF1FBE4"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769C6D31" w14:textId="77777777" w:rsidTr="00046C46">
        <w:trPr>
          <w:trHeight w:val="225"/>
          <w:jc w:val="center"/>
        </w:trPr>
        <w:tc>
          <w:tcPr>
            <w:tcW w:w="3141" w:type="dxa"/>
            <w:tcBorders>
              <w:top w:val="nil"/>
              <w:left w:val="nil"/>
              <w:bottom w:val="nil"/>
              <w:right w:val="nil"/>
            </w:tcBorders>
            <w:shd w:val="clear" w:color="auto" w:fill="auto"/>
            <w:vAlign w:val="bottom"/>
            <w:hideMark/>
          </w:tcPr>
          <w:p w14:paraId="7F58C83D"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Investments</w:t>
            </w:r>
          </w:p>
        </w:tc>
        <w:tc>
          <w:tcPr>
            <w:tcW w:w="945" w:type="dxa"/>
            <w:tcBorders>
              <w:top w:val="nil"/>
              <w:left w:val="nil"/>
              <w:bottom w:val="nil"/>
              <w:right w:val="nil"/>
            </w:tcBorders>
            <w:shd w:val="clear" w:color="auto" w:fill="auto"/>
            <w:noWrap/>
            <w:vAlign w:val="bottom"/>
            <w:hideMark/>
          </w:tcPr>
          <w:p w14:paraId="0C06C3E6"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7" w:type="dxa"/>
            <w:tcBorders>
              <w:top w:val="nil"/>
              <w:left w:val="nil"/>
              <w:bottom w:val="nil"/>
              <w:right w:val="nil"/>
            </w:tcBorders>
            <w:shd w:val="clear" w:color="000000" w:fill="D9D9D9"/>
            <w:noWrap/>
            <w:vAlign w:val="bottom"/>
            <w:hideMark/>
          </w:tcPr>
          <w:p w14:paraId="7A960C3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695FACF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167C4E7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39D9E11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r>
      <w:tr w:rsidR="00046C46" w:rsidRPr="00046C46" w14:paraId="1E726C80"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6A15E217"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used</w:t>
            </w:r>
          </w:p>
        </w:tc>
        <w:tc>
          <w:tcPr>
            <w:tcW w:w="945" w:type="dxa"/>
            <w:tcBorders>
              <w:top w:val="nil"/>
              <w:left w:val="nil"/>
              <w:bottom w:val="single" w:sz="4" w:space="0" w:color="auto"/>
              <w:right w:val="nil"/>
            </w:tcBorders>
            <w:shd w:val="clear" w:color="auto" w:fill="auto"/>
            <w:noWrap/>
            <w:vAlign w:val="bottom"/>
            <w:hideMark/>
          </w:tcPr>
          <w:p w14:paraId="648F7EC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7" w:type="dxa"/>
            <w:tcBorders>
              <w:top w:val="nil"/>
              <w:left w:val="nil"/>
              <w:bottom w:val="single" w:sz="4" w:space="0" w:color="auto"/>
              <w:right w:val="nil"/>
            </w:tcBorders>
            <w:shd w:val="clear" w:color="000000" w:fill="D9D9D9"/>
            <w:noWrap/>
            <w:vAlign w:val="bottom"/>
            <w:hideMark/>
          </w:tcPr>
          <w:p w14:paraId="6FFF336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2C64604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21CE0D2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78DBAC6B"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r>
      <w:tr w:rsidR="00046C46" w:rsidRPr="00046C46" w14:paraId="13E52658" w14:textId="77777777" w:rsidTr="00BB27C2">
        <w:trPr>
          <w:trHeight w:val="283"/>
          <w:jc w:val="center"/>
        </w:trPr>
        <w:tc>
          <w:tcPr>
            <w:tcW w:w="3141" w:type="dxa"/>
            <w:tcBorders>
              <w:top w:val="nil"/>
              <w:left w:val="nil"/>
              <w:bottom w:val="nil"/>
              <w:right w:val="nil"/>
            </w:tcBorders>
            <w:shd w:val="clear" w:color="auto" w:fill="auto"/>
            <w:noWrap/>
            <w:vAlign w:val="bottom"/>
            <w:hideMark/>
          </w:tcPr>
          <w:p w14:paraId="26B92612"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used</w:t>
            </w:r>
          </w:p>
        </w:tc>
        <w:tc>
          <w:tcPr>
            <w:tcW w:w="945" w:type="dxa"/>
            <w:tcBorders>
              <w:top w:val="nil"/>
              <w:left w:val="nil"/>
              <w:bottom w:val="nil"/>
              <w:right w:val="nil"/>
            </w:tcBorders>
            <w:shd w:val="clear" w:color="auto" w:fill="auto"/>
            <w:noWrap/>
            <w:vAlign w:val="bottom"/>
            <w:hideMark/>
          </w:tcPr>
          <w:p w14:paraId="27F64387"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2D89545B"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0875F763"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30A039A7"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0DD08759"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5E938ACD" w14:textId="77777777" w:rsidTr="00046C46">
        <w:trPr>
          <w:trHeight w:val="225"/>
          <w:jc w:val="center"/>
        </w:trPr>
        <w:tc>
          <w:tcPr>
            <w:tcW w:w="3141" w:type="dxa"/>
            <w:tcBorders>
              <w:top w:val="nil"/>
              <w:left w:val="nil"/>
              <w:bottom w:val="nil"/>
              <w:right w:val="nil"/>
            </w:tcBorders>
            <w:shd w:val="clear" w:color="auto" w:fill="auto"/>
            <w:vAlign w:val="bottom"/>
            <w:hideMark/>
          </w:tcPr>
          <w:p w14:paraId="58FCBC9C"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Investments</w:t>
            </w:r>
          </w:p>
        </w:tc>
        <w:tc>
          <w:tcPr>
            <w:tcW w:w="945" w:type="dxa"/>
            <w:tcBorders>
              <w:top w:val="nil"/>
              <w:left w:val="nil"/>
              <w:bottom w:val="nil"/>
              <w:right w:val="nil"/>
            </w:tcBorders>
            <w:shd w:val="clear" w:color="auto" w:fill="auto"/>
            <w:noWrap/>
            <w:vAlign w:val="bottom"/>
            <w:hideMark/>
          </w:tcPr>
          <w:p w14:paraId="72DC80D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7" w:type="dxa"/>
            <w:tcBorders>
              <w:top w:val="nil"/>
              <w:left w:val="nil"/>
              <w:bottom w:val="nil"/>
              <w:right w:val="nil"/>
            </w:tcBorders>
            <w:shd w:val="clear" w:color="000000" w:fill="D9D9D9"/>
            <w:noWrap/>
            <w:vAlign w:val="bottom"/>
            <w:hideMark/>
          </w:tcPr>
          <w:p w14:paraId="1046AB1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021E713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64E9247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5F29B86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r>
      <w:tr w:rsidR="00046C46" w:rsidRPr="00046C46" w14:paraId="426BA7F8" w14:textId="77777777" w:rsidTr="00BB27C2">
        <w:trPr>
          <w:trHeight w:val="425"/>
          <w:jc w:val="center"/>
        </w:trPr>
        <w:tc>
          <w:tcPr>
            <w:tcW w:w="3141" w:type="dxa"/>
            <w:tcBorders>
              <w:top w:val="nil"/>
              <w:left w:val="nil"/>
              <w:bottom w:val="nil"/>
              <w:right w:val="nil"/>
            </w:tcBorders>
            <w:shd w:val="clear" w:color="auto" w:fill="auto"/>
            <w:vAlign w:val="bottom"/>
            <w:hideMark/>
          </w:tcPr>
          <w:p w14:paraId="5D40B655" w14:textId="77777777" w:rsidR="00046C46" w:rsidRPr="00046C46" w:rsidRDefault="00046C46" w:rsidP="00046C46">
            <w:pPr>
              <w:spacing w:before="0" w:after="0" w:line="240" w:lineRule="auto"/>
              <w:ind w:leftChars="150" w:left="285"/>
              <w:rPr>
                <w:rFonts w:ascii="Arial" w:hAnsi="Arial" w:cs="Arial"/>
                <w:color w:val="000000"/>
                <w:sz w:val="16"/>
                <w:szCs w:val="16"/>
              </w:rPr>
            </w:pPr>
            <w:r w:rsidRPr="00046C46">
              <w:rPr>
                <w:rFonts w:ascii="Arial" w:hAnsi="Arial" w:cs="Arial"/>
                <w:color w:val="000000"/>
                <w:sz w:val="16"/>
                <w:szCs w:val="16"/>
              </w:rPr>
              <w:t>Purchase of property, plant and equipment and intangibles</w:t>
            </w:r>
          </w:p>
        </w:tc>
        <w:tc>
          <w:tcPr>
            <w:tcW w:w="945" w:type="dxa"/>
            <w:tcBorders>
              <w:top w:val="nil"/>
              <w:left w:val="nil"/>
              <w:bottom w:val="nil"/>
              <w:right w:val="nil"/>
            </w:tcBorders>
            <w:shd w:val="clear" w:color="auto" w:fill="auto"/>
            <w:noWrap/>
            <w:vAlign w:val="bottom"/>
            <w:hideMark/>
          </w:tcPr>
          <w:p w14:paraId="169FCF3F"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524</w:t>
            </w:r>
          </w:p>
        </w:tc>
        <w:tc>
          <w:tcPr>
            <w:tcW w:w="947" w:type="dxa"/>
            <w:tcBorders>
              <w:top w:val="nil"/>
              <w:left w:val="nil"/>
              <w:bottom w:val="nil"/>
              <w:right w:val="nil"/>
            </w:tcBorders>
            <w:shd w:val="clear" w:color="000000" w:fill="D9D9D9"/>
            <w:noWrap/>
            <w:vAlign w:val="bottom"/>
            <w:hideMark/>
          </w:tcPr>
          <w:p w14:paraId="0BDE5AB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1,945</w:t>
            </w:r>
          </w:p>
        </w:tc>
        <w:tc>
          <w:tcPr>
            <w:tcW w:w="949" w:type="dxa"/>
            <w:tcBorders>
              <w:top w:val="nil"/>
              <w:left w:val="nil"/>
              <w:bottom w:val="nil"/>
              <w:right w:val="nil"/>
            </w:tcBorders>
            <w:shd w:val="clear" w:color="auto" w:fill="auto"/>
            <w:noWrap/>
            <w:vAlign w:val="bottom"/>
            <w:hideMark/>
          </w:tcPr>
          <w:p w14:paraId="6C4BB6A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2,445</w:t>
            </w:r>
          </w:p>
        </w:tc>
        <w:tc>
          <w:tcPr>
            <w:tcW w:w="949" w:type="dxa"/>
            <w:tcBorders>
              <w:top w:val="nil"/>
              <w:left w:val="nil"/>
              <w:bottom w:val="nil"/>
              <w:right w:val="nil"/>
            </w:tcBorders>
            <w:shd w:val="clear" w:color="auto" w:fill="auto"/>
            <w:noWrap/>
            <w:vAlign w:val="bottom"/>
            <w:hideMark/>
          </w:tcPr>
          <w:p w14:paraId="2FAA6AF9"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945</w:t>
            </w:r>
          </w:p>
        </w:tc>
        <w:tc>
          <w:tcPr>
            <w:tcW w:w="949" w:type="dxa"/>
            <w:tcBorders>
              <w:top w:val="nil"/>
              <w:left w:val="nil"/>
              <w:bottom w:val="nil"/>
              <w:right w:val="nil"/>
            </w:tcBorders>
            <w:shd w:val="clear" w:color="auto" w:fill="auto"/>
            <w:noWrap/>
            <w:vAlign w:val="bottom"/>
            <w:hideMark/>
          </w:tcPr>
          <w:p w14:paraId="37D6B1B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2,000</w:t>
            </w:r>
          </w:p>
        </w:tc>
      </w:tr>
      <w:tr w:rsidR="00046C46" w:rsidRPr="00046C46" w14:paraId="21FCC18A"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3717B8AD"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used</w:t>
            </w:r>
          </w:p>
        </w:tc>
        <w:tc>
          <w:tcPr>
            <w:tcW w:w="945" w:type="dxa"/>
            <w:tcBorders>
              <w:top w:val="nil"/>
              <w:left w:val="nil"/>
              <w:bottom w:val="single" w:sz="4" w:space="0" w:color="auto"/>
              <w:right w:val="nil"/>
            </w:tcBorders>
            <w:shd w:val="clear" w:color="auto" w:fill="auto"/>
            <w:noWrap/>
            <w:vAlign w:val="bottom"/>
            <w:hideMark/>
          </w:tcPr>
          <w:p w14:paraId="241487B0"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524</w:t>
            </w:r>
          </w:p>
        </w:tc>
        <w:tc>
          <w:tcPr>
            <w:tcW w:w="947" w:type="dxa"/>
            <w:tcBorders>
              <w:top w:val="nil"/>
              <w:left w:val="nil"/>
              <w:bottom w:val="single" w:sz="4" w:space="0" w:color="auto"/>
              <w:right w:val="nil"/>
            </w:tcBorders>
            <w:shd w:val="clear" w:color="000000" w:fill="D9D9D9"/>
            <w:noWrap/>
            <w:vAlign w:val="bottom"/>
            <w:hideMark/>
          </w:tcPr>
          <w:p w14:paraId="42A61F50"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1,945</w:t>
            </w:r>
          </w:p>
        </w:tc>
        <w:tc>
          <w:tcPr>
            <w:tcW w:w="949" w:type="dxa"/>
            <w:tcBorders>
              <w:top w:val="nil"/>
              <w:left w:val="nil"/>
              <w:bottom w:val="single" w:sz="4" w:space="0" w:color="auto"/>
              <w:right w:val="nil"/>
            </w:tcBorders>
            <w:shd w:val="clear" w:color="auto" w:fill="auto"/>
            <w:noWrap/>
            <w:vAlign w:val="bottom"/>
            <w:hideMark/>
          </w:tcPr>
          <w:p w14:paraId="7A0C18A0"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2,445</w:t>
            </w:r>
          </w:p>
        </w:tc>
        <w:tc>
          <w:tcPr>
            <w:tcW w:w="949" w:type="dxa"/>
            <w:tcBorders>
              <w:top w:val="nil"/>
              <w:left w:val="nil"/>
              <w:bottom w:val="single" w:sz="4" w:space="0" w:color="auto"/>
              <w:right w:val="nil"/>
            </w:tcBorders>
            <w:shd w:val="clear" w:color="auto" w:fill="auto"/>
            <w:noWrap/>
            <w:vAlign w:val="bottom"/>
            <w:hideMark/>
          </w:tcPr>
          <w:p w14:paraId="3D19A6C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945</w:t>
            </w:r>
          </w:p>
        </w:tc>
        <w:tc>
          <w:tcPr>
            <w:tcW w:w="949" w:type="dxa"/>
            <w:tcBorders>
              <w:top w:val="nil"/>
              <w:left w:val="nil"/>
              <w:bottom w:val="single" w:sz="4" w:space="0" w:color="auto"/>
              <w:right w:val="nil"/>
            </w:tcBorders>
            <w:shd w:val="clear" w:color="auto" w:fill="auto"/>
            <w:noWrap/>
            <w:vAlign w:val="bottom"/>
            <w:hideMark/>
          </w:tcPr>
          <w:p w14:paraId="1C20662E"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2,000</w:t>
            </w:r>
          </w:p>
        </w:tc>
      </w:tr>
      <w:tr w:rsidR="00046C46" w:rsidRPr="00046C46" w14:paraId="758DDB03" w14:textId="77777777" w:rsidTr="00BB27C2">
        <w:trPr>
          <w:trHeight w:val="425"/>
          <w:jc w:val="center"/>
        </w:trPr>
        <w:tc>
          <w:tcPr>
            <w:tcW w:w="3141" w:type="dxa"/>
            <w:tcBorders>
              <w:top w:val="nil"/>
              <w:left w:val="nil"/>
              <w:bottom w:val="nil"/>
              <w:right w:val="nil"/>
            </w:tcBorders>
            <w:shd w:val="clear" w:color="auto" w:fill="auto"/>
            <w:vAlign w:val="bottom"/>
            <w:hideMark/>
          </w:tcPr>
          <w:p w14:paraId="789981E7"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 xml:space="preserve">Net cash from (or used </w:t>
            </w:r>
            <w:proofErr w:type="gramStart"/>
            <w:r w:rsidRPr="00046C46">
              <w:rPr>
                <w:rFonts w:ascii="Arial" w:hAnsi="Arial" w:cs="Arial"/>
                <w:b/>
                <w:bCs/>
                <w:color w:val="000000"/>
                <w:sz w:val="16"/>
                <w:szCs w:val="16"/>
              </w:rPr>
              <w:t>by)  investing</w:t>
            </w:r>
            <w:proofErr w:type="gramEnd"/>
            <w:r w:rsidRPr="00046C46">
              <w:rPr>
                <w:rFonts w:ascii="Arial" w:hAnsi="Arial" w:cs="Arial"/>
                <w:b/>
                <w:bCs/>
                <w:color w:val="000000"/>
                <w:sz w:val="16"/>
                <w:szCs w:val="16"/>
              </w:rPr>
              <w:t xml:space="preserve"> activities</w:t>
            </w:r>
          </w:p>
        </w:tc>
        <w:tc>
          <w:tcPr>
            <w:tcW w:w="945" w:type="dxa"/>
            <w:tcBorders>
              <w:top w:val="nil"/>
              <w:left w:val="nil"/>
              <w:bottom w:val="single" w:sz="4" w:space="0" w:color="auto"/>
              <w:right w:val="nil"/>
            </w:tcBorders>
            <w:shd w:val="clear" w:color="auto" w:fill="auto"/>
            <w:noWrap/>
            <w:vAlign w:val="bottom"/>
            <w:hideMark/>
          </w:tcPr>
          <w:p w14:paraId="341972A8"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(524)</w:t>
            </w:r>
          </w:p>
        </w:tc>
        <w:tc>
          <w:tcPr>
            <w:tcW w:w="947" w:type="dxa"/>
            <w:tcBorders>
              <w:top w:val="nil"/>
              <w:left w:val="nil"/>
              <w:bottom w:val="single" w:sz="4" w:space="0" w:color="auto"/>
              <w:right w:val="nil"/>
            </w:tcBorders>
            <w:shd w:val="clear" w:color="000000" w:fill="D9D9D9"/>
            <w:noWrap/>
            <w:vAlign w:val="bottom"/>
            <w:hideMark/>
          </w:tcPr>
          <w:p w14:paraId="4F5054B2"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(1,945)</w:t>
            </w:r>
          </w:p>
        </w:tc>
        <w:tc>
          <w:tcPr>
            <w:tcW w:w="949" w:type="dxa"/>
            <w:tcBorders>
              <w:top w:val="nil"/>
              <w:left w:val="nil"/>
              <w:bottom w:val="single" w:sz="4" w:space="0" w:color="auto"/>
              <w:right w:val="nil"/>
            </w:tcBorders>
            <w:shd w:val="clear" w:color="auto" w:fill="auto"/>
            <w:noWrap/>
            <w:vAlign w:val="bottom"/>
            <w:hideMark/>
          </w:tcPr>
          <w:p w14:paraId="57CE1D4F"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(2,445)</w:t>
            </w:r>
          </w:p>
        </w:tc>
        <w:tc>
          <w:tcPr>
            <w:tcW w:w="949" w:type="dxa"/>
            <w:tcBorders>
              <w:top w:val="nil"/>
              <w:left w:val="nil"/>
              <w:bottom w:val="single" w:sz="4" w:space="0" w:color="auto"/>
              <w:right w:val="nil"/>
            </w:tcBorders>
            <w:shd w:val="clear" w:color="auto" w:fill="auto"/>
            <w:noWrap/>
            <w:vAlign w:val="bottom"/>
            <w:hideMark/>
          </w:tcPr>
          <w:p w14:paraId="19474814"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(945)</w:t>
            </w:r>
          </w:p>
        </w:tc>
        <w:tc>
          <w:tcPr>
            <w:tcW w:w="949" w:type="dxa"/>
            <w:tcBorders>
              <w:top w:val="nil"/>
              <w:left w:val="nil"/>
              <w:bottom w:val="single" w:sz="4" w:space="0" w:color="auto"/>
              <w:right w:val="nil"/>
            </w:tcBorders>
            <w:shd w:val="clear" w:color="auto" w:fill="auto"/>
            <w:noWrap/>
            <w:vAlign w:val="bottom"/>
            <w:hideMark/>
          </w:tcPr>
          <w:p w14:paraId="5EA4DBB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(2,000)</w:t>
            </w:r>
          </w:p>
        </w:tc>
      </w:tr>
      <w:tr w:rsidR="00046C46" w:rsidRPr="00046C46" w14:paraId="67DAE29A" w14:textId="77777777" w:rsidTr="00BB27C2">
        <w:trPr>
          <w:trHeight w:val="283"/>
          <w:jc w:val="center"/>
        </w:trPr>
        <w:tc>
          <w:tcPr>
            <w:tcW w:w="3141" w:type="dxa"/>
            <w:tcBorders>
              <w:top w:val="nil"/>
              <w:left w:val="nil"/>
              <w:bottom w:val="nil"/>
              <w:right w:val="nil"/>
            </w:tcBorders>
            <w:shd w:val="clear" w:color="auto" w:fill="auto"/>
            <w:noWrap/>
            <w:vAlign w:val="bottom"/>
            <w:hideMark/>
          </w:tcPr>
          <w:p w14:paraId="5E17F2A1"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FINANCING ACTIVITIES</w:t>
            </w:r>
          </w:p>
        </w:tc>
        <w:tc>
          <w:tcPr>
            <w:tcW w:w="945" w:type="dxa"/>
            <w:tcBorders>
              <w:top w:val="nil"/>
              <w:left w:val="nil"/>
              <w:bottom w:val="nil"/>
              <w:right w:val="nil"/>
            </w:tcBorders>
            <w:shd w:val="clear" w:color="auto" w:fill="auto"/>
            <w:noWrap/>
            <w:vAlign w:val="bottom"/>
            <w:hideMark/>
          </w:tcPr>
          <w:p w14:paraId="57C40419" w14:textId="77777777" w:rsidR="00046C46" w:rsidRPr="00046C46" w:rsidRDefault="00046C46" w:rsidP="00046C46">
            <w:pPr>
              <w:spacing w:before="0" w:after="0" w:line="240" w:lineRule="auto"/>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15DE055B"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01803879"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2F032737"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270437BC"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09807192"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53341216"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received</w:t>
            </w:r>
          </w:p>
        </w:tc>
        <w:tc>
          <w:tcPr>
            <w:tcW w:w="945" w:type="dxa"/>
            <w:tcBorders>
              <w:top w:val="nil"/>
              <w:left w:val="nil"/>
              <w:bottom w:val="nil"/>
              <w:right w:val="nil"/>
            </w:tcBorders>
            <w:shd w:val="clear" w:color="auto" w:fill="auto"/>
            <w:noWrap/>
            <w:vAlign w:val="bottom"/>
            <w:hideMark/>
          </w:tcPr>
          <w:p w14:paraId="0FA6B9F3"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0A385E98"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2F91B35A"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039A5E23"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541A2168"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6388BC5F" w14:textId="77777777" w:rsidTr="00046C46">
        <w:trPr>
          <w:trHeight w:val="225"/>
          <w:jc w:val="center"/>
        </w:trPr>
        <w:tc>
          <w:tcPr>
            <w:tcW w:w="3141" w:type="dxa"/>
            <w:tcBorders>
              <w:top w:val="nil"/>
              <w:left w:val="nil"/>
              <w:bottom w:val="nil"/>
              <w:right w:val="nil"/>
            </w:tcBorders>
            <w:shd w:val="clear" w:color="000000" w:fill="FFFFFF"/>
            <w:noWrap/>
            <w:vAlign w:val="bottom"/>
            <w:hideMark/>
          </w:tcPr>
          <w:p w14:paraId="1F9198E6" w14:textId="77777777" w:rsidR="00046C46" w:rsidRPr="00046C46" w:rsidRDefault="00046C46" w:rsidP="00046C46">
            <w:pPr>
              <w:spacing w:before="0" w:after="0" w:line="240" w:lineRule="auto"/>
              <w:ind w:leftChars="150" w:left="285"/>
              <w:rPr>
                <w:rFonts w:ascii="Arial" w:hAnsi="Arial" w:cs="Arial"/>
                <w:sz w:val="16"/>
                <w:szCs w:val="16"/>
              </w:rPr>
            </w:pPr>
            <w:r w:rsidRPr="00046C46">
              <w:rPr>
                <w:rFonts w:ascii="Arial" w:hAnsi="Arial" w:cs="Arial"/>
                <w:sz w:val="16"/>
                <w:szCs w:val="16"/>
              </w:rPr>
              <w:t>Contributed equity</w:t>
            </w:r>
          </w:p>
        </w:tc>
        <w:tc>
          <w:tcPr>
            <w:tcW w:w="945" w:type="dxa"/>
            <w:tcBorders>
              <w:top w:val="nil"/>
              <w:left w:val="nil"/>
              <w:bottom w:val="nil"/>
              <w:right w:val="nil"/>
            </w:tcBorders>
            <w:shd w:val="clear" w:color="auto" w:fill="auto"/>
            <w:noWrap/>
            <w:vAlign w:val="bottom"/>
            <w:hideMark/>
          </w:tcPr>
          <w:p w14:paraId="2FA3858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7" w:type="dxa"/>
            <w:tcBorders>
              <w:top w:val="nil"/>
              <w:left w:val="nil"/>
              <w:bottom w:val="nil"/>
              <w:right w:val="nil"/>
            </w:tcBorders>
            <w:shd w:val="clear" w:color="000000" w:fill="D9D9D9"/>
            <w:noWrap/>
            <w:vAlign w:val="bottom"/>
            <w:hideMark/>
          </w:tcPr>
          <w:p w14:paraId="2F45401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0EB87BD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5674880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4F935DF7"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r>
      <w:tr w:rsidR="00046C46" w:rsidRPr="00046C46" w14:paraId="09EB49F1"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0FAF7B15"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received</w:t>
            </w:r>
          </w:p>
        </w:tc>
        <w:tc>
          <w:tcPr>
            <w:tcW w:w="945" w:type="dxa"/>
            <w:tcBorders>
              <w:top w:val="nil"/>
              <w:left w:val="nil"/>
              <w:bottom w:val="single" w:sz="4" w:space="0" w:color="auto"/>
              <w:right w:val="nil"/>
            </w:tcBorders>
            <w:shd w:val="clear" w:color="auto" w:fill="auto"/>
            <w:noWrap/>
            <w:vAlign w:val="bottom"/>
            <w:hideMark/>
          </w:tcPr>
          <w:p w14:paraId="5A117DB0"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7" w:type="dxa"/>
            <w:tcBorders>
              <w:top w:val="nil"/>
              <w:left w:val="nil"/>
              <w:bottom w:val="single" w:sz="4" w:space="0" w:color="auto"/>
              <w:right w:val="nil"/>
            </w:tcBorders>
            <w:shd w:val="clear" w:color="000000" w:fill="D9D9D9"/>
            <w:noWrap/>
            <w:vAlign w:val="bottom"/>
            <w:hideMark/>
          </w:tcPr>
          <w:p w14:paraId="6C0FB774"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31FDDA4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72AB701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35F81931"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r>
      <w:tr w:rsidR="00046C46" w:rsidRPr="00046C46" w14:paraId="41BB4D8D" w14:textId="77777777" w:rsidTr="00BB27C2">
        <w:trPr>
          <w:trHeight w:val="283"/>
          <w:jc w:val="center"/>
        </w:trPr>
        <w:tc>
          <w:tcPr>
            <w:tcW w:w="3141" w:type="dxa"/>
            <w:tcBorders>
              <w:top w:val="nil"/>
              <w:left w:val="nil"/>
              <w:bottom w:val="nil"/>
              <w:right w:val="nil"/>
            </w:tcBorders>
            <w:shd w:val="clear" w:color="auto" w:fill="auto"/>
            <w:noWrap/>
            <w:vAlign w:val="bottom"/>
            <w:hideMark/>
          </w:tcPr>
          <w:p w14:paraId="22804D90"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Cash used</w:t>
            </w:r>
          </w:p>
        </w:tc>
        <w:tc>
          <w:tcPr>
            <w:tcW w:w="945" w:type="dxa"/>
            <w:tcBorders>
              <w:top w:val="nil"/>
              <w:left w:val="nil"/>
              <w:bottom w:val="nil"/>
              <w:right w:val="nil"/>
            </w:tcBorders>
            <w:shd w:val="clear" w:color="auto" w:fill="auto"/>
            <w:noWrap/>
            <w:vAlign w:val="bottom"/>
            <w:hideMark/>
          </w:tcPr>
          <w:p w14:paraId="2F2C4AD4" w14:textId="77777777" w:rsidR="00046C46" w:rsidRPr="00046C46" w:rsidRDefault="00046C46" w:rsidP="00046C46">
            <w:pPr>
              <w:spacing w:before="0" w:after="0" w:line="240" w:lineRule="auto"/>
              <w:ind w:firstLineChars="100" w:firstLine="161"/>
              <w:rPr>
                <w:rFonts w:ascii="Arial" w:hAnsi="Arial" w:cs="Arial"/>
                <w:b/>
                <w:bCs/>
                <w:color w:val="000000"/>
                <w:sz w:val="16"/>
                <w:szCs w:val="16"/>
              </w:rPr>
            </w:pPr>
          </w:p>
        </w:tc>
        <w:tc>
          <w:tcPr>
            <w:tcW w:w="947" w:type="dxa"/>
            <w:tcBorders>
              <w:top w:val="nil"/>
              <w:left w:val="nil"/>
              <w:bottom w:val="nil"/>
              <w:right w:val="nil"/>
            </w:tcBorders>
            <w:shd w:val="clear" w:color="000000" w:fill="D9D9D9"/>
            <w:noWrap/>
            <w:vAlign w:val="bottom"/>
            <w:hideMark/>
          </w:tcPr>
          <w:p w14:paraId="513F85B9"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0CF9FAD4" w14:textId="77777777" w:rsidR="00046C46" w:rsidRPr="00046C46" w:rsidRDefault="00046C46" w:rsidP="00046C46">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6D184AB7" w14:textId="77777777" w:rsidR="00046C46" w:rsidRPr="00046C46" w:rsidRDefault="00046C46" w:rsidP="00046C46">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57F7350E"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35C2968D" w14:textId="77777777" w:rsidTr="00046C46">
        <w:trPr>
          <w:trHeight w:val="225"/>
          <w:jc w:val="center"/>
        </w:trPr>
        <w:tc>
          <w:tcPr>
            <w:tcW w:w="3141" w:type="dxa"/>
            <w:tcBorders>
              <w:top w:val="nil"/>
              <w:left w:val="nil"/>
              <w:bottom w:val="nil"/>
              <w:right w:val="nil"/>
            </w:tcBorders>
            <w:shd w:val="clear" w:color="000000" w:fill="FFFFFF"/>
            <w:noWrap/>
            <w:vAlign w:val="bottom"/>
            <w:hideMark/>
          </w:tcPr>
          <w:p w14:paraId="499AF08A" w14:textId="77777777" w:rsidR="00046C46" w:rsidRPr="00046C46" w:rsidRDefault="00046C46" w:rsidP="00046C46">
            <w:pPr>
              <w:spacing w:before="0" w:after="0" w:line="240" w:lineRule="auto"/>
              <w:ind w:leftChars="150" w:left="285"/>
              <w:rPr>
                <w:rFonts w:ascii="Arial" w:hAnsi="Arial" w:cs="Arial"/>
                <w:sz w:val="16"/>
                <w:szCs w:val="16"/>
              </w:rPr>
            </w:pPr>
            <w:r w:rsidRPr="00046C46">
              <w:rPr>
                <w:rFonts w:ascii="Arial" w:hAnsi="Arial" w:cs="Arial"/>
                <w:sz w:val="16"/>
                <w:szCs w:val="16"/>
              </w:rPr>
              <w:t>Lease principal repayments</w:t>
            </w:r>
          </w:p>
        </w:tc>
        <w:tc>
          <w:tcPr>
            <w:tcW w:w="945" w:type="dxa"/>
            <w:tcBorders>
              <w:top w:val="nil"/>
              <w:left w:val="nil"/>
              <w:bottom w:val="nil"/>
              <w:right w:val="nil"/>
            </w:tcBorders>
            <w:shd w:val="clear" w:color="auto" w:fill="auto"/>
            <w:noWrap/>
            <w:vAlign w:val="bottom"/>
            <w:hideMark/>
          </w:tcPr>
          <w:p w14:paraId="580AC19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4,940</w:t>
            </w:r>
          </w:p>
        </w:tc>
        <w:tc>
          <w:tcPr>
            <w:tcW w:w="947" w:type="dxa"/>
            <w:tcBorders>
              <w:top w:val="nil"/>
              <w:left w:val="nil"/>
              <w:bottom w:val="nil"/>
              <w:right w:val="nil"/>
            </w:tcBorders>
            <w:shd w:val="clear" w:color="000000" w:fill="D9D9D9"/>
            <w:noWrap/>
            <w:vAlign w:val="bottom"/>
            <w:hideMark/>
          </w:tcPr>
          <w:p w14:paraId="2FB08C94"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5,138</w:t>
            </w:r>
          </w:p>
        </w:tc>
        <w:tc>
          <w:tcPr>
            <w:tcW w:w="949" w:type="dxa"/>
            <w:tcBorders>
              <w:top w:val="nil"/>
              <w:left w:val="nil"/>
              <w:bottom w:val="nil"/>
              <w:right w:val="nil"/>
            </w:tcBorders>
            <w:shd w:val="clear" w:color="auto" w:fill="auto"/>
            <w:noWrap/>
            <w:vAlign w:val="bottom"/>
            <w:hideMark/>
          </w:tcPr>
          <w:p w14:paraId="230DC662"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5,368</w:t>
            </w:r>
          </w:p>
        </w:tc>
        <w:tc>
          <w:tcPr>
            <w:tcW w:w="949" w:type="dxa"/>
            <w:tcBorders>
              <w:top w:val="nil"/>
              <w:left w:val="nil"/>
              <w:bottom w:val="nil"/>
              <w:right w:val="nil"/>
            </w:tcBorders>
            <w:shd w:val="clear" w:color="auto" w:fill="auto"/>
            <w:noWrap/>
            <w:vAlign w:val="bottom"/>
            <w:hideMark/>
          </w:tcPr>
          <w:p w14:paraId="6280756A"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5,611</w:t>
            </w:r>
          </w:p>
        </w:tc>
        <w:tc>
          <w:tcPr>
            <w:tcW w:w="949" w:type="dxa"/>
            <w:tcBorders>
              <w:top w:val="nil"/>
              <w:left w:val="nil"/>
              <w:bottom w:val="nil"/>
              <w:right w:val="nil"/>
            </w:tcBorders>
            <w:shd w:val="clear" w:color="auto" w:fill="auto"/>
            <w:noWrap/>
            <w:vAlign w:val="bottom"/>
            <w:hideMark/>
          </w:tcPr>
          <w:p w14:paraId="75255F36"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5,840</w:t>
            </w:r>
          </w:p>
        </w:tc>
      </w:tr>
      <w:tr w:rsidR="00046C46" w:rsidRPr="00046C46" w14:paraId="1B59AE54" w14:textId="77777777" w:rsidTr="00046C46">
        <w:trPr>
          <w:trHeight w:val="225"/>
          <w:jc w:val="center"/>
        </w:trPr>
        <w:tc>
          <w:tcPr>
            <w:tcW w:w="3141" w:type="dxa"/>
            <w:tcBorders>
              <w:top w:val="nil"/>
              <w:left w:val="nil"/>
              <w:bottom w:val="nil"/>
              <w:right w:val="nil"/>
            </w:tcBorders>
            <w:shd w:val="clear" w:color="auto" w:fill="auto"/>
            <w:noWrap/>
            <w:vAlign w:val="bottom"/>
            <w:hideMark/>
          </w:tcPr>
          <w:p w14:paraId="0516637C" w14:textId="77777777" w:rsidR="00046C46" w:rsidRPr="00046C46" w:rsidRDefault="00046C46" w:rsidP="00046C46">
            <w:pPr>
              <w:spacing w:before="0" w:after="0" w:line="240" w:lineRule="auto"/>
              <w:ind w:leftChars="150" w:left="285"/>
              <w:rPr>
                <w:rFonts w:ascii="Arial" w:hAnsi="Arial" w:cs="Arial"/>
                <w:b/>
                <w:bCs/>
                <w:color w:val="000000"/>
                <w:sz w:val="16"/>
                <w:szCs w:val="16"/>
              </w:rPr>
            </w:pPr>
            <w:r w:rsidRPr="00046C46">
              <w:rPr>
                <w:rFonts w:ascii="Arial" w:hAnsi="Arial" w:cs="Arial"/>
                <w:b/>
                <w:bCs/>
                <w:color w:val="000000"/>
                <w:sz w:val="16"/>
                <w:szCs w:val="16"/>
              </w:rPr>
              <w:t>Total cash used</w:t>
            </w:r>
          </w:p>
        </w:tc>
        <w:tc>
          <w:tcPr>
            <w:tcW w:w="945" w:type="dxa"/>
            <w:tcBorders>
              <w:top w:val="nil"/>
              <w:left w:val="nil"/>
              <w:bottom w:val="single" w:sz="4" w:space="0" w:color="auto"/>
              <w:right w:val="nil"/>
            </w:tcBorders>
            <w:shd w:val="clear" w:color="auto" w:fill="auto"/>
            <w:noWrap/>
            <w:vAlign w:val="bottom"/>
            <w:hideMark/>
          </w:tcPr>
          <w:p w14:paraId="46F351BB"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4,940</w:t>
            </w:r>
          </w:p>
        </w:tc>
        <w:tc>
          <w:tcPr>
            <w:tcW w:w="947" w:type="dxa"/>
            <w:tcBorders>
              <w:top w:val="nil"/>
              <w:left w:val="nil"/>
              <w:bottom w:val="single" w:sz="4" w:space="0" w:color="auto"/>
              <w:right w:val="nil"/>
            </w:tcBorders>
            <w:shd w:val="clear" w:color="000000" w:fill="D9D9D9"/>
            <w:noWrap/>
            <w:vAlign w:val="bottom"/>
            <w:hideMark/>
          </w:tcPr>
          <w:p w14:paraId="7F9349EC"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5,138</w:t>
            </w:r>
          </w:p>
        </w:tc>
        <w:tc>
          <w:tcPr>
            <w:tcW w:w="949" w:type="dxa"/>
            <w:tcBorders>
              <w:top w:val="nil"/>
              <w:left w:val="nil"/>
              <w:bottom w:val="single" w:sz="4" w:space="0" w:color="auto"/>
              <w:right w:val="nil"/>
            </w:tcBorders>
            <w:shd w:val="clear" w:color="auto" w:fill="auto"/>
            <w:noWrap/>
            <w:vAlign w:val="bottom"/>
            <w:hideMark/>
          </w:tcPr>
          <w:p w14:paraId="5087DE84"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5,368</w:t>
            </w:r>
          </w:p>
        </w:tc>
        <w:tc>
          <w:tcPr>
            <w:tcW w:w="949" w:type="dxa"/>
            <w:tcBorders>
              <w:top w:val="nil"/>
              <w:left w:val="nil"/>
              <w:bottom w:val="single" w:sz="4" w:space="0" w:color="auto"/>
              <w:right w:val="nil"/>
            </w:tcBorders>
            <w:shd w:val="clear" w:color="auto" w:fill="auto"/>
            <w:noWrap/>
            <w:vAlign w:val="bottom"/>
            <w:hideMark/>
          </w:tcPr>
          <w:p w14:paraId="07704A7E"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5,611</w:t>
            </w:r>
          </w:p>
        </w:tc>
        <w:tc>
          <w:tcPr>
            <w:tcW w:w="949" w:type="dxa"/>
            <w:tcBorders>
              <w:top w:val="nil"/>
              <w:left w:val="nil"/>
              <w:bottom w:val="single" w:sz="4" w:space="0" w:color="auto"/>
              <w:right w:val="nil"/>
            </w:tcBorders>
            <w:shd w:val="clear" w:color="auto" w:fill="auto"/>
            <w:noWrap/>
            <w:vAlign w:val="bottom"/>
            <w:hideMark/>
          </w:tcPr>
          <w:p w14:paraId="79E683C2"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5,840</w:t>
            </w:r>
          </w:p>
        </w:tc>
      </w:tr>
      <w:tr w:rsidR="00046C46" w:rsidRPr="00046C46" w14:paraId="21888312" w14:textId="77777777" w:rsidTr="00BB27C2">
        <w:trPr>
          <w:trHeight w:val="454"/>
          <w:jc w:val="center"/>
        </w:trPr>
        <w:tc>
          <w:tcPr>
            <w:tcW w:w="3141" w:type="dxa"/>
            <w:tcBorders>
              <w:top w:val="nil"/>
              <w:left w:val="nil"/>
              <w:bottom w:val="nil"/>
              <w:right w:val="nil"/>
            </w:tcBorders>
            <w:shd w:val="clear" w:color="auto" w:fill="auto"/>
            <w:vAlign w:val="bottom"/>
            <w:hideMark/>
          </w:tcPr>
          <w:p w14:paraId="5A8181F0"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Net cash from (or used by) financing activities</w:t>
            </w:r>
          </w:p>
        </w:tc>
        <w:tc>
          <w:tcPr>
            <w:tcW w:w="945" w:type="dxa"/>
            <w:tcBorders>
              <w:top w:val="nil"/>
              <w:left w:val="nil"/>
              <w:bottom w:val="single" w:sz="4" w:space="0" w:color="auto"/>
              <w:right w:val="nil"/>
            </w:tcBorders>
            <w:shd w:val="clear" w:color="auto" w:fill="auto"/>
            <w:noWrap/>
            <w:vAlign w:val="bottom"/>
            <w:hideMark/>
          </w:tcPr>
          <w:p w14:paraId="3562C19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(4,940)</w:t>
            </w:r>
          </w:p>
        </w:tc>
        <w:tc>
          <w:tcPr>
            <w:tcW w:w="947" w:type="dxa"/>
            <w:tcBorders>
              <w:top w:val="nil"/>
              <w:left w:val="nil"/>
              <w:bottom w:val="single" w:sz="4" w:space="0" w:color="auto"/>
              <w:right w:val="nil"/>
            </w:tcBorders>
            <w:shd w:val="clear" w:color="000000" w:fill="D9D9D9"/>
            <w:noWrap/>
            <w:vAlign w:val="bottom"/>
            <w:hideMark/>
          </w:tcPr>
          <w:p w14:paraId="28A9527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(5,138)</w:t>
            </w:r>
          </w:p>
        </w:tc>
        <w:tc>
          <w:tcPr>
            <w:tcW w:w="949" w:type="dxa"/>
            <w:tcBorders>
              <w:top w:val="nil"/>
              <w:left w:val="nil"/>
              <w:bottom w:val="single" w:sz="4" w:space="0" w:color="auto"/>
              <w:right w:val="nil"/>
            </w:tcBorders>
            <w:shd w:val="clear" w:color="auto" w:fill="auto"/>
            <w:noWrap/>
            <w:vAlign w:val="bottom"/>
            <w:hideMark/>
          </w:tcPr>
          <w:p w14:paraId="02CD50D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(5,368)</w:t>
            </w:r>
          </w:p>
        </w:tc>
        <w:tc>
          <w:tcPr>
            <w:tcW w:w="949" w:type="dxa"/>
            <w:tcBorders>
              <w:top w:val="nil"/>
              <w:left w:val="nil"/>
              <w:bottom w:val="single" w:sz="4" w:space="0" w:color="auto"/>
              <w:right w:val="nil"/>
            </w:tcBorders>
            <w:shd w:val="clear" w:color="auto" w:fill="auto"/>
            <w:noWrap/>
            <w:vAlign w:val="bottom"/>
            <w:hideMark/>
          </w:tcPr>
          <w:p w14:paraId="19A2DEA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(5,611)</w:t>
            </w:r>
          </w:p>
        </w:tc>
        <w:tc>
          <w:tcPr>
            <w:tcW w:w="949" w:type="dxa"/>
            <w:tcBorders>
              <w:top w:val="nil"/>
              <w:left w:val="nil"/>
              <w:bottom w:val="single" w:sz="4" w:space="0" w:color="auto"/>
              <w:right w:val="nil"/>
            </w:tcBorders>
            <w:shd w:val="clear" w:color="auto" w:fill="auto"/>
            <w:noWrap/>
            <w:vAlign w:val="bottom"/>
            <w:hideMark/>
          </w:tcPr>
          <w:p w14:paraId="1844C6B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(5,840)</w:t>
            </w:r>
          </w:p>
        </w:tc>
      </w:tr>
      <w:tr w:rsidR="00046C46" w:rsidRPr="00046C46" w14:paraId="169CB451" w14:textId="77777777" w:rsidTr="00BB27C2">
        <w:trPr>
          <w:trHeight w:val="454"/>
          <w:jc w:val="center"/>
        </w:trPr>
        <w:tc>
          <w:tcPr>
            <w:tcW w:w="3141" w:type="dxa"/>
            <w:tcBorders>
              <w:top w:val="nil"/>
              <w:left w:val="nil"/>
              <w:bottom w:val="nil"/>
              <w:right w:val="nil"/>
            </w:tcBorders>
            <w:shd w:val="clear" w:color="auto" w:fill="auto"/>
            <w:vAlign w:val="bottom"/>
            <w:hideMark/>
          </w:tcPr>
          <w:p w14:paraId="0D19178B" w14:textId="77777777" w:rsidR="00046C46" w:rsidRPr="00046C46" w:rsidRDefault="00046C46" w:rsidP="00046C46">
            <w:pPr>
              <w:spacing w:before="0" w:after="0" w:line="240" w:lineRule="auto"/>
              <w:ind w:leftChars="75" w:left="143"/>
              <w:rPr>
                <w:rFonts w:ascii="Arial" w:hAnsi="Arial" w:cs="Arial"/>
                <w:b/>
                <w:bCs/>
                <w:color w:val="000000"/>
                <w:sz w:val="16"/>
                <w:szCs w:val="16"/>
              </w:rPr>
            </w:pPr>
            <w:r w:rsidRPr="00046C46">
              <w:rPr>
                <w:rFonts w:ascii="Arial" w:hAnsi="Arial" w:cs="Arial"/>
                <w:b/>
                <w:bCs/>
                <w:color w:val="000000"/>
                <w:sz w:val="16"/>
                <w:szCs w:val="16"/>
              </w:rPr>
              <w:t>Net increase (or decrease) in cash held</w:t>
            </w:r>
          </w:p>
        </w:tc>
        <w:tc>
          <w:tcPr>
            <w:tcW w:w="945" w:type="dxa"/>
            <w:tcBorders>
              <w:top w:val="nil"/>
              <w:left w:val="nil"/>
              <w:bottom w:val="single" w:sz="4" w:space="0" w:color="auto"/>
              <w:right w:val="nil"/>
            </w:tcBorders>
            <w:shd w:val="clear" w:color="auto" w:fill="auto"/>
            <w:noWrap/>
            <w:vAlign w:val="bottom"/>
            <w:hideMark/>
          </w:tcPr>
          <w:p w14:paraId="16A8E65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13,631</w:t>
            </w:r>
          </w:p>
        </w:tc>
        <w:tc>
          <w:tcPr>
            <w:tcW w:w="947" w:type="dxa"/>
            <w:tcBorders>
              <w:top w:val="nil"/>
              <w:left w:val="nil"/>
              <w:bottom w:val="single" w:sz="4" w:space="0" w:color="auto"/>
              <w:right w:val="nil"/>
            </w:tcBorders>
            <w:shd w:val="clear" w:color="000000" w:fill="D9D9D9"/>
            <w:noWrap/>
            <w:vAlign w:val="bottom"/>
            <w:hideMark/>
          </w:tcPr>
          <w:p w14:paraId="6899964F"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93</w:t>
            </w:r>
          </w:p>
        </w:tc>
        <w:tc>
          <w:tcPr>
            <w:tcW w:w="949" w:type="dxa"/>
            <w:tcBorders>
              <w:top w:val="nil"/>
              <w:left w:val="nil"/>
              <w:bottom w:val="single" w:sz="4" w:space="0" w:color="auto"/>
              <w:right w:val="nil"/>
            </w:tcBorders>
            <w:shd w:val="clear" w:color="auto" w:fill="auto"/>
            <w:noWrap/>
            <w:vAlign w:val="bottom"/>
            <w:hideMark/>
          </w:tcPr>
          <w:p w14:paraId="6728347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900</w:t>
            </w:r>
          </w:p>
        </w:tc>
        <w:tc>
          <w:tcPr>
            <w:tcW w:w="949" w:type="dxa"/>
            <w:tcBorders>
              <w:top w:val="nil"/>
              <w:left w:val="nil"/>
              <w:bottom w:val="single" w:sz="4" w:space="0" w:color="auto"/>
              <w:right w:val="nil"/>
            </w:tcBorders>
            <w:shd w:val="clear" w:color="auto" w:fill="auto"/>
            <w:noWrap/>
            <w:vAlign w:val="bottom"/>
            <w:hideMark/>
          </w:tcPr>
          <w:p w14:paraId="0C714B97"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(800)</w:t>
            </w:r>
          </w:p>
        </w:tc>
        <w:tc>
          <w:tcPr>
            <w:tcW w:w="949" w:type="dxa"/>
            <w:tcBorders>
              <w:top w:val="nil"/>
              <w:left w:val="nil"/>
              <w:bottom w:val="single" w:sz="4" w:space="0" w:color="auto"/>
              <w:right w:val="nil"/>
            </w:tcBorders>
            <w:shd w:val="clear" w:color="auto" w:fill="auto"/>
            <w:noWrap/>
            <w:vAlign w:val="bottom"/>
            <w:hideMark/>
          </w:tcPr>
          <w:p w14:paraId="716DA69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w:t>
            </w:r>
          </w:p>
        </w:tc>
      </w:tr>
      <w:tr w:rsidR="00046C46" w:rsidRPr="00046C46" w14:paraId="2C289714" w14:textId="77777777" w:rsidTr="00BB27C2">
        <w:trPr>
          <w:trHeight w:val="425"/>
          <w:jc w:val="center"/>
        </w:trPr>
        <w:tc>
          <w:tcPr>
            <w:tcW w:w="3141" w:type="dxa"/>
            <w:tcBorders>
              <w:top w:val="nil"/>
              <w:left w:val="nil"/>
              <w:bottom w:val="nil"/>
              <w:right w:val="nil"/>
            </w:tcBorders>
            <w:shd w:val="clear" w:color="auto" w:fill="auto"/>
            <w:vAlign w:val="bottom"/>
            <w:hideMark/>
          </w:tcPr>
          <w:p w14:paraId="14BE4997" w14:textId="77777777" w:rsidR="00046C46" w:rsidRPr="00046C46" w:rsidRDefault="00046C46" w:rsidP="00046C46">
            <w:pPr>
              <w:spacing w:before="0" w:after="0" w:line="240" w:lineRule="auto"/>
              <w:ind w:leftChars="75" w:left="143"/>
              <w:rPr>
                <w:rFonts w:ascii="Arial" w:hAnsi="Arial" w:cs="Arial"/>
                <w:color w:val="000000"/>
                <w:sz w:val="16"/>
                <w:szCs w:val="16"/>
              </w:rPr>
            </w:pPr>
            <w:r w:rsidRPr="00046C46">
              <w:rPr>
                <w:rFonts w:ascii="Arial" w:hAnsi="Arial" w:cs="Arial"/>
                <w:color w:val="000000"/>
                <w:sz w:val="16"/>
                <w:szCs w:val="16"/>
              </w:rPr>
              <w:t>Cash and cash equivalents at the beginning of the reporting period</w:t>
            </w:r>
          </w:p>
        </w:tc>
        <w:tc>
          <w:tcPr>
            <w:tcW w:w="945" w:type="dxa"/>
            <w:tcBorders>
              <w:top w:val="nil"/>
              <w:left w:val="nil"/>
              <w:bottom w:val="nil"/>
              <w:right w:val="nil"/>
            </w:tcBorders>
            <w:shd w:val="clear" w:color="auto" w:fill="auto"/>
            <w:noWrap/>
            <w:vAlign w:val="bottom"/>
            <w:hideMark/>
          </w:tcPr>
          <w:p w14:paraId="6319E83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93,148</w:t>
            </w:r>
          </w:p>
        </w:tc>
        <w:tc>
          <w:tcPr>
            <w:tcW w:w="947" w:type="dxa"/>
            <w:tcBorders>
              <w:top w:val="nil"/>
              <w:left w:val="nil"/>
              <w:bottom w:val="nil"/>
              <w:right w:val="nil"/>
            </w:tcBorders>
            <w:shd w:val="clear" w:color="000000" w:fill="D9D9D9"/>
            <w:noWrap/>
            <w:vAlign w:val="bottom"/>
            <w:hideMark/>
          </w:tcPr>
          <w:p w14:paraId="73EF69D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106,779</w:t>
            </w:r>
          </w:p>
        </w:tc>
        <w:tc>
          <w:tcPr>
            <w:tcW w:w="949" w:type="dxa"/>
            <w:tcBorders>
              <w:top w:val="nil"/>
              <w:left w:val="nil"/>
              <w:bottom w:val="nil"/>
              <w:right w:val="nil"/>
            </w:tcBorders>
            <w:shd w:val="clear" w:color="auto" w:fill="auto"/>
            <w:noWrap/>
            <w:vAlign w:val="bottom"/>
            <w:hideMark/>
          </w:tcPr>
          <w:p w14:paraId="42BB41DB"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106,872</w:t>
            </w:r>
          </w:p>
        </w:tc>
        <w:tc>
          <w:tcPr>
            <w:tcW w:w="949" w:type="dxa"/>
            <w:tcBorders>
              <w:top w:val="nil"/>
              <w:left w:val="nil"/>
              <w:bottom w:val="nil"/>
              <w:right w:val="nil"/>
            </w:tcBorders>
            <w:shd w:val="clear" w:color="auto" w:fill="auto"/>
            <w:noWrap/>
            <w:vAlign w:val="bottom"/>
            <w:hideMark/>
          </w:tcPr>
          <w:p w14:paraId="24DA3A9D"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107,772</w:t>
            </w:r>
          </w:p>
        </w:tc>
        <w:tc>
          <w:tcPr>
            <w:tcW w:w="949" w:type="dxa"/>
            <w:tcBorders>
              <w:top w:val="nil"/>
              <w:left w:val="nil"/>
              <w:bottom w:val="nil"/>
              <w:right w:val="nil"/>
            </w:tcBorders>
            <w:shd w:val="clear" w:color="auto" w:fill="auto"/>
            <w:noWrap/>
            <w:vAlign w:val="bottom"/>
            <w:hideMark/>
          </w:tcPr>
          <w:p w14:paraId="63075A85"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106,972</w:t>
            </w:r>
          </w:p>
        </w:tc>
      </w:tr>
      <w:tr w:rsidR="00046C46" w:rsidRPr="00046C46" w14:paraId="20974702" w14:textId="77777777" w:rsidTr="00BB27C2">
        <w:trPr>
          <w:trHeight w:val="454"/>
          <w:jc w:val="center"/>
        </w:trPr>
        <w:tc>
          <w:tcPr>
            <w:tcW w:w="3141" w:type="dxa"/>
            <w:tcBorders>
              <w:top w:val="nil"/>
              <w:left w:val="nil"/>
              <w:bottom w:val="single" w:sz="4" w:space="0" w:color="auto"/>
              <w:right w:val="nil"/>
            </w:tcBorders>
            <w:shd w:val="clear" w:color="auto" w:fill="auto"/>
            <w:vAlign w:val="bottom"/>
            <w:hideMark/>
          </w:tcPr>
          <w:p w14:paraId="2C38B049" w14:textId="77777777" w:rsidR="00046C46" w:rsidRPr="00046C46" w:rsidRDefault="00046C46" w:rsidP="00046C46">
            <w:pPr>
              <w:spacing w:before="0" w:after="0" w:line="240" w:lineRule="auto"/>
              <w:rPr>
                <w:rFonts w:ascii="Arial" w:hAnsi="Arial" w:cs="Arial"/>
                <w:b/>
                <w:bCs/>
                <w:color w:val="000000"/>
                <w:sz w:val="16"/>
                <w:szCs w:val="16"/>
              </w:rPr>
            </w:pPr>
            <w:r w:rsidRPr="00046C46">
              <w:rPr>
                <w:rFonts w:ascii="Arial" w:hAnsi="Arial" w:cs="Arial"/>
                <w:b/>
                <w:bCs/>
                <w:color w:val="000000"/>
                <w:sz w:val="16"/>
                <w:szCs w:val="16"/>
              </w:rPr>
              <w:t>Cash and cash equivalents at the end of the reporting period</w:t>
            </w:r>
          </w:p>
        </w:tc>
        <w:tc>
          <w:tcPr>
            <w:tcW w:w="945" w:type="dxa"/>
            <w:tcBorders>
              <w:top w:val="nil"/>
              <w:left w:val="nil"/>
              <w:bottom w:val="single" w:sz="4" w:space="0" w:color="auto"/>
              <w:right w:val="nil"/>
            </w:tcBorders>
            <w:shd w:val="clear" w:color="auto" w:fill="auto"/>
            <w:noWrap/>
            <w:vAlign w:val="bottom"/>
            <w:hideMark/>
          </w:tcPr>
          <w:p w14:paraId="15CFA814"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106,779</w:t>
            </w:r>
          </w:p>
        </w:tc>
        <w:tc>
          <w:tcPr>
            <w:tcW w:w="947" w:type="dxa"/>
            <w:tcBorders>
              <w:top w:val="nil"/>
              <w:left w:val="nil"/>
              <w:bottom w:val="single" w:sz="4" w:space="0" w:color="auto"/>
              <w:right w:val="nil"/>
            </w:tcBorders>
            <w:shd w:val="clear" w:color="000000" w:fill="D9D9D9"/>
            <w:noWrap/>
            <w:vAlign w:val="bottom"/>
            <w:hideMark/>
          </w:tcPr>
          <w:p w14:paraId="5A6FCCA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106,872</w:t>
            </w:r>
          </w:p>
        </w:tc>
        <w:tc>
          <w:tcPr>
            <w:tcW w:w="949" w:type="dxa"/>
            <w:tcBorders>
              <w:top w:val="nil"/>
              <w:left w:val="nil"/>
              <w:bottom w:val="single" w:sz="4" w:space="0" w:color="auto"/>
              <w:right w:val="nil"/>
            </w:tcBorders>
            <w:shd w:val="clear" w:color="auto" w:fill="auto"/>
            <w:noWrap/>
            <w:vAlign w:val="bottom"/>
            <w:hideMark/>
          </w:tcPr>
          <w:p w14:paraId="0E0ADDC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107,772</w:t>
            </w:r>
          </w:p>
        </w:tc>
        <w:tc>
          <w:tcPr>
            <w:tcW w:w="949" w:type="dxa"/>
            <w:tcBorders>
              <w:top w:val="nil"/>
              <w:left w:val="nil"/>
              <w:bottom w:val="single" w:sz="4" w:space="0" w:color="auto"/>
              <w:right w:val="nil"/>
            </w:tcBorders>
            <w:shd w:val="clear" w:color="auto" w:fill="auto"/>
            <w:noWrap/>
            <w:vAlign w:val="bottom"/>
            <w:hideMark/>
          </w:tcPr>
          <w:p w14:paraId="51EB4DEC"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106,972</w:t>
            </w:r>
          </w:p>
        </w:tc>
        <w:tc>
          <w:tcPr>
            <w:tcW w:w="949" w:type="dxa"/>
            <w:tcBorders>
              <w:top w:val="nil"/>
              <w:left w:val="nil"/>
              <w:bottom w:val="single" w:sz="4" w:space="0" w:color="auto"/>
              <w:right w:val="nil"/>
            </w:tcBorders>
            <w:shd w:val="clear" w:color="auto" w:fill="auto"/>
            <w:noWrap/>
            <w:vAlign w:val="bottom"/>
            <w:hideMark/>
          </w:tcPr>
          <w:p w14:paraId="4B1931C6"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106,972</w:t>
            </w:r>
          </w:p>
        </w:tc>
      </w:tr>
    </w:tbl>
    <w:p w14:paraId="6575F8F8" w14:textId="77777777" w:rsidR="00046C46" w:rsidRPr="00046C46" w:rsidRDefault="00046C46" w:rsidP="00046C46">
      <w:pPr>
        <w:pStyle w:val="TableGraphic"/>
      </w:pPr>
    </w:p>
    <w:p w14:paraId="37A36C44" w14:textId="0BCBEC5C" w:rsidR="00046C46" w:rsidRDefault="00046C46">
      <w:pPr>
        <w:spacing w:before="0" w:after="0" w:line="240" w:lineRule="auto"/>
        <w:rPr>
          <w:rFonts w:ascii="Arial" w:hAnsi="Arial"/>
          <w:snapToGrid w:val="0"/>
          <w:sz w:val="16"/>
        </w:rPr>
      </w:pPr>
      <w:r>
        <w:rPr>
          <w:snapToGrid w:val="0"/>
        </w:rPr>
        <w:br w:type="page"/>
      </w:r>
    </w:p>
    <w:p w14:paraId="137D30F7" w14:textId="357338F3" w:rsidR="00275707" w:rsidRDefault="00275707" w:rsidP="00275707">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046C46" w:rsidRPr="00046C46" w14:paraId="51157F00" w14:textId="77777777" w:rsidTr="00046C46">
        <w:trPr>
          <w:trHeight w:val="765"/>
          <w:jc w:val="center"/>
        </w:trPr>
        <w:tc>
          <w:tcPr>
            <w:tcW w:w="3080" w:type="dxa"/>
            <w:tcBorders>
              <w:top w:val="single" w:sz="4" w:space="0" w:color="auto"/>
              <w:left w:val="nil"/>
              <w:bottom w:val="nil"/>
              <w:right w:val="nil"/>
            </w:tcBorders>
            <w:shd w:val="clear" w:color="auto" w:fill="auto"/>
            <w:vAlign w:val="bottom"/>
            <w:hideMark/>
          </w:tcPr>
          <w:p w14:paraId="31FE8720" w14:textId="77777777" w:rsidR="00046C46" w:rsidRPr="00046C46" w:rsidRDefault="00046C46" w:rsidP="00046C46">
            <w:pPr>
              <w:spacing w:before="24" w:after="0" w:line="240" w:lineRule="auto"/>
              <w:jc w:val="right"/>
              <w:rPr>
                <w:rFonts w:ascii="Arial" w:hAnsi="Arial" w:cs="Arial"/>
                <w:b/>
                <w:bCs/>
                <w:sz w:val="16"/>
                <w:szCs w:val="16"/>
              </w:rPr>
            </w:pPr>
            <w:r w:rsidRPr="00046C46">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0C92987E" w14:textId="6DA7FE72"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2022–</w:t>
            </w:r>
            <w:r w:rsidRPr="00046C46">
              <w:rPr>
                <w:rFonts w:ascii="Arial" w:hAnsi="Arial" w:cs="Arial"/>
                <w:b/>
                <w:bCs/>
                <w:sz w:val="16"/>
                <w:szCs w:val="16"/>
              </w:rPr>
              <w:t>23</w:t>
            </w:r>
            <w:r w:rsidRPr="00046C46">
              <w:rPr>
                <w:rFonts w:ascii="Arial" w:hAnsi="Arial" w:cs="Arial"/>
                <w:b/>
                <w:bCs/>
                <w:sz w:val="16"/>
                <w:szCs w:val="16"/>
              </w:rPr>
              <w:br/>
              <w:t>Actual</w:t>
            </w:r>
            <w:r w:rsidRPr="00046C46">
              <w:rPr>
                <w:rFonts w:ascii="Arial" w:hAnsi="Arial" w:cs="Arial"/>
                <w:b/>
                <w:bCs/>
                <w:sz w:val="16"/>
                <w:szCs w:val="16"/>
              </w:rPr>
              <w:br/>
            </w:r>
            <w:r w:rsidRPr="00046C46">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6EF0C049" w14:textId="5784592E"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2023–</w:t>
            </w:r>
            <w:r w:rsidRPr="00046C46">
              <w:rPr>
                <w:rFonts w:ascii="Arial" w:hAnsi="Arial" w:cs="Arial"/>
                <w:b/>
                <w:bCs/>
                <w:sz w:val="16"/>
                <w:szCs w:val="16"/>
              </w:rPr>
              <w:t>24</w:t>
            </w:r>
            <w:r w:rsidRPr="00046C46">
              <w:rPr>
                <w:rFonts w:ascii="Arial" w:hAnsi="Arial" w:cs="Arial"/>
                <w:b/>
                <w:bCs/>
                <w:sz w:val="16"/>
                <w:szCs w:val="16"/>
              </w:rPr>
              <w:br/>
              <w:t>Revised</w:t>
            </w:r>
            <w:r w:rsidRPr="00046C46">
              <w:rPr>
                <w:rFonts w:ascii="Arial" w:hAnsi="Arial" w:cs="Arial"/>
                <w:b/>
                <w:bCs/>
                <w:sz w:val="16"/>
                <w:szCs w:val="16"/>
              </w:rPr>
              <w:br/>
              <w:t>Budget</w:t>
            </w:r>
            <w:r w:rsidRPr="00046C46">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250D984C" w14:textId="5A3631EF"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2024–</w:t>
            </w:r>
            <w:r w:rsidRPr="00046C46">
              <w:rPr>
                <w:rFonts w:ascii="Arial" w:hAnsi="Arial" w:cs="Arial"/>
                <w:b/>
                <w:bCs/>
                <w:sz w:val="16"/>
                <w:szCs w:val="16"/>
              </w:rPr>
              <w:t>25 Forward Estimate</w:t>
            </w:r>
            <w:r w:rsidRPr="00046C46">
              <w:rPr>
                <w:rFonts w:ascii="Arial" w:hAnsi="Arial" w:cs="Arial"/>
                <w:b/>
                <w:bCs/>
                <w:sz w:val="16"/>
                <w:szCs w:val="16"/>
              </w:rPr>
              <w:br/>
            </w:r>
            <w:r w:rsidRPr="00046C46">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1598651E" w14:textId="7B0FF4D6"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2025–</w:t>
            </w:r>
            <w:r w:rsidRPr="00046C46">
              <w:rPr>
                <w:rFonts w:ascii="Arial" w:hAnsi="Arial" w:cs="Arial"/>
                <w:b/>
                <w:bCs/>
                <w:sz w:val="16"/>
                <w:szCs w:val="16"/>
              </w:rPr>
              <w:t>26 Forward Estimate</w:t>
            </w:r>
            <w:r w:rsidRPr="00046C46">
              <w:rPr>
                <w:rFonts w:ascii="Arial" w:hAnsi="Arial" w:cs="Arial"/>
                <w:b/>
                <w:bCs/>
                <w:sz w:val="16"/>
                <w:szCs w:val="16"/>
              </w:rPr>
              <w:br/>
            </w:r>
            <w:r w:rsidRPr="00046C46">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126BEAA5" w14:textId="52915800" w:rsidR="00046C46" w:rsidRPr="00046C46" w:rsidRDefault="00046C46" w:rsidP="00046C46">
            <w:pPr>
              <w:spacing w:before="24" w:after="0" w:line="240" w:lineRule="auto"/>
              <w:jc w:val="right"/>
              <w:rPr>
                <w:rFonts w:ascii="Arial" w:hAnsi="Arial" w:cs="Arial"/>
                <w:b/>
                <w:bCs/>
                <w:sz w:val="16"/>
                <w:szCs w:val="16"/>
              </w:rPr>
            </w:pPr>
            <w:r>
              <w:rPr>
                <w:rFonts w:ascii="Arial" w:hAnsi="Arial" w:cs="Arial"/>
                <w:b/>
                <w:bCs/>
                <w:sz w:val="16"/>
                <w:szCs w:val="16"/>
              </w:rPr>
              <w:t>2026–</w:t>
            </w:r>
            <w:r w:rsidRPr="00046C46">
              <w:rPr>
                <w:rFonts w:ascii="Arial" w:hAnsi="Arial" w:cs="Arial"/>
                <w:b/>
                <w:bCs/>
                <w:sz w:val="16"/>
                <w:szCs w:val="16"/>
              </w:rPr>
              <w:t>27 Forward Estimate</w:t>
            </w:r>
            <w:r w:rsidRPr="00046C46">
              <w:rPr>
                <w:rFonts w:ascii="Arial" w:hAnsi="Arial" w:cs="Arial"/>
                <w:b/>
                <w:bCs/>
                <w:sz w:val="16"/>
                <w:szCs w:val="16"/>
              </w:rPr>
              <w:br/>
            </w:r>
            <w:r w:rsidRPr="00046C46">
              <w:rPr>
                <w:rFonts w:ascii="Arial" w:hAnsi="Arial" w:cs="Arial"/>
                <w:sz w:val="16"/>
                <w:szCs w:val="16"/>
              </w:rPr>
              <w:t>$'000</w:t>
            </w:r>
          </w:p>
        </w:tc>
      </w:tr>
      <w:tr w:rsidR="00046C46" w:rsidRPr="00046C46" w14:paraId="7350E492"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40B612A5" w14:textId="77777777" w:rsidR="00046C46" w:rsidRPr="00046C46" w:rsidRDefault="00046C46" w:rsidP="00046C46">
            <w:pPr>
              <w:spacing w:before="0" w:after="0" w:line="240" w:lineRule="auto"/>
              <w:rPr>
                <w:rFonts w:ascii="Arial" w:hAnsi="Arial" w:cs="Arial"/>
                <w:b/>
                <w:bCs/>
                <w:sz w:val="16"/>
                <w:szCs w:val="16"/>
              </w:rPr>
            </w:pPr>
            <w:r w:rsidRPr="00046C46">
              <w:rPr>
                <w:rFonts w:ascii="Arial" w:hAnsi="Arial" w:cs="Arial"/>
                <w:b/>
                <w:bCs/>
                <w:sz w:val="16"/>
                <w:szCs w:val="16"/>
              </w:rPr>
              <w:t>CAPITAL APPROPRIATIONS</w:t>
            </w:r>
          </w:p>
        </w:tc>
        <w:tc>
          <w:tcPr>
            <w:tcW w:w="960" w:type="dxa"/>
            <w:tcBorders>
              <w:top w:val="nil"/>
              <w:left w:val="nil"/>
              <w:bottom w:val="nil"/>
              <w:right w:val="nil"/>
            </w:tcBorders>
            <w:shd w:val="clear" w:color="000000" w:fill="FFFFFF"/>
            <w:noWrap/>
            <w:vAlign w:val="bottom"/>
            <w:hideMark/>
          </w:tcPr>
          <w:p w14:paraId="23F61025"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D9D9D9"/>
            <w:noWrap/>
            <w:vAlign w:val="center"/>
            <w:hideMark/>
          </w:tcPr>
          <w:p w14:paraId="31D62AD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14:paraId="00374ECF" w14:textId="77777777" w:rsidR="00046C46" w:rsidRPr="00046C46" w:rsidRDefault="00046C46" w:rsidP="00046C46">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000000" w:fill="FFFFFF"/>
            <w:noWrap/>
            <w:vAlign w:val="bottom"/>
            <w:hideMark/>
          </w:tcPr>
          <w:p w14:paraId="64D70B9A"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28E4F9D3"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r>
      <w:tr w:rsidR="00046C46" w:rsidRPr="00046C46" w14:paraId="7CC708C2"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015DBBD7" w14:textId="77777777"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Equity injections - Bill 2</w:t>
            </w:r>
          </w:p>
        </w:tc>
        <w:tc>
          <w:tcPr>
            <w:tcW w:w="960" w:type="dxa"/>
            <w:tcBorders>
              <w:top w:val="nil"/>
              <w:left w:val="nil"/>
              <w:bottom w:val="nil"/>
              <w:right w:val="nil"/>
            </w:tcBorders>
            <w:shd w:val="clear" w:color="auto" w:fill="auto"/>
            <w:noWrap/>
            <w:vAlign w:val="bottom"/>
            <w:hideMark/>
          </w:tcPr>
          <w:p w14:paraId="03FBD1E5"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6EAFE6CD"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D363D0A"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4D09F3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279FC0A"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r>
      <w:tr w:rsidR="00046C46" w:rsidRPr="00046C46" w14:paraId="7D6F9863"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7AA807B7" w14:textId="77777777" w:rsidR="00046C46" w:rsidRPr="00046C46" w:rsidRDefault="00046C46" w:rsidP="00046C46">
            <w:pPr>
              <w:spacing w:before="0" w:after="0" w:line="240" w:lineRule="auto"/>
              <w:ind w:leftChars="75" w:left="143"/>
              <w:rPr>
                <w:rFonts w:ascii="Arial" w:hAnsi="Arial" w:cs="Arial"/>
                <w:b/>
                <w:bCs/>
                <w:sz w:val="16"/>
                <w:szCs w:val="16"/>
              </w:rPr>
            </w:pPr>
            <w:r w:rsidRPr="00046C46">
              <w:rPr>
                <w:rFonts w:ascii="Arial" w:hAnsi="Arial"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14:paraId="1B3CE075"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097BAE6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68DEDE0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48F9150D"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16A97163"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r>
      <w:tr w:rsidR="00046C46" w:rsidRPr="00046C46" w14:paraId="049BF3AE" w14:textId="77777777" w:rsidTr="009D13E4">
        <w:trPr>
          <w:trHeight w:val="454"/>
          <w:jc w:val="center"/>
        </w:trPr>
        <w:tc>
          <w:tcPr>
            <w:tcW w:w="3080" w:type="dxa"/>
            <w:tcBorders>
              <w:top w:val="nil"/>
              <w:left w:val="nil"/>
              <w:bottom w:val="nil"/>
              <w:right w:val="nil"/>
            </w:tcBorders>
            <w:shd w:val="clear" w:color="000000" w:fill="FFFFFF"/>
            <w:vAlign w:val="bottom"/>
            <w:hideMark/>
          </w:tcPr>
          <w:p w14:paraId="3D35FB5C" w14:textId="77777777" w:rsidR="00046C46" w:rsidRPr="00046C46" w:rsidRDefault="00046C46" w:rsidP="00046C46">
            <w:pPr>
              <w:spacing w:before="0" w:after="0" w:line="240" w:lineRule="auto"/>
              <w:rPr>
                <w:rFonts w:ascii="Arial" w:hAnsi="Arial" w:cs="Arial"/>
                <w:b/>
                <w:bCs/>
                <w:sz w:val="16"/>
                <w:szCs w:val="16"/>
              </w:rPr>
            </w:pPr>
            <w:r w:rsidRPr="00046C46">
              <w:rPr>
                <w:rFonts w:ascii="Arial" w:hAnsi="Arial" w:cs="Arial"/>
                <w:b/>
                <w:bCs/>
                <w:sz w:val="16"/>
                <w:szCs w:val="16"/>
              </w:rPr>
              <w:t>Total new capital appropriations represented by:</w:t>
            </w:r>
          </w:p>
        </w:tc>
        <w:tc>
          <w:tcPr>
            <w:tcW w:w="960" w:type="dxa"/>
            <w:tcBorders>
              <w:top w:val="nil"/>
              <w:left w:val="nil"/>
              <w:bottom w:val="nil"/>
              <w:right w:val="nil"/>
            </w:tcBorders>
            <w:shd w:val="clear" w:color="000000" w:fill="FFFFFF"/>
            <w:noWrap/>
            <w:vAlign w:val="bottom"/>
            <w:hideMark/>
          </w:tcPr>
          <w:p w14:paraId="5AF8D9C1"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D9D9D9"/>
            <w:noWrap/>
            <w:vAlign w:val="center"/>
            <w:hideMark/>
          </w:tcPr>
          <w:p w14:paraId="17C69915"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14:paraId="38EB778C" w14:textId="77777777" w:rsidR="00046C46" w:rsidRPr="00046C46" w:rsidRDefault="00046C46" w:rsidP="00046C46">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000000" w:fill="FFFFFF"/>
            <w:noWrap/>
            <w:vAlign w:val="bottom"/>
            <w:hideMark/>
          </w:tcPr>
          <w:p w14:paraId="3C560330"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4AC50D4C"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r>
      <w:tr w:rsidR="00046C46" w:rsidRPr="00046C46" w14:paraId="2707C38F"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6DE0103B" w14:textId="77777777"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Purchase of non-financial assets</w:t>
            </w:r>
          </w:p>
        </w:tc>
        <w:tc>
          <w:tcPr>
            <w:tcW w:w="960" w:type="dxa"/>
            <w:tcBorders>
              <w:top w:val="nil"/>
              <w:left w:val="nil"/>
              <w:bottom w:val="nil"/>
              <w:right w:val="nil"/>
            </w:tcBorders>
            <w:shd w:val="clear" w:color="auto" w:fill="auto"/>
            <w:noWrap/>
            <w:vAlign w:val="bottom"/>
            <w:hideMark/>
          </w:tcPr>
          <w:p w14:paraId="47DBA636"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50844C58"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7E71A6E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91DE5E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3B0AC3D6"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r>
      <w:tr w:rsidR="00046C46" w:rsidRPr="00046C46" w14:paraId="772C955D"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6FE5FE1E" w14:textId="77777777" w:rsidR="00046C46" w:rsidRPr="00046C46" w:rsidRDefault="00046C46" w:rsidP="00046C46">
            <w:pPr>
              <w:spacing w:before="0" w:after="0" w:line="240" w:lineRule="auto"/>
              <w:ind w:leftChars="75" w:left="143"/>
              <w:rPr>
                <w:rFonts w:ascii="Arial" w:hAnsi="Arial" w:cs="Arial"/>
                <w:b/>
                <w:bCs/>
                <w:sz w:val="16"/>
                <w:szCs w:val="16"/>
              </w:rPr>
            </w:pPr>
            <w:r w:rsidRPr="00046C46">
              <w:rPr>
                <w:rFonts w:ascii="Arial" w:hAnsi="Arial"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14:paraId="6552B570"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3107834C"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0844CCE2"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5274BE83"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63BD7B35"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w:t>
            </w:r>
          </w:p>
        </w:tc>
      </w:tr>
      <w:tr w:rsidR="00046C46" w:rsidRPr="00046C46" w14:paraId="0959FF33" w14:textId="77777777" w:rsidTr="009D13E4">
        <w:trPr>
          <w:trHeight w:val="454"/>
          <w:jc w:val="center"/>
        </w:trPr>
        <w:tc>
          <w:tcPr>
            <w:tcW w:w="3080" w:type="dxa"/>
            <w:tcBorders>
              <w:top w:val="nil"/>
              <w:left w:val="nil"/>
              <w:bottom w:val="nil"/>
              <w:right w:val="nil"/>
            </w:tcBorders>
            <w:shd w:val="clear" w:color="000000" w:fill="FFFFFF"/>
            <w:vAlign w:val="bottom"/>
            <w:hideMark/>
          </w:tcPr>
          <w:p w14:paraId="046B0D52" w14:textId="77777777" w:rsidR="00046C46" w:rsidRPr="00046C46" w:rsidRDefault="00046C46" w:rsidP="00046C46">
            <w:pPr>
              <w:spacing w:before="0" w:after="0" w:line="240" w:lineRule="auto"/>
              <w:rPr>
                <w:rFonts w:ascii="Arial" w:hAnsi="Arial" w:cs="Arial"/>
                <w:b/>
                <w:bCs/>
                <w:sz w:val="16"/>
                <w:szCs w:val="16"/>
              </w:rPr>
            </w:pPr>
            <w:r w:rsidRPr="00046C46">
              <w:rPr>
                <w:rFonts w:ascii="Arial" w:hAnsi="Arial" w:cs="Arial"/>
                <w:b/>
                <w:bCs/>
                <w:sz w:val="16"/>
                <w:szCs w:val="16"/>
              </w:rPr>
              <w:t>PURCHASE OF NON-FINANCIAL ASSETS</w:t>
            </w:r>
          </w:p>
        </w:tc>
        <w:tc>
          <w:tcPr>
            <w:tcW w:w="960" w:type="dxa"/>
            <w:tcBorders>
              <w:top w:val="nil"/>
              <w:left w:val="nil"/>
              <w:bottom w:val="nil"/>
              <w:right w:val="nil"/>
            </w:tcBorders>
            <w:shd w:val="clear" w:color="000000" w:fill="FFFFFF"/>
            <w:noWrap/>
            <w:vAlign w:val="bottom"/>
            <w:hideMark/>
          </w:tcPr>
          <w:p w14:paraId="19EAB212"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D9D9D9"/>
            <w:noWrap/>
            <w:vAlign w:val="center"/>
            <w:hideMark/>
          </w:tcPr>
          <w:p w14:paraId="5BBE279E"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 </w:t>
            </w:r>
          </w:p>
        </w:tc>
        <w:tc>
          <w:tcPr>
            <w:tcW w:w="960" w:type="dxa"/>
            <w:tcBorders>
              <w:top w:val="nil"/>
              <w:left w:val="nil"/>
              <w:bottom w:val="nil"/>
              <w:right w:val="nil"/>
            </w:tcBorders>
            <w:shd w:val="clear" w:color="auto" w:fill="auto"/>
            <w:noWrap/>
            <w:vAlign w:val="center"/>
            <w:hideMark/>
          </w:tcPr>
          <w:p w14:paraId="2902B264" w14:textId="77777777" w:rsidR="00046C46" w:rsidRPr="00046C46" w:rsidRDefault="00046C46" w:rsidP="00046C46">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000000" w:fill="FFFFFF"/>
            <w:noWrap/>
            <w:vAlign w:val="bottom"/>
            <w:hideMark/>
          </w:tcPr>
          <w:p w14:paraId="67825F92"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c>
          <w:tcPr>
            <w:tcW w:w="960" w:type="dxa"/>
            <w:tcBorders>
              <w:top w:val="nil"/>
              <w:left w:val="nil"/>
              <w:bottom w:val="nil"/>
              <w:right w:val="nil"/>
            </w:tcBorders>
            <w:shd w:val="clear" w:color="000000" w:fill="FFFFFF"/>
            <w:noWrap/>
            <w:vAlign w:val="bottom"/>
            <w:hideMark/>
          </w:tcPr>
          <w:p w14:paraId="0F995B8E"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 </w:t>
            </w:r>
          </w:p>
        </w:tc>
      </w:tr>
      <w:tr w:rsidR="00046C46" w:rsidRPr="00046C46" w14:paraId="2C352E11" w14:textId="77777777" w:rsidTr="009D13E4">
        <w:trPr>
          <w:trHeight w:val="425"/>
          <w:jc w:val="center"/>
        </w:trPr>
        <w:tc>
          <w:tcPr>
            <w:tcW w:w="3080" w:type="dxa"/>
            <w:tcBorders>
              <w:top w:val="nil"/>
              <w:left w:val="nil"/>
              <w:bottom w:val="nil"/>
              <w:right w:val="nil"/>
            </w:tcBorders>
            <w:shd w:val="clear" w:color="auto" w:fill="auto"/>
            <w:vAlign w:val="bottom"/>
            <w:hideMark/>
          </w:tcPr>
          <w:p w14:paraId="5CA00C3C" w14:textId="5965B759"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Funded by capital app</w:t>
            </w:r>
            <w:r w:rsidR="000202BF">
              <w:rPr>
                <w:rFonts w:ascii="Arial" w:hAnsi="Arial" w:cs="Arial"/>
                <w:sz w:val="16"/>
                <w:szCs w:val="16"/>
              </w:rPr>
              <w:t>ropriations</w:t>
            </w:r>
            <w:r w:rsidR="000202BF">
              <w:rPr>
                <w:rFonts w:ascii="Arial" w:hAnsi="Arial" w:cs="Arial"/>
                <w:sz w:val="16"/>
                <w:szCs w:val="16"/>
              </w:rPr>
              <w:br/>
              <w:t xml:space="preserve"> - equity injection</w:t>
            </w:r>
            <w:r w:rsidRPr="00046C46">
              <w:rPr>
                <w:rFonts w:ascii="Arial" w:hAnsi="Arial" w:cs="Arial"/>
                <w:sz w:val="16"/>
                <w:szCs w:val="16"/>
                <w:vertAlign w:val="superscript"/>
              </w:rPr>
              <w:t>(a)</w:t>
            </w:r>
          </w:p>
        </w:tc>
        <w:tc>
          <w:tcPr>
            <w:tcW w:w="960" w:type="dxa"/>
            <w:tcBorders>
              <w:top w:val="nil"/>
              <w:left w:val="nil"/>
              <w:bottom w:val="nil"/>
              <w:right w:val="nil"/>
            </w:tcBorders>
            <w:shd w:val="clear" w:color="auto" w:fill="auto"/>
            <w:noWrap/>
            <w:vAlign w:val="bottom"/>
            <w:hideMark/>
          </w:tcPr>
          <w:p w14:paraId="0302494B"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09C28084"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5C8F943"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A0F3761"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4CC49BB"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w:t>
            </w:r>
          </w:p>
        </w:tc>
      </w:tr>
      <w:tr w:rsidR="00046C46" w:rsidRPr="00046C46" w14:paraId="630A73BC" w14:textId="77777777" w:rsidTr="009D13E4">
        <w:trPr>
          <w:trHeight w:val="454"/>
          <w:jc w:val="center"/>
        </w:trPr>
        <w:tc>
          <w:tcPr>
            <w:tcW w:w="3080" w:type="dxa"/>
            <w:tcBorders>
              <w:top w:val="nil"/>
              <w:left w:val="nil"/>
              <w:bottom w:val="nil"/>
              <w:right w:val="nil"/>
            </w:tcBorders>
            <w:shd w:val="clear" w:color="000000" w:fill="FFFFFF"/>
            <w:vAlign w:val="bottom"/>
            <w:hideMark/>
          </w:tcPr>
          <w:p w14:paraId="0F351407" w14:textId="72B3908E"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Funded interna</w:t>
            </w:r>
            <w:r w:rsidR="000202BF">
              <w:rPr>
                <w:rFonts w:ascii="Arial" w:hAnsi="Arial" w:cs="Arial"/>
                <w:sz w:val="16"/>
                <w:szCs w:val="16"/>
              </w:rPr>
              <w:t>lly from departmental resources</w:t>
            </w:r>
            <w:r w:rsidRPr="00046C46">
              <w:rPr>
                <w:rFonts w:ascii="Arial" w:hAnsi="Arial" w:cs="Arial"/>
                <w:sz w:val="16"/>
                <w:szCs w:val="16"/>
                <w:vertAlign w:val="superscript"/>
              </w:rPr>
              <w:t>(b)</w:t>
            </w:r>
          </w:p>
        </w:tc>
        <w:tc>
          <w:tcPr>
            <w:tcW w:w="960" w:type="dxa"/>
            <w:tcBorders>
              <w:top w:val="nil"/>
              <w:left w:val="nil"/>
              <w:bottom w:val="nil"/>
              <w:right w:val="nil"/>
            </w:tcBorders>
            <w:shd w:val="clear" w:color="auto" w:fill="auto"/>
            <w:noWrap/>
            <w:vAlign w:val="bottom"/>
            <w:hideMark/>
          </w:tcPr>
          <w:p w14:paraId="024E18EE" w14:textId="77777777" w:rsidR="00046C46" w:rsidRPr="00046C46" w:rsidRDefault="00046C46" w:rsidP="00046C46">
            <w:pPr>
              <w:spacing w:before="0" w:after="0" w:line="240" w:lineRule="auto"/>
              <w:jc w:val="right"/>
              <w:rPr>
                <w:rFonts w:ascii="Arial" w:hAnsi="Arial" w:cs="Arial"/>
                <w:sz w:val="16"/>
                <w:szCs w:val="16"/>
              </w:rPr>
            </w:pPr>
            <w:r w:rsidRPr="00046C46">
              <w:rPr>
                <w:rFonts w:ascii="Arial" w:hAnsi="Arial" w:cs="Arial"/>
                <w:sz w:val="16"/>
                <w:szCs w:val="16"/>
              </w:rPr>
              <w:t>524</w:t>
            </w:r>
          </w:p>
        </w:tc>
        <w:tc>
          <w:tcPr>
            <w:tcW w:w="960" w:type="dxa"/>
            <w:tcBorders>
              <w:top w:val="nil"/>
              <w:left w:val="nil"/>
              <w:bottom w:val="nil"/>
              <w:right w:val="nil"/>
            </w:tcBorders>
            <w:shd w:val="clear" w:color="000000" w:fill="D9D9D9"/>
            <w:noWrap/>
            <w:vAlign w:val="bottom"/>
            <w:hideMark/>
          </w:tcPr>
          <w:p w14:paraId="091F0169"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1,945</w:t>
            </w:r>
          </w:p>
        </w:tc>
        <w:tc>
          <w:tcPr>
            <w:tcW w:w="960" w:type="dxa"/>
            <w:tcBorders>
              <w:top w:val="nil"/>
              <w:left w:val="nil"/>
              <w:bottom w:val="nil"/>
              <w:right w:val="nil"/>
            </w:tcBorders>
            <w:shd w:val="clear" w:color="auto" w:fill="auto"/>
            <w:noWrap/>
            <w:vAlign w:val="bottom"/>
            <w:hideMark/>
          </w:tcPr>
          <w:p w14:paraId="0585CD4D"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2,445</w:t>
            </w:r>
          </w:p>
        </w:tc>
        <w:tc>
          <w:tcPr>
            <w:tcW w:w="960" w:type="dxa"/>
            <w:tcBorders>
              <w:top w:val="nil"/>
              <w:left w:val="nil"/>
              <w:bottom w:val="nil"/>
              <w:right w:val="nil"/>
            </w:tcBorders>
            <w:shd w:val="clear" w:color="auto" w:fill="auto"/>
            <w:noWrap/>
            <w:vAlign w:val="bottom"/>
            <w:hideMark/>
          </w:tcPr>
          <w:p w14:paraId="7921B743"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945</w:t>
            </w:r>
          </w:p>
        </w:tc>
        <w:tc>
          <w:tcPr>
            <w:tcW w:w="960" w:type="dxa"/>
            <w:tcBorders>
              <w:top w:val="nil"/>
              <w:left w:val="nil"/>
              <w:bottom w:val="nil"/>
              <w:right w:val="nil"/>
            </w:tcBorders>
            <w:shd w:val="clear" w:color="auto" w:fill="auto"/>
            <w:noWrap/>
            <w:vAlign w:val="bottom"/>
            <w:hideMark/>
          </w:tcPr>
          <w:p w14:paraId="1D806E0C"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2,000</w:t>
            </w:r>
          </w:p>
        </w:tc>
      </w:tr>
      <w:tr w:rsidR="00046C46" w:rsidRPr="00046C46" w14:paraId="2F71F81D" w14:textId="77777777" w:rsidTr="009D13E4">
        <w:trPr>
          <w:trHeight w:val="425"/>
          <w:jc w:val="center"/>
        </w:trPr>
        <w:tc>
          <w:tcPr>
            <w:tcW w:w="3080" w:type="dxa"/>
            <w:tcBorders>
              <w:top w:val="nil"/>
              <w:left w:val="nil"/>
              <w:bottom w:val="nil"/>
              <w:right w:val="nil"/>
            </w:tcBorders>
            <w:shd w:val="clear" w:color="000000" w:fill="FFFFFF"/>
            <w:vAlign w:val="bottom"/>
            <w:hideMark/>
          </w:tcPr>
          <w:p w14:paraId="2306E80A" w14:textId="77777777" w:rsidR="00046C46" w:rsidRPr="00046C46" w:rsidRDefault="00046C46" w:rsidP="00046C46">
            <w:pPr>
              <w:spacing w:before="0" w:after="0" w:line="240" w:lineRule="auto"/>
              <w:ind w:leftChars="75" w:left="143"/>
              <w:rPr>
                <w:rFonts w:ascii="Arial" w:hAnsi="Arial" w:cs="Arial"/>
                <w:b/>
                <w:bCs/>
                <w:sz w:val="16"/>
                <w:szCs w:val="16"/>
              </w:rPr>
            </w:pPr>
            <w:r w:rsidRPr="00046C46">
              <w:rPr>
                <w:rFonts w:ascii="Arial" w:hAnsi="Arial" w:cs="Arial"/>
                <w:b/>
                <w:bCs/>
                <w:sz w:val="16"/>
                <w:szCs w:val="16"/>
              </w:rPr>
              <w:t>Total acquisitions of</w:t>
            </w:r>
            <w:r w:rsidRPr="00046C46">
              <w:rPr>
                <w:rFonts w:ascii="Arial" w:hAnsi="Arial" w:cs="Arial"/>
                <w:b/>
                <w:bCs/>
                <w:sz w:val="16"/>
                <w:szCs w:val="16"/>
              </w:rPr>
              <w:br/>
              <w:t xml:space="preserve"> non-financial assets</w:t>
            </w:r>
          </w:p>
        </w:tc>
        <w:tc>
          <w:tcPr>
            <w:tcW w:w="960" w:type="dxa"/>
            <w:tcBorders>
              <w:top w:val="nil"/>
              <w:left w:val="nil"/>
              <w:bottom w:val="single" w:sz="4" w:space="0" w:color="auto"/>
              <w:right w:val="nil"/>
            </w:tcBorders>
            <w:shd w:val="clear" w:color="auto" w:fill="auto"/>
            <w:noWrap/>
            <w:vAlign w:val="bottom"/>
            <w:hideMark/>
          </w:tcPr>
          <w:p w14:paraId="5B007AF5"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524</w:t>
            </w:r>
          </w:p>
        </w:tc>
        <w:tc>
          <w:tcPr>
            <w:tcW w:w="960" w:type="dxa"/>
            <w:tcBorders>
              <w:top w:val="nil"/>
              <w:left w:val="nil"/>
              <w:bottom w:val="single" w:sz="4" w:space="0" w:color="auto"/>
              <w:right w:val="nil"/>
            </w:tcBorders>
            <w:shd w:val="clear" w:color="000000" w:fill="D9D9D9"/>
            <w:noWrap/>
            <w:vAlign w:val="bottom"/>
            <w:hideMark/>
          </w:tcPr>
          <w:p w14:paraId="3C79F31A"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1,945</w:t>
            </w:r>
          </w:p>
        </w:tc>
        <w:tc>
          <w:tcPr>
            <w:tcW w:w="960" w:type="dxa"/>
            <w:tcBorders>
              <w:top w:val="nil"/>
              <w:left w:val="nil"/>
              <w:bottom w:val="single" w:sz="4" w:space="0" w:color="auto"/>
              <w:right w:val="nil"/>
            </w:tcBorders>
            <w:shd w:val="clear" w:color="auto" w:fill="auto"/>
            <w:noWrap/>
            <w:vAlign w:val="bottom"/>
            <w:hideMark/>
          </w:tcPr>
          <w:p w14:paraId="2D700E14"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2,445</w:t>
            </w:r>
          </w:p>
        </w:tc>
        <w:tc>
          <w:tcPr>
            <w:tcW w:w="960" w:type="dxa"/>
            <w:tcBorders>
              <w:top w:val="nil"/>
              <w:left w:val="nil"/>
              <w:bottom w:val="single" w:sz="4" w:space="0" w:color="auto"/>
              <w:right w:val="nil"/>
            </w:tcBorders>
            <w:shd w:val="clear" w:color="auto" w:fill="auto"/>
            <w:noWrap/>
            <w:vAlign w:val="bottom"/>
            <w:hideMark/>
          </w:tcPr>
          <w:p w14:paraId="3ED8E2BE"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945</w:t>
            </w:r>
          </w:p>
        </w:tc>
        <w:tc>
          <w:tcPr>
            <w:tcW w:w="960" w:type="dxa"/>
            <w:tcBorders>
              <w:top w:val="nil"/>
              <w:left w:val="nil"/>
              <w:bottom w:val="single" w:sz="4" w:space="0" w:color="auto"/>
              <w:right w:val="nil"/>
            </w:tcBorders>
            <w:shd w:val="clear" w:color="auto" w:fill="auto"/>
            <w:noWrap/>
            <w:vAlign w:val="bottom"/>
            <w:hideMark/>
          </w:tcPr>
          <w:p w14:paraId="217F65D2"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2,000</w:t>
            </w:r>
          </w:p>
        </w:tc>
      </w:tr>
      <w:tr w:rsidR="00046C46" w:rsidRPr="00046C46" w14:paraId="300DA2B2" w14:textId="77777777" w:rsidTr="009D13E4">
        <w:trPr>
          <w:trHeight w:val="624"/>
          <w:jc w:val="center"/>
        </w:trPr>
        <w:tc>
          <w:tcPr>
            <w:tcW w:w="3080" w:type="dxa"/>
            <w:tcBorders>
              <w:top w:val="nil"/>
              <w:left w:val="nil"/>
              <w:bottom w:val="nil"/>
              <w:right w:val="nil"/>
            </w:tcBorders>
            <w:shd w:val="clear" w:color="000000" w:fill="FFFFFF"/>
            <w:vAlign w:val="bottom"/>
            <w:hideMark/>
          </w:tcPr>
          <w:p w14:paraId="42484DAC" w14:textId="77777777" w:rsidR="00046C46" w:rsidRPr="00046C46" w:rsidRDefault="00046C46" w:rsidP="00046C46">
            <w:pPr>
              <w:spacing w:before="0" w:after="0" w:line="240" w:lineRule="auto"/>
              <w:rPr>
                <w:rFonts w:ascii="Arial" w:hAnsi="Arial" w:cs="Arial"/>
                <w:b/>
                <w:bCs/>
                <w:sz w:val="16"/>
                <w:szCs w:val="16"/>
              </w:rPr>
            </w:pPr>
            <w:r w:rsidRPr="00046C46">
              <w:rPr>
                <w:rFonts w:ascii="Arial" w:hAnsi="Arial" w:cs="Arial"/>
                <w:b/>
                <w:bCs/>
                <w:sz w:val="16"/>
                <w:szCs w:val="16"/>
              </w:rPr>
              <w:t>RECONCILIATION OF CASH USED TO ACQUIRE ASSETS TO ASSET MOVEMENT TABLE</w:t>
            </w:r>
          </w:p>
        </w:tc>
        <w:tc>
          <w:tcPr>
            <w:tcW w:w="960" w:type="dxa"/>
            <w:tcBorders>
              <w:top w:val="nil"/>
              <w:left w:val="nil"/>
              <w:bottom w:val="nil"/>
              <w:right w:val="nil"/>
            </w:tcBorders>
            <w:shd w:val="clear" w:color="auto" w:fill="auto"/>
            <w:noWrap/>
            <w:vAlign w:val="bottom"/>
            <w:hideMark/>
          </w:tcPr>
          <w:p w14:paraId="6AD890DB" w14:textId="77777777" w:rsidR="00046C46" w:rsidRPr="00046C46" w:rsidRDefault="00046C46" w:rsidP="00046C46">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113A0571"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9EF7878" w14:textId="77777777" w:rsidR="00046C46" w:rsidRPr="00046C46" w:rsidRDefault="00046C46" w:rsidP="00046C46">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2ED8B2D" w14:textId="77777777" w:rsidR="00046C46" w:rsidRPr="00046C46" w:rsidRDefault="00046C46" w:rsidP="00046C46">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E0139A8" w14:textId="77777777" w:rsidR="00046C46" w:rsidRPr="00046C46" w:rsidRDefault="00046C46" w:rsidP="00046C46">
            <w:pPr>
              <w:spacing w:before="0" w:after="0" w:line="240" w:lineRule="auto"/>
              <w:jc w:val="right"/>
              <w:rPr>
                <w:rFonts w:ascii="Times New Roman" w:hAnsi="Times New Roman"/>
                <w:sz w:val="20"/>
              </w:rPr>
            </w:pPr>
          </w:p>
        </w:tc>
      </w:tr>
      <w:tr w:rsidR="00046C46" w:rsidRPr="00046C46" w14:paraId="183DF26F" w14:textId="77777777" w:rsidTr="00046C46">
        <w:trPr>
          <w:trHeight w:val="225"/>
          <w:jc w:val="center"/>
        </w:trPr>
        <w:tc>
          <w:tcPr>
            <w:tcW w:w="3080" w:type="dxa"/>
            <w:tcBorders>
              <w:top w:val="nil"/>
              <w:left w:val="nil"/>
              <w:bottom w:val="nil"/>
              <w:right w:val="nil"/>
            </w:tcBorders>
            <w:shd w:val="clear" w:color="000000" w:fill="FFFFFF"/>
            <w:noWrap/>
            <w:vAlign w:val="bottom"/>
            <w:hideMark/>
          </w:tcPr>
          <w:p w14:paraId="16275724" w14:textId="77777777" w:rsidR="00046C46" w:rsidRPr="00046C46" w:rsidRDefault="00046C46" w:rsidP="00046C46">
            <w:pPr>
              <w:spacing w:before="0" w:after="0" w:line="240" w:lineRule="auto"/>
              <w:ind w:leftChars="75" w:left="143"/>
              <w:rPr>
                <w:rFonts w:ascii="Arial" w:hAnsi="Arial" w:cs="Arial"/>
                <w:sz w:val="16"/>
                <w:szCs w:val="16"/>
              </w:rPr>
            </w:pPr>
            <w:r w:rsidRPr="00046C46">
              <w:rPr>
                <w:rFonts w:ascii="Arial" w:hAnsi="Arial" w:cs="Arial"/>
                <w:sz w:val="16"/>
                <w:szCs w:val="16"/>
              </w:rPr>
              <w:t>Total purchases</w:t>
            </w:r>
          </w:p>
        </w:tc>
        <w:tc>
          <w:tcPr>
            <w:tcW w:w="960" w:type="dxa"/>
            <w:tcBorders>
              <w:top w:val="nil"/>
              <w:left w:val="nil"/>
              <w:bottom w:val="nil"/>
              <w:right w:val="nil"/>
            </w:tcBorders>
            <w:shd w:val="clear" w:color="auto" w:fill="auto"/>
            <w:noWrap/>
            <w:vAlign w:val="bottom"/>
            <w:hideMark/>
          </w:tcPr>
          <w:p w14:paraId="7E46B6B3"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524</w:t>
            </w:r>
          </w:p>
        </w:tc>
        <w:tc>
          <w:tcPr>
            <w:tcW w:w="960" w:type="dxa"/>
            <w:tcBorders>
              <w:top w:val="nil"/>
              <w:left w:val="nil"/>
              <w:bottom w:val="nil"/>
              <w:right w:val="nil"/>
            </w:tcBorders>
            <w:shd w:val="clear" w:color="000000" w:fill="D9D9D9"/>
            <w:noWrap/>
            <w:vAlign w:val="bottom"/>
            <w:hideMark/>
          </w:tcPr>
          <w:p w14:paraId="79DBDAD3"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1,945</w:t>
            </w:r>
          </w:p>
        </w:tc>
        <w:tc>
          <w:tcPr>
            <w:tcW w:w="960" w:type="dxa"/>
            <w:tcBorders>
              <w:top w:val="nil"/>
              <w:left w:val="nil"/>
              <w:bottom w:val="nil"/>
              <w:right w:val="nil"/>
            </w:tcBorders>
            <w:shd w:val="clear" w:color="auto" w:fill="auto"/>
            <w:noWrap/>
            <w:vAlign w:val="bottom"/>
            <w:hideMark/>
          </w:tcPr>
          <w:p w14:paraId="0266BCC7"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2,445</w:t>
            </w:r>
          </w:p>
        </w:tc>
        <w:tc>
          <w:tcPr>
            <w:tcW w:w="960" w:type="dxa"/>
            <w:tcBorders>
              <w:top w:val="nil"/>
              <w:left w:val="nil"/>
              <w:bottom w:val="nil"/>
              <w:right w:val="nil"/>
            </w:tcBorders>
            <w:shd w:val="clear" w:color="auto" w:fill="auto"/>
            <w:noWrap/>
            <w:vAlign w:val="bottom"/>
            <w:hideMark/>
          </w:tcPr>
          <w:p w14:paraId="3A64D5F7"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945</w:t>
            </w:r>
          </w:p>
        </w:tc>
        <w:tc>
          <w:tcPr>
            <w:tcW w:w="960" w:type="dxa"/>
            <w:tcBorders>
              <w:top w:val="nil"/>
              <w:left w:val="nil"/>
              <w:bottom w:val="nil"/>
              <w:right w:val="nil"/>
            </w:tcBorders>
            <w:shd w:val="clear" w:color="auto" w:fill="auto"/>
            <w:noWrap/>
            <w:vAlign w:val="bottom"/>
            <w:hideMark/>
          </w:tcPr>
          <w:p w14:paraId="49713D00" w14:textId="77777777" w:rsidR="00046C46" w:rsidRPr="00046C46" w:rsidRDefault="00046C46" w:rsidP="00046C46">
            <w:pPr>
              <w:spacing w:before="0" w:after="0" w:line="240" w:lineRule="auto"/>
              <w:jc w:val="right"/>
              <w:rPr>
                <w:rFonts w:ascii="Arial" w:hAnsi="Arial" w:cs="Arial"/>
                <w:color w:val="000000"/>
                <w:sz w:val="16"/>
                <w:szCs w:val="16"/>
              </w:rPr>
            </w:pPr>
            <w:r w:rsidRPr="00046C46">
              <w:rPr>
                <w:rFonts w:ascii="Arial" w:hAnsi="Arial" w:cs="Arial"/>
                <w:color w:val="000000"/>
                <w:sz w:val="16"/>
                <w:szCs w:val="16"/>
              </w:rPr>
              <w:t>2,000</w:t>
            </w:r>
          </w:p>
        </w:tc>
      </w:tr>
      <w:tr w:rsidR="00046C46" w:rsidRPr="00046C46" w14:paraId="1DFDD409" w14:textId="77777777" w:rsidTr="009D13E4">
        <w:trPr>
          <w:trHeight w:val="227"/>
          <w:jc w:val="center"/>
        </w:trPr>
        <w:tc>
          <w:tcPr>
            <w:tcW w:w="3080" w:type="dxa"/>
            <w:tcBorders>
              <w:top w:val="nil"/>
              <w:left w:val="nil"/>
              <w:bottom w:val="single" w:sz="4" w:space="0" w:color="auto"/>
              <w:right w:val="nil"/>
            </w:tcBorders>
            <w:shd w:val="clear" w:color="000000" w:fill="FFFFFF"/>
            <w:vAlign w:val="bottom"/>
            <w:hideMark/>
          </w:tcPr>
          <w:p w14:paraId="1B8A401A" w14:textId="77777777" w:rsidR="00046C46" w:rsidRPr="00046C46" w:rsidRDefault="00046C46" w:rsidP="00046C46">
            <w:pPr>
              <w:spacing w:before="0" w:after="0" w:line="240" w:lineRule="auto"/>
              <w:ind w:leftChars="75" w:left="143"/>
              <w:rPr>
                <w:rFonts w:ascii="Arial" w:hAnsi="Arial" w:cs="Arial"/>
                <w:b/>
                <w:bCs/>
                <w:sz w:val="16"/>
                <w:szCs w:val="16"/>
              </w:rPr>
            </w:pPr>
            <w:r w:rsidRPr="00046C46">
              <w:rPr>
                <w:rFonts w:ascii="Arial" w:hAnsi="Arial" w:cs="Arial"/>
                <w:b/>
                <w:bCs/>
                <w:sz w:val="16"/>
                <w:szCs w:val="16"/>
              </w:rPr>
              <w:t>Total cash used to acquire asset</w:t>
            </w:r>
          </w:p>
        </w:tc>
        <w:tc>
          <w:tcPr>
            <w:tcW w:w="960" w:type="dxa"/>
            <w:tcBorders>
              <w:top w:val="nil"/>
              <w:left w:val="nil"/>
              <w:bottom w:val="single" w:sz="4" w:space="0" w:color="auto"/>
              <w:right w:val="nil"/>
            </w:tcBorders>
            <w:shd w:val="clear" w:color="auto" w:fill="auto"/>
            <w:noWrap/>
            <w:vAlign w:val="bottom"/>
            <w:hideMark/>
          </w:tcPr>
          <w:p w14:paraId="21C9ECA1"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524</w:t>
            </w:r>
          </w:p>
        </w:tc>
        <w:tc>
          <w:tcPr>
            <w:tcW w:w="960" w:type="dxa"/>
            <w:tcBorders>
              <w:top w:val="nil"/>
              <w:left w:val="nil"/>
              <w:bottom w:val="single" w:sz="4" w:space="0" w:color="auto"/>
              <w:right w:val="nil"/>
            </w:tcBorders>
            <w:shd w:val="clear" w:color="000000" w:fill="D9D9D9"/>
            <w:noWrap/>
            <w:vAlign w:val="bottom"/>
            <w:hideMark/>
          </w:tcPr>
          <w:p w14:paraId="5A87A564"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1,945</w:t>
            </w:r>
          </w:p>
        </w:tc>
        <w:tc>
          <w:tcPr>
            <w:tcW w:w="960" w:type="dxa"/>
            <w:tcBorders>
              <w:top w:val="nil"/>
              <w:left w:val="nil"/>
              <w:bottom w:val="single" w:sz="4" w:space="0" w:color="auto"/>
              <w:right w:val="nil"/>
            </w:tcBorders>
            <w:shd w:val="clear" w:color="auto" w:fill="auto"/>
            <w:noWrap/>
            <w:vAlign w:val="bottom"/>
            <w:hideMark/>
          </w:tcPr>
          <w:p w14:paraId="20E0E36B" w14:textId="77777777" w:rsidR="00046C46" w:rsidRPr="00046C46" w:rsidRDefault="00046C46" w:rsidP="00046C46">
            <w:pPr>
              <w:spacing w:before="0" w:after="0" w:line="240" w:lineRule="auto"/>
              <w:jc w:val="right"/>
              <w:rPr>
                <w:rFonts w:ascii="Arial" w:hAnsi="Arial" w:cs="Arial"/>
                <w:b/>
                <w:bCs/>
                <w:color w:val="000000"/>
                <w:sz w:val="16"/>
                <w:szCs w:val="16"/>
              </w:rPr>
            </w:pPr>
            <w:r w:rsidRPr="00046C46">
              <w:rPr>
                <w:rFonts w:ascii="Arial" w:hAnsi="Arial" w:cs="Arial"/>
                <w:b/>
                <w:bCs/>
                <w:color w:val="000000"/>
                <w:sz w:val="16"/>
                <w:szCs w:val="16"/>
              </w:rPr>
              <w:t>2,445</w:t>
            </w:r>
          </w:p>
        </w:tc>
        <w:tc>
          <w:tcPr>
            <w:tcW w:w="960" w:type="dxa"/>
            <w:tcBorders>
              <w:top w:val="nil"/>
              <w:left w:val="nil"/>
              <w:bottom w:val="single" w:sz="4" w:space="0" w:color="auto"/>
              <w:right w:val="nil"/>
            </w:tcBorders>
            <w:shd w:val="clear" w:color="auto" w:fill="auto"/>
            <w:noWrap/>
            <w:vAlign w:val="bottom"/>
            <w:hideMark/>
          </w:tcPr>
          <w:p w14:paraId="6E813D89"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945</w:t>
            </w:r>
          </w:p>
        </w:tc>
        <w:tc>
          <w:tcPr>
            <w:tcW w:w="960" w:type="dxa"/>
            <w:tcBorders>
              <w:top w:val="nil"/>
              <w:left w:val="nil"/>
              <w:bottom w:val="single" w:sz="4" w:space="0" w:color="auto"/>
              <w:right w:val="nil"/>
            </w:tcBorders>
            <w:shd w:val="clear" w:color="auto" w:fill="auto"/>
            <w:noWrap/>
            <w:vAlign w:val="bottom"/>
            <w:hideMark/>
          </w:tcPr>
          <w:p w14:paraId="6F229D6A" w14:textId="77777777" w:rsidR="00046C46" w:rsidRPr="00046C46" w:rsidRDefault="00046C46" w:rsidP="00046C46">
            <w:pPr>
              <w:spacing w:before="0" w:after="0" w:line="240" w:lineRule="auto"/>
              <w:jc w:val="right"/>
              <w:rPr>
                <w:rFonts w:ascii="Arial" w:hAnsi="Arial" w:cs="Arial"/>
                <w:b/>
                <w:bCs/>
                <w:sz w:val="16"/>
                <w:szCs w:val="16"/>
              </w:rPr>
            </w:pPr>
            <w:r w:rsidRPr="00046C46">
              <w:rPr>
                <w:rFonts w:ascii="Arial" w:hAnsi="Arial" w:cs="Arial"/>
                <w:b/>
                <w:bCs/>
                <w:sz w:val="16"/>
                <w:szCs w:val="16"/>
              </w:rPr>
              <w:t>2,000</w:t>
            </w:r>
          </w:p>
        </w:tc>
      </w:tr>
    </w:tbl>
    <w:p w14:paraId="3EEF612D" w14:textId="2CDE7478" w:rsidR="00C233D6" w:rsidRPr="00C233D6" w:rsidRDefault="00C233D6" w:rsidP="00C233D6">
      <w:pPr>
        <w:pStyle w:val="FootnoteText"/>
        <w:spacing w:before="120"/>
        <w:rPr>
          <w:snapToGrid w:val="0"/>
        </w:rPr>
      </w:pPr>
      <w:r w:rsidRPr="00C233D6">
        <w:rPr>
          <w:snapToGrid w:val="0"/>
          <w:vertAlign w:val="superscript"/>
        </w:rPr>
        <w:t>(a)</w:t>
      </w:r>
      <w:r w:rsidRPr="00C233D6">
        <w:rPr>
          <w:snapToGrid w:val="0"/>
        </w:rPr>
        <w:t xml:space="preserve"> </w:t>
      </w:r>
      <w:r>
        <w:rPr>
          <w:snapToGrid w:val="0"/>
        </w:rPr>
        <w:tab/>
      </w:r>
      <w:r w:rsidRPr="00C233D6">
        <w:rPr>
          <w:snapToGrid w:val="0"/>
        </w:rPr>
        <w:t>Includes both current Bill 2, and prior Act 2,4,6 appropriations.</w:t>
      </w:r>
    </w:p>
    <w:p w14:paraId="4D85DFB3" w14:textId="351B5557" w:rsidR="00C233D6" w:rsidRDefault="00C233D6" w:rsidP="00C233D6">
      <w:pPr>
        <w:pStyle w:val="FootnoteText"/>
        <w:rPr>
          <w:snapToGrid w:val="0"/>
        </w:rPr>
      </w:pPr>
      <w:r w:rsidRPr="00C233D6">
        <w:rPr>
          <w:snapToGrid w:val="0"/>
          <w:vertAlign w:val="superscript"/>
        </w:rPr>
        <w:t>(b)</w:t>
      </w:r>
      <w:r w:rsidRPr="00C233D6">
        <w:rPr>
          <w:snapToGrid w:val="0"/>
        </w:rPr>
        <w:t xml:space="preserve"> </w:t>
      </w:r>
      <w:r>
        <w:rPr>
          <w:snapToGrid w:val="0"/>
        </w:rPr>
        <w:tab/>
      </w:r>
      <w:r w:rsidRPr="00C233D6">
        <w:rPr>
          <w:snapToGrid w:val="0"/>
        </w:rPr>
        <w:t>Funded from existing entity cash reserves resulting fro</w:t>
      </w:r>
      <w:r>
        <w:rPr>
          <w:snapToGrid w:val="0"/>
        </w:rPr>
        <w:t>m prior year Bill 2 underspend.</w:t>
      </w:r>
    </w:p>
    <w:p w14:paraId="12192F5E" w14:textId="28EE0015" w:rsidR="00275707" w:rsidRDefault="00275707" w:rsidP="00275707">
      <w:pPr>
        <w:spacing w:before="0" w:after="0" w:line="240" w:lineRule="auto"/>
        <w:rPr>
          <w:rFonts w:ascii="Arial" w:hAnsi="Arial"/>
          <w:b/>
          <w:snapToGrid w:val="0"/>
          <w:sz w:val="20"/>
        </w:rPr>
      </w:pPr>
      <w:r>
        <w:rPr>
          <w:snapToGrid w:val="0"/>
        </w:rPr>
        <w:br w:type="page"/>
      </w:r>
    </w:p>
    <w:p w14:paraId="6B3AEAB5" w14:textId="77777777" w:rsidR="00275707" w:rsidRDefault="00275707" w:rsidP="00200DF1">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7860" w:type="dxa"/>
        <w:jc w:val="center"/>
        <w:tblLayout w:type="fixed"/>
        <w:tblLook w:val="04A0" w:firstRow="1" w:lastRow="0" w:firstColumn="1" w:lastColumn="0" w:noHBand="0" w:noVBand="1"/>
      </w:tblPr>
      <w:tblGrid>
        <w:gridCol w:w="3160"/>
        <w:gridCol w:w="1080"/>
        <w:gridCol w:w="1460"/>
        <w:gridCol w:w="1080"/>
        <w:gridCol w:w="1080"/>
      </w:tblGrid>
      <w:tr w:rsidR="00570ADD" w:rsidRPr="00570ADD" w14:paraId="2170F869" w14:textId="77777777" w:rsidTr="00F0266C">
        <w:trPr>
          <w:trHeight w:val="765"/>
          <w:jc w:val="center"/>
        </w:trPr>
        <w:tc>
          <w:tcPr>
            <w:tcW w:w="3160" w:type="dxa"/>
            <w:tcBorders>
              <w:top w:val="single" w:sz="4" w:space="0" w:color="auto"/>
              <w:left w:val="nil"/>
              <w:bottom w:val="nil"/>
              <w:right w:val="nil"/>
            </w:tcBorders>
            <w:shd w:val="clear" w:color="auto" w:fill="auto"/>
            <w:noWrap/>
            <w:hideMark/>
          </w:tcPr>
          <w:p w14:paraId="5CD99E6E" w14:textId="77777777" w:rsidR="00570ADD" w:rsidRPr="00570ADD" w:rsidRDefault="00570ADD" w:rsidP="00F0266C">
            <w:pPr>
              <w:spacing w:before="24" w:after="0" w:line="240" w:lineRule="auto"/>
              <w:jc w:val="right"/>
              <w:rPr>
                <w:rFonts w:ascii="Times New Roman" w:hAnsi="Times New Roman"/>
                <w:sz w:val="20"/>
                <w:szCs w:val="24"/>
              </w:rPr>
            </w:pPr>
          </w:p>
        </w:tc>
        <w:tc>
          <w:tcPr>
            <w:tcW w:w="1080" w:type="dxa"/>
            <w:tcBorders>
              <w:top w:val="single" w:sz="4" w:space="0" w:color="auto"/>
              <w:left w:val="nil"/>
              <w:bottom w:val="single" w:sz="4" w:space="0" w:color="auto"/>
              <w:right w:val="nil"/>
            </w:tcBorders>
            <w:shd w:val="clear" w:color="auto" w:fill="auto"/>
            <w:hideMark/>
          </w:tcPr>
          <w:p w14:paraId="239FCD56" w14:textId="77777777" w:rsidR="00570ADD" w:rsidRPr="00570ADD" w:rsidRDefault="00570ADD" w:rsidP="00F0266C">
            <w:pPr>
              <w:spacing w:before="24" w:after="0" w:line="240" w:lineRule="auto"/>
              <w:jc w:val="right"/>
              <w:rPr>
                <w:rFonts w:ascii="Arial" w:hAnsi="Arial" w:cs="Arial"/>
                <w:b/>
                <w:bCs/>
                <w:sz w:val="16"/>
                <w:szCs w:val="16"/>
              </w:rPr>
            </w:pPr>
            <w:r w:rsidRPr="00570ADD">
              <w:rPr>
                <w:rFonts w:ascii="Arial" w:hAnsi="Arial" w:cs="Arial"/>
                <w:b/>
                <w:bCs/>
                <w:sz w:val="16"/>
                <w:szCs w:val="16"/>
              </w:rPr>
              <w:t xml:space="preserve">Buildings </w:t>
            </w:r>
            <w:r w:rsidRPr="00570ADD">
              <w:rPr>
                <w:rFonts w:ascii="Arial" w:hAnsi="Arial" w:cs="Arial"/>
                <w:b/>
                <w:bCs/>
                <w:sz w:val="16"/>
                <w:szCs w:val="16"/>
              </w:rPr>
              <w:br/>
            </w:r>
            <w:r w:rsidRPr="00570ADD">
              <w:rPr>
                <w:rFonts w:ascii="Arial" w:hAnsi="Arial" w:cs="Arial"/>
                <w:b/>
                <w:bCs/>
                <w:sz w:val="16"/>
                <w:szCs w:val="16"/>
              </w:rPr>
              <w:br/>
            </w:r>
            <w:r w:rsidRPr="00570ADD">
              <w:rPr>
                <w:rFonts w:ascii="Arial" w:hAnsi="Arial" w:cs="Arial"/>
                <w:b/>
                <w:bCs/>
                <w:sz w:val="16"/>
                <w:szCs w:val="16"/>
              </w:rPr>
              <w:br/>
            </w:r>
            <w:r w:rsidRPr="00570ADD">
              <w:rPr>
                <w:rFonts w:ascii="Arial" w:hAnsi="Arial" w:cs="Arial"/>
                <w:sz w:val="16"/>
                <w:szCs w:val="16"/>
              </w:rPr>
              <w:t>$'000</w:t>
            </w:r>
          </w:p>
        </w:tc>
        <w:tc>
          <w:tcPr>
            <w:tcW w:w="1460" w:type="dxa"/>
            <w:tcBorders>
              <w:top w:val="single" w:sz="4" w:space="0" w:color="auto"/>
              <w:left w:val="nil"/>
              <w:bottom w:val="single" w:sz="4" w:space="0" w:color="auto"/>
              <w:right w:val="nil"/>
            </w:tcBorders>
            <w:shd w:val="clear" w:color="auto" w:fill="auto"/>
            <w:hideMark/>
          </w:tcPr>
          <w:p w14:paraId="44951AE2" w14:textId="77777777" w:rsidR="00570ADD" w:rsidRPr="00570ADD" w:rsidRDefault="00570ADD" w:rsidP="00F0266C">
            <w:pPr>
              <w:spacing w:before="24" w:after="0" w:line="240" w:lineRule="auto"/>
              <w:jc w:val="right"/>
              <w:rPr>
                <w:rFonts w:ascii="Arial" w:hAnsi="Arial" w:cs="Arial"/>
                <w:b/>
                <w:bCs/>
                <w:sz w:val="16"/>
                <w:szCs w:val="16"/>
              </w:rPr>
            </w:pPr>
            <w:r w:rsidRPr="00570ADD">
              <w:rPr>
                <w:rFonts w:ascii="Arial" w:hAnsi="Arial" w:cs="Arial"/>
                <w:b/>
                <w:bCs/>
                <w:sz w:val="16"/>
                <w:szCs w:val="16"/>
              </w:rPr>
              <w:t>Property,</w:t>
            </w:r>
            <w:r w:rsidRPr="00570ADD">
              <w:rPr>
                <w:rFonts w:ascii="Arial" w:hAnsi="Arial" w:cs="Arial"/>
                <w:b/>
                <w:bCs/>
                <w:sz w:val="16"/>
                <w:szCs w:val="16"/>
              </w:rPr>
              <w:br/>
              <w:t xml:space="preserve">plant and </w:t>
            </w:r>
            <w:r w:rsidRPr="00570ADD">
              <w:rPr>
                <w:rFonts w:ascii="Arial" w:hAnsi="Arial" w:cs="Arial"/>
                <w:b/>
                <w:bCs/>
                <w:sz w:val="16"/>
                <w:szCs w:val="16"/>
              </w:rPr>
              <w:br/>
              <w:t xml:space="preserve">equipment </w:t>
            </w:r>
            <w:r w:rsidRPr="00570ADD">
              <w:rPr>
                <w:rFonts w:ascii="Arial" w:hAnsi="Arial" w:cs="Arial"/>
                <w:b/>
                <w:bCs/>
                <w:sz w:val="16"/>
                <w:szCs w:val="16"/>
              </w:rPr>
              <w:br/>
            </w:r>
            <w:r w:rsidRPr="00570ADD">
              <w:rPr>
                <w:rFonts w:ascii="Arial" w:hAnsi="Arial" w:cs="Arial"/>
                <w:sz w:val="16"/>
                <w:szCs w:val="16"/>
              </w:rPr>
              <w:t>$'000</w:t>
            </w:r>
          </w:p>
        </w:tc>
        <w:tc>
          <w:tcPr>
            <w:tcW w:w="1080" w:type="dxa"/>
            <w:tcBorders>
              <w:top w:val="single" w:sz="4" w:space="0" w:color="auto"/>
              <w:left w:val="nil"/>
              <w:bottom w:val="single" w:sz="4" w:space="0" w:color="auto"/>
              <w:right w:val="nil"/>
            </w:tcBorders>
            <w:shd w:val="clear" w:color="auto" w:fill="auto"/>
            <w:hideMark/>
          </w:tcPr>
          <w:p w14:paraId="2735243F" w14:textId="77777777" w:rsidR="00570ADD" w:rsidRPr="00570ADD" w:rsidRDefault="00570ADD" w:rsidP="00F0266C">
            <w:pPr>
              <w:spacing w:before="24" w:after="0" w:line="240" w:lineRule="auto"/>
              <w:jc w:val="right"/>
              <w:rPr>
                <w:rFonts w:ascii="Arial" w:hAnsi="Arial" w:cs="Arial"/>
                <w:b/>
                <w:bCs/>
                <w:sz w:val="16"/>
                <w:szCs w:val="16"/>
              </w:rPr>
            </w:pPr>
            <w:r w:rsidRPr="00570ADD">
              <w:rPr>
                <w:rFonts w:ascii="Arial" w:hAnsi="Arial" w:cs="Arial"/>
                <w:b/>
                <w:bCs/>
                <w:sz w:val="16"/>
                <w:szCs w:val="16"/>
              </w:rPr>
              <w:t>Intangibles</w:t>
            </w:r>
            <w:r w:rsidRPr="00570ADD">
              <w:rPr>
                <w:rFonts w:ascii="Arial" w:hAnsi="Arial" w:cs="Arial"/>
                <w:sz w:val="16"/>
                <w:szCs w:val="16"/>
              </w:rPr>
              <w:t xml:space="preserve"> </w:t>
            </w:r>
            <w:r w:rsidRPr="00570ADD">
              <w:rPr>
                <w:rFonts w:ascii="Arial" w:hAnsi="Arial" w:cs="Arial"/>
                <w:sz w:val="16"/>
                <w:szCs w:val="16"/>
              </w:rPr>
              <w:br/>
            </w:r>
            <w:r w:rsidRPr="00570ADD">
              <w:rPr>
                <w:rFonts w:ascii="Arial" w:hAnsi="Arial" w:cs="Arial"/>
                <w:sz w:val="16"/>
                <w:szCs w:val="16"/>
              </w:rPr>
              <w:br/>
            </w:r>
            <w:r w:rsidRPr="00570ADD">
              <w:rPr>
                <w:rFonts w:ascii="Arial" w:hAnsi="Arial" w:cs="Arial"/>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3CBC5E0D" w14:textId="77777777" w:rsidR="00570ADD" w:rsidRPr="00570ADD" w:rsidRDefault="00570ADD" w:rsidP="00F0266C">
            <w:pPr>
              <w:spacing w:before="24" w:after="0" w:line="240" w:lineRule="auto"/>
              <w:jc w:val="right"/>
              <w:rPr>
                <w:rFonts w:ascii="Arial" w:hAnsi="Arial" w:cs="Arial"/>
                <w:b/>
                <w:bCs/>
                <w:sz w:val="16"/>
                <w:szCs w:val="16"/>
              </w:rPr>
            </w:pPr>
            <w:r w:rsidRPr="00570ADD">
              <w:rPr>
                <w:rFonts w:ascii="Arial" w:hAnsi="Arial" w:cs="Arial"/>
                <w:b/>
                <w:bCs/>
                <w:sz w:val="16"/>
                <w:szCs w:val="16"/>
              </w:rPr>
              <w:t xml:space="preserve">Total </w:t>
            </w:r>
            <w:r w:rsidRPr="00570ADD">
              <w:rPr>
                <w:rFonts w:ascii="Arial" w:hAnsi="Arial" w:cs="Arial"/>
                <w:b/>
                <w:bCs/>
                <w:sz w:val="16"/>
                <w:szCs w:val="16"/>
              </w:rPr>
              <w:br/>
            </w:r>
            <w:r w:rsidRPr="00570ADD">
              <w:rPr>
                <w:rFonts w:ascii="Arial" w:hAnsi="Arial" w:cs="Arial"/>
                <w:b/>
                <w:bCs/>
                <w:sz w:val="16"/>
                <w:szCs w:val="16"/>
              </w:rPr>
              <w:br/>
            </w:r>
            <w:r w:rsidRPr="00570ADD">
              <w:rPr>
                <w:rFonts w:ascii="Arial" w:hAnsi="Arial" w:cs="Arial"/>
                <w:b/>
                <w:bCs/>
                <w:sz w:val="16"/>
                <w:szCs w:val="16"/>
              </w:rPr>
              <w:br/>
            </w:r>
            <w:r w:rsidRPr="00570ADD">
              <w:rPr>
                <w:rFonts w:ascii="Arial" w:hAnsi="Arial" w:cs="Arial"/>
                <w:sz w:val="16"/>
                <w:szCs w:val="16"/>
              </w:rPr>
              <w:t>$'000</w:t>
            </w:r>
          </w:p>
        </w:tc>
      </w:tr>
      <w:tr w:rsidR="00570ADD" w:rsidRPr="00570ADD" w14:paraId="7A12445A"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05F685E7" w14:textId="77777777" w:rsidR="00570ADD" w:rsidRPr="00570ADD" w:rsidRDefault="00570ADD" w:rsidP="00570ADD">
            <w:pPr>
              <w:spacing w:before="0" w:after="0" w:line="240" w:lineRule="auto"/>
              <w:rPr>
                <w:rFonts w:ascii="Arial" w:hAnsi="Arial" w:cs="Arial"/>
                <w:b/>
                <w:bCs/>
                <w:sz w:val="16"/>
                <w:szCs w:val="16"/>
              </w:rPr>
            </w:pPr>
            <w:r w:rsidRPr="00570ADD">
              <w:rPr>
                <w:rFonts w:ascii="Arial" w:hAnsi="Arial" w:cs="Arial"/>
                <w:b/>
                <w:bCs/>
                <w:sz w:val="16"/>
                <w:szCs w:val="16"/>
              </w:rPr>
              <w:t xml:space="preserve">As </w:t>
            </w:r>
            <w:proofErr w:type="gramStart"/>
            <w:r w:rsidRPr="00570ADD">
              <w:rPr>
                <w:rFonts w:ascii="Arial" w:hAnsi="Arial" w:cs="Arial"/>
                <w:b/>
                <w:bCs/>
                <w:sz w:val="16"/>
                <w:szCs w:val="16"/>
              </w:rPr>
              <w:t>at</w:t>
            </w:r>
            <w:proofErr w:type="gramEnd"/>
            <w:r w:rsidRPr="00570ADD">
              <w:rPr>
                <w:rFonts w:ascii="Arial" w:hAnsi="Arial" w:cs="Arial"/>
                <w:b/>
                <w:bCs/>
                <w:sz w:val="16"/>
                <w:szCs w:val="16"/>
              </w:rPr>
              <w:t xml:space="preserve"> 1 July 2023</w:t>
            </w:r>
          </w:p>
        </w:tc>
        <w:tc>
          <w:tcPr>
            <w:tcW w:w="1080" w:type="dxa"/>
            <w:tcBorders>
              <w:top w:val="nil"/>
              <w:left w:val="nil"/>
              <w:bottom w:val="nil"/>
              <w:right w:val="nil"/>
            </w:tcBorders>
            <w:shd w:val="clear" w:color="auto" w:fill="auto"/>
            <w:noWrap/>
            <w:vAlign w:val="bottom"/>
            <w:hideMark/>
          </w:tcPr>
          <w:p w14:paraId="5D7B9368" w14:textId="77777777" w:rsidR="00570ADD" w:rsidRPr="00570ADD" w:rsidRDefault="00570ADD" w:rsidP="00570ADD">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68D2E83A"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7E23E50A"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4216A705" w14:textId="77777777" w:rsidR="00570ADD" w:rsidRPr="00570ADD" w:rsidRDefault="00570ADD" w:rsidP="00570ADD">
            <w:pPr>
              <w:spacing w:before="0" w:after="0" w:line="240" w:lineRule="auto"/>
              <w:jc w:val="right"/>
              <w:rPr>
                <w:rFonts w:ascii="Times New Roman" w:hAnsi="Times New Roman"/>
                <w:sz w:val="20"/>
              </w:rPr>
            </w:pPr>
          </w:p>
        </w:tc>
      </w:tr>
      <w:tr w:rsidR="00570ADD" w:rsidRPr="00570ADD" w14:paraId="7827BE8D"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29D53339"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Gross book value </w:t>
            </w:r>
          </w:p>
        </w:tc>
        <w:tc>
          <w:tcPr>
            <w:tcW w:w="1080" w:type="dxa"/>
            <w:tcBorders>
              <w:top w:val="nil"/>
              <w:left w:val="nil"/>
              <w:bottom w:val="nil"/>
              <w:right w:val="nil"/>
            </w:tcBorders>
            <w:shd w:val="clear" w:color="auto" w:fill="auto"/>
            <w:noWrap/>
            <w:vAlign w:val="bottom"/>
            <w:hideMark/>
          </w:tcPr>
          <w:p w14:paraId="731AD55D"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8,074</w:t>
            </w:r>
          </w:p>
        </w:tc>
        <w:tc>
          <w:tcPr>
            <w:tcW w:w="1460" w:type="dxa"/>
            <w:tcBorders>
              <w:top w:val="nil"/>
              <w:left w:val="nil"/>
              <w:bottom w:val="nil"/>
              <w:right w:val="nil"/>
            </w:tcBorders>
            <w:shd w:val="clear" w:color="auto" w:fill="auto"/>
            <w:noWrap/>
            <w:vAlign w:val="bottom"/>
            <w:hideMark/>
          </w:tcPr>
          <w:p w14:paraId="677851CF"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8,628</w:t>
            </w:r>
          </w:p>
        </w:tc>
        <w:tc>
          <w:tcPr>
            <w:tcW w:w="1080" w:type="dxa"/>
            <w:tcBorders>
              <w:top w:val="nil"/>
              <w:left w:val="nil"/>
              <w:bottom w:val="nil"/>
              <w:right w:val="nil"/>
            </w:tcBorders>
            <w:shd w:val="clear" w:color="auto" w:fill="auto"/>
            <w:noWrap/>
            <w:vAlign w:val="bottom"/>
            <w:hideMark/>
          </w:tcPr>
          <w:p w14:paraId="0DE76A50"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3,118</w:t>
            </w:r>
          </w:p>
        </w:tc>
        <w:tc>
          <w:tcPr>
            <w:tcW w:w="1080" w:type="dxa"/>
            <w:tcBorders>
              <w:top w:val="nil"/>
              <w:left w:val="nil"/>
              <w:bottom w:val="nil"/>
              <w:right w:val="nil"/>
            </w:tcBorders>
            <w:shd w:val="clear" w:color="auto" w:fill="auto"/>
            <w:noWrap/>
            <w:vAlign w:val="bottom"/>
            <w:hideMark/>
          </w:tcPr>
          <w:p w14:paraId="01E63910"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19,820</w:t>
            </w:r>
          </w:p>
        </w:tc>
      </w:tr>
      <w:tr w:rsidR="00570ADD" w:rsidRPr="00570ADD" w14:paraId="42CE9E78"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27C619B8"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Gross book value - </w:t>
            </w:r>
            <w:proofErr w:type="spellStart"/>
            <w:r w:rsidRPr="00570ADD">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75D56103"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44,799</w:t>
            </w:r>
          </w:p>
        </w:tc>
        <w:tc>
          <w:tcPr>
            <w:tcW w:w="1460" w:type="dxa"/>
            <w:tcBorders>
              <w:top w:val="nil"/>
              <w:left w:val="nil"/>
              <w:bottom w:val="nil"/>
              <w:right w:val="nil"/>
            </w:tcBorders>
            <w:shd w:val="clear" w:color="auto" w:fill="auto"/>
            <w:noWrap/>
            <w:vAlign w:val="bottom"/>
            <w:hideMark/>
          </w:tcPr>
          <w:p w14:paraId="15F7A0A3"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57DA3A19"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69F3A35A"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44,799</w:t>
            </w:r>
          </w:p>
        </w:tc>
      </w:tr>
      <w:tr w:rsidR="00570ADD" w:rsidRPr="00570ADD" w14:paraId="617CDB51" w14:textId="77777777" w:rsidTr="00F415D3">
        <w:trPr>
          <w:trHeight w:val="425"/>
          <w:jc w:val="center"/>
        </w:trPr>
        <w:tc>
          <w:tcPr>
            <w:tcW w:w="3160" w:type="dxa"/>
            <w:tcBorders>
              <w:top w:val="nil"/>
              <w:left w:val="nil"/>
              <w:bottom w:val="nil"/>
              <w:right w:val="nil"/>
            </w:tcBorders>
            <w:shd w:val="clear" w:color="auto" w:fill="auto"/>
            <w:vAlign w:val="bottom"/>
            <w:hideMark/>
          </w:tcPr>
          <w:p w14:paraId="0BA23538"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Accumulated depreciation/ amortisation and impairment</w:t>
            </w:r>
          </w:p>
        </w:tc>
        <w:tc>
          <w:tcPr>
            <w:tcW w:w="1080" w:type="dxa"/>
            <w:tcBorders>
              <w:top w:val="nil"/>
              <w:left w:val="nil"/>
              <w:bottom w:val="nil"/>
              <w:right w:val="nil"/>
            </w:tcBorders>
            <w:shd w:val="clear" w:color="auto" w:fill="auto"/>
            <w:noWrap/>
            <w:vAlign w:val="bottom"/>
            <w:hideMark/>
          </w:tcPr>
          <w:p w14:paraId="68E04DBA"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(4,278)</w:t>
            </w:r>
          </w:p>
        </w:tc>
        <w:tc>
          <w:tcPr>
            <w:tcW w:w="1460" w:type="dxa"/>
            <w:tcBorders>
              <w:top w:val="nil"/>
              <w:left w:val="nil"/>
              <w:bottom w:val="nil"/>
              <w:right w:val="nil"/>
            </w:tcBorders>
            <w:shd w:val="clear" w:color="auto" w:fill="auto"/>
            <w:noWrap/>
            <w:vAlign w:val="bottom"/>
            <w:hideMark/>
          </w:tcPr>
          <w:p w14:paraId="0012D51B"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(5,746)</w:t>
            </w:r>
          </w:p>
        </w:tc>
        <w:tc>
          <w:tcPr>
            <w:tcW w:w="1080" w:type="dxa"/>
            <w:tcBorders>
              <w:top w:val="nil"/>
              <w:left w:val="nil"/>
              <w:bottom w:val="nil"/>
              <w:right w:val="nil"/>
            </w:tcBorders>
            <w:shd w:val="clear" w:color="auto" w:fill="auto"/>
            <w:noWrap/>
            <w:vAlign w:val="bottom"/>
            <w:hideMark/>
          </w:tcPr>
          <w:p w14:paraId="6D861BF0"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(1,544)</w:t>
            </w:r>
          </w:p>
        </w:tc>
        <w:tc>
          <w:tcPr>
            <w:tcW w:w="1080" w:type="dxa"/>
            <w:tcBorders>
              <w:top w:val="nil"/>
              <w:left w:val="nil"/>
              <w:bottom w:val="nil"/>
              <w:right w:val="nil"/>
            </w:tcBorders>
            <w:shd w:val="clear" w:color="auto" w:fill="auto"/>
            <w:noWrap/>
            <w:vAlign w:val="bottom"/>
            <w:hideMark/>
          </w:tcPr>
          <w:p w14:paraId="4CEAA9B1"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(11,568)</w:t>
            </w:r>
          </w:p>
        </w:tc>
      </w:tr>
      <w:tr w:rsidR="00570ADD" w:rsidRPr="00570ADD" w14:paraId="7CE1B67A" w14:textId="77777777" w:rsidTr="00F415D3">
        <w:trPr>
          <w:trHeight w:val="425"/>
          <w:jc w:val="center"/>
        </w:trPr>
        <w:tc>
          <w:tcPr>
            <w:tcW w:w="3160" w:type="dxa"/>
            <w:tcBorders>
              <w:top w:val="nil"/>
              <w:left w:val="nil"/>
              <w:bottom w:val="nil"/>
              <w:right w:val="nil"/>
            </w:tcBorders>
            <w:shd w:val="clear" w:color="auto" w:fill="auto"/>
            <w:vAlign w:val="bottom"/>
            <w:hideMark/>
          </w:tcPr>
          <w:p w14:paraId="0DF6A179"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Accumulated depreciation/ amortisation and impairment - </w:t>
            </w:r>
            <w:proofErr w:type="spellStart"/>
            <w:r w:rsidRPr="00570ADD">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499D59C7"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(17,922)</w:t>
            </w:r>
          </w:p>
        </w:tc>
        <w:tc>
          <w:tcPr>
            <w:tcW w:w="1460" w:type="dxa"/>
            <w:tcBorders>
              <w:top w:val="nil"/>
              <w:left w:val="nil"/>
              <w:bottom w:val="nil"/>
              <w:right w:val="nil"/>
            </w:tcBorders>
            <w:shd w:val="clear" w:color="auto" w:fill="auto"/>
            <w:noWrap/>
            <w:vAlign w:val="bottom"/>
            <w:hideMark/>
          </w:tcPr>
          <w:p w14:paraId="3489F153"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2AFBC250"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175A43A4"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(17,922)</w:t>
            </w:r>
          </w:p>
        </w:tc>
      </w:tr>
      <w:tr w:rsidR="00570ADD" w:rsidRPr="00570ADD" w14:paraId="3345DA2B"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7A226698" w14:textId="77777777" w:rsidR="00570ADD" w:rsidRPr="00570ADD" w:rsidRDefault="00570ADD" w:rsidP="00570ADD">
            <w:pPr>
              <w:spacing w:before="0" w:after="0" w:line="240" w:lineRule="auto"/>
              <w:ind w:leftChars="75" w:left="143"/>
              <w:rPr>
                <w:rFonts w:ascii="Arial" w:hAnsi="Arial" w:cs="Arial"/>
                <w:b/>
                <w:bCs/>
                <w:sz w:val="16"/>
                <w:szCs w:val="16"/>
              </w:rPr>
            </w:pPr>
            <w:r w:rsidRPr="00570ADD">
              <w:rPr>
                <w:rFonts w:ascii="Arial" w:hAnsi="Arial" w:cs="Arial"/>
                <w:b/>
                <w:bCs/>
                <w:sz w:val="16"/>
                <w:szCs w:val="16"/>
              </w:rPr>
              <w:t>Opening net book balance</w:t>
            </w:r>
          </w:p>
        </w:tc>
        <w:tc>
          <w:tcPr>
            <w:tcW w:w="1080" w:type="dxa"/>
            <w:tcBorders>
              <w:top w:val="single" w:sz="4" w:space="0" w:color="auto"/>
              <w:left w:val="nil"/>
              <w:bottom w:val="single" w:sz="4" w:space="0" w:color="auto"/>
              <w:right w:val="nil"/>
            </w:tcBorders>
            <w:shd w:val="clear" w:color="auto" w:fill="auto"/>
            <w:noWrap/>
            <w:vAlign w:val="bottom"/>
            <w:hideMark/>
          </w:tcPr>
          <w:p w14:paraId="14C6D43A"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30,673</w:t>
            </w:r>
          </w:p>
        </w:tc>
        <w:tc>
          <w:tcPr>
            <w:tcW w:w="1460" w:type="dxa"/>
            <w:tcBorders>
              <w:top w:val="single" w:sz="4" w:space="0" w:color="auto"/>
              <w:left w:val="nil"/>
              <w:bottom w:val="single" w:sz="4" w:space="0" w:color="auto"/>
              <w:right w:val="nil"/>
            </w:tcBorders>
            <w:shd w:val="clear" w:color="auto" w:fill="auto"/>
            <w:noWrap/>
            <w:vAlign w:val="bottom"/>
            <w:hideMark/>
          </w:tcPr>
          <w:p w14:paraId="2AC8640D"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2,882</w:t>
            </w:r>
          </w:p>
        </w:tc>
        <w:tc>
          <w:tcPr>
            <w:tcW w:w="1080" w:type="dxa"/>
            <w:tcBorders>
              <w:top w:val="single" w:sz="4" w:space="0" w:color="auto"/>
              <w:left w:val="nil"/>
              <w:bottom w:val="single" w:sz="4" w:space="0" w:color="auto"/>
              <w:right w:val="nil"/>
            </w:tcBorders>
            <w:shd w:val="clear" w:color="auto" w:fill="auto"/>
            <w:noWrap/>
            <w:vAlign w:val="bottom"/>
            <w:hideMark/>
          </w:tcPr>
          <w:p w14:paraId="64B31C4A"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1,574</w:t>
            </w:r>
          </w:p>
        </w:tc>
        <w:tc>
          <w:tcPr>
            <w:tcW w:w="1080" w:type="dxa"/>
            <w:tcBorders>
              <w:top w:val="single" w:sz="4" w:space="0" w:color="auto"/>
              <w:left w:val="nil"/>
              <w:bottom w:val="single" w:sz="4" w:space="0" w:color="auto"/>
              <w:right w:val="nil"/>
            </w:tcBorders>
            <w:shd w:val="clear" w:color="auto" w:fill="auto"/>
            <w:noWrap/>
            <w:vAlign w:val="bottom"/>
            <w:hideMark/>
          </w:tcPr>
          <w:p w14:paraId="46512D5B"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35,129</w:t>
            </w:r>
          </w:p>
        </w:tc>
      </w:tr>
      <w:tr w:rsidR="00570ADD" w:rsidRPr="00570ADD" w14:paraId="3B8C9483" w14:textId="77777777" w:rsidTr="00F415D3">
        <w:trPr>
          <w:trHeight w:val="283"/>
          <w:jc w:val="center"/>
        </w:trPr>
        <w:tc>
          <w:tcPr>
            <w:tcW w:w="3160" w:type="dxa"/>
            <w:tcBorders>
              <w:top w:val="nil"/>
              <w:left w:val="nil"/>
              <w:bottom w:val="nil"/>
              <w:right w:val="nil"/>
            </w:tcBorders>
            <w:shd w:val="clear" w:color="auto" w:fill="auto"/>
            <w:noWrap/>
            <w:vAlign w:val="bottom"/>
            <w:hideMark/>
          </w:tcPr>
          <w:p w14:paraId="19CF82DC" w14:textId="77777777" w:rsidR="00570ADD" w:rsidRPr="00570ADD" w:rsidRDefault="00570ADD" w:rsidP="00570ADD">
            <w:pPr>
              <w:spacing w:before="0" w:after="0" w:line="240" w:lineRule="auto"/>
              <w:rPr>
                <w:rFonts w:ascii="Arial" w:hAnsi="Arial" w:cs="Arial"/>
                <w:b/>
                <w:bCs/>
                <w:sz w:val="16"/>
                <w:szCs w:val="16"/>
              </w:rPr>
            </w:pPr>
            <w:r w:rsidRPr="00570ADD">
              <w:rPr>
                <w:rFonts w:ascii="Arial" w:hAnsi="Arial" w:cs="Arial"/>
                <w:b/>
                <w:bCs/>
                <w:sz w:val="16"/>
                <w:szCs w:val="16"/>
              </w:rPr>
              <w:t>CAPITAL ASSET ADDITIONS</w:t>
            </w:r>
          </w:p>
        </w:tc>
        <w:tc>
          <w:tcPr>
            <w:tcW w:w="1080" w:type="dxa"/>
            <w:tcBorders>
              <w:top w:val="nil"/>
              <w:left w:val="nil"/>
              <w:bottom w:val="nil"/>
              <w:right w:val="nil"/>
            </w:tcBorders>
            <w:shd w:val="clear" w:color="auto" w:fill="auto"/>
            <w:noWrap/>
            <w:vAlign w:val="bottom"/>
            <w:hideMark/>
          </w:tcPr>
          <w:p w14:paraId="48DBE03A" w14:textId="77777777" w:rsidR="00570ADD" w:rsidRPr="00570ADD" w:rsidRDefault="00570ADD" w:rsidP="00570ADD">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3635F4A7"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4EF76D81"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0530C89B" w14:textId="77777777" w:rsidR="00570ADD" w:rsidRPr="00570ADD" w:rsidRDefault="00570ADD" w:rsidP="00570ADD">
            <w:pPr>
              <w:spacing w:before="0" w:after="0" w:line="240" w:lineRule="auto"/>
              <w:jc w:val="right"/>
              <w:rPr>
                <w:rFonts w:ascii="Times New Roman" w:hAnsi="Times New Roman"/>
                <w:sz w:val="20"/>
              </w:rPr>
            </w:pPr>
          </w:p>
        </w:tc>
      </w:tr>
      <w:tr w:rsidR="00570ADD" w:rsidRPr="00570ADD" w14:paraId="0752F5FE" w14:textId="77777777" w:rsidTr="00F415D3">
        <w:trPr>
          <w:trHeight w:val="425"/>
          <w:jc w:val="center"/>
        </w:trPr>
        <w:tc>
          <w:tcPr>
            <w:tcW w:w="3160" w:type="dxa"/>
            <w:tcBorders>
              <w:top w:val="nil"/>
              <w:left w:val="nil"/>
              <w:bottom w:val="nil"/>
              <w:right w:val="nil"/>
            </w:tcBorders>
            <w:shd w:val="clear" w:color="auto" w:fill="auto"/>
            <w:vAlign w:val="bottom"/>
            <w:hideMark/>
          </w:tcPr>
          <w:p w14:paraId="1B2A33E4" w14:textId="77777777" w:rsidR="00570ADD" w:rsidRPr="00570ADD" w:rsidRDefault="00570ADD" w:rsidP="00570ADD">
            <w:pPr>
              <w:spacing w:before="0" w:after="0" w:line="240" w:lineRule="auto"/>
              <w:ind w:leftChars="75" w:left="143"/>
              <w:rPr>
                <w:rFonts w:ascii="Arial" w:hAnsi="Arial" w:cs="Arial"/>
                <w:b/>
                <w:bCs/>
                <w:sz w:val="16"/>
                <w:szCs w:val="16"/>
              </w:rPr>
            </w:pPr>
            <w:r w:rsidRPr="00570ADD">
              <w:rPr>
                <w:rFonts w:ascii="Arial" w:hAnsi="Arial" w:cs="Arial"/>
                <w:b/>
                <w:bCs/>
                <w:sz w:val="16"/>
                <w:szCs w:val="16"/>
              </w:rPr>
              <w:t>Estimated expenditure on new or replacement assets</w:t>
            </w:r>
          </w:p>
        </w:tc>
        <w:tc>
          <w:tcPr>
            <w:tcW w:w="1080" w:type="dxa"/>
            <w:tcBorders>
              <w:top w:val="nil"/>
              <w:left w:val="nil"/>
              <w:bottom w:val="nil"/>
              <w:right w:val="nil"/>
            </w:tcBorders>
            <w:shd w:val="clear" w:color="auto" w:fill="auto"/>
            <w:noWrap/>
            <w:vAlign w:val="bottom"/>
            <w:hideMark/>
          </w:tcPr>
          <w:p w14:paraId="3D15848D" w14:textId="77777777" w:rsidR="00570ADD" w:rsidRPr="00570ADD" w:rsidRDefault="00570ADD" w:rsidP="00570ADD">
            <w:pPr>
              <w:spacing w:before="0" w:after="0" w:line="240" w:lineRule="auto"/>
              <w:ind w:firstLineChars="100" w:firstLine="161"/>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7D8ADD13"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53502986"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4555CAD4" w14:textId="77777777" w:rsidR="00570ADD" w:rsidRPr="00570ADD" w:rsidRDefault="00570ADD" w:rsidP="00570ADD">
            <w:pPr>
              <w:spacing w:before="0" w:after="0" w:line="240" w:lineRule="auto"/>
              <w:jc w:val="right"/>
              <w:rPr>
                <w:rFonts w:ascii="Times New Roman" w:hAnsi="Times New Roman"/>
                <w:sz w:val="20"/>
              </w:rPr>
            </w:pPr>
          </w:p>
        </w:tc>
      </w:tr>
      <w:tr w:rsidR="00570ADD" w:rsidRPr="00570ADD" w14:paraId="12ABF6FB"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14B3D5FC" w14:textId="77777777" w:rsidR="00570ADD" w:rsidRPr="00570ADD" w:rsidRDefault="00570ADD" w:rsidP="00570ADD">
            <w:pPr>
              <w:spacing w:before="0" w:after="0" w:line="240" w:lineRule="auto"/>
              <w:ind w:leftChars="75" w:left="143"/>
              <w:rPr>
                <w:rFonts w:ascii="Arial" w:hAnsi="Arial" w:cs="Arial"/>
                <w:color w:val="000000"/>
                <w:sz w:val="16"/>
                <w:szCs w:val="16"/>
              </w:rPr>
            </w:pPr>
            <w:r w:rsidRPr="00570ADD">
              <w:rPr>
                <w:rFonts w:ascii="Arial" w:hAnsi="Arial" w:cs="Arial"/>
                <w:color w:val="000000"/>
                <w:sz w:val="16"/>
                <w:szCs w:val="16"/>
              </w:rPr>
              <w:t>By purchase - appropriation equity</w:t>
            </w:r>
          </w:p>
        </w:tc>
        <w:tc>
          <w:tcPr>
            <w:tcW w:w="1080" w:type="dxa"/>
            <w:tcBorders>
              <w:top w:val="nil"/>
              <w:left w:val="nil"/>
              <w:bottom w:val="nil"/>
              <w:right w:val="nil"/>
            </w:tcBorders>
            <w:shd w:val="clear" w:color="auto" w:fill="auto"/>
            <w:noWrap/>
            <w:vAlign w:val="bottom"/>
            <w:hideMark/>
          </w:tcPr>
          <w:p w14:paraId="5224EDAD"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460" w:type="dxa"/>
            <w:tcBorders>
              <w:top w:val="nil"/>
              <w:left w:val="nil"/>
              <w:bottom w:val="nil"/>
              <w:right w:val="nil"/>
            </w:tcBorders>
            <w:shd w:val="clear" w:color="auto" w:fill="auto"/>
            <w:noWrap/>
            <w:vAlign w:val="bottom"/>
            <w:hideMark/>
          </w:tcPr>
          <w:p w14:paraId="6DBEEA79"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503621FC"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47C2AE77"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w:t>
            </w:r>
          </w:p>
        </w:tc>
      </w:tr>
      <w:tr w:rsidR="00570ADD" w:rsidRPr="00570ADD" w14:paraId="6B746BEB"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6A2EB64D" w14:textId="77777777" w:rsidR="00570ADD" w:rsidRPr="00570ADD" w:rsidRDefault="00570ADD" w:rsidP="00570ADD">
            <w:pPr>
              <w:spacing w:before="0" w:after="0" w:line="240" w:lineRule="auto"/>
              <w:ind w:leftChars="75" w:left="143"/>
              <w:rPr>
                <w:rFonts w:ascii="Arial" w:hAnsi="Arial" w:cs="Arial"/>
                <w:color w:val="000000"/>
                <w:sz w:val="16"/>
                <w:szCs w:val="16"/>
              </w:rPr>
            </w:pPr>
            <w:r w:rsidRPr="00570ADD">
              <w:rPr>
                <w:rFonts w:ascii="Arial" w:hAnsi="Arial" w:cs="Arial"/>
                <w:color w:val="000000"/>
                <w:sz w:val="16"/>
                <w:szCs w:val="16"/>
              </w:rPr>
              <w:t>By purchase - internal resources</w:t>
            </w:r>
          </w:p>
        </w:tc>
        <w:tc>
          <w:tcPr>
            <w:tcW w:w="1080" w:type="dxa"/>
            <w:tcBorders>
              <w:top w:val="nil"/>
              <w:left w:val="nil"/>
              <w:bottom w:val="nil"/>
              <w:right w:val="nil"/>
            </w:tcBorders>
            <w:shd w:val="clear" w:color="auto" w:fill="auto"/>
            <w:noWrap/>
            <w:vAlign w:val="bottom"/>
            <w:hideMark/>
          </w:tcPr>
          <w:p w14:paraId="1D148DE1"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1,000</w:t>
            </w:r>
          </w:p>
        </w:tc>
        <w:tc>
          <w:tcPr>
            <w:tcW w:w="1460" w:type="dxa"/>
            <w:tcBorders>
              <w:top w:val="nil"/>
              <w:left w:val="nil"/>
              <w:bottom w:val="nil"/>
              <w:right w:val="nil"/>
            </w:tcBorders>
            <w:shd w:val="clear" w:color="auto" w:fill="auto"/>
            <w:noWrap/>
            <w:vAlign w:val="bottom"/>
            <w:hideMark/>
          </w:tcPr>
          <w:p w14:paraId="3893A56A"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945</w:t>
            </w:r>
          </w:p>
        </w:tc>
        <w:tc>
          <w:tcPr>
            <w:tcW w:w="1080" w:type="dxa"/>
            <w:tcBorders>
              <w:top w:val="nil"/>
              <w:left w:val="nil"/>
              <w:bottom w:val="nil"/>
              <w:right w:val="nil"/>
            </w:tcBorders>
            <w:shd w:val="clear" w:color="auto" w:fill="auto"/>
            <w:noWrap/>
            <w:vAlign w:val="bottom"/>
            <w:hideMark/>
          </w:tcPr>
          <w:p w14:paraId="133DA196"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3E6CB54F"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1,945</w:t>
            </w:r>
          </w:p>
        </w:tc>
      </w:tr>
      <w:tr w:rsidR="00570ADD" w:rsidRPr="00570ADD" w14:paraId="3602DA74"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6C5CF680"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By purchase - </w:t>
            </w:r>
            <w:proofErr w:type="spellStart"/>
            <w:r w:rsidRPr="00570ADD">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45698E80"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1,099</w:t>
            </w:r>
          </w:p>
        </w:tc>
        <w:tc>
          <w:tcPr>
            <w:tcW w:w="1460" w:type="dxa"/>
            <w:tcBorders>
              <w:top w:val="nil"/>
              <w:left w:val="nil"/>
              <w:bottom w:val="nil"/>
              <w:right w:val="nil"/>
            </w:tcBorders>
            <w:shd w:val="clear" w:color="auto" w:fill="auto"/>
            <w:noWrap/>
            <w:vAlign w:val="bottom"/>
            <w:hideMark/>
          </w:tcPr>
          <w:p w14:paraId="7D8CA408"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177DB774"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4CF38A06"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1,099</w:t>
            </w:r>
          </w:p>
        </w:tc>
      </w:tr>
      <w:tr w:rsidR="00570ADD" w:rsidRPr="00570ADD" w14:paraId="23285B36"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2683588D" w14:textId="77777777" w:rsidR="00570ADD" w:rsidRPr="00570ADD" w:rsidRDefault="00570ADD" w:rsidP="00570ADD">
            <w:pPr>
              <w:spacing w:before="0" w:after="0" w:line="240" w:lineRule="auto"/>
              <w:ind w:leftChars="75" w:left="143"/>
              <w:rPr>
                <w:rFonts w:ascii="Arial" w:hAnsi="Arial" w:cs="Arial"/>
                <w:b/>
                <w:bCs/>
                <w:color w:val="000000"/>
                <w:sz w:val="16"/>
                <w:szCs w:val="16"/>
              </w:rPr>
            </w:pPr>
            <w:r w:rsidRPr="00570ADD">
              <w:rPr>
                <w:rFonts w:ascii="Arial" w:hAnsi="Arial" w:cs="Arial"/>
                <w:b/>
                <w:bCs/>
                <w:color w:val="000000"/>
                <w:sz w:val="16"/>
                <w:szCs w:val="16"/>
              </w:rPr>
              <w:t>Total additions</w:t>
            </w:r>
          </w:p>
        </w:tc>
        <w:tc>
          <w:tcPr>
            <w:tcW w:w="1080" w:type="dxa"/>
            <w:tcBorders>
              <w:top w:val="single" w:sz="4" w:space="0" w:color="auto"/>
              <w:left w:val="nil"/>
              <w:bottom w:val="single" w:sz="4" w:space="0" w:color="auto"/>
              <w:right w:val="nil"/>
            </w:tcBorders>
            <w:shd w:val="clear" w:color="auto" w:fill="auto"/>
            <w:noWrap/>
            <w:vAlign w:val="bottom"/>
            <w:hideMark/>
          </w:tcPr>
          <w:p w14:paraId="17E8ECD8"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2,099</w:t>
            </w:r>
          </w:p>
        </w:tc>
        <w:tc>
          <w:tcPr>
            <w:tcW w:w="1460" w:type="dxa"/>
            <w:tcBorders>
              <w:top w:val="single" w:sz="4" w:space="0" w:color="auto"/>
              <w:left w:val="nil"/>
              <w:bottom w:val="single" w:sz="4" w:space="0" w:color="auto"/>
              <w:right w:val="nil"/>
            </w:tcBorders>
            <w:shd w:val="clear" w:color="auto" w:fill="auto"/>
            <w:noWrap/>
            <w:vAlign w:val="bottom"/>
            <w:hideMark/>
          </w:tcPr>
          <w:p w14:paraId="5DD2E938"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945</w:t>
            </w:r>
          </w:p>
        </w:tc>
        <w:tc>
          <w:tcPr>
            <w:tcW w:w="1080" w:type="dxa"/>
            <w:tcBorders>
              <w:top w:val="single" w:sz="4" w:space="0" w:color="auto"/>
              <w:left w:val="nil"/>
              <w:bottom w:val="single" w:sz="4" w:space="0" w:color="auto"/>
              <w:right w:val="nil"/>
            </w:tcBorders>
            <w:shd w:val="clear" w:color="auto" w:fill="auto"/>
            <w:noWrap/>
            <w:vAlign w:val="bottom"/>
            <w:hideMark/>
          </w:tcPr>
          <w:p w14:paraId="7F49DF82"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bottom"/>
            <w:hideMark/>
          </w:tcPr>
          <w:p w14:paraId="50107A15"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3,044</w:t>
            </w:r>
          </w:p>
        </w:tc>
      </w:tr>
      <w:tr w:rsidR="00570ADD" w:rsidRPr="00570ADD" w14:paraId="50D8F0EA" w14:textId="77777777" w:rsidTr="00F415D3">
        <w:trPr>
          <w:trHeight w:val="283"/>
          <w:jc w:val="center"/>
        </w:trPr>
        <w:tc>
          <w:tcPr>
            <w:tcW w:w="3160" w:type="dxa"/>
            <w:tcBorders>
              <w:top w:val="nil"/>
              <w:left w:val="nil"/>
              <w:bottom w:val="nil"/>
              <w:right w:val="nil"/>
            </w:tcBorders>
            <w:shd w:val="clear" w:color="auto" w:fill="auto"/>
            <w:noWrap/>
            <w:vAlign w:val="bottom"/>
            <w:hideMark/>
          </w:tcPr>
          <w:p w14:paraId="5E3FE974" w14:textId="77777777" w:rsidR="00570ADD" w:rsidRPr="00570ADD" w:rsidRDefault="00570ADD" w:rsidP="00570ADD">
            <w:pPr>
              <w:spacing w:before="0" w:after="0" w:line="240" w:lineRule="auto"/>
              <w:rPr>
                <w:rFonts w:ascii="Arial" w:hAnsi="Arial" w:cs="Arial"/>
                <w:b/>
                <w:bCs/>
                <w:sz w:val="16"/>
                <w:szCs w:val="16"/>
              </w:rPr>
            </w:pPr>
            <w:r w:rsidRPr="00570ADD">
              <w:rPr>
                <w:rFonts w:ascii="Arial" w:hAnsi="Arial" w:cs="Arial"/>
                <w:b/>
                <w:bCs/>
                <w:sz w:val="16"/>
                <w:szCs w:val="16"/>
              </w:rPr>
              <w:t>Other movements</w:t>
            </w:r>
          </w:p>
        </w:tc>
        <w:tc>
          <w:tcPr>
            <w:tcW w:w="1080" w:type="dxa"/>
            <w:tcBorders>
              <w:top w:val="nil"/>
              <w:left w:val="nil"/>
              <w:bottom w:val="nil"/>
              <w:right w:val="nil"/>
            </w:tcBorders>
            <w:shd w:val="clear" w:color="auto" w:fill="auto"/>
            <w:noWrap/>
            <w:vAlign w:val="bottom"/>
            <w:hideMark/>
          </w:tcPr>
          <w:p w14:paraId="54EBE1E1" w14:textId="77777777" w:rsidR="00570ADD" w:rsidRPr="00570ADD" w:rsidRDefault="00570ADD" w:rsidP="00570ADD">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bottom"/>
            <w:hideMark/>
          </w:tcPr>
          <w:p w14:paraId="78454D4D"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15B377A4"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bottom"/>
            <w:hideMark/>
          </w:tcPr>
          <w:p w14:paraId="21017B03" w14:textId="77777777" w:rsidR="00570ADD" w:rsidRPr="00570ADD" w:rsidRDefault="00570ADD" w:rsidP="00570ADD">
            <w:pPr>
              <w:spacing w:before="0" w:after="0" w:line="240" w:lineRule="auto"/>
              <w:jc w:val="right"/>
              <w:rPr>
                <w:rFonts w:ascii="Times New Roman" w:hAnsi="Times New Roman"/>
                <w:sz w:val="20"/>
              </w:rPr>
            </w:pPr>
          </w:p>
        </w:tc>
      </w:tr>
      <w:tr w:rsidR="00570ADD" w:rsidRPr="00570ADD" w14:paraId="3B70ABC8"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2D9F1E25"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Depreciation/amortisation expense</w:t>
            </w:r>
          </w:p>
        </w:tc>
        <w:tc>
          <w:tcPr>
            <w:tcW w:w="1080" w:type="dxa"/>
            <w:tcBorders>
              <w:top w:val="nil"/>
              <w:left w:val="nil"/>
              <w:bottom w:val="nil"/>
              <w:right w:val="nil"/>
            </w:tcBorders>
            <w:shd w:val="clear" w:color="auto" w:fill="auto"/>
            <w:noWrap/>
            <w:vAlign w:val="bottom"/>
            <w:hideMark/>
          </w:tcPr>
          <w:p w14:paraId="4C5442D0"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(655)</w:t>
            </w:r>
          </w:p>
        </w:tc>
        <w:tc>
          <w:tcPr>
            <w:tcW w:w="1460" w:type="dxa"/>
            <w:tcBorders>
              <w:top w:val="nil"/>
              <w:left w:val="nil"/>
              <w:bottom w:val="nil"/>
              <w:right w:val="nil"/>
            </w:tcBorders>
            <w:shd w:val="clear" w:color="auto" w:fill="auto"/>
            <w:noWrap/>
            <w:vAlign w:val="bottom"/>
            <w:hideMark/>
          </w:tcPr>
          <w:p w14:paraId="57940971"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(945)</w:t>
            </w:r>
          </w:p>
        </w:tc>
        <w:tc>
          <w:tcPr>
            <w:tcW w:w="1080" w:type="dxa"/>
            <w:tcBorders>
              <w:top w:val="nil"/>
              <w:left w:val="nil"/>
              <w:bottom w:val="nil"/>
              <w:right w:val="nil"/>
            </w:tcBorders>
            <w:shd w:val="clear" w:color="auto" w:fill="auto"/>
            <w:noWrap/>
            <w:vAlign w:val="bottom"/>
            <w:hideMark/>
          </w:tcPr>
          <w:p w14:paraId="653B12C2"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(200)</w:t>
            </w:r>
          </w:p>
        </w:tc>
        <w:tc>
          <w:tcPr>
            <w:tcW w:w="1080" w:type="dxa"/>
            <w:tcBorders>
              <w:top w:val="nil"/>
              <w:left w:val="nil"/>
              <w:bottom w:val="nil"/>
              <w:right w:val="nil"/>
            </w:tcBorders>
            <w:shd w:val="clear" w:color="auto" w:fill="auto"/>
            <w:noWrap/>
            <w:vAlign w:val="bottom"/>
            <w:hideMark/>
          </w:tcPr>
          <w:p w14:paraId="264B8D18"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(1,800)</w:t>
            </w:r>
          </w:p>
        </w:tc>
      </w:tr>
      <w:tr w:rsidR="00570ADD" w:rsidRPr="00570ADD" w14:paraId="0BC139AD" w14:textId="77777777" w:rsidTr="00F415D3">
        <w:trPr>
          <w:trHeight w:val="425"/>
          <w:jc w:val="center"/>
        </w:trPr>
        <w:tc>
          <w:tcPr>
            <w:tcW w:w="3160" w:type="dxa"/>
            <w:tcBorders>
              <w:top w:val="nil"/>
              <w:left w:val="nil"/>
              <w:bottom w:val="nil"/>
              <w:right w:val="nil"/>
            </w:tcBorders>
            <w:shd w:val="clear" w:color="auto" w:fill="auto"/>
            <w:vAlign w:val="bottom"/>
            <w:hideMark/>
          </w:tcPr>
          <w:p w14:paraId="6C7AFE3B"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Depreciation/amortisation expense - </w:t>
            </w:r>
            <w:proofErr w:type="spellStart"/>
            <w:r w:rsidRPr="00570ADD">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457810D3"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(4,794)</w:t>
            </w:r>
          </w:p>
        </w:tc>
        <w:tc>
          <w:tcPr>
            <w:tcW w:w="1460" w:type="dxa"/>
            <w:tcBorders>
              <w:top w:val="nil"/>
              <w:left w:val="nil"/>
              <w:bottom w:val="nil"/>
              <w:right w:val="nil"/>
            </w:tcBorders>
            <w:shd w:val="clear" w:color="auto" w:fill="auto"/>
            <w:noWrap/>
            <w:vAlign w:val="bottom"/>
            <w:hideMark/>
          </w:tcPr>
          <w:p w14:paraId="2A2A3E01"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31996D8D"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660C951C"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(4,794)</w:t>
            </w:r>
          </w:p>
        </w:tc>
      </w:tr>
      <w:tr w:rsidR="00570ADD" w:rsidRPr="00570ADD" w14:paraId="4D84B7A4"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0ECE67E9" w14:textId="77777777" w:rsidR="00570ADD" w:rsidRPr="00570ADD" w:rsidRDefault="00570ADD" w:rsidP="00570ADD">
            <w:pPr>
              <w:spacing w:before="0" w:after="0" w:line="240" w:lineRule="auto"/>
              <w:ind w:leftChars="75" w:left="143"/>
              <w:rPr>
                <w:rFonts w:ascii="Arial" w:hAnsi="Arial" w:cs="Arial"/>
                <w:b/>
                <w:bCs/>
                <w:color w:val="000000"/>
                <w:sz w:val="16"/>
                <w:szCs w:val="16"/>
              </w:rPr>
            </w:pPr>
            <w:r w:rsidRPr="00570ADD">
              <w:rPr>
                <w:rFonts w:ascii="Arial" w:hAnsi="Arial" w:cs="Arial"/>
                <w:b/>
                <w:bCs/>
                <w:color w:val="000000"/>
                <w:sz w:val="16"/>
                <w:szCs w:val="16"/>
              </w:rPr>
              <w:t>Total other movements</w:t>
            </w:r>
          </w:p>
        </w:tc>
        <w:tc>
          <w:tcPr>
            <w:tcW w:w="1080" w:type="dxa"/>
            <w:tcBorders>
              <w:top w:val="single" w:sz="4" w:space="0" w:color="auto"/>
              <w:left w:val="nil"/>
              <w:bottom w:val="single" w:sz="4" w:space="0" w:color="auto"/>
              <w:right w:val="nil"/>
            </w:tcBorders>
            <w:shd w:val="clear" w:color="auto" w:fill="auto"/>
            <w:noWrap/>
            <w:vAlign w:val="bottom"/>
            <w:hideMark/>
          </w:tcPr>
          <w:p w14:paraId="1F7502C1"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(5,449)</w:t>
            </w:r>
          </w:p>
        </w:tc>
        <w:tc>
          <w:tcPr>
            <w:tcW w:w="1460" w:type="dxa"/>
            <w:tcBorders>
              <w:top w:val="single" w:sz="4" w:space="0" w:color="auto"/>
              <w:left w:val="nil"/>
              <w:bottom w:val="single" w:sz="4" w:space="0" w:color="auto"/>
              <w:right w:val="nil"/>
            </w:tcBorders>
            <w:shd w:val="clear" w:color="auto" w:fill="auto"/>
            <w:noWrap/>
            <w:vAlign w:val="bottom"/>
            <w:hideMark/>
          </w:tcPr>
          <w:p w14:paraId="66F766ED"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(945)</w:t>
            </w:r>
          </w:p>
        </w:tc>
        <w:tc>
          <w:tcPr>
            <w:tcW w:w="1080" w:type="dxa"/>
            <w:tcBorders>
              <w:top w:val="single" w:sz="4" w:space="0" w:color="auto"/>
              <w:left w:val="nil"/>
              <w:bottom w:val="single" w:sz="4" w:space="0" w:color="auto"/>
              <w:right w:val="nil"/>
            </w:tcBorders>
            <w:shd w:val="clear" w:color="auto" w:fill="auto"/>
            <w:noWrap/>
            <w:vAlign w:val="bottom"/>
            <w:hideMark/>
          </w:tcPr>
          <w:p w14:paraId="3C347082"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(200)</w:t>
            </w:r>
          </w:p>
        </w:tc>
        <w:tc>
          <w:tcPr>
            <w:tcW w:w="1080" w:type="dxa"/>
            <w:tcBorders>
              <w:top w:val="single" w:sz="4" w:space="0" w:color="auto"/>
              <w:left w:val="nil"/>
              <w:bottom w:val="single" w:sz="4" w:space="0" w:color="auto"/>
              <w:right w:val="nil"/>
            </w:tcBorders>
            <w:shd w:val="clear" w:color="auto" w:fill="auto"/>
            <w:noWrap/>
            <w:vAlign w:val="bottom"/>
            <w:hideMark/>
          </w:tcPr>
          <w:p w14:paraId="42CCFFF8"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(6,594)</w:t>
            </w:r>
          </w:p>
        </w:tc>
      </w:tr>
      <w:tr w:rsidR="00570ADD" w:rsidRPr="00570ADD" w14:paraId="6AA7E807" w14:textId="77777777" w:rsidTr="00F415D3">
        <w:trPr>
          <w:trHeight w:val="283"/>
          <w:jc w:val="center"/>
        </w:trPr>
        <w:tc>
          <w:tcPr>
            <w:tcW w:w="3160" w:type="dxa"/>
            <w:tcBorders>
              <w:top w:val="nil"/>
              <w:left w:val="nil"/>
              <w:bottom w:val="nil"/>
              <w:right w:val="nil"/>
            </w:tcBorders>
            <w:shd w:val="clear" w:color="auto" w:fill="auto"/>
            <w:noWrap/>
            <w:vAlign w:val="bottom"/>
            <w:hideMark/>
          </w:tcPr>
          <w:p w14:paraId="7785F3A7" w14:textId="77777777" w:rsidR="00570ADD" w:rsidRPr="00570ADD" w:rsidRDefault="00570ADD" w:rsidP="00570ADD">
            <w:pPr>
              <w:spacing w:before="0" w:after="0" w:line="240" w:lineRule="auto"/>
              <w:rPr>
                <w:rFonts w:ascii="Arial" w:hAnsi="Arial" w:cs="Arial"/>
                <w:b/>
                <w:bCs/>
                <w:sz w:val="16"/>
                <w:szCs w:val="16"/>
              </w:rPr>
            </w:pPr>
            <w:r w:rsidRPr="00570ADD">
              <w:rPr>
                <w:rFonts w:ascii="Arial" w:hAnsi="Arial" w:cs="Arial"/>
                <w:b/>
                <w:bCs/>
                <w:sz w:val="16"/>
                <w:szCs w:val="16"/>
              </w:rPr>
              <w:t xml:space="preserve">As </w:t>
            </w:r>
            <w:proofErr w:type="gramStart"/>
            <w:r w:rsidRPr="00570ADD">
              <w:rPr>
                <w:rFonts w:ascii="Arial" w:hAnsi="Arial" w:cs="Arial"/>
                <w:b/>
                <w:bCs/>
                <w:sz w:val="16"/>
                <w:szCs w:val="16"/>
              </w:rPr>
              <w:t>at</w:t>
            </w:r>
            <w:proofErr w:type="gramEnd"/>
            <w:r w:rsidRPr="00570ADD">
              <w:rPr>
                <w:rFonts w:ascii="Arial" w:hAnsi="Arial" w:cs="Arial"/>
                <w:b/>
                <w:bCs/>
                <w:sz w:val="16"/>
                <w:szCs w:val="16"/>
              </w:rPr>
              <w:t xml:space="preserve"> 30 June 2024</w:t>
            </w:r>
          </w:p>
        </w:tc>
        <w:tc>
          <w:tcPr>
            <w:tcW w:w="1080" w:type="dxa"/>
            <w:tcBorders>
              <w:top w:val="nil"/>
              <w:left w:val="nil"/>
              <w:bottom w:val="nil"/>
              <w:right w:val="nil"/>
            </w:tcBorders>
            <w:shd w:val="clear" w:color="auto" w:fill="auto"/>
            <w:noWrap/>
            <w:vAlign w:val="center"/>
            <w:hideMark/>
          </w:tcPr>
          <w:p w14:paraId="68E14F24" w14:textId="77777777" w:rsidR="00570ADD" w:rsidRPr="00570ADD" w:rsidRDefault="00570ADD" w:rsidP="00570ADD">
            <w:pPr>
              <w:spacing w:before="0" w:after="0" w:line="240" w:lineRule="auto"/>
              <w:rPr>
                <w:rFonts w:ascii="Arial" w:hAnsi="Arial" w:cs="Arial"/>
                <w:b/>
                <w:bCs/>
                <w:sz w:val="16"/>
                <w:szCs w:val="16"/>
              </w:rPr>
            </w:pPr>
          </w:p>
        </w:tc>
        <w:tc>
          <w:tcPr>
            <w:tcW w:w="1460" w:type="dxa"/>
            <w:tcBorders>
              <w:top w:val="nil"/>
              <w:left w:val="nil"/>
              <w:bottom w:val="nil"/>
              <w:right w:val="nil"/>
            </w:tcBorders>
            <w:shd w:val="clear" w:color="auto" w:fill="auto"/>
            <w:noWrap/>
            <w:vAlign w:val="center"/>
            <w:hideMark/>
          </w:tcPr>
          <w:p w14:paraId="26A6137D"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center"/>
            <w:hideMark/>
          </w:tcPr>
          <w:p w14:paraId="4C465C1B" w14:textId="77777777" w:rsidR="00570ADD" w:rsidRPr="00570ADD" w:rsidRDefault="00570ADD" w:rsidP="00570ADD">
            <w:pPr>
              <w:spacing w:before="0" w:after="0" w:line="240" w:lineRule="auto"/>
              <w:jc w:val="right"/>
              <w:rPr>
                <w:rFonts w:ascii="Times New Roman" w:hAnsi="Times New Roman"/>
                <w:sz w:val="20"/>
              </w:rPr>
            </w:pPr>
          </w:p>
        </w:tc>
        <w:tc>
          <w:tcPr>
            <w:tcW w:w="1080" w:type="dxa"/>
            <w:tcBorders>
              <w:top w:val="nil"/>
              <w:left w:val="nil"/>
              <w:bottom w:val="nil"/>
              <w:right w:val="nil"/>
            </w:tcBorders>
            <w:shd w:val="clear" w:color="auto" w:fill="auto"/>
            <w:noWrap/>
            <w:vAlign w:val="center"/>
            <w:hideMark/>
          </w:tcPr>
          <w:p w14:paraId="42484C67" w14:textId="77777777" w:rsidR="00570ADD" w:rsidRPr="00570ADD" w:rsidRDefault="00570ADD" w:rsidP="00570ADD">
            <w:pPr>
              <w:spacing w:before="0" w:after="0" w:line="240" w:lineRule="auto"/>
              <w:jc w:val="right"/>
              <w:rPr>
                <w:rFonts w:ascii="Times New Roman" w:hAnsi="Times New Roman"/>
                <w:sz w:val="20"/>
              </w:rPr>
            </w:pPr>
          </w:p>
        </w:tc>
      </w:tr>
      <w:tr w:rsidR="00570ADD" w:rsidRPr="00570ADD" w14:paraId="7DC7D167"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467D41DD"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Gross book value</w:t>
            </w:r>
          </w:p>
        </w:tc>
        <w:tc>
          <w:tcPr>
            <w:tcW w:w="1080" w:type="dxa"/>
            <w:tcBorders>
              <w:top w:val="nil"/>
              <w:left w:val="nil"/>
              <w:bottom w:val="nil"/>
              <w:right w:val="nil"/>
            </w:tcBorders>
            <w:shd w:val="clear" w:color="auto" w:fill="auto"/>
            <w:noWrap/>
            <w:vAlign w:val="bottom"/>
            <w:hideMark/>
          </w:tcPr>
          <w:p w14:paraId="4E5495A6"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9,074</w:t>
            </w:r>
          </w:p>
        </w:tc>
        <w:tc>
          <w:tcPr>
            <w:tcW w:w="1460" w:type="dxa"/>
            <w:tcBorders>
              <w:top w:val="nil"/>
              <w:left w:val="nil"/>
              <w:bottom w:val="nil"/>
              <w:right w:val="nil"/>
            </w:tcBorders>
            <w:shd w:val="clear" w:color="auto" w:fill="auto"/>
            <w:noWrap/>
            <w:vAlign w:val="bottom"/>
            <w:hideMark/>
          </w:tcPr>
          <w:p w14:paraId="1DFDDD65"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9,573</w:t>
            </w:r>
          </w:p>
        </w:tc>
        <w:tc>
          <w:tcPr>
            <w:tcW w:w="1080" w:type="dxa"/>
            <w:tcBorders>
              <w:top w:val="nil"/>
              <w:left w:val="nil"/>
              <w:bottom w:val="nil"/>
              <w:right w:val="nil"/>
            </w:tcBorders>
            <w:shd w:val="clear" w:color="auto" w:fill="auto"/>
            <w:noWrap/>
            <w:vAlign w:val="bottom"/>
            <w:hideMark/>
          </w:tcPr>
          <w:p w14:paraId="2F23283C"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3,118</w:t>
            </w:r>
          </w:p>
        </w:tc>
        <w:tc>
          <w:tcPr>
            <w:tcW w:w="1080" w:type="dxa"/>
            <w:tcBorders>
              <w:top w:val="nil"/>
              <w:left w:val="nil"/>
              <w:bottom w:val="nil"/>
              <w:right w:val="nil"/>
            </w:tcBorders>
            <w:shd w:val="clear" w:color="auto" w:fill="auto"/>
            <w:noWrap/>
            <w:vAlign w:val="bottom"/>
            <w:hideMark/>
          </w:tcPr>
          <w:p w14:paraId="72CB56A4"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21,765</w:t>
            </w:r>
          </w:p>
        </w:tc>
      </w:tr>
      <w:tr w:rsidR="00570ADD" w:rsidRPr="00570ADD" w14:paraId="5F08B121" w14:textId="77777777" w:rsidTr="00570ADD">
        <w:trPr>
          <w:trHeight w:val="225"/>
          <w:jc w:val="center"/>
        </w:trPr>
        <w:tc>
          <w:tcPr>
            <w:tcW w:w="3160" w:type="dxa"/>
            <w:tcBorders>
              <w:top w:val="nil"/>
              <w:left w:val="nil"/>
              <w:bottom w:val="nil"/>
              <w:right w:val="nil"/>
            </w:tcBorders>
            <w:shd w:val="clear" w:color="auto" w:fill="auto"/>
            <w:noWrap/>
            <w:vAlign w:val="bottom"/>
            <w:hideMark/>
          </w:tcPr>
          <w:p w14:paraId="75B9581F"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Gross book value - </w:t>
            </w:r>
            <w:proofErr w:type="spellStart"/>
            <w:r w:rsidRPr="00570ADD">
              <w:rPr>
                <w:rFonts w:ascii="Arial" w:hAnsi="Arial" w:cs="Arial"/>
                <w:sz w:val="16"/>
                <w:szCs w:val="16"/>
              </w:rPr>
              <w:t>RoU</w:t>
            </w:r>
            <w:proofErr w:type="spellEnd"/>
          </w:p>
        </w:tc>
        <w:tc>
          <w:tcPr>
            <w:tcW w:w="1080" w:type="dxa"/>
            <w:tcBorders>
              <w:top w:val="nil"/>
              <w:left w:val="nil"/>
              <w:bottom w:val="nil"/>
              <w:right w:val="nil"/>
            </w:tcBorders>
            <w:shd w:val="clear" w:color="auto" w:fill="auto"/>
            <w:noWrap/>
            <w:vAlign w:val="bottom"/>
            <w:hideMark/>
          </w:tcPr>
          <w:p w14:paraId="62769944"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45,898</w:t>
            </w:r>
          </w:p>
        </w:tc>
        <w:tc>
          <w:tcPr>
            <w:tcW w:w="1460" w:type="dxa"/>
            <w:tcBorders>
              <w:top w:val="nil"/>
              <w:left w:val="nil"/>
              <w:bottom w:val="nil"/>
              <w:right w:val="nil"/>
            </w:tcBorders>
            <w:shd w:val="clear" w:color="auto" w:fill="auto"/>
            <w:noWrap/>
            <w:vAlign w:val="bottom"/>
            <w:hideMark/>
          </w:tcPr>
          <w:p w14:paraId="7AE2B737"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669BC04D"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nil"/>
              <w:right w:val="nil"/>
            </w:tcBorders>
            <w:shd w:val="clear" w:color="auto" w:fill="auto"/>
            <w:noWrap/>
            <w:vAlign w:val="bottom"/>
            <w:hideMark/>
          </w:tcPr>
          <w:p w14:paraId="002D259D"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45,898</w:t>
            </w:r>
          </w:p>
        </w:tc>
      </w:tr>
      <w:tr w:rsidR="00570ADD" w:rsidRPr="00570ADD" w14:paraId="05D0CA37" w14:textId="77777777" w:rsidTr="00F415D3">
        <w:trPr>
          <w:trHeight w:val="425"/>
          <w:jc w:val="center"/>
        </w:trPr>
        <w:tc>
          <w:tcPr>
            <w:tcW w:w="3160" w:type="dxa"/>
            <w:tcBorders>
              <w:top w:val="nil"/>
              <w:left w:val="nil"/>
              <w:bottom w:val="nil"/>
              <w:right w:val="nil"/>
            </w:tcBorders>
            <w:shd w:val="clear" w:color="auto" w:fill="auto"/>
            <w:vAlign w:val="bottom"/>
            <w:hideMark/>
          </w:tcPr>
          <w:p w14:paraId="6B802890"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Accumulated depreciation/amortisation and impairment</w:t>
            </w:r>
          </w:p>
        </w:tc>
        <w:tc>
          <w:tcPr>
            <w:tcW w:w="1080" w:type="dxa"/>
            <w:tcBorders>
              <w:top w:val="nil"/>
              <w:left w:val="nil"/>
              <w:bottom w:val="nil"/>
              <w:right w:val="nil"/>
            </w:tcBorders>
            <w:shd w:val="clear" w:color="auto" w:fill="auto"/>
            <w:noWrap/>
            <w:vAlign w:val="bottom"/>
            <w:hideMark/>
          </w:tcPr>
          <w:p w14:paraId="2EA101EB"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(4,933)</w:t>
            </w:r>
          </w:p>
        </w:tc>
        <w:tc>
          <w:tcPr>
            <w:tcW w:w="1460" w:type="dxa"/>
            <w:tcBorders>
              <w:top w:val="nil"/>
              <w:left w:val="nil"/>
              <w:bottom w:val="nil"/>
              <w:right w:val="nil"/>
            </w:tcBorders>
            <w:shd w:val="clear" w:color="auto" w:fill="auto"/>
            <w:noWrap/>
            <w:vAlign w:val="bottom"/>
            <w:hideMark/>
          </w:tcPr>
          <w:p w14:paraId="71D35388"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(6,691)</w:t>
            </w:r>
          </w:p>
        </w:tc>
        <w:tc>
          <w:tcPr>
            <w:tcW w:w="1080" w:type="dxa"/>
            <w:tcBorders>
              <w:top w:val="nil"/>
              <w:left w:val="nil"/>
              <w:bottom w:val="nil"/>
              <w:right w:val="nil"/>
            </w:tcBorders>
            <w:shd w:val="clear" w:color="auto" w:fill="auto"/>
            <w:noWrap/>
            <w:vAlign w:val="bottom"/>
            <w:hideMark/>
          </w:tcPr>
          <w:p w14:paraId="53388D54"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(1,744)</w:t>
            </w:r>
          </w:p>
        </w:tc>
        <w:tc>
          <w:tcPr>
            <w:tcW w:w="1080" w:type="dxa"/>
            <w:tcBorders>
              <w:top w:val="nil"/>
              <w:left w:val="nil"/>
              <w:bottom w:val="nil"/>
              <w:right w:val="nil"/>
            </w:tcBorders>
            <w:shd w:val="clear" w:color="auto" w:fill="auto"/>
            <w:noWrap/>
            <w:vAlign w:val="bottom"/>
            <w:hideMark/>
          </w:tcPr>
          <w:p w14:paraId="3B92B259"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(13,368)</w:t>
            </w:r>
          </w:p>
        </w:tc>
      </w:tr>
      <w:tr w:rsidR="00570ADD" w:rsidRPr="00570ADD" w14:paraId="5D5A9F88" w14:textId="77777777" w:rsidTr="00F415D3">
        <w:trPr>
          <w:trHeight w:val="425"/>
          <w:jc w:val="center"/>
        </w:trPr>
        <w:tc>
          <w:tcPr>
            <w:tcW w:w="3160" w:type="dxa"/>
            <w:tcBorders>
              <w:top w:val="nil"/>
              <w:left w:val="nil"/>
              <w:bottom w:val="nil"/>
              <w:right w:val="nil"/>
            </w:tcBorders>
            <w:shd w:val="clear" w:color="auto" w:fill="auto"/>
            <w:vAlign w:val="bottom"/>
            <w:hideMark/>
          </w:tcPr>
          <w:p w14:paraId="35EA5734" w14:textId="77777777" w:rsidR="00570ADD" w:rsidRPr="00570ADD" w:rsidRDefault="00570ADD" w:rsidP="00570ADD">
            <w:pPr>
              <w:spacing w:before="0" w:after="0" w:line="240" w:lineRule="auto"/>
              <w:ind w:leftChars="75" w:left="143"/>
              <w:rPr>
                <w:rFonts w:ascii="Arial" w:hAnsi="Arial" w:cs="Arial"/>
                <w:sz w:val="16"/>
                <w:szCs w:val="16"/>
              </w:rPr>
            </w:pPr>
            <w:r w:rsidRPr="00570ADD">
              <w:rPr>
                <w:rFonts w:ascii="Arial" w:hAnsi="Arial" w:cs="Arial"/>
                <w:sz w:val="16"/>
                <w:szCs w:val="16"/>
              </w:rPr>
              <w:t xml:space="preserve">Accumulated depreciation/amortisation and impairment - </w:t>
            </w:r>
            <w:proofErr w:type="spellStart"/>
            <w:r w:rsidRPr="00570ADD">
              <w:rPr>
                <w:rFonts w:ascii="Arial" w:hAnsi="Arial" w:cs="Arial"/>
                <w:sz w:val="16"/>
                <w:szCs w:val="16"/>
              </w:rPr>
              <w:t>RoU</w:t>
            </w:r>
            <w:proofErr w:type="spellEnd"/>
          </w:p>
        </w:tc>
        <w:tc>
          <w:tcPr>
            <w:tcW w:w="1080" w:type="dxa"/>
            <w:tcBorders>
              <w:top w:val="nil"/>
              <w:left w:val="nil"/>
              <w:bottom w:val="single" w:sz="4" w:space="0" w:color="auto"/>
              <w:right w:val="nil"/>
            </w:tcBorders>
            <w:shd w:val="clear" w:color="auto" w:fill="auto"/>
            <w:noWrap/>
            <w:vAlign w:val="bottom"/>
            <w:hideMark/>
          </w:tcPr>
          <w:p w14:paraId="7A203AB5"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(22,716)</w:t>
            </w:r>
          </w:p>
        </w:tc>
        <w:tc>
          <w:tcPr>
            <w:tcW w:w="1460" w:type="dxa"/>
            <w:tcBorders>
              <w:top w:val="nil"/>
              <w:left w:val="nil"/>
              <w:bottom w:val="single" w:sz="4" w:space="0" w:color="auto"/>
              <w:right w:val="nil"/>
            </w:tcBorders>
            <w:shd w:val="clear" w:color="auto" w:fill="auto"/>
            <w:noWrap/>
            <w:vAlign w:val="bottom"/>
            <w:hideMark/>
          </w:tcPr>
          <w:p w14:paraId="41792345"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single" w:sz="4" w:space="0" w:color="auto"/>
              <w:right w:val="nil"/>
            </w:tcBorders>
            <w:shd w:val="clear" w:color="auto" w:fill="auto"/>
            <w:noWrap/>
            <w:vAlign w:val="bottom"/>
            <w:hideMark/>
          </w:tcPr>
          <w:p w14:paraId="5F4AEF19" w14:textId="77777777" w:rsidR="00570ADD" w:rsidRPr="00570ADD" w:rsidRDefault="00570ADD" w:rsidP="00570ADD">
            <w:pPr>
              <w:spacing w:before="0" w:after="0" w:line="240" w:lineRule="auto"/>
              <w:jc w:val="right"/>
              <w:rPr>
                <w:rFonts w:ascii="Arial" w:hAnsi="Arial" w:cs="Arial"/>
                <w:color w:val="000000"/>
                <w:sz w:val="16"/>
                <w:szCs w:val="16"/>
              </w:rPr>
            </w:pPr>
            <w:r w:rsidRPr="00570ADD">
              <w:rPr>
                <w:rFonts w:ascii="Arial" w:hAnsi="Arial" w:cs="Arial"/>
                <w:color w:val="000000"/>
                <w:sz w:val="16"/>
                <w:szCs w:val="16"/>
              </w:rPr>
              <w:t>-</w:t>
            </w:r>
          </w:p>
        </w:tc>
        <w:tc>
          <w:tcPr>
            <w:tcW w:w="1080" w:type="dxa"/>
            <w:tcBorders>
              <w:top w:val="nil"/>
              <w:left w:val="nil"/>
              <w:bottom w:val="single" w:sz="4" w:space="0" w:color="auto"/>
              <w:right w:val="nil"/>
            </w:tcBorders>
            <w:shd w:val="clear" w:color="auto" w:fill="auto"/>
            <w:noWrap/>
            <w:vAlign w:val="bottom"/>
            <w:hideMark/>
          </w:tcPr>
          <w:p w14:paraId="58C37489"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(22,716)</w:t>
            </w:r>
          </w:p>
        </w:tc>
      </w:tr>
      <w:tr w:rsidR="00570ADD" w:rsidRPr="00570ADD" w14:paraId="6D9CDA1F" w14:textId="77777777" w:rsidTr="00570ADD">
        <w:trPr>
          <w:trHeight w:val="225"/>
          <w:jc w:val="center"/>
        </w:trPr>
        <w:tc>
          <w:tcPr>
            <w:tcW w:w="3160" w:type="dxa"/>
            <w:tcBorders>
              <w:top w:val="nil"/>
              <w:left w:val="nil"/>
              <w:bottom w:val="single" w:sz="4" w:space="0" w:color="auto"/>
              <w:right w:val="nil"/>
            </w:tcBorders>
            <w:shd w:val="clear" w:color="auto" w:fill="auto"/>
            <w:noWrap/>
            <w:vAlign w:val="bottom"/>
            <w:hideMark/>
          </w:tcPr>
          <w:p w14:paraId="78A71698" w14:textId="77777777" w:rsidR="00570ADD" w:rsidRPr="00570ADD" w:rsidRDefault="00570ADD" w:rsidP="00570ADD">
            <w:pPr>
              <w:spacing w:before="0" w:after="0" w:line="240" w:lineRule="auto"/>
              <w:ind w:leftChars="75" w:left="143"/>
              <w:rPr>
                <w:rFonts w:ascii="Arial" w:hAnsi="Arial" w:cs="Arial"/>
                <w:b/>
                <w:bCs/>
                <w:sz w:val="16"/>
                <w:szCs w:val="16"/>
              </w:rPr>
            </w:pPr>
            <w:r w:rsidRPr="00570ADD">
              <w:rPr>
                <w:rFonts w:ascii="Arial" w:hAnsi="Arial" w:cs="Arial"/>
                <w:b/>
                <w:bCs/>
                <w:sz w:val="16"/>
                <w:szCs w:val="16"/>
              </w:rPr>
              <w:t>Closing net book balance</w:t>
            </w:r>
          </w:p>
        </w:tc>
        <w:tc>
          <w:tcPr>
            <w:tcW w:w="1080" w:type="dxa"/>
            <w:tcBorders>
              <w:top w:val="nil"/>
              <w:left w:val="nil"/>
              <w:bottom w:val="single" w:sz="4" w:space="0" w:color="auto"/>
              <w:right w:val="nil"/>
            </w:tcBorders>
            <w:shd w:val="clear" w:color="auto" w:fill="auto"/>
            <w:noWrap/>
            <w:vAlign w:val="bottom"/>
            <w:hideMark/>
          </w:tcPr>
          <w:p w14:paraId="3D1ABE87"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27,323</w:t>
            </w:r>
          </w:p>
        </w:tc>
        <w:tc>
          <w:tcPr>
            <w:tcW w:w="1460" w:type="dxa"/>
            <w:tcBorders>
              <w:top w:val="nil"/>
              <w:left w:val="nil"/>
              <w:bottom w:val="single" w:sz="4" w:space="0" w:color="auto"/>
              <w:right w:val="nil"/>
            </w:tcBorders>
            <w:shd w:val="clear" w:color="auto" w:fill="auto"/>
            <w:noWrap/>
            <w:vAlign w:val="bottom"/>
            <w:hideMark/>
          </w:tcPr>
          <w:p w14:paraId="460C1DE1"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2,882</w:t>
            </w:r>
          </w:p>
        </w:tc>
        <w:tc>
          <w:tcPr>
            <w:tcW w:w="1080" w:type="dxa"/>
            <w:tcBorders>
              <w:top w:val="nil"/>
              <w:left w:val="nil"/>
              <w:bottom w:val="single" w:sz="4" w:space="0" w:color="auto"/>
              <w:right w:val="nil"/>
            </w:tcBorders>
            <w:shd w:val="clear" w:color="auto" w:fill="auto"/>
            <w:noWrap/>
            <w:vAlign w:val="bottom"/>
            <w:hideMark/>
          </w:tcPr>
          <w:p w14:paraId="59E31C99"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1,374</w:t>
            </w:r>
          </w:p>
        </w:tc>
        <w:tc>
          <w:tcPr>
            <w:tcW w:w="1080" w:type="dxa"/>
            <w:tcBorders>
              <w:top w:val="nil"/>
              <w:left w:val="nil"/>
              <w:bottom w:val="single" w:sz="4" w:space="0" w:color="auto"/>
              <w:right w:val="nil"/>
            </w:tcBorders>
            <w:shd w:val="clear" w:color="auto" w:fill="auto"/>
            <w:noWrap/>
            <w:vAlign w:val="bottom"/>
            <w:hideMark/>
          </w:tcPr>
          <w:p w14:paraId="78CD0DF1" w14:textId="77777777" w:rsidR="00570ADD" w:rsidRPr="00570ADD" w:rsidRDefault="00570ADD" w:rsidP="00570ADD">
            <w:pPr>
              <w:spacing w:before="0" w:after="0" w:line="240" w:lineRule="auto"/>
              <w:jc w:val="right"/>
              <w:rPr>
                <w:rFonts w:ascii="Arial" w:hAnsi="Arial" w:cs="Arial"/>
                <w:b/>
                <w:bCs/>
                <w:color w:val="000000"/>
                <w:sz w:val="16"/>
                <w:szCs w:val="16"/>
              </w:rPr>
            </w:pPr>
            <w:r w:rsidRPr="00570ADD">
              <w:rPr>
                <w:rFonts w:ascii="Arial" w:hAnsi="Arial" w:cs="Arial"/>
                <w:b/>
                <w:bCs/>
                <w:color w:val="000000"/>
                <w:sz w:val="16"/>
                <w:szCs w:val="16"/>
              </w:rPr>
              <w:t>31,579</w:t>
            </w:r>
          </w:p>
        </w:tc>
      </w:tr>
    </w:tbl>
    <w:p w14:paraId="32D6E989" w14:textId="523C8A4B" w:rsidR="00275707" w:rsidRPr="005A4975" w:rsidRDefault="00275707" w:rsidP="00040579">
      <w:pPr>
        <w:pStyle w:val="FootnoteText"/>
        <w:spacing w:before="120"/>
      </w:pPr>
      <w:proofErr w:type="spellStart"/>
      <w:r w:rsidRPr="001E6884">
        <w:t>RoU</w:t>
      </w:r>
      <w:proofErr w:type="spellEnd"/>
      <w:r w:rsidRPr="001E6884">
        <w:t xml:space="preserve"> = Right-of-Use asset</w:t>
      </w:r>
    </w:p>
    <w:p w14:paraId="79CA07BB" w14:textId="09C566C6" w:rsidR="00275707" w:rsidRDefault="00E3174B" w:rsidP="00275707">
      <w:pPr>
        <w:pStyle w:val="TableGraphic"/>
      </w:pPr>
      <w:r>
        <w:br w:type="column"/>
      </w:r>
    </w:p>
    <w:p w14:paraId="21731C08" w14:textId="65B64545" w:rsidR="006621FC" w:rsidRDefault="006621FC" w:rsidP="006621FC">
      <w:pPr>
        <w:spacing w:before="0" w:after="0" w:line="240" w:lineRule="auto"/>
        <w:sectPr w:rsidR="006621FC" w:rsidSect="00B84032">
          <w:footerReference w:type="even" r:id="rId66"/>
          <w:footerReference w:type="default" r:id="rId67"/>
          <w:footerReference w:type="first" r:id="rId68"/>
          <w:pgSz w:w="11907" w:h="16840" w:code="9"/>
          <w:pgMar w:top="2835" w:right="2098" w:bottom="2466" w:left="2098" w:header="1814" w:footer="1814" w:gutter="0"/>
          <w:cols w:space="708"/>
          <w:titlePg/>
          <w:docGrid w:linePitch="360"/>
        </w:sectPr>
      </w:pPr>
    </w:p>
    <w:p w14:paraId="28631710" w14:textId="22EAB6CA" w:rsidR="00603F85" w:rsidRDefault="00D0639D" w:rsidP="00603F85">
      <w:pPr>
        <w:pStyle w:val="Heading1-NoTOC"/>
      </w:pPr>
      <w:r>
        <w:fldChar w:fldCharType="begin"/>
      </w:r>
      <w:r>
        <w:instrText xml:space="preserve"> </w:instrText>
      </w:r>
      <w:proofErr w:type="gramStart"/>
      <w:r>
        <w:instrText>TC  "</w:instrText>
      </w:r>
      <w:bookmarkStart w:id="495" w:name="_Toc157520021"/>
      <w:proofErr w:type="gramEnd"/>
      <w:r>
        <w:instrText>Organ and Tissue Authority</w:instrText>
      </w:r>
      <w:bookmarkEnd w:id="495"/>
      <w:r>
        <w:instrText xml:space="preserve">" \f m \l 2 </w:instrText>
      </w:r>
      <w:r>
        <w:fldChar w:fldCharType="end"/>
      </w:r>
      <w:r w:rsidR="00CD4749">
        <w:t>Organ and Tissue Authority</w:t>
      </w:r>
    </w:p>
    <w:p w14:paraId="014E5A80" w14:textId="71360353" w:rsidR="00A03C6C" w:rsidRDefault="00B4485A">
      <w:pPr>
        <w:pStyle w:val="TOC1"/>
        <w:rPr>
          <w:rFonts w:asciiTheme="minorHAnsi" w:eastAsiaTheme="minorEastAsia" w:hAnsiTheme="minorHAnsi" w:cstheme="minorBidi"/>
          <w:b w:val="0"/>
          <w:noProof/>
          <w:sz w:val="22"/>
          <w:szCs w:val="22"/>
        </w:rPr>
      </w:pPr>
      <w:r>
        <w:fldChar w:fldCharType="begin"/>
      </w:r>
      <w:r>
        <w:instrText xml:space="preserve"> TOC \f ota \h \z </w:instrText>
      </w:r>
      <w:r>
        <w:fldChar w:fldCharType="separate"/>
      </w:r>
      <w:hyperlink w:anchor="_Toc157591444" w:history="1">
        <w:r w:rsidR="00A03C6C" w:rsidRPr="00FC303C">
          <w:rPr>
            <w:rStyle w:val="Hyperlink"/>
            <w:noProof/>
          </w:rPr>
          <w:t>Section 1: Entity overview and resources</w:t>
        </w:r>
        <w:r w:rsidR="00A03C6C">
          <w:rPr>
            <w:noProof/>
            <w:webHidden/>
          </w:rPr>
          <w:tab/>
        </w:r>
        <w:r w:rsidR="00A03C6C">
          <w:rPr>
            <w:noProof/>
            <w:webHidden/>
          </w:rPr>
          <w:fldChar w:fldCharType="begin"/>
        </w:r>
        <w:r w:rsidR="00A03C6C">
          <w:rPr>
            <w:noProof/>
            <w:webHidden/>
          </w:rPr>
          <w:instrText xml:space="preserve"> PAGEREF _Toc157591444 \h </w:instrText>
        </w:r>
        <w:r w:rsidR="00A03C6C">
          <w:rPr>
            <w:noProof/>
            <w:webHidden/>
          </w:rPr>
        </w:r>
        <w:r w:rsidR="00A03C6C">
          <w:rPr>
            <w:noProof/>
            <w:webHidden/>
          </w:rPr>
          <w:fldChar w:fldCharType="separate"/>
        </w:r>
        <w:r w:rsidR="004344FF">
          <w:rPr>
            <w:noProof/>
            <w:webHidden/>
          </w:rPr>
          <w:t>116</w:t>
        </w:r>
        <w:r w:rsidR="00A03C6C">
          <w:rPr>
            <w:noProof/>
            <w:webHidden/>
          </w:rPr>
          <w:fldChar w:fldCharType="end"/>
        </w:r>
      </w:hyperlink>
    </w:p>
    <w:p w14:paraId="35F2897D" w14:textId="6E840A79" w:rsidR="00A03C6C" w:rsidRDefault="00000000">
      <w:pPr>
        <w:pStyle w:val="TOC2"/>
        <w:rPr>
          <w:rFonts w:asciiTheme="minorHAnsi" w:eastAsiaTheme="minorEastAsia" w:hAnsiTheme="minorHAnsi" w:cstheme="minorBidi"/>
          <w:noProof/>
          <w:sz w:val="22"/>
          <w:szCs w:val="22"/>
        </w:rPr>
      </w:pPr>
      <w:hyperlink w:anchor="_Toc157591445" w:history="1">
        <w:r w:rsidR="00A03C6C" w:rsidRPr="00FC303C">
          <w:rPr>
            <w:rStyle w:val="Hyperlink"/>
            <w:noProof/>
          </w:rPr>
          <w:t>1.1</w:t>
        </w:r>
        <w:r w:rsidR="00A03C6C">
          <w:rPr>
            <w:rFonts w:asciiTheme="minorHAnsi" w:eastAsiaTheme="minorEastAsia" w:hAnsiTheme="minorHAnsi" w:cstheme="minorBidi"/>
            <w:noProof/>
            <w:sz w:val="22"/>
            <w:szCs w:val="22"/>
          </w:rPr>
          <w:tab/>
        </w:r>
        <w:r w:rsidR="00A03C6C" w:rsidRPr="00FC303C">
          <w:rPr>
            <w:rStyle w:val="Hyperlink"/>
            <w:noProof/>
          </w:rPr>
          <w:t xml:space="preserve">Strategic direction </w:t>
        </w:r>
        <w:r w:rsidR="00C65314">
          <w:rPr>
            <w:rStyle w:val="Hyperlink"/>
            <w:noProof/>
          </w:rPr>
          <w:t>s</w:t>
        </w:r>
        <w:r w:rsidR="00A03C6C" w:rsidRPr="00FC303C">
          <w:rPr>
            <w:rStyle w:val="Hyperlink"/>
            <w:noProof/>
          </w:rPr>
          <w:t>tatement</w:t>
        </w:r>
        <w:r w:rsidR="00A03C6C">
          <w:rPr>
            <w:noProof/>
            <w:webHidden/>
          </w:rPr>
          <w:tab/>
        </w:r>
        <w:r w:rsidR="00A03C6C">
          <w:rPr>
            <w:noProof/>
            <w:webHidden/>
          </w:rPr>
          <w:fldChar w:fldCharType="begin"/>
        </w:r>
        <w:r w:rsidR="00A03C6C">
          <w:rPr>
            <w:noProof/>
            <w:webHidden/>
          </w:rPr>
          <w:instrText xml:space="preserve"> PAGEREF _Toc157591445 \h </w:instrText>
        </w:r>
        <w:r w:rsidR="00A03C6C">
          <w:rPr>
            <w:noProof/>
            <w:webHidden/>
          </w:rPr>
        </w:r>
        <w:r w:rsidR="00A03C6C">
          <w:rPr>
            <w:noProof/>
            <w:webHidden/>
          </w:rPr>
          <w:fldChar w:fldCharType="separate"/>
        </w:r>
        <w:r w:rsidR="004344FF">
          <w:rPr>
            <w:noProof/>
            <w:webHidden/>
          </w:rPr>
          <w:t>116</w:t>
        </w:r>
        <w:r w:rsidR="00A03C6C">
          <w:rPr>
            <w:noProof/>
            <w:webHidden/>
          </w:rPr>
          <w:fldChar w:fldCharType="end"/>
        </w:r>
      </w:hyperlink>
    </w:p>
    <w:p w14:paraId="3491419A" w14:textId="6CCC3F06" w:rsidR="00A03C6C" w:rsidRDefault="00000000">
      <w:pPr>
        <w:pStyle w:val="TOC2"/>
        <w:rPr>
          <w:rFonts w:asciiTheme="minorHAnsi" w:eastAsiaTheme="minorEastAsia" w:hAnsiTheme="minorHAnsi" w:cstheme="minorBidi"/>
          <w:noProof/>
          <w:sz w:val="22"/>
          <w:szCs w:val="22"/>
        </w:rPr>
      </w:pPr>
      <w:hyperlink w:anchor="_Toc157591446" w:history="1">
        <w:r w:rsidR="00A03C6C" w:rsidRPr="00FC303C">
          <w:rPr>
            <w:rStyle w:val="Hyperlink"/>
            <w:noProof/>
          </w:rPr>
          <w:t>1.2</w:t>
        </w:r>
        <w:r w:rsidR="00A03C6C">
          <w:rPr>
            <w:rFonts w:asciiTheme="minorHAnsi" w:eastAsiaTheme="minorEastAsia" w:hAnsiTheme="minorHAnsi" w:cstheme="minorBidi"/>
            <w:noProof/>
            <w:sz w:val="22"/>
            <w:szCs w:val="22"/>
          </w:rPr>
          <w:tab/>
        </w:r>
        <w:r w:rsidR="00A03C6C" w:rsidRPr="00FC303C">
          <w:rPr>
            <w:rStyle w:val="Hyperlink"/>
            <w:noProof/>
          </w:rPr>
          <w:t>Entity resource statement</w:t>
        </w:r>
        <w:r w:rsidR="00A03C6C">
          <w:rPr>
            <w:noProof/>
            <w:webHidden/>
          </w:rPr>
          <w:tab/>
        </w:r>
        <w:r w:rsidR="00A03C6C">
          <w:rPr>
            <w:noProof/>
            <w:webHidden/>
          </w:rPr>
          <w:fldChar w:fldCharType="begin"/>
        </w:r>
        <w:r w:rsidR="00A03C6C">
          <w:rPr>
            <w:noProof/>
            <w:webHidden/>
          </w:rPr>
          <w:instrText xml:space="preserve"> PAGEREF _Toc157591446 \h </w:instrText>
        </w:r>
        <w:r w:rsidR="00A03C6C">
          <w:rPr>
            <w:noProof/>
            <w:webHidden/>
          </w:rPr>
        </w:r>
        <w:r w:rsidR="00A03C6C">
          <w:rPr>
            <w:noProof/>
            <w:webHidden/>
          </w:rPr>
          <w:fldChar w:fldCharType="separate"/>
        </w:r>
        <w:r w:rsidR="004344FF">
          <w:rPr>
            <w:noProof/>
            <w:webHidden/>
          </w:rPr>
          <w:t>117</w:t>
        </w:r>
        <w:r w:rsidR="00A03C6C">
          <w:rPr>
            <w:noProof/>
            <w:webHidden/>
          </w:rPr>
          <w:fldChar w:fldCharType="end"/>
        </w:r>
      </w:hyperlink>
    </w:p>
    <w:p w14:paraId="438E70EF" w14:textId="53E75ABE" w:rsidR="00A03C6C" w:rsidRDefault="00000000">
      <w:pPr>
        <w:pStyle w:val="TOC2"/>
        <w:rPr>
          <w:rFonts w:asciiTheme="minorHAnsi" w:eastAsiaTheme="minorEastAsia" w:hAnsiTheme="minorHAnsi" w:cstheme="minorBidi"/>
          <w:noProof/>
          <w:sz w:val="22"/>
          <w:szCs w:val="22"/>
        </w:rPr>
      </w:pPr>
      <w:hyperlink w:anchor="_Toc157591447" w:history="1">
        <w:r w:rsidR="00A03C6C" w:rsidRPr="00FC303C">
          <w:rPr>
            <w:rStyle w:val="Hyperlink"/>
            <w:noProof/>
          </w:rPr>
          <w:t>1.3</w:t>
        </w:r>
        <w:r w:rsidR="00A03C6C">
          <w:rPr>
            <w:rFonts w:asciiTheme="minorHAnsi" w:eastAsiaTheme="minorEastAsia" w:hAnsiTheme="minorHAnsi" w:cstheme="minorBidi"/>
            <w:noProof/>
            <w:sz w:val="22"/>
            <w:szCs w:val="22"/>
          </w:rPr>
          <w:tab/>
        </w:r>
        <w:r w:rsidR="00A03C6C" w:rsidRPr="00FC303C">
          <w:rPr>
            <w:rStyle w:val="Hyperlink"/>
            <w:noProof/>
          </w:rPr>
          <w:t>Entity measures</w:t>
        </w:r>
        <w:r w:rsidR="00A03C6C">
          <w:rPr>
            <w:noProof/>
            <w:webHidden/>
          </w:rPr>
          <w:tab/>
        </w:r>
        <w:r w:rsidR="00A03C6C">
          <w:rPr>
            <w:noProof/>
            <w:webHidden/>
          </w:rPr>
          <w:fldChar w:fldCharType="begin"/>
        </w:r>
        <w:r w:rsidR="00A03C6C">
          <w:rPr>
            <w:noProof/>
            <w:webHidden/>
          </w:rPr>
          <w:instrText xml:space="preserve"> PAGEREF _Toc157591447 \h </w:instrText>
        </w:r>
        <w:r w:rsidR="00A03C6C">
          <w:rPr>
            <w:noProof/>
            <w:webHidden/>
          </w:rPr>
        </w:r>
        <w:r w:rsidR="00A03C6C">
          <w:rPr>
            <w:noProof/>
            <w:webHidden/>
          </w:rPr>
          <w:fldChar w:fldCharType="separate"/>
        </w:r>
        <w:r w:rsidR="004344FF">
          <w:rPr>
            <w:noProof/>
            <w:webHidden/>
          </w:rPr>
          <w:t>119</w:t>
        </w:r>
        <w:r w:rsidR="00A03C6C">
          <w:rPr>
            <w:noProof/>
            <w:webHidden/>
          </w:rPr>
          <w:fldChar w:fldCharType="end"/>
        </w:r>
      </w:hyperlink>
    </w:p>
    <w:p w14:paraId="4A8F5F4F" w14:textId="2D5018D8" w:rsidR="00A03C6C" w:rsidRDefault="00000000">
      <w:pPr>
        <w:pStyle w:val="TOC2"/>
        <w:rPr>
          <w:rFonts w:asciiTheme="minorHAnsi" w:eastAsiaTheme="minorEastAsia" w:hAnsiTheme="minorHAnsi" w:cstheme="minorBidi"/>
          <w:noProof/>
          <w:sz w:val="22"/>
          <w:szCs w:val="22"/>
        </w:rPr>
      </w:pPr>
      <w:hyperlink w:anchor="_Toc157591448" w:history="1">
        <w:r w:rsidR="00A03C6C" w:rsidRPr="00FC303C">
          <w:rPr>
            <w:rStyle w:val="Hyperlink"/>
            <w:noProof/>
          </w:rPr>
          <w:t>1.4</w:t>
        </w:r>
        <w:r w:rsidR="00A03C6C">
          <w:rPr>
            <w:rFonts w:asciiTheme="minorHAnsi" w:eastAsiaTheme="minorEastAsia" w:hAnsiTheme="minorHAnsi" w:cstheme="minorBidi"/>
            <w:noProof/>
            <w:sz w:val="22"/>
            <w:szCs w:val="22"/>
          </w:rPr>
          <w:tab/>
        </w:r>
        <w:r w:rsidR="00A03C6C" w:rsidRPr="00FC303C">
          <w:rPr>
            <w:rStyle w:val="Hyperlink"/>
            <w:noProof/>
          </w:rPr>
          <w:t>Additional estimates, resourcing and variations to outcomes</w:t>
        </w:r>
        <w:r w:rsidR="00A03C6C">
          <w:rPr>
            <w:noProof/>
            <w:webHidden/>
          </w:rPr>
          <w:tab/>
        </w:r>
        <w:r w:rsidR="00A03C6C">
          <w:rPr>
            <w:noProof/>
            <w:webHidden/>
          </w:rPr>
          <w:fldChar w:fldCharType="begin"/>
        </w:r>
        <w:r w:rsidR="00A03C6C">
          <w:rPr>
            <w:noProof/>
            <w:webHidden/>
          </w:rPr>
          <w:instrText xml:space="preserve"> PAGEREF _Toc157591448 \h </w:instrText>
        </w:r>
        <w:r w:rsidR="00A03C6C">
          <w:rPr>
            <w:noProof/>
            <w:webHidden/>
          </w:rPr>
        </w:r>
        <w:r w:rsidR="00A03C6C">
          <w:rPr>
            <w:noProof/>
            <w:webHidden/>
          </w:rPr>
          <w:fldChar w:fldCharType="separate"/>
        </w:r>
        <w:r w:rsidR="004344FF">
          <w:rPr>
            <w:noProof/>
            <w:webHidden/>
          </w:rPr>
          <w:t>119</w:t>
        </w:r>
        <w:r w:rsidR="00A03C6C">
          <w:rPr>
            <w:noProof/>
            <w:webHidden/>
          </w:rPr>
          <w:fldChar w:fldCharType="end"/>
        </w:r>
      </w:hyperlink>
    </w:p>
    <w:p w14:paraId="79483569" w14:textId="66CA095A" w:rsidR="00A03C6C" w:rsidRDefault="00000000">
      <w:pPr>
        <w:pStyle w:val="TOC2"/>
        <w:rPr>
          <w:rFonts w:asciiTheme="minorHAnsi" w:eastAsiaTheme="minorEastAsia" w:hAnsiTheme="minorHAnsi" w:cstheme="minorBidi"/>
          <w:noProof/>
          <w:sz w:val="22"/>
          <w:szCs w:val="22"/>
        </w:rPr>
      </w:pPr>
      <w:hyperlink w:anchor="_Toc157591449" w:history="1">
        <w:r w:rsidR="00A03C6C" w:rsidRPr="00FC303C">
          <w:rPr>
            <w:rStyle w:val="Hyperlink"/>
            <w:noProof/>
          </w:rPr>
          <w:t>1.5</w:t>
        </w:r>
        <w:r w:rsidR="00A03C6C">
          <w:rPr>
            <w:rFonts w:asciiTheme="minorHAnsi" w:eastAsiaTheme="minorEastAsia" w:hAnsiTheme="minorHAnsi" w:cstheme="minorBidi"/>
            <w:noProof/>
            <w:sz w:val="22"/>
            <w:szCs w:val="22"/>
          </w:rPr>
          <w:tab/>
        </w:r>
        <w:r w:rsidR="00A03C6C" w:rsidRPr="00FC303C">
          <w:rPr>
            <w:rStyle w:val="Hyperlink"/>
            <w:noProof/>
          </w:rPr>
          <w:t>Breakdown of estimates by appropriation bill</w:t>
        </w:r>
        <w:r w:rsidR="00A03C6C">
          <w:rPr>
            <w:noProof/>
            <w:webHidden/>
          </w:rPr>
          <w:tab/>
        </w:r>
        <w:r w:rsidR="00A03C6C">
          <w:rPr>
            <w:noProof/>
            <w:webHidden/>
          </w:rPr>
          <w:fldChar w:fldCharType="begin"/>
        </w:r>
        <w:r w:rsidR="00A03C6C">
          <w:rPr>
            <w:noProof/>
            <w:webHidden/>
          </w:rPr>
          <w:instrText xml:space="preserve"> PAGEREF _Toc157591449 \h </w:instrText>
        </w:r>
        <w:r w:rsidR="00A03C6C">
          <w:rPr>
            <w:noProof/>
            <w:webHidden/>
          </w:rPr>
        </w:r>
        <w:r w:rsidR="00A03C6C">
          <w:rPr>
            <w:noProof/>
            <w:webHidden/>
          </w:rPr>
          <w:fldChar w:fldCharType="separate"/>
        </w:r>
        <w:r w:rsidR="004344FF">
          <w:rPr>
            <w:noProof/>
            <w:webHidden/>
          </w:rPr>
          <w:t>120</w:t>
        </w:r>
        <w:r w:rsidR="00A03C6C">
          <w:rPr>
            <w:noProof/>
            <w:webHidden/>
          </w:rPr>
          <w:fldChar w:fldCharType="end"/>
        </w:r>
      </w:hyperlink>
    </w:p>
    <w:p w14:paraId="6235E392" w14:textId="4B3A04D2" w:rsidR="00A03C6C" w:rsidRDefault="00000000">
      <w:pPr>
        <w:pStyle w:val="TOC1"/>
        <w:rPr>
          <w:rFonts w:asciiTheme="minorHAnsi" w:eastAsiaTheme="minorEastAsia" w:hAnsiTheme="minorHAnsi" w:cstheme="minorBidi"/>
          <w:b w:val="0"/>
          <w:noProof/>
          <w:sz w:val="22"/>
          <w:szCs w:val="22"/>
        </w:rPr>
      </w:pPr>
      <w:hyperlink w:anchor="_Toc157591450" w:history="1">
        <w:r w:rsidR="00A03C6C" w:rsidRPr="00FC303C">
          <w:rPr>
            <w:rStyle w:val="Hyperlink"/>
            <w:noProof/>
          </w:rPr>
          <w:t>Section 2: Revisions to outcomes and planned performance</w:t>
        </w:r>
        <w:r w:rsidR="00A03C6C">
          <w:rPr>
            <w:noProof/>
            <w:webHidden/>
          </w:rPr>
          <w:tab/>
        </w:r>
        <w:r w:rsidR="00A03C6C">
          <w:rPr>
            <w:noProof/>
            <w:webHidden/>
          </w:rPr>
          <w:fldChar w:fldCharType="begin"/>
        </w:r>
        <w:r w:rsidR="00A03C6C">
          <w:rPr>
            <w:noProof/>
            <w:webHidden/>
          </w:rPr>
          <w:instrText xml:space="preserve"> PAGEREF _Toc157591450 \h </w:instrText>
        </w:r>
        <w:r w:rsidR="00A03C6C">
          <w:rPr>
            <w:noProof/>
            <w:webHidden/>
          </w:rPr>
        </w:r>
        <w:r w:rsidR="00A03C6C">
          <w:rPr>
            <w:noProof/>
            <w:webHidden/>
          </w:rPr>
          <w:fldChar w:fldCharType="separate"/>
        </w:r>
        <w:r w:rsidR="004344FF">
          <w:rPr>
            <w:noProof/>
            <w:webHidden/>
          </w:rPr>
          <w:t>121</w:t>
        </w:r>
        <w:r w:rsidR="00A03C6C">
          <w:rPr>
            <w:noProof/>
            <w:webHidden/>
          </w:rPr>
          <w:fldChar w:fldCharType="end"/>
        </w:r>
      </w:hyperlink>
    </w:p>
    <w:p w14:paraId="48683D91" w14:textId="2BE5B3F2" w:rsidR="00A03C6C" w:rsidRDefault="00000000">
      <w:pPr>
        <w:pStyle w:val="TOC2"/>
        <w:rPr>
          <w:rFonts w:asciiTheme="minorHAnsi" w:eastAsiaTheme="minorEastAsia" w:hAnsiTheme="minorHAnsi" w:cstheme="minorBidi"/>
          <w:noProof/>
          <w:sz w:val="22"/>
          <w:szCs w:val="22"/>
        </w:rPr>
      </w:pPr>
      <w:hyperlink w:anchor="_Toc157591451" w:history="1">
        <w:r w:rsidR="00A03C6C" w:rsidRPr="00FC303C">
          <w:rPr>
            <w:rStyle w:val="Hyperlink"/>
            <w:noProof/>
          </w:rPr>
          <w:t>2.1</w:t>
        </w:r>
        <w:r w:rsidR="00A03C6C">
          <w:rPr>
            <w:rFonts w:asciiTheme="minorHAnsi" w:eastAsiaTheme="minorEastAsia" w:hAnsiTheme="minorHAnsi" w:cstheme="minorBidi"/>
            <w:noProof/>
            <w:sz w:val="22"/>
            <w:szCs w:val="22"/>
          </w:rPr>
          <w:tab/>
        </w:r>
        <w:r w:rsidR="00A03C6C" w:rsidRPr="00FC303C">
          <w:rPr>
            <w:rStyle w:val="Hyperlink"/>
            <w:noProof/>
          </w:rPr>
          <w:t>Budgeted expenses and performance for Outcome 1</w:t>
        </w:r>
        <w:r w:rsidR="00A03C6C">
          <w:rPr>
            <w:noProof/>
            <w:webHidden/>
          </w:rPr>
          <w:tab/>
        </w:r>
        <w:r w:rsidR="00A03C6C">
          <w:rPr>
            <w:noProof/>
            <w:webHidden/>
          </w:rPr>
          <w:fldChar w:fldCharType="begin"/>
        </w:r>
        <w:r w:rsidR="00A03C6C">
          <w:rPr>
            <w:noProof/>
            <w:webHidden/>
          </w:rPr>
          <w:instrText xml:space="preserve"> PAGEREF _Toc157591451 \h </w:instrText>
        </w:r>
        <w:r w:rsidR="00A03C6C">
          <w:rPr>
            <w:noProof/>
            <w:webHidden/>
          </w:rPr>
        </w:r>
        <w:r w:rsidR="00A03C6C">
          <w:rPr>
            <w:noProof/>
            <w:webHidden/>
          </w:rPr>
          <w:fldChar w:fldCharType="separate"/>
        </w:r>
        <w:r w:rsidR="004344FF">
          <w:rPr>
            <w:noProof/>
            <w:webHidden/>
          </w:rPr>
          <w:t>121</w:t>
        </w:r>
        <w:r w:rsidR="00A03C6C">
          <w:rPr>
            <w:noProof/>
            <w:webHidden/>
          </w:rPr>
          <w:fldChar w:fldCharType="end"/>
        </w:r>
      </w:hyperlink>
    </w:p>
    <w:p w14:paraId="620EC23C" w14:textId="37468D07" w:rsidR="00A03C6C" w:rsidRDefault="00000000">
      <w:pPr>
        <w:pStyle w:val="TOC1"/>
        <w:rPr>
          <w:rFonts w:asciiTheme="minorHAnsi" w:eastAsiaTheme="minorEastAsia" w:hAnsiTheme="minorHAnsi" w:cstheme="minorBidi"/>
          <w:b w:val="0"/>
          <w:noProof/>
          <w:sz w:val="22"/>
          <w:szCs w:val="22"/>
        </w:rPr>
      </w:pPr>
      <w:hyperlink w:anchor="_Toc157591452" w:history="1">
        <w:r w:rsidR="00A03C6C" w:rsidRPr="00FC303C">
          <w:rPr>
            <w:rStyle w:val="Hyperlink"/>
            <w:noProof/>
          </w:rPr>
          <w:t>Section 3: Special account flows and budgeted financial statements</w:t>
        </w:r>
        <w:r w:rsidR="00A03C6C">
          <w:rPr>
            <w:noProof/>
            <w:webHidden/>
          </w:rPr>
          <w:tab/>
        </w:r>
        <w:r w:rsidR="00A03C6C">
          <w:rPr>
            <w:noProof/>
            <w:webHidden/>
          </w:rPr>
          <w:fldChar w:fldCharType="begin"/>
        </w:r>
        <w:r w:rsidR="00A03C6C">
          <w:rPr>
            <w:noProof/>
            <w:webHidden/>
          </w:rPr>
          <w:instrText xml:space="preserve"> PAGEREF _Toc157591452 \h </w:instrText>
        </w:r>
        <w:r w:rsidR="00A03C6C">
          <w:rPr>
            <w:noProof/>
            <w:webHidden/>
          </w:rPr>
        </w:r>
        <w:r w:rsidR="00A03C6C">
          <w:rPr>
            <w:noProof/>
            <w:webHidden/>
          </w:rPr>
          <w:fldChar w:fldCharType="separate"/>
        </w:r>
        <w:r w:rsidR="004344FF">
          <w:rPr>
            <w:noProof/>
            <w:webHidden/>
          </w:rPr>
          <w:t>122</w:t>
        </w:r>
        <w:r w:rsidR="00A03C6C">
          <w:rPr>
            <w:noProof/>
            <w:webHidden/>
          </w:rPr>
          <w:fldChar w:fldCharType="end"/>
        </w:r>
      </w:hyperlink>
    </w:p>
    <w:p w14:paraId="6B3E5A7A" w14:textId="297243E4" w:rsidR="00A03C6C" w:rsidRDefault="00000000">
      <w:pPr>
        <w:pStyle w:val="TOC2"/>
        <w:rPr>
          <w:rFonts w:asciiTheme="minorHAnsi" w:eastAsiaTheme="minorEastAsia" w:hAnsiTheme="minorHAnsi" w:cstheme="minorBidi"/>
          <w:noProof/>
          <w:sz w:val="22"/>
          <w:szCs w:val="22"/>
        </w:rPr>
      </w:pPr>
      <w:hyperlink w:anchor="_Toc157591453" w:history="1">
        <w:r w:rsidR="00A03C6C" w:rsidRPr="00FC303C">
          <w:rPr>
            <w:rStyle w:val="Hyperlink"/>
            <w:noProof/>
          </w:rPr>
          <w:t>3.1</w:t>
        </w:r>
        <w:r w:rsidR="00A03C6C">
          <w:rPr>
            <w:rFonts w:asciiTheme="minorHAnsi" w:eastAsiaTheme="minorEastAsia" w:hAnsiTheme="minorHAnsi" w:cstheme="minorBidi"/>
            <w:noProof/>
            <w:sz w:val="22"/>
            <w:szCs w:val="22"/>
          </w:rPr>
          <w:tab/>
        </w:r>
        <w:r w:rsidR="00A03C6C" w:rsidRPr="00FC303C">
          <w:rPr>
            <w:rStyle w:val="Hyperlink"/>
            <w:noProof/>
          </w:rPr>
          <w:t>Special account flows and balances</w:t>
        </w:r>
        <w:r w:rsidR="00A03C6C">
          <w:rPr>
            <w:noProof/>
            <w:webHidden/>
          </w:rPr>
          <w:tab/>
        </w:r>
        <w:r w:rsidR="00A03C6C">
          <w:rPr>
            <w:noProof/>
            <w:webHidden/>
          </w:rPr>
          <w:fldChar w:fldCharType="begin"/>
        </w:r>
        <w:r w:rsidR="00A03C6C">
          <w:rPr>
            <w:noProof/>
            <w:webHidden/>
          </w:rPr>
          <w:instrText xml:space="preserve"> PAGEREF _Toc157591453 \h </w:instrText>
        </w:r>
        <w:r w:rsidR="00A03C6C">
          <w:rPr>
            <w:noProof/>
            <w:webHidden/>
          </w:rPr>
        </w:r>
        <w:r w:rsidR="00A03C6C">
          <w:rPr>
            <w:noProof/>
            <w:webHidden/>
          </w:rPr>
          <w:fldChar w:fldCharType="separate"/>
        </w:r>
        <w:r w:rsidR="004344FF">
          <w:rPr>
            <w:noProof/>
            <w:webHidden/>
          </w:rPr>
          <w:t>122</w:t>
        </w:r>
        <w:r w:rsidR="00A03C6C">
          <w:rPr>
            <w:noProof/>
            <w:webHidden/>
          </w:rPr>
          <w:fldChar w:fldCharType="end"/>
        </w:r>
      </w:hyperlink>
    </w:p>
    <w:p w14:paraId="5221DCA0" w14:textId="6430D578" w:rsidR="00A03C6C" w:rsidRDefault="00000000">
      <w:pPr>
        <w:pStyle w:val="TOC2"/>
        <w:rPr>
          <w:rFonts w:asciiTheme="minorHAnsi" w:eastAsiaTheme="minorEastAsia" w:hAnsiTheme="minorHAnsi" w:cstheme="minorBidi"/>
          <w:noProof/>
          <w:sz w:val="22"/>
          <w:szCs w:val="22"/>
        </w:rPr>
      </w:pPr>
      <w:hyperlink w:anchor="_Toc157591454" w:history="1">
        <w:r w:rsidR="00A03C6C" w:rsidRPr="00FC303C">
          <w:rPr>
            <w:rStyle w:val="Hyperlink"/>
            <w:noProof/>
          </w:rPr>
          <w:t>3.2</w:t>
        </w:r>
        <w:r w:rsidR="00A03C6C">
          <w:rPr>
            <w:rFonts w:asciiTheme="minorHAnsi" w:eastAsiaTheme="minorEastAsia" w:hAnsiTheme="minorHAnsi" w:cstheme="minorBidi"/>
            <w:noProof/>
            <w:sz w:val="22"/>
            <w:szCs w:val="22"/>
          </w:rPr>
          <w:tab/>
        </w:r>
        <w:r w:rsidR="00A03C6C" w:rsidRPr="00FC303C">
          <w:rPr>
            <w:rStyle w:val="Hyperlink"/>
            <w:noProof/>
          </w:rPr>
          <w:t>Budgeted financial statements</w:t>
        </w:r>
        <w:r w:rsidR="00A03C6C">
          <w:rPr>
            <w:noProof/>
            <w:webHidden/>
          </w:rPr>
          <w:tab/>
        </w:r>
        <w:r w:rsidR="00A03C6C">
          <w:rPr>
            <w:noProof/>
            <w:webHidden/>
          </w:rPr>
          <w:fldChar w:fldCharType="begin"/>
        </w:r>
        <w:r w:rsidR="00A03C6C">
          <w:rPr>
            <w:noProof/>
            <w:webHidden/>
          </w:rPr>
          <w:instrText xml:space="preserve"> PAGEREF _Toc157591454 \h </w:instrText>
        </w:r>
        <w:r w:rsidR="00A03C6C">
          <w:rPr>
            <w:noProof/>
            <w:webHidden/>
          </w:rPr>
        </w:r>
        <w:r w:rsidR="00A03C6C">
          <w:rPr>
            <w:noProof/>
            <w:webHidden/>
          </w:rPr>
          <w:fldChar w:fldCharType="separate"/>
        </w:r>
        <w:r w:rsidR="004344FF">
          <w:rPr>
            <w:noProof/>
            <w:webHidden/>
          </w:rPr>
          <w:t>122</w:t>
        </w:r>
        <w:r w:rsidR="00A03C6C">
          <w:rPr>
            <w:noProof/>
            <w:webHidden/>
          </w:rPr>
          <w:fldChar w:fldCharType="end"/>
        </w:r>
      </w:hyperlink>
    </w:p>
    <w:p w14:paraId="458DFBEF" w14:textId="3254FBD8" w:rsidR="00603F85" w:rsidRDefault="00B4485A" w:rsidP="00B4485A">
      <w:r>
        <w:fldChar w:fldCharType="end"/>
      </w:r>
      <w:r w:rsidR="00603F85">
        <w:br w:type="page"/>
      </w:r>
    </w:p>
    <w:p w14:paraId="7306CA9A" w14:textId="77777777" w:rsidR="00603F85" w:rsidRDefault="00603F85" w:rsidP="00603F85">
      <w:pPr>
        <w:pStyle w:val="Heading1-LVL2"/>
      </w:pPr>
      <w:bookmarkStart w:id="496" w:name="_Toc155859223"/>
      <w:r>
        <w:t>Organ and Tissue Authority</w:t>
      </w:r>
      <w:bookmarkEnd w:id="496"/>
    </w:p>
    <w:p w14:paraId="66975A6C" w14:textId="5CDBC5A2" w:rsidR="00603F85" w:rsidRPr="00F045E6" w:rsidRDefault="00B4485A" w:rsidP="00603F85">
      <w:pPr>
        <w:pStyle w:val="Heading2-TOC"/>
      </w:pPr>
      <w:r>
        <w:fldChar w:fldCharType="begin"/>
      </w:r>
      <w:r>
        <w:instrText xml:space="preserve"> </w:instrText>
      </w:r>
      <w:proofErr w:type="gramStart"/>
      <w:r>
        <w:instrText>TC  "</w:instrText>
      </w:r>
      <w:bookmarkStart w:id="497" w:name="_Toc157591444"/>
      <w:proofErr w:type="gramEnd"/>
      <w:r>
        <w:instrText>Section 1: Entity overview and resources</w:instrText>
      </w:r>
      <w:bookmarkEnd w:id="497"/>
      <w:r>
        <w:instrText xml:space="preserve"> " \f </w:instrText>
      </w:r>
      <w:proofErr w:type="spellStart"/>
      <w:r>
        <w:instrText>ota</w:instrText>
      </w:r>
      <w:proofErr w:type="spellEnd"/>
      <w:r>
        <w:instrText xml:space="preserve"> \l 1 </w:instrText>
      </w:r>
      <w:r>
        <w:fldChar w:fldCharType="end"/>
      </w:r>
      <w:bookmarkStart w:id="498" w:name="_Toc157592024"/>
      <w:bookmarkStart w:id="499" w:name="_Toc157592207"/>
      <w:r w:rsidR="00603F85" w:rsidRPr="00F045E6">
        <w:t>Section 1: Entity overview and resources</w:t>
      </w:r>
      <w:bookmarkEnd w:id="498"/>
      <w:bookmarkEnd w:id="499"/>
    </w:p>
    <w:p w14:paraId="37923309" w14:textId="00304EAE" w:rsidR="00603F85" w:rsidRPr="002322E9" w:rsidRDefault="00B4485A" w:rsidP="00603F85">
      <w:pPr>
        <w:pStyle w:val="Heading3"/>
      </w:pPr>
      <w:r>
        <w:fldChar w:fldCharType="begin"/>
      </w:r>
      <w:r>
        <w:instrText xml:space="preserve"> </w:instrText>
      </w:r>
      <w:proofErr w:type="gramStart"/>
      <w:r>
        <w:instrText>TC  "</w:instrText>
      </w:r>
      <w:bookmarkStart w:id="500" w:name="_Toc157591445"/>
      <w:proofErr w:type="gramEnd"/>
      <w:r w:rsidR="004A3473">
        <w:instrText>1.1</w:instrText>
      </w:r>
      <w:r w:rsidR="004A3473">
        <w:tab/>
        <w:instrText>Strategic d</w:instrText>
      </w:r>
      <w:r>
        <w:instrText>irection Statement</w:instrText>
      </w:r>
      <w:bookmarkEnd w:id="500"/>
      <w:r>
        <w:instrText xml:space="preserve">" \f </w:instrText>
      </w:r>
      <w:proofErr w:type="spellStart"/>
      <w:r>
        <w:instrText>ota</w:instrText>
      </w:r>
      <w:proofErr w:type="spellEnd"/>
      <w:r>
        <w:instrText xml:space="preserve"> \l 2 </w:instrText>
      </w:r>
      <w:r>
        <w:fldChar w:fldCharType="end"/>
      </w:r>
      <w:bookmarkStart w:id="501" w:name="_Toc157592025"/>
      <w:bookmarkStart w:id="502" w:name="_Toc157592208"/>
      <w:r w:rsidR="00603F85">
        <w:t>1.1</w:t>
      </w:r>
      <w:r w:rsidR="00603F85">
        <w:tab/>
      </w:r>
      <w:r w:rsidR="00603F85" w:rsidRPr="004928FF">
        <w:t>Strategic direction</w:t>
      </w:r>
      <w:r w:rsidR="00603F85">
        <w:t xml:space="preserve"> statement</w:t>
      </w:r>
      <w:bookmarkEnd w:id="501"/>
      <w:bookmarkEnd w:id="502"/>
    </w:p>
    <w:p w14:paraId="7EBCB935" w14:textId="71889A9C" w:rsidR="00603F85" w:rsidRPr="002075E4" w:rsidRDefault="00603F85" w:rsidP="00603F85">
      <w:pPr>
        <w:spacing w:after="120"/>
        <w:rPr>
          <w:rFonts w:ascii="Calibri" w:hAnsi="Calibri"/>
          <w:i/>
          <w:iCs/>
          <w:sz w:val="20"/>
        </w:rPr>
      </w:pPr>
      <w:r w:rsidRPr="002075E4">
        <w:rPr>
          <w:sz w:val="20"/>
        </w:rPr>
        <w:t xml:space="preserve">The </w:t>
      </w:r>
      <w:r w:rsidR="00673430">
        <w:rPr>
          <w:sz w:val="20"/>
        </w:rPr>
        <w:t>Organ and Tissue Authority (</w:t>
      </w:r>
      <w:r w:rsidRPr="002075E4">
        <w:rPr>
          <w:sz w:val="20"/>
        </w:rPr>
        <w:t>OTA</w:t>
      </w:r>
      <w:r w:rsidR="00673430">
        <w:rPr>
          <w:sz w:val="20"/>
        </w:rPr>
        <w:t>)</w:t>
      </w:r>
      <w:r w:rsidRPr="002075E4">
        <w:rPr>
          <w:sz w:val="20"/>
        </w:rPr>
        <w:t xml:space="preserve"> is a statutory authority established by the </w:t>
      </w:r>
      <w:r w:rsidRPr="002075E4">
        <w:rPr>
          <w:i/>
          <w:iCs/>
          <w:sz w:val="20"/>
        </w:rPr>
        <w:t>Australian Organ and Tissue Donation and Transplantation Authority Act 2008</w:t>
      </w:r>
      <w:r w:rsidR="00980AA1">
        <w:rPr>
          <w:sz w:val="20"/>
        </w:rPr>
        <w:t xml:space="preserve"> and a non</w:t>
      </w:r>
      <w:r w:rsidR="00980AA1">
        <w:rPr>
          <w:sz w:val="20"/>
        </w:rPr>
        <w:noBreakHyphen/>
      </w:r>
      <w:r w:rsidRPr="002075E4">
        <w:rPr>
          <w:sz w:val="20"/>
        </w:rPr>
        <w:t xml:space="preserve">corporate Commonwealth entity under the </w:t>
      </w:r>
      <w:r w:rsidRPr="002075E4">
        <w:rPr>
          <w:i/>
          <w:iCs/>
          <w:sz w:val="20"/>
        </w:rPr>
        <w:t>Public Governance, Performance and Accountability Act 2013.</w:t>
      </w:r>
    </w:p>
    <w:p w14:paraId="291A1766" w14:textId="72DA53E7" w:rsidR="00603F85" w:rsidRPr="002075E4" w:rsidRDefault="00603F85" w:rsidP="00603F85">
      <w:pPr>
        <w:pStyle w:val="ExampleText"/>
        <w:jc w:val="both"/>
        <w:rPr>
          <w:i w:val="0"/>
          <w:iCs/>
          <w:color w:val="auto"/>
          <w:sz w:val="20"/>
        </w:rPr>
      </w:pPr>
      <w:r w:rsidRPr="002075E4">
        <w:rPr>
          <w:i w:val="0"/>
          <w:iCs/>
          <w:color w:val="auto"/>
          <w:sz w:val="20"/>
        </w:rPr>
        <w:t xml:space="preserve">For a full </w:t>
      </w:r>
      <w:r w:rsidR="004A3473">
        <w:rPr>
          <w:i w:val="0"/>
          <w:iCs/>
          <w:color w:val="auto"/>
          <w:sz w:val="20"/>
        </w:rPr>
        <w:t>outline of the OTA’s strategic d</w:t>
      </w:r>
      <w:r w:rsidRPr="002075E4">
        <w:rPr>
          <w:i w:val="0"/>
          <w:iCs/>
          <w:color w:val="auto"/>
          <w:sz w:val="20"/>
        </w:rPr>
        <w:t xml:space="preserve">irection, refer page 404 of the </w:t>
      </w:r>
      <w:r w:rsidRPr="00F02DD3">
        <w:rPr>
          <w:iCs/>
          <w:color w:val="auto"/>
          <w:sz w:val="20"/>
        </w:rPr>
        <w:t>Health and Aged Care Portfolio Budget Statements 2023–24</w:t>
      </w:r>
      <w:r w:rsidRPr="002075E4">
        <w:rPr>
          <w:i w:val="0"/>
          <w:iCs/>
          <w:color w:val="auto"/>
          <w:sz w:val="20"/>
        </w:rPr>
        <w:t>.</w:t>
      </w:r>
    </w:p>
    <w:p w14:paraId="7DB95588" w14:textId="77777777" w:rsidR="00F02DD3" w:rsidRDefault="00F02DD3">
      <w:pPr>
        <w:spacing w:before="0" w:after="0" w:line="240" w:lineRule="auto"/>
        <w:rPr>
          <w:rFonts w:ascii="Arial Bold" w:hAnsi="Arial Bold"/>
          <w:b/>
          <w:sz w:val="22"/>
        </w:rPr>
      </w:pPr>
      <w:r>
        <w:br w:type="page"/>
      </w:r>
    </w:p>
    <w:p w14:paraId="69006251" w14:textId="7C305484" w:rsidR="00603F85" w:rsidRPr="004928FF" w:rsidRDefault="00B4485A" w:rsidP="00603F85">
      <w:pPr>
        <w:pStyle w:val="Heading3"/>
      </w:pPr>
      <w:r>
        <w:fldChar w:fldCharType="begin"/>
      </w:r>
      <w:r>
        <w:instrText xml:space="preserve"> </w:instrText>
      </w:r>
      <w:proofErr w:type="gramStart"/>
      <w:r>
        <w:instrText>TC  "</w:instrText>
      </w:r>
      <w:bookmarkStart w:id="503" w:name="_Toc157591446"/>
      <w:proofErr w:type="gramEnd"/>
      <w:r>
        <w:instrText>1.2</w:instrText>
      </w:r>
      <w:r>
        <w:tab/>
        <w:instrText>Entity resource statement</w:instrText>
      </w:r>
      <w:bookmarkEnd w:id="503"/>
      <w:r>
        <w:instrText xml:space="preserve">" \f </w:instrText>
      </w:r>
      <w:proofErr w:type="spellStart"/>
      <w:r>
        <w:instrText>ota</w:instrText>
      </w:r>
      <w:proofErr w:type="spellEnd"/>
      <w:r>
        <w:instrText xml:space="preserve"> \l 2 </w:instrText>
      </w:r>
      <w:r>
        <w:fldChar w:fldCharType="end"/>
      </w:r>
      <w:bookmarkStart w:id="504" w:name="_Toc157592026"/>
      <w:bookmarkStart w:id="505" w:name="_Toc157592209"/>
      <w:r w:rsidR="00603F85">
        <w:t>1.2</w:t>
      </w:r>
      <w:r w:rsidR="00603F85">
        <w:tab/>
        <w:t>Entity resource statement</w:t>
      </w:r>
      <w:bookmarkEnd w:id="504"/>
      <w:bookmarkEnd w:id="505"/>
    </w:p>
    <w:p w14:paraId="4EC8BB74" w14:textId="54D83E05" w:rsidR="00603F85" w:rsidRPr="002075E4" w:rsidRDefault="00980AA1" w:rsidP="00603F85">
      <w:pPr>
        <w:rPr>
          <w:sz w:val="20"/>
        </w:rPr>
      </w:pPr>
      <w:r>
        <w:rPr>
          <w:sz w:val="20"/>
        </w:rPr>
        <w:t>The e</w:t>
      </w:r>
      <w:r w:rsidR="00603F85" w:rsidRPr="002075E4">
        <w:rPr>
          <w:sz w:val="20"/>
        </w:rPr>
        <w:t xml:space="preserve">ntity </w:t>
      </w:r>
      <w:r>
        <w:rPr>
          <w:sz w:val="20"/>
        </w:rPr>
        <w:t>r</w:t>
      </w:r>
      <w:r w:rsidR="00603F85" w:rsidRPr="002075E4">
        <w:rPr>
          <w:sz w:val="20"/>
        </w:rPr>
        <w:t xml:space="preserve">esource </w:t>
      </w:r>
      <w:r>
        <w:rPr>
          <w:sz w:val="20"/>
        </w:rPr>
        <w:t>s</w:t>
      </w:r>
      <w:r w:rsidR="00603F85" w:rsidRPr="002075E4">
        <w:rPr>
          <w:sz w:val="20"/>
        </w:rPr>
        <w:t xml:space="preserve">tatement details the resourcing for OTA at Additional Estimates. Table 1.1 outlines the total resourcing available from all sources for the </w:t>
      </w:r>
      <w:r w:rsidR="00603F85" w:rsidRPr="002075E4">
        <w:rPr>
          <w:sz w:val="20"/>
        </w:rPr>
        <w:br/>
        <w:t>2023–24 Budget year, including variat</w:t>
      </w:r>
      <w:r>
        <w:rPr>
          <w:sz w:val="20"/>
        </w:rPr>
        <w:t>ions through Appropriation Bill</w:t>
      </w:r>
      <w:r w:rsidR="00603F85" w:rsidRPr="002075E4">
        <w:rPr>
          <w:sz w:val="20"/>
        </w:rPr>
        <w:t xml:space="preserve"> </w:t>
      </w:r>
      <w:r>
        <w:rPr>
          <w:sz w:val="20"/>
        </w:rPr>
        <w:t>(Nos. </w:t>
      </w:r>
      <w:r w:rsidR="00603F85" w:rsidRPr="002075E4">
        <w:rPr>
          <w:sz w:val="20"/>
        </w:rPr>
        <w:t>3</w:t>
      </w:r>
      <w:r>
        <w:rPr>
          <w:sz w:val="20"/>
        </w:rPr>
        <w:t> </w:t>
      </w:r>
      <w:r w:rsidR="00603F85" w:rsidRPr="002075E4">
        <w:rPr>
          <w:sz w:val="20"/>
        </w:rPr>
        <w:t>and</w:t>
      </w:r>
      <w:r>
        <w:rPr>
          <w:sz w:val="20"/>
        </w:rPr>
        <w:t> </w:t>
      </w:r>
      <w:r w:rsidR="00603F85" w:rsidRPr="002075E4">
        <w:rPr>
          <w:sz w:val="20"/>
        </w:rPr>
        <w:t>4</w:t>
      </w:r>
      <w:r>
        <w:rPr>
          <w:sz w:val="20"/>
        </w:rPr>
        <w:t>)</w:t>
      </w:r>
      <w:r w:rsidR="00603F85" w:rsidRPr="002075E4">
        <w:rPr>
          <w:i/>
          <w:sz w:val="20"/>
        </w:rPr>
        <w:t>,</w:t>
      </w:r>
      <w:r w:rsidR="00603F85" w:rsidRPr="002075E4">
        <w:rPr>
          <w:sz w:val="20"/>
        </w:rPr>
        <w:t xml:space="preserve"> Special Appropriations and Special Accounts. </w:t>
      </w:r>
    </w:p>
    <w:p w14:paraId="038D2588" w14:textId="77777777" w:rsidR="00F02DD3" w:rsidRDefault="00603F85" w:rsidP="00F02DD3">
      <w:pPr>
        <w:rPr>
          <w:sz w:val="20"/>
        </w:rPr>
      </w:pPr>
      <w:r w:rsidRPr="002075E4">
        <w:rPr>
          <w:sz w:val="20"/>
        </w:rPr>
        <w:t xml:space="preserve">Amounts presented below are consistent with amounts presented in the Appropriation Bills themselves, and as published in appropriation notes to the 2022–23 financial statements. </w:t>
      </w:r>
    </w:p>
    <w:p w14:paraId="049693F8" w14:textId="77777777" w:rsidR="00F02DD3" w:rsidRDefault="00F02DD3">
      <w:pPr>
        <w:spacing w:before="0" w:after="0" w:line="240" w:lineRule="auto"/>
        <w:rPr>
          <w:rFonts w:ascii="Arial" w:hAnsi="Arial" w:cs="Arial"/>
          <w:b/>
          <w:sz w:val="20"/>
        </w:rPr>
      </w:pPr>
      <w:r>
        <w:rPr>
          <w:rFonts w:ascii="Arial" w:hAnsi="Arial" w:cs="Arial"/>
          <w:b/>
          <w:sz w:val="20"/>
        </w:rPr>
        <w:br w:type="page"/>
      </w:r>
    </w:p>
    <w:p w14:paraId="07964E75" w14:textId="16C28A75" w:rsidR="00603F85" w:rsidRPr="00F02DD3" w:rsidRDefault="00603F85" w:rsidP="00F0266C">
      <w:pPr>
        <w:spacing w:after="20"/>
        <w:rPr>
          <w:rFonts w:ascii="Arial" w:hAnsi="Arial" w:cs="Arial"/>
          <w:b/>
          <w:sz w:val="20"/>
        </w:rPr>
      </w:pPr>
      <w:r w:rsidRPr="00F02DD3">
        <w:rPr>
          <w:rFonts w:ascii="Arial" w:hAnsi="Arial" w:cs="Arial"/>
          <w:b/>
          <w:sz w:val="20"/>
        </w:rPr>
        <w:t xml:space="preserve">Table 1.1: OTA resource statement — Additional Estimates for 2023–24 as </w:t>
      </w:r>
      <w:proofErr w:type="gramStart"/>
      <w:r w:rsidRPr="00F02DD3">
        <w:rPr>
          <w:rFonts w:ascii="Arial" w:hAnsi="Arial" w:cs="Arial"/>
          <w:b/>
          <w:sz w:val="20"/>
        </w:rPr>
        <w:t>at</w:t>
      </w:r>
      <w:proofErr w:type="gramEnd"/>
      <w:r w:rsidRPr="00F02DD3">
        <w:rPr>
          <w:rFonts w:ascii="Arial" w:hAnsi="Arial" w:cs="Arial"/>
          <w:b/>
          <w:sz w:val="20"/>
        </w:rPr>
        <w:t xml:space="preserve"> February 2024</w:t>
      </w:r>
      <w:r w:rsidR="00A53629">
        <w:rPr>
          <w:rFonts w:ascii="Arial" w:hAnsi="Arial" w:cs="Arial"/>
          <w:b/>
          <w:sz w:val="20"/>
        </w:rPr>
        <w:t xml:space="preserve"> </w:t>
      </w:r>
    </w:p>
    <w:tbl>
      <w:tblPr>
        <w:tblW w:w="7770" w:type="dxa"/>
        <w:jc w:val="center"/>
        <w:tblLayout w:type="fixed"/>
        <w:tblLook w:val="04A0" w:firstRow="1" w:lastRow="0" w:firstColumn="1" w:lastColumn="0" w:noHBand="0" w:noVBand="1"/>
      </w:tblPr>
      <w:tblGrid>
        <w:gridCol w:w="3005"/>
        <w:gridCol w:w="1260"/>
        <w:gridCol w:w="1180"/>
        <w:gridCol w:w="1191"/>
        <w:gridCol w:w="1134"/>
      </w:tblGrid>
      <w:tr w:rsidR="00A53629" w:rsidRPr="00E63118" w14:paraId="03BCD68C" w14:textId="77777777" w:rsidTr="00FD2AE4">
        <w:trPr>
          <w:trHeight w:val="765"/>
          <w:jc w:val="center"/>
        </w:trPr>
        <w:tc>
          <w:tcPr>
            <w:tcW w:w="3005" w:type="dxa"/>
            <w:tcBorders>
              <w:top w:val="single" w:sz="4" w:space="0" w:color="auto"/>
              <w:left w:val="nil"/>
              <w:bottom w:val="nil"/>
              <w:right w:val="nil"/>
            </w:tcBorders>
            <w:shd w:val="clear" w:color="auto" w:fill="auto"/>
            <w:vAlign w:val="bottom"/>
            <w:hideMark/>
          </w:tcPr>
          <w:p w14:paraId="2C4CA1DE" w14:textId="186F9111" w:rsidR="00A53629" w:rsidRPr="00E63118" w:rsidRDefault="00A53629" w:rsidP="00A53629">
            <w:pPr>
              <w:spacing w:before="24" w:after="0" w:line="240" w:lineRule="auto"/>
              <w:jc w:val="right"/>
              <w:rPr>
                <w:rFonts w:ascii="Arial" w:hAnsi="Arial" w:cs="Arial"/>
                <w:b/>
                <w:bCs/>
                <w:sz w:val="16"/>
                <w:szCs w:val="16"/>
              </w:rPr>
            </w:pPr>
            <w:r>
              <w:rPr>
                <w:rFonts w:ascii="Arial" w:hAnsi="Arial" w:cs="Arial"/>
                <w:b/>
                <w:bCs/>
                <w:sz w:val="16"/>
                <w:szCs w:val="16"/>
              </w:rPr>
              <w:t> </w:t>
            </w:r>
          </w:p>
        </w:tc>
        <w:tc>
          <w:tcPr>
            <w:tcW w:w="1260" w:type="dxa"/>
            <w:tcBorders>
              <w:top w:val="single" w:sz="4" w:space="0" w:color="auto"/>
              <w:left w:val="nil"/>
              <w:bottom w:val="single" w:sz="4" w:space="0" w:color="auto"/>
              <w:right w:val="nil"/>
            </w:tcBorders>
            <w:shd w:val="clear" w:color="auto" w:fill="auto"/>
            <w:vAlign w:val="bottom"/>
            <w:hideMark/>
          </w:tcPr>
          <w:p w14:paraId="12EA8071" w14:textId="63B66EC9" w:rsidR="00A53629" w:rsidRPr="00E63118" w:rsidRDefault="00AC042A" w:rsidP="00A53629">
            <w:pPr>
              <w:spacing w:before="24" w:after="0" w:line="240" w:lineRule="auto"/>
              <w:jc w:val="right"/>
              <w:rPr>
                <w:rFonts w:ascii="Arial" w:hAnsi="Arial" w:cs="Arial"/>
                <w:b/>
                <w:bCs/>
                <w:sz w:val="16"/>
                <w:szCs w:val="16"/>
              </w:rPr>
            </w:pPr>
            <w:r>
              <w:rPr>
                <w:rFonts w:ascii="Arial" w:hAnsi="Arial" w:cs="Arial"/>
                <w:b/>
                <w:bCs/>
                <w:sz w:val="16"/>
                <w:szCs w:val="16"/>
              </w:rPr>
              <w:t>2022–</w:t>
            </w:r>
            <w:r w:rsidR="00A53629">
              <w:rPr>
                <w:rFonts w:ascii="Arial" w:hAnsi="Arial" w:cs="Arial"/>
                <w:b/>
                <w:bCs/>
                <w:sz w:val="16"/>
                <w:szCs w:val="16"/>
              </w:rPr>
              <w:t>23</w:t>
            </w:r>
            <w:r w:rsidR="00A53629">
              <w:rPr>
                <w:rFonts w:ascii="Arial" w:hAnsi="Arial" w:cs="Arial"/>
                <w:b/>
                <w:bCs/>
                <w:sz w:val="16"/>
                <w:szCs w:val="16"/>
              </w:rPr>
              <w:br/>
              <w:t>Actual</w:t>
            </w:r>
            <w:r w:rsidR="00A53629">
              <w:rPr>
                <w:rFonts w:ascii="Arial" w:hAnsi="Arial" w:cs="Arial"/>
                <w:b/>
                <w:bCs/>
                <w:sz w:val="16"/>
                <w:szCs w:val="16"/>
              </w:rPr>
              <w:br/>
              <w:t>available</w:t>
            </w:r>
            <w:r w:rsidR="00A53629">
              <w:rPr>
                <w:rFonts w:ascii="Arial" w:hAnsi="Arial" w:cs="Arial"/>
                <w:b/>
                <w:bCs/>
                <w:sz w:val="16"/>
                <w:szCs w:val="16"/>
              </w:rPr>
              <w:br/>
              <w:t xml:space="preserve">appropriation                                                                                                                                                                                                                                                                                                                                                                                                                                                                                                                                               </w:t>
            </w:r>
            <w:r w:rsidR="00A53629">
              <w:rPr>
                <w:rFonts w:ascii="Arial" w:hAnsi="Arial" w:cs="Arial"/>
                <w:sz w:val="16"/>
                <w:szCs w:val="16"/>
              </w:rPr>
              <w:t>$'000</w:t>
            </w:r>
          </w:p>
        </w:tc>
        <w:tc>
          <w:tcPr>
            <w:tcW w:w="1180" w:type="dxa"/>
            <w:tcBorders>
              <w:top w:val="single" w:sz="4" w:space="0" w:color="auto"/>
              <w:left w:val="nil"/>
              <w:bottom w:val="single" w:sz="4" w:space="0" w:color="auto"/>
              <w:right w:val="nil"/>
            </w:tcBorders>
            <w:shd w:val="clear" w:color="000000" w:fill="D9D9D9"/>
            <w:vAlign w:val="bottom"/>
            <w:hideMark/>
          </w:tcPr>
          <w:p w14:paraId="494E2AC5" w14:textId="1F733AE7" w:rsidR="00A53629" w:rsidRPr="00E63118" w:rsidRDefault="00AC042A" w:rsidP="00A53629">
            <w:pPr>
              <w:spacing w:before="24" w:after="0" w:line="240" w:lineRule="auto"/>
              <w:jc w:val="right"/>
              <w:rPr>
                <w:rFonts w:ascii="Arial" w:hAnsi="Arial" w:cs="Arial"/>
                <w:b/>
                <w:bCs/>
                <w:sz w:val="16"/>
                <w:szCs w:val="16"/>
              </w:rPr>
            </w:pPr>
            <w:r>
              <w:rPr>
                <w:rFonts w:ascii="Arial" w:hAnsi="Arial" w:cs="Arial"/>
                <w:b/>
                <w:bCs/>
                <w:sz w:val="16"/>
                <w:szCs w:val="16"/>
              </w:rPr>
              <w:t>2023–</w:t>
            </w:r>
            <w:r w:rsidR="00A53629">
              <w:rPr>
                <w:rFonts w:ascii="Arial" w:hAnsi="Arial" w:cs="Arial"/>
                <w:b/>
                <w:bCs/>
                <w:sz w:val="16"/>
                <w:szCs w:val="16"/>
              </w:rPr>
              <w:t>24</w:t>
            </w:r>
            <w:r w:rsidR="00A53629">
              <w:rPr>
                <w:rFonts w:ascii="Arial" w:hAnsi="Arial" w:cs="Arial"/>
                <w:b/>
                <w:bCs/>
                <w:sz w:val="16"/>
                <w:szCs w:val="16"/>
              </w:rPr>
              <w:br/>
              <w:t>Estimate as</w:t>
            </w:r>
            <w:r w:rsidR="00A53629">
              <w:rPr>
                <w:rFonts w:ascii="Arial" w:hAnsi="Arial" w:cs="Arial"/>
                <w:b/>
                <w:bCs/>
                <w:sz w:val="16"/>
                <w:szCs w:val="16"/>
              </w:rPr>
              <w:br/>
              <w:t>at Budget</w:t>
            </w:r>
            <w:r w:rsidR="00A53629">
              <w:rPr>
                <w:rFonts w:ascii="Arial" w:hAnsi="Arial" w:cs="Arial"/>
                <w:b/>
                <w:bCs/>
                <w:sz w:val="16"/>
                <w:szCs w:val="16"/>
              </w:rPr>
              <w:br/>
            </w:r>
            <w:r w:rsidR="00A53629">
              <w:rPr>
                <w:rFonts w:ascii="Arial" w:hAnsi="Arial" w:cs="Arial"/>
                <w:b/>
                <w:bCs/>
                <w:sz w:val="16"/>
                <w:szCs w:val="16"/>
              </w:rPr>
              <w:br/>
            </w:r>
            <w:r w:rsidR="00A53629">
              <w:rPr>
                <w:rFonts w:ascii="Arial" w:hAnsi="Arial" w:cs="Arial"/>
                <w:sz w:val="16"/>
                <w:szCs w:val="16"/>
              </w:rPr>
              <w:t>$'000</w:t>
            </w:r>
          </w:p>
        </w:tc>
        <w:tc>
          <w:tcPr>
            <w:tcW w:w="1191" w:type="dxa"/>
            <w:tcBorders>
              <w:top w:val="single" w:sz="4" w:space="0" w:color="auto"/>
              <w:left w:val="nil"/>
              <w:bottom w:val="single" w:sz="4" w:space="0" w:color="auto"/>
              <w:right w:val="nil"/>
            </w:tcBorders>
            <w:shd w:val="clear" w:color="auto" w:fill="auto"/>
            <w:vAlign w:val="bottom"/>
            <w:hideMark/>
          </w:tcPr>
          <w:p w14:paraId="56CB987D" w14:textId="4B59570A" w:rsidR="00A53629" w:rsidRPr="00E63118" w:rsidRDefault="00AC042A" w:rsidP="00A53629">
            <w:pPr>
              <w:spacing w:before="24" w:after="0" w:line="240" w:lineRule="auto"/>
              <w:jc w:val="right"/>
              <w:rPr>
                <w:rFonts w:ascii="Arial" w:hAnsi="Arial" w:cs="Arial"/>
                <w:b/>
                <w:bCs/>
                <w:sz w:val="16"/>
                <w:szCs w:val="16"/>
              </w:rPr>
            </w:pPr>
            <w:r>
              <w:rPr>
                <w:rFonts w:ascii="Arial" w:hAnsi="Arial" w:cs="Arial"/>
                <w:b/>
                <w:bCs/>
                <w:sz w:val="16"/>
                <w:szCs w:val="16"/>
              </w:rPr>
              <w:t>2023–</w:t>
            </w:r>
            <w:r w:rsidR="00A53629">
              <w:rPr>
                <w:rFonts w:ascii="Arial" w:hAnsi="Arial" w:cs="Arial"/>
                <w:b/>
                <w:bCs/>
                <w:sz w:val="16"/>
                <w:szCs w:val="16"/>
              </w:rPr>
              <w:t>24</w:t>
            </w:r>
            <w:r w:rsidR="00A53629">
              <w:rPr>
                <w:rFonts w:ascii="Arial" w:hAnsi="Arial" w:cs="Arial"/>
                <w:b/>
                <w:bCs/>
                <w:sz w:val="16"/>
                <w:szCs w:val="16"/>
              </w:rPr>
              <w:br/>
              <w:t>Proposed</w:t>
            </w:r>
            <w:r w:rsidR="00A53629">
              <w:rPr>
                <w:rFonts w:ascii="Arial" w:hAnsi="Arial" w:cs="Arial"/>
                <w:b/>
                <w:bCs/>
                <w:sz w:val="16"/>
                <w:szCs w:val="16"/>
              </w:rPr>
              <w:br/>
              <w:t>Additional</w:t>
            </w:r>
            <w:r w:rsidR="00A53629">
              <w:rPr>
                <w:rFonts w:ascii="Arial" w:hAnsi="Arial" w:cs="Arial"/>
                <w:b/>
                <w:bCs/>
                <w:sz w:val="16"/>
                <w:szCs w:val="16"/>
              </w:rPr>
              <w:br/>
              <w:t>Estimates</w:t>
            </w:r>
            <w:r w:rsidR="00A53629">
              <w:rPr>
                <w:rFonts w:ascii="Arial" w:hAnsi="Arial" w:cs="Arial"/>
                <w:b/>
                <w:bCs/>
                <w:sz w:val="16"/>
                <w:szCs w:val="16"/>
              </w:rPr>
              <w:br/>
            </w:r>
            <w:r w:rsidR="00A53629">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vAlign w:val="bottom"/>
            <w:hideMark/>
          </w:tcPr>
          <w:p w14:paraId="5BA5D3D7" w14:textId="5482CFF7" w:rsidR="00A53629" w:rsidRPr="00E63118" w:rsidRDefault="00AC042A" w:rsidP="00A53629">
            <w:pPr>
              <w:spacing w:before="24" w:after="0" w:line="240" w:lineRule="auto"/>
              <w:jc w:val="right"/>
              <w:rPr>
                <w:rFonts w:ascii="Arial" w:hAnsi="Arial" w:cs="Arial"/>
                <w:b/>
                <w:bCs/>
                <w:sz w:val="16"/>
                <w:szCs w:val="16"/>
              </w:rPr>
            </w:pPr>
            <w:r>
              <w:rPr>
                <w:rFonts w:ascii="Arial" w:hAnsi="Arial" w:cs="Arial"/>
                <w:b/>
                <w:bCs/>
                <w:sz w:val="16"/>
                <w:szCs w:val="16"/>
              </w:rPr>
              <w:t>2023–</w:t>
            </w:r>
            <w:r w:rsidR="00A53629">
              <w:rPr>
                <w:rFonts w:ascii="Arial" w:hAnsi="Arial" w:cs="Arial"/>
                <w:b/>
                <w:bCs/>
                <w:sz w:val="16"/>
                <w:szCs w:val="16"/>
              </w:rPr>
              <w:t>24</w:t>
            </w:r>
            <w:r w:rsidR="00A53629">
              <w:rPr>
                <w:rFonts w:ascii="Arial" w:hAnsi="Arial" w:cs="Arial"/>
                <w:b/>
                <w:bCs/>
                <w:sz w:val="16"/>
                <w:szCs w:val="16"/>
              </w:rPr>
              <w:br/>
              <w:t>Total</w:t>
            </w:r>
            <w:r w:rsidR="00A53629">
              <w:rPr>
                <w:rFonts w:ascii="Arial" w:hAnsi="Arial" w:cs="Arial"/>
                <w:b/>
                <w:bCs/>
                <w:sz w:val="16"/>
                <w:szCs w:val="16"/>
              </w:rPr>
              <w:br/>
              <w:t>Estimate</w:t>
            </w:r>
            <w:r w:rsidR="00A53629">
              <w:rPr>
                <w:rFonts w:ascii="Arial" w:hAnsi="Arial" w:cs="Arial"/>
                <w:b/>
                <w:bCs/>
                <w:sz w:val="16"/>
                <w:szCs w:val="16"/>
              </w:rPr>
              <w:br/>
              <w:t>at AEs</w:t>
            </w:r>
            <w:r w:rsidR="00A53629">
              <w:rPr>
                <w:rFonts w:ascii="Arial" w:hAnsi="Arial" w:cs="Arial"/>
                <w:b/>
                <w:bCs/>
                <w:sz w:val="16"/>
                <w:szCs w:val="16"/>
              </w:rPr>
              <w:br/>
            </w:r>
            <w:r w:rsidR="00A53629">
              <w:rPr>
                <w:rFonts w:ascii="Arial" w:hAnsi="Arial" w:cs="Arial"/>
                <w:sz w:val="16"/>
                <w:szCs w:val="16"/>
              </w:rPr>
              <w:t>$'000</w:t>
            </w:r>
          </w:p>
        </w:tc>
      </w:tr>
      <w:tr w:rsidR="00A53629" w:rsidRPr="00E63118" w14:paraId="248A9EC8" w14:textId="77777777" w:rsidTr="004458AF">
        <w:trPr>
          <w:trHeight w:val="283"/>
          <w:jc w:val="center"/>
        </w:trPr>
        <w:tc>
          <w:tcPr>
            <w:tcW w:w="3005" w:type="dxa"/>
            <w:tcBorders>
              <w:top w:val="nil"/>
              <w:left w:val="nil"/>
              <w:bottom w:val="nil"/>
              <w:right w:val="nil"/>
            </w:tcBorders>
            <w:shd w:val="clear" w:color="auto" w:fill="auto"/>
            <w:noWrap/>
            <w:vAlign w:val="bottom"/>
            <w:hideMark/>
          </w:tcPr>
          <w:p w14:paraId="7E7F5A80" w14:textId="39406C3E"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DEPARTMENTAL</w:t>
            </w:r>
          </w:p>
        </w:tc>
        <w:tc>
          <w:tcPr>
            <w:tcW w:w="1260" w:type="dxa"/>
            <w:tcBorders>
              <w:top w:val="nil"/>
              <w:left w:val="nil"/>
              <w:bottom w:val="nil"/>
              <w:right w:val="nil"/>
            </w:tcBorders>
            <w:shd w:val="clear" w:color="auto" w:fill="auto"/>
            <w:vAlign w:val="bottom"/>
            <w:hideMark/>
          </w:tcPr>
          <w:p w14:paraId="76BFCFB1" w14:textId="77777777" w:rsidR="00A53629" w:rsidRPr="00E63118" w:rsidRDefault="00A53629" w:rsidP="00A53629">
            <w:pPr>
              <w:spacing w:before="0" w:after="0" w:line="240" w:lineRule="auto"/>
              <w:jc w:val="right"/>
              <w:rPr>
                <w:rFonts w:ascii="Arial" w:hAnsi="Arial" w:cs="Arial"/>
                <w:sz w:val="16"/>
                <w:szCs w:val="16"/>
              </w:rPr>
            </w:pPr>
          </w:p>
        </w:tc>
        <w:tc>
          <w:tcPr>
            <w:tcW w:w="1180" w:type="dxa"/>
            <w:tcBorders>
              <w:top w:val="nil"/>
              <w:left w:val="nil"/>
              <w:bottom w:val="nil"/>
              <w:right w:val="nil"/>
            </w:tcBorders>
            <w:shd w:val="clear" w:color="000000" w:fill="D9D9D9"/>
            <w:vAlign w:val="bottom"/>
            <w:hideMark/>
          </w:tcPr>
          <w:p w14:paraId="378FA86C" w14:textId="52E8804B"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nil"/>
              <w:left w:val="nil"/>
              <w:bottom w:val="nil"/>
              <w:right w:val="nil"/>
            </w:tcBorders>
            <w:shd w:val="clear" w:color="auto" w:fill="auto"/>
            <w:vAlign w:val="bottom"/>
            <w:hideMark/>
          </w:tcPr>
          <w:p w14:paraId="1D3CF919" w14:textId="77777777" w:rsidR="00A53629" w:rsidRPr="00E63118" w:rsidRDefault="00A53629" w:rsidP="00A53629">
            <w:pPr>
              <w:spacing w:before="0"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vAlign w:val="bottom"/>
            <w:hideMark/>
          </w:tcPr>
          <w:p w14:paraId="472D00F5" w14:textId="77777777" w:rsidR="00A53629" w:rsidRPr="00E63118" w:rsidRDefault="00A53629" w:rsidP="00A53629">
            <w:pPr>
              <w:spacing w:before="0" w:after="0" w:line="240" w:lineRule="auto"/>
              <w:jc w:val="right"/>
              <w:rPr>
                <w:rFonts w:ascii="Arial" w:hAnsi="Arial" w:cs="Arial"/>
                <w:sz w:val="16"/>
                <w:szCs w:val="16"/>
              </w:rPr>
            </w:pPr>
          </w:p>
        </w:tc>
      </w:tr>
      <w:tr w:rsidR="00A53629" w:rsidRPr="00E63118" w14:paraId="23A29A46" w14:textId="77777777" w:rsidTr="00603F85">
        <w:trPr>
          <w:trHeight w:val="225"/>
          <w:jc w:val="center"/>
        </w:trPr>
        <w:tc>
          <w:tcPr>
            <w:tcW w:w="3005" w:type="dxa"/>
            <w:tcBorders>
              <w:top w:val="nil"/>
              <w:left w:val="nil"/>
              <w:bottom w:val="nil"/>
              <w:right w:val="nil"/>
            </w:tcBorders>
            <w:shd w:val="clear" w:color="auto" w:fill="auto"/>
            <w:noWrap/>
            <w:vAlign w:val="bottom"/>
            <w:hideMark/>
          </w:tcPr>
          <w:p w14:paraId="74FA2815" w14:textId="07C7B831" w:rsidR="00A53629" w:rsidRPr="00E63118" w:rsidRDefault="00A53629" w:rsidP="00980AA1">
            <w:pPr>
              <w:spacing w:before="0" w:after="0" w:line="240" w:lineRule="auto"/>
              <w:ind w:leftChars="75" w:left="143"/>
              <w:rPr>
                <w:rFonts w:ascii="Arial" w:hAnsi="Arial" w:cs="Arial"/>
                <w:sz w:val="16"/>
                <w:szCs w:val="16"/>
              </w:rPr>
            </w:pPr>
            <w:r>
              <w:rPr>
                <w:rFonts w:ascii="Arial" w:hAnsi="Arial" w:cs="Arial"/>
                <w:sz w:val="16"/>
                <w:szCs w:val="16"/>
              </w:rPr>
              <w:t>Prior year appropriation available</w:t>
            </w:r>
            <w:r>
              <w:rPr>
                <w:rFonts w:ascii="Arial" w:hAnsi="Arial" w:cs="Arial"/>
                <w:sz w:val="16"/>
                <w:szCs w:val="16"/>
                <w:vertAlign w:val="superscript"/>
              </w:rPr>
              <w:t>(a)</w:t>
            </w:r>
          </w:p>
        </w:tc>
        <w:tc>
          <w:tcPr>
            <w:tcW w:w="1260" w:type="dxa"/>
            <w:tcBorders>
              <w:top w:val="nil"/>
              <w:left w:val="nil"/>
              <w:bottom w:val="nil"/>
              <w:right w:val="nil"/>
            </w:tcBorders>
            <w:shd w:val="clear" w:color="auto" w:fill="auto"/>
            <w:noWrap/>
            <w:vAlign w:val="bottom"/>
            <w:hideMark/>
          </w:tcPr>
          <w:p w14:paraId="3BE0AE22" w14:textId="21B52177"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3,354</w:t>
            </w:r>
          </w:p>
        </w:tc>
        <w:tc>
          <w:tcPr>
            <w:tcW w:w="1180" w:type="dxa"/>
            <w:tcBorders>
              <w:top w:val="nil"/>
              <w:left w:val="nil"/>
              <w:bottom w:val="nil"/>
              <w:right w:val="nil"/>
            </w:tcBorders>
            <w:shd w:val="clear" w:color="000000" w:fill="D9D9D9"/>
            <w:noWrap/>
            <w:vAlign w:val="bottom"/>
            <w:hideMark/>
          </w:tcPr>
          <w:p w14:paraId="3585159C" w14:textId="50111F40"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4,102</w:t>
            </w:r>
          </w:p>
        </w:tc>
        <w:tc>
          <w:tcPr>
            <w:tcW w:w="1191" w:type="dxa"/>
            <w:tcBorders>
              <w:top w:val="nil"/>
              <w:left w:val="nil"/>
              <w:bottom w:val="nil"/>
              <w:right w:val="nil"/>
            </w:tcBorders>
            <w:shd w:val="clear" w:color="auto" w:fill="auto"/>
            <w:noWrap/>
            <w:vAlign w:val="bottom"/>
            <w:hideMark/>
          </w:tcPr>
          <w:p w14:paraId="4D9AD18C" w14:textId="67FE7749"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4765B376" w14:textId="4C32C01F"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4,102</w:t>
            </w:r>
          </w:p>
        </w:tc>
      </w:tr>
      <w:tr w:rsidR="00A53629" w:rsidRPr="00E63118" w14:paraId="6AECF6B3" w14:textId="77777777" w:rsidTr="00603F85">
        <w:trPr>
          <w:trHeight w:val="283"/>
          <w:jc w:val="center"/>
        </w:trPr>
        <w:tc>
          <w:tcPr>
            <w:tcW w:w="3005" w:type="dxa"/>
            <w:tcBorders>
              <w:top w:val="nil"/>
              <w:left w:val="nil"/>
              <w:bottom w:val="nil"/>
              <w:right w:val="nil"/>
            </w:tcBorders>
            <w:shd w:val="clear" w:color="auto" w:fill="auto"/>
            <w:noWrap/>
            <w:vAlign w:val="bottom"/>
            <w:hideMark/>
          </w:tcPr>
          <w:p w14:paraId="30053231" w14:textId="178ABB57"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52635592" w14:textId="77777777" w:rsidR="00A53629" w:rsidRPr="00E63118" w:rsidRDefault="00A53629" w:rsidP="00A53629">
            <w:pPr>
              <w:spacing w:before="0" w:after="0" w:line="240" w:lineRule="auto"/>
              <w:rPr>
                <w:rFonts w:ascii="Arial" w:hAnsi="Arial" w:cs="Arial"/>
                <w:b/>
                <w:bCs/>
                <w:sz w:val="16"/>
                <w:szCs w:val="16"/>
              </w:rPr>
            </w:pPr>
          </w:p>
        </w:tc>
        <w:tc>
          <w:tcPr>
            <w:tcW w:w="1180" w:type="dxa"/>
            <w:tcBorders>
              <w:top w:val="nil"/>
              <w:left w:val="nil"/>
              <w:bottom w:val="nil"/>
              <w:right w:val="nil"/>
            </w:tcBorders>
            <w:shd w:val="clear" w:color="000000" w:fill="D9D9D9"/>
            <w:noWrap/>
            <w:vAlign w:val="bottom"/>
            <w:hideMark/>
          </w:tcPr>
          <w:p w14:paraId="47D69EBA" w14:textId="34E0575E"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14:paraId="0F941380" w14:textId="77777777" w:rsidR="00A53629" w:rsidRPr="00E63118" w:rsidRDefault="00A53629" w:rsidP="00A53629">
            <w:pPr>
              <w:spacing w:before="0"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3EBCC561"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3C223AF9"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1FC1106A" w14:textId="10B3B54A" w:rsidR="00A53629" w:rsidRPr="00E63118" w:rsidRDefault="00A53629" w:rsidP="00980AA1">
            <w:pPr>
              <w:spacing w:before="0" w:after="0" w:line="240" w:lineRule="auto"/>
              <w:ind w:leftChars="75" w:left="143"/>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(b)</w:t>
            </w:r>
          </w:p>
        </w:tc>
        <w:tc>
          <w:tcPr>
            <w:tcW w:w="1260" w:type="dxa"/>
            <w:tcBorders>
              <w:top w:val="nil"/>
              <w:left w:val="nil"/>
              <w:bottom w:val="nil"/>
              <w:right w:val="nil"/>
            </w:tcBorders>
            <w:shd w:val="clear" w:color="auto" w:fill="auto"/>
            <w:noWrap/>
            <w:vAlign w:val="bottom"/>
            <w:hideMark/>
          </w:tcPr>
          <w:p w14:paraId="4C9F6ED3" w14:textId="77777777" w:rsidR="00A53629" w:rsidRPr="00E63118" w:rsidRDefault="00A53629" w:rsidP="00A53629">
            <w:pPr>
              <w:spacing w:before="0" w:after="0" w:line="240" w:lineRule="auto"/>
              <w:ind w:firstLineChars="100" w:firstLine="160"/>
              <w:rPr>
                <w:rFonts w:ascii="Arial" w:hAnsi="Arial" w:cs="Arial"/>
                <w:sz w:val="16"/>
                <w:szCs w:val="16"/>
              </w:rPr>
            </w:pPr>
          </w:p>
        </w:tc>
        <w:tc>
          <w:tcPr>
            <w:tcW w:w="1180" w:type="dxa"/>
            <w:tcBorders>
              <w:top w:val="nil"/>
              <w:left w:val="nil"/>
              <w:bottom w:val="nil"/>
              <w:right w:val="nil"/>
            </w:tcBorders>
            <w:shd w:val="clear" w:color="000000" w:fill="D9D9D9"/>
            <w:noWrap/>
            <w:vAlign w:val="bottom"/>
            <w:hideMark/>
          </w:tcPr>
          <w:p w14:paraId="1B6B76F6" w14:textId="7616244F"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14:paraId="04BF7AD6" w14:textId="77777777" w:rsidR="00A53629" w:rsidRPr="00E63118" w:rsidRDefault="00A53629" w:rsidP="00A53629">
            <w:pPr>
              <w:spacing w:before="0"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40D81173"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5B1D59EB" w14:textId="77777777" w:rsidTr="00603F85">
        <w:trPr>
          <w:trHeight w:val="225"/>
          <w:jc w:val="center"/>
        </w:trPr>
        <w:tc>
          <w:tcPr>
            <w:tcW w:w="3005" w:type="dxa"/>
            <w:tcBorders>
              <w:top w:val="nil"/>
              <w:left w:val="nil"/>
              <w:bottom w:val="nil"/>
              <w:right w:val="nil"/>
            </w:tcBorders>
            <w:shd w:val="clear" w:color="auto" w:fill="auto"/>
            <w:noWrap/>
            <w:vAlign w:val="bottom"/>
            <w:hideMark/>
          </w:tcPr>
          <w:p w14:paraId="083D4644" w14:textId="0E6E1790" w:rsidR="00A53629" w:rsidRPr="00E63118" w:rsidRDefault="00A53629" w:rsidP="00A53629">
            <w:pPr>
              <w:spacing w:before="0" w:after="0" w:line="240" w:lineRule="auto"/>
              <w:ind w:leftChars="150" w:left="285"/>
              <w:rPr>
                <w:rFonts w:ascii="Arial" w:hAnsi="Arial" w:cs="Arial"/>
                <w:sz w:val="16"/>
                <w:szCs w:val="16"/>
              </w:rPr>
            </w:pPr>
            <w:r>
              <w:rPr>
                <w:rFonts w:ascii="Arial" w:hAnsi="Arial" w:cs="Arial"/>
                <w:sz w:val="16"/>
                <w:szCs w:val="16"/>
              </w:rPr>
              <w:t>Departmental appropriation</w:t>
            </w:r>
          </w:p>
        </w:tc>
        <w:tc>
          <w:tcPr>
            <w:tcW w:w="1260" w:type="dxa"/>
            <w:tcBorders>
              <w:top w:val="nil"/>
              <w:left w:val="nil"/>
              <w:bottom w:val="nil"/>
              <w:right w:val="nil"/>
            </w:tcBorders>
            <w:shd w:val="clear" w:color="auto" w:fill="auto"/>
            <w:noWrap/>
            <w:vAlign w:val="bottom"/>
            <w:hideMark/>
          </w:tcPr>
          <w:p w14:paraId="31BD5015" w14:textId="52A504C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6,194</w:t>
            </w:r>
          </w:p>
        </w:tc>
        <w:tc>
          <w:tcPr>
            <w:tcW w:w="1180" w:type="dxa"/>
            <w:tcBorders>
              <w:top w:val="nil"/>
              <w:left w:val="nil"/>
              <w:bottom w:val="nil"/>
              <w:right w:val="nil"/>
            </w:tcBorders>
            <w:shd w:val="clear" w:color="000000" w:fill="D9D9D9"/>
            <w:noWrap/>
            <w:vAlign w:val="bottom"/>
            <w:hideMark/>
          </w:tcPr>
          <w:p w14:paraId="46B60401" w14:textId="75DFFCCE"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6,265</w:t>
            </w:r>
          </w:p>
        </w:tc>
        <w:tc>
          <w:tcPr>
            <w:tcW w:w="1191" w:type="dxa"/>
            <w:tcBorders>
              <w:top w:val="nil"/>
              <w:left w:val="nil"/>
              <w:bottom w:val="nil"/>
              <w:right w:val="nil"/>
            </w:tcBorders>
            <w:shd w:val="clear" w:color="auto" w:fill="auto"/>
            <w:noWrap/>
            <w:vAlign w:val="bottom"/>
            <w:hideMark/>
          </w:tcPr>
          <w:p w14:paraId="4FC4740D" w14:textId="6A7FD646"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500</w:t>
            </w:r>
          </w:p>
        </w:tc>
        <w:tc>
          <w:tcPr>
            <w:tcW w:w="1134" w:type="dxa"/>
            <w:tcBorders>
              <w:top w:val="nil"/>
              <w:left w:val="nil"/>
              <w:bottom w:val="nil"/>
              <w:right w:val="nil"/>
            </w:tcBorders>
            <w:shd w:val="clear" w:color="auto" w:fill="auto"/>
            <w:noWrap/>
            <w:vAlign w:val="bottom"/>
            <w:hideMark/>
          </w:tcPr>
          <w:p w14:paraId="3EA500D2" w14:textId="13E9DD7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6,765</w:t>
            </w:r>
          </w:p>
        </w:tc>
      </w:tr>
      <w:tr w:rsidR="00A53629" w:rsidRPr="00E63118" w14:paraId="5BFDEDAE"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100F8037" w14:textId="340DBC7F" w:rsidR="00A53629" w:rsidRPr="00E63118" w:rsidRDefault="00A53629" w:rsidP="00980AA1">
            <w:pPr>
              <w:spacing w:before="0" w:after="0" w:line="240" w:lineRule="auto"/>
              <w:ind w:leftChars="150" w:left="285"/>
              <w:rPr>
                <w:rFonts w:ascii="Arial" w:hAnsi="Arial" w:cs="Arial"/>
                <w:sz w:val="16"/>
                <w:szCs w:val="16"/>
              </w:rPr>
            </w:pPr>
            <w:r>
              <w:rPr>
                <w:rFonts w:ascii="Arial" w:hAnsi="Arial" w:cs="Arial"/>
                <w:sz w:val="16"/>
                <w:szCs w:val="16"/>
              </w:rPr>
              <w:t>s74 retained revenue receipts</w:t>
            </w:r>
            <w:r>
              <w:rPr>
                <w:rFonts w:ascii="Arial" w:hAnsi="Arial" w:cs="Arial"/>
                <w:sz w:val="16"/>
                <w:szCs w:val="16"/>
                <w:vertAlign w:val="superscript"/>
              </w:rPr>
              <w:t>(c)</w:t>
            </w:r>
          </w:p>
        </w:tc>
        <w:tc>
          <w:tcPr>
            <w:tcW w:w="1260" w:type="dxa"/>
            <w:tcBorders>
              <w:top w:val="nil"/>
              <w:left w:val="nil"/>
              <w:bottom w:val="nil"/>
              <w:right w:val="nil"/>
            </w:tcBorders>
            <w:shd w:val="clear" w:color="auto" w:fill="auto"/>
            <w:noWrap/>
            <w:vAlign w:val="bottom"/>
            <w:hideMark/>
          </w:tcPr>
          <w:p w14:paraId="3DB66A6A" w14:textId="3C4325FF"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149</w:t>
            </w:r>
          </w:p>
        </w:tc>
        <w:tc>
          <w:tcPr>
            <w:tcW w:w="1180" w:type="dxa"/>
            <w:tcBorders>
              <w:top w:val="nil"/>
              <w:left w:val="nil"/>
              <w:bottom w:val="nil"/>
              <w:right w:val="nil"/>
            </w:tcBorders>
            <w:shd w:val="clear" w:color="000000" w:fill="D9D9D9"/>
            <w:noWrap/>
            <w:vAlign w:val="bottom"/>
            <w:hideMark/>
          </w:tcPr>
          <w:p w14:paraId="1A1D3356" w14:textId="0E0F62C4"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6D472103" w14:textId="3A307067"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5CCA67D3" w14:textId="293EB269"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r>
      <w:tr w:rsidR="00A53629" w:rsidRPr="00E63118" w14:paraId="6BF0B48E"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379418DC" w14:textId="4F0BF315" w:rsidR="00A53629" w:rsidRPr="00E63118" w:rsidRDefault="00A53629" w:rsidP="00980AA1">
            <w:pPr>
              <w:spacing w:before="0" w:after="0" w:line="240" w:lineRule="auto"/>
              <w:ind w:leftChars="150" w:left="285"/>
              <w:rPr>
                <w:rFonts w:ascii="Arial" w:hAnsi="Arial" w:cs="Arial"/>
                <w:sz w:val="16"/>
                <w:szCs w:val="16"/>
              </w:rPr>
            </w:pPr>
            <w:r>
              <w:rPr>
                <w:rFonts w:ascii="Arial" w:hAnsi="Arial" w:cs="Arial"/>
                <w:sz w:val="16"/>
                <w:szCs w:val="16"/>
              </w:rPr>
              <w:t>Departmental Capital Budget</w:t>
            </w:r>
            <w:r>
              <w:rPr>
                <w:rFonts w:ascii="Arial" w:hAnsi="Arial" w:cs="Arial"/>
                <w:sz w:val="16"/>
                <w:szCs w:val="16"/>
                <w:vertAlign w:val="superscript"/>
              </w:rPr>
              <w:t>(d)</w:t>
            </w:r>
          </w:p>
        </w:tc>
        <w:tc>
          <w:tcPr>
            <w:tcW w:w="1260" w:type="dxa"/>
            <w:tcBorders>
              <w:top w:val="nil"/>
              <w:left w:val="nil"/>
              <w:bottom w:val="nil"/>
              <w:right w:val="nil"/>
            </w:tcBorders>
            <w:shd w:val="clear" w:color="auto" w:fill="auto"/>
            <w:noWrap/>
            <w:vAlign w:val="bottom"/>
            <w:hideMark/>
          </w:tcPr>
          <w:p w14:paraId="478A71EF" w14:textId="11902121"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264</w:t>
            </w:r>
          </w:p>
        </w:tc>
        <w:tc>
          <w:tcPr>
            <w:tcW w:w="1180" w:type="dxa"/>
            <w:tcBorders>
              <w:top w:val="nil"/>
              <w:left w:val="nil"/>
              <w:bottom w:val="nil"/>
              <w:right w:val="nil"/>
            </w:tcBorders>
            <w:shd w:val="clear" w:color="000000" w:fill="D9D9D9"/>
            <w:noWrap/>
            <w:vAlign w:val="bottom"/>
            <w:hideMark/>
          </w:tcPr>
          <w:p w14:paraId="2541B8A4" w14:textId="60F3FC3F"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272</w:t>
            </w:r>
          </w:p>
        </w:tc>
        <w:tc>
          <w:tcPr>
            <w:tcW w:w="1191" w:type="dxa"/>
            <w:tcBorders>
              <w:top w:val="nil"/>
              <w:left w:val="nil"/>
              <w:bottom w:val="nil"/>
              <w:right w:val="nil"/>
            </w:tcBorders>
            <w:shd w:val="clear" w:color="auto" w:fill="auto"/>
            <w:noWrap/>
            <w:vAlign w:val="bottom"/>
            <w:hideMark/>
          </w:tcPr>
          <w:p w14:paraId="655524BF" w14:textId="068CA73A"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0E6FA3EF" w14:textId="355C29CE"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272</w:t>
            </w:r>
          </w:p>
        </w:tc>
      </w:tr>
      <w:tr w:rsidR="00A53629" w:rsidRPr="00E63118" w14:paraId="343954DD" w14:textId="77777777" w:rsidTr="00603F85">
        <w:trPr>
          <w:trHeight w:val="283"/>
          <w:jc w:val="center"/>
        </w:trPr>
        <w:tc>
          <w:tcPr>
            <w:tcW w:w="3005" w:type="dxa"/>
            <w:tcBorders>
              <w:top w:val="nil"/>
              <w:left w:val="nil"/>
              <w:bottom w:val="nil"/>
              <w:right w:val="nil"/>
            </w:tcBorders>
            <w:shd w:val="clear" w:color="auto" w:fill="auto"/>
            <w:noWrap/>
            <w:vAlign w:val="bottom"/>
            <w:hideMark/>
          </w:tcPr>
          <w:p w14:paraId="0C4B964A" w14:textId="7DA38B65" w:rsidR="00A53629" w:rsidRPr="00E63118" w:rsidRDefault="00A53629" w:rsidP="00A53629">
            <w:pPr>
              <w:spacing w:before="0" w:after="0" w:line="240" w:lineRule="auto"/>
              <w:ind w:leftChars="75" w:left="143"/>
              <w:rPr>
                <w:rFonts w:ascii="Arial" w:hAnsi="Arial" w:cs="Arial"/>
                <w:sz w:val="16"/>
                <w:szCs w:val="16"/>
              </w:rPr>
            </w:pPr>
            <w:r>
              <w:rPr>
                <w:rFonts w:ascii="Arial" w:hAnsi="Arial" w:cs="Arial"/>
                <w:sz w:val="16"/>
                <w:szCs w:val="16"/>
              </w:rPr>
              <w:t>Other services</w:t>
            </w:r>
            <w:r>
              <w:rPr>
                <w:rFonts w:ascii="Arial" w:hAnsi="Arial" w:cs="Arial"/>
                <w:sz w:val="16"/>
                <w:szCs w:val="16"/>
                <w:vertAlign w:val="superscript"/>
              </w:rPr>
              <w:t xml:space="preserve"> (e)</w:t>
            </w:r>
          </w:p>
        </w:tc>
        <w:tc>
          <w:tcPr>
            <w:tcW w:w="1260" w:type="dxa"/>
            <w:tcBorders>
              <w:top w:val="nil"/>
              <w:left w:val="nil"/>
              <w:bottom w:val="nil"/>
              <w:right w:val="nil"/>
            </w:tcBorders>
            <w:shd w:val="clear" w:color="auto" w:fill="auto"/>
            <w:noWrap/>
            <w:vAlign w:val="bottom"/>
            <w:hideMark/>
          </w:tcPr>
          <w:p w14:paraId="4AD13B2C" w14:textId="77777777" w:rsidR="00A53629" w:rsidRPr="00E63118" w:rsidRDefault="00A53629" w:rsidP="00A53629">
            <w:pPr>
              <w:spacing w:before="0" w:after="0" w:line="240" w:lineRule="auto"/>
              <w:ind w:firstLineChars="100" w:firstLine="160"/>
              <w:rPr>
                <w:rFonts w:ascii="Arial" w:hAnsi="Arial" w:cs="Arial"/>
                <w:sz w:val="16"/>
                <w:szCs w:val="16"/>
              </w:rPr>
            </w:pPr>
          </w:p>
        </w:tc>
        <w:tc>
          <w:tcPr>
            <w:tcW w:w="1180" w:type="dxa"/>
            <w:tcBorders>
              <w:top w:val="nil"/>
              <w:left w:val="nil"/>
              <w:bottom w:val="nil"/>
              <w:right w:val="nil"/>
            </w:tcBorders>
            <w:shd w:val="clear" w:color="000000" w:fill="D9D9D9"/>
            <w:noWrap/>
            <w:vAlign w:val="bottom"/>
            <w:hideMark/>
          </w:tcPr>
          <w:p w14:paraId="57D7D9DB" w14:textId="3AB111F9"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14:paraId="0ECD7C5B" w14:textId="77777777" w:rsidR="00A53629" w:rsidRPr="00E63118" w:rsidRDefault="00A53629" w:rsidP="00A53629">
            <w:pPr>
              <w:spacing w:before="0"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7C2861B5"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43E25E66" w14:textId="77777777" w:rsidTr="00603F85">
        <w:trPr>
          <w:trHeight w:val="225"/>
          <w:jc w:val="center"/>
        </w:trPr>
        <w:tc>
          <w:tcPr>
            <w:tcW w:w="3005" w:type="dxa"/>
            <w:tcBorders>
              <w:top w:val="nil"/>
              <w:left w:val="nil"/>
              <w:bottom w:val="nil"/>
              <w:right w:val="nil"/>
            </w:tcBorders>
            <w:shd w:val="clear" w:color="auto" w:fill="auto"/>
            <w:noWrap/>
            <w:vAlign w:val="bottom"/>
            <w:hideMark/>
          </w:tcPr>
          <w:p w14:paraId="167982B9" w14:textId="69A58CDC" w:rsidR="00A53629" w:rsidRPr="00E63118" w:rsidRDefault="00A53629" w:rsidP="00A53629">
            <w:pPr>
              <w:spacing w:before="0" w:after="0" w:line="240" w:lineRule="auto"/>
              <w:ind w:leftChars="150" w:left="285"/>
              <w:rPr>
                <w:rFonts w:ascii="Arial" w:hAnsi="Arial" w:cs="Arial"/>
                <w:sz w:val="16"/>
                <w:szCs w:val="16"/>
              </w:rPr>
            </w:pPr>
            <w:r>
              <w:rPr>
                <w:rFonts w:ascii="Arial" w:hAnsi="Arial" w:cs="Arial"/>
                <w:sz w:val="16"/>
                <w:szCs w:val="16"/>
              </w:rPr>
              <w:t>Equity injection</w:t>
            </w:r>
          </w:p>
        </w:tc>
        <w:tc>
          <w:tcPr>
            <w:tcW w:w="1260" w:type="dxa"/>
            <w:tcBorders>
              <w:top w:val="nil"/>
              <w:left w:val="nil"/>
              <w:bottom w:val="nil"/>
              <w:right w:val="nil"/>
            </w:tcBorders>
            <w:shd w:val="clear" w:color="auto" w:fill="auto"/>
            <w:noWrap/>
            <w:vAlign w:val="bottom"/>
            <w:hideMark/>
          </w:tcPr>
          <w:p w14:paraId="4E989DEA" w14:textId="6B5C134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80" w:type="dxa"/>
            <w:tcBorders>
              <w:top w:val="nil"/>
              <w:left w:val="nil"/>
              <w:bottom w:val="nil"/>
              <w:right w:val="nil"/>
            </w:tcBorders>
            <w:shd w:val="clear" w:color="000000" w:fill="D9D9D9"/>
            <w:noWrap/>
            <w:vAlign w:val="bottom"/>
            <w:hideMark/>
          </w:tcPr>
          <w:p w14:paraId="4FEF0860" w14:textId="5B57D430"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20213A12" w14:textId="2AD3566B"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35BD8D4C" w14:textId="0B433E76"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r>
      <w:tr w:rsidR="00A53629" w:rsidRPr="00E63118" w14:paraId="25EDD7A3" w14:textId="77777777" w:rsidTr="00FD2AE4">
        <w:trPr>
          <w:trHeight w:val="425"/>
          <w:jc w:val="center"/>
        </w:trPr>
        <w:tc>
          <w:tcPr>
            <w:tcW w:w="3005" w:type="dxa"/>
            <w:tcBorders>
              <w:top w:val="nil"/>
              <w:left w:val="nil"/>
              <w:bottom w:val="nil"/>
              <w:right w:val="nil"/>
            </w:tcBorders>
            <w:shd w:val="clear" w:color="auto" w:fill="auto"/>
            <w:vAlign w:val="bottom"/>
            <w:hideMark/>
          </w:tcPr>
          <w:p w14:paraId="5E4C34F6" w14:textId="36DF6287" w:rsidR="00A53629" w:rsidRPr="00E63118" w:rsidRDefault="00A53629" w:rsidP="00A53629">
            <w:pPr>
              <w:spacing w:before="0" w:after="0" w:line="240" w:lineRule="auto"/>
              <w:ind w:leftChars="150" w:left="285"/>
              <w:rPr>
                <w:rFonts w:ascii="Arial" w:hAnsi="Arial" w:cs="Arial"/>
                <w:b/>
                <w:bCs/>
                <w:sz w:val="16"/>
                <w:szCs w:val="16"/>
              </w:rPr>
            </w:pPr>
            <w:r>
              <w:rPr>
                <w:rFonts w:ascii="Arial" w:hAnsi="Arial" w:cs="Arial"/>
                <w:b/>
                <w:bCs/>
                <w:sz w:val="16"/>
                <w:szCs w:val="16"/>
              </w:rPr>
              <w:t>Total departmental annual appropriations</w:t>
            </w:r>
          </w:p>
        </w:tc>
        <w:tc>
          <w:tcPr>
            <w:tcW w:w="1260" w:type="dxa"/>
            <w:tcBorders>
              <w:top w:val="nil"/>
              <w:left w:val="nil"/>
              <w:bottom w:val="single" w:sz="4" w:space="0" w:color="auto"/>
              <w:right w:val="nil"/>
            </w:tcBorders>
            <w:shd w:val="clear" w:color="auto" w:fill="auto"/>
            <w:noWrap/>
            <w:vAlign w:val="bottom"/>
            <w:hideMark/>
          </w:tcPr>
          <w:p w14:paraId="2C98AD44" w14:textId="7E5EC078"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6,607</w:t>
            </w:r>
          </w:p>
        </w:tc>
        <w:tc>
          <w:tcPr>
            <w:tcW w:w="1180" w:type="dxa"/>
            <w:tcBorders>
              <w:top w:val="nil"/>
              <w:left w:val="nil"/>
              <w:bottom w:val="single" w:sz="4" w:space="0" w:color="auto"/>
              <w:right w:val="nil"/>
            </w:tcBorders>
            <w:shd w:val="clear" w:color="000000" w:fill="D9D9D9"/>
            <w:noWrap/>
            <w:vAlign w:val="bottom"/>
            <w:hideMark/>
          </w:tcPr>
          <w:p w14:paraId="783BD2C1" w14:textId="786F0E79"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6,537</w:t>
            </w:r>
          </w:p>
        </w:tc>
        <w:tc>
          <w:tcPr>
            <w:tcW w:w="1191" w:type="dxa"/>
            <w:tcBorders>
              <w:top w:val="nil"/>
              <w:left w:val="nil"/>
              <w:bottom w:val="single" w:sz="4" w:space="0" w:color="auto"/>
              <w:right w:val="nil"/>
            </w:tcBorders>
            <w:shd w:val="clear" w:color="auto" w:fill="auto"/>
            <w:noWrap/>
            <w:vAlign w:val="bottom"/>
            <w:hideMark/>
          </w:tcPr>
          <w:p w14:paraId="2A113A23" w14:textId="144C5F54"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500</w:t>
            </w:r>
          </w:p>
        </w:tc>
        <w:tc>
          <w:tcPr>
            <w:tcW w:w="1134" w:type="dxa"/>
            <w:tcBorders>
              <w:top w:val="nil"/>
              <w:left w:val="nil"/>
              <w:bottom w:val="single" w:sz="4" w:space="0" w:color="auto"/>
              <w:right w:val="nil"/>
            </w:tcBorders>
            <w:shd w:val="clear" w:color="auto" w:fill="auto"/>
            <w:noWrap/>
            <w:vAlign w:val="bottom"/>
            <w:hideMark/>
          </w:tcPr>
          <w:p w14:paraId="71F02CA6" w14:textId="6A96784F"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7,037</w:t>
            </w:r>
          </w:p>
        </w:tc>
      </w:tr>
      <w:tr w:rsidR="00A53629" w:rsidRPr="00E63118" w14:paraId="1B48ECB7" w14:textId="77777777" w:rsidTr="004458AF">
        <w:trPr>
          <w:trHeight w:val="425"/>
          <w:jc w:val="center"/>
        </w:trPr>
        <w:tc>
          <w:tcPr>
            <w:tcW w:w="3005" w:type="dxa"/>
            <w:tcBorders>
              <w:top w:val="nil"/>
              <w:left w:val="nil"/>
              <w:bottom w:val="nil"/>
              <w:right w:val="nil"/>
            </w:tcBorders>
            <w:shd w:val="clear" w:color="auto" w:fill="auto"/>
            <w:noWrap/>
            <w:vAlign w:val="bottom"/>
            <w:hideMark/>
          </w:tcPr>
          <w:p w14:paraId="30766175" w14:textId="7025D790"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 xml:space="preserve">Total departmental resourcing </w:t>
            </w:r>
          </w:p>
        </w:tc>
        <w:tc>
          <w:tcPr>
            <w:tcW w:w="1260" w:type="dxa"/>
            <w:tcBorders>
              <w:top w:val="nil"/>
              <w:left w:val="nil"/>
              <w:bottom w:val="single" w:sz="4" w:space="0" w:color="auto"/>
              <w:right w:val="nil"/>
            </w:tcBorders>
            <w:shd w:val="clear" w:color="auto" w:fill="auto"/>
            <w:noWrap/>
            <w:vAlign w:val="bottom"/>
            <w:hideMark/>
          </w:tcPr>
          <w:p w14:paraId="488585CB" w14:textId="7EA35213"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9,961</w:t>
            </w:r>
          </w:p>
        </w:tc>
        <w:tc>
          <w:tcPr>
            <w:tcW w:w="1180" w:type="dxa"/>
            <w:tcBorders>
              <w:top w:val="nil"/>
              <w:left w:val="nil"/>
              <w:bottom w:val="single" w:sz="4" w:space="0" w:color="auto"/>
              <w:right w:val="nil"/>
            </w:tcBorders>
            <w:shd w:val="clear" w:color="000000" w:fill="D9D9D9"/>
            <w:noWrap/>
            <w:vAlign w:val="bottom"/>
            <w:hideMark/>
          </w:tcPr>
          <w:p w14:paraId="456A90BE" w14:textId="7869A497"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10,639</w:t>
            </w:r>
          </w:p>
        </w:tc>
        <w:tc>
          <w:tcPr>
            <w:tcW w:w="1191" w:type="dxa"/>
            <w:tcBorders>
              <w:top w:val="nil"/>
              <w:left w:val="nil"/>
              <w:bottom w:val="single" w:sz="4" w:space="0" w:color="auto"/>
              <w:right w:val="nil"/>
            </w:tcBorders>
            <w:shd w:val="clear" w:color="auto" w:fill="auto"/>
            <w:noWrap/>
            <w:vAlign w:val="bottom"/>
            <w:hideMark/>
          </w:tcPr>
          <w:p w14:paraId="243F9441" w14:textId="22FE1407"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500</w:t>
            </w:r>
          </w:p>
        </w:tc>
        <w:tc>
          <w:tcPr>
            <w:tcW w:w="1134" w:type="dxa"/>
            <w:tcBorders>
              <w:top w:val="nil"/>
              <w:left w:val="nil"/>
              <w:bottom w:val="single" w:sz="4" w:space="0" w:color="auto"/>
              <w:right w:val="nil"/>
            </w:tcBorders>
            <w:shd w:val="clear" w:color="auto" w:fill="auto"/>
            <w:noWrap/>
            <w:vAlign w:val="bottom"/>
            <w:hideMark/>
          </w:tcPr>
          <w:p w14:paraId="3627432D" w14:textId="760A0BC0"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11,139</w:t>
            </w:r>
          </w:p>
        </w:tc>
      </w:tr>
      <w:tr w:rsidR="00A53629" w:rsidRPr="00E63118" w14:paraId="3E8C9ED6" w14:textId="77777777" w:rsidTr="00603F85">
        <w:trPr>
          <w:trHeight w:val="283"/>
          <w:jc w:val="center"/>
        </w:trPr>
        <w:tc>
          <w:tcPr>
            <w:tcW w:w="3005" w:type="dxa"/>
            <w:tcBorders>
              <w:top w:val="nil"/>
              <w:left w:val="nil"/>
              <w:bottom w:val="nil"/>
              <w:right w:val="nil"/>
            </w:tcBorders>
            <w:shd w:val="clear" w:color="auto" w:fill="auto"/>
            <w:noWrap/>
            <w:vAlign w:val="bottom"/>
            <w:hideMark/>
          </w:tcPr>
          <w:p w14:paraId="57ADFA60" w14:textId="7761900C"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ADMINISTERED</w:t>
            </w:r>
          </w:p>
        </w:tc>
        <w:tc>
          <w:tcPr>
            <w:tcW w:w="1260" w:type="dxa"/>
            <w:tcBorders>
              <w:top w:val="nil"/>
              <w:left w:val="nil"/>
              <w:bottom w:val="nil"/>
              <w:right w:val="nil"/>
            </w:tcBorders>
            <w:shd w:val="clear" w:color="auto" w:fill="auto"/>
            <w:noWrap/>
            <w:vAlign w:val="bottom"/>
            <w:hideMark/>
          </w:tcPr>
          <w:p w14:paraId="486B232B" w14:textId="77777777" w:rsidR="00A53629" w:rsidRPr="00E63118" w:rsidRDefault="00A53629" w:rsidP="00A53629">
            <w:pPr>
              <w:spacing w:before="0" w:after="0" w:line="240" w:lineRule="auto"/>
              <w:rPr>
                <w:rFonts w:ascii="Arial" w:hAnsi="Arial" w:cs="Arial"/>
                <w:b/>
                <w:bCs/>
                <w:sz w:val="16"/>
                <w:szCs w:val="16"/>
              </w:rPr>
            </w:pPr>
          </w:p>
        </w:tc>
        <w:tc>
          <w:tcPr>
            <w:tcW w:w="1180" w:type="dxa"/>
            <w:tcBorders>
              <w:top w:val="nil"/>
              <w:left w:val="nil"/>
              <w:bottom w:val="nil"/>
              <w:right w:val="nil"/>
            </w:tcBorders>
            <w:shd w:val="clear" w:color="000000" w:fill="D9D9D9"/>
            <w:noWrap/>
            <w:vAlign w:val="bottom"/>
            <w:hideMark/>
          </w:tcPr>
          <w:p w14:paraId="513110D8" w14:textId="51113BF6"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nil"/>
              <w:left w:val="nil"/>
              <w:bottom w:val="nil"/>
              <w:right w:val="nil"/>
            </w:tcBorders>
            <w:shd w:val="clear" w:color="auto" w:fill="auto"/>
            <w:noWrap/>
            <w:vAlign w:val="bottom"/>
            <w:hideMark/>
          </w:tcPr>
          <w:p w14:paraId="626021B5" w14:textId="77777777" w:rsidR="00A53629" w:rsidRPr="00E63118" w:rsidRDefault="00A53629" w:rsidP="00A53629">
            <w:pPr>
              <w:spacing w:before="0"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14:paraId="1CFA0488"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79345D76" w14:textId="77777777" w:rsidTr="00603F85">
        <w:trPr>
          <w:trHeight w:val="225"/>
          <w:jc w:val="center"/>
        </w:trPr>
        <w:tc>
          <w:tcPr>
            <w:tcW w:w="3005" w:type="dxa"/>
            <w:tcBorders>
              <w:top w:val="nil"/>
              <w:left w:val="nil"/>
              <w:bottom w:val="nil"/>
              <w:right w:val="nil"/>
            </w:tcBorders>
            <w:shd w:val="clear" w:color="auto" w:fill="auto"/>
            <w:noWrap/>
            <w:vAlign w:val="bottom"/>
            <w:hideMark/>
          </w:tcPr>
          <w:p w14:paraId="33B651E2" w14:textId="073F4F31" w:rsidR="00A53629" w:rsidRPr="00E63118" w:rsidRDefault="00A53629" w:rsidP="00980AA1">
            <w:pPr>
              <w:spacing w:before="0" w:after="0" w:line="240" w:lineRule="auto"/>
              <w:ind w:leftChars="75" w:left="143"/>
              <w:rPr>
                <w:rFonts w:ascii="Arial" w:hAnsi="Arial" w:cs="Arial"/>
                <w:sz w:val="16"/>
                <w:szCs w:val="16"/>
              </w:rPr>
            </w:pPr>
            <w:r>
              <w:rPr>
                <w:rFonts w:ascii="Arial" w:hAnsi="Arial" w:cs="Arial"/>
                <w:sz w:val="16"/>
                <w:szCs w:val="16"/>
              </w:rPr>
              <w:t>Prior year appropriation available</w:t>
            </w:r>
            <w:r>
              <w:rPr>
                <w:rFonts w:ascii="Arial" w:hAnsi="Arial" w:cs="Arial"/>
                <w:sz w:val="16"/>
                <w:szCs w:val="16"/>
                <w:vertAlign w:val="superscript"/>
              </w:rPr>
              <w:t>(a)</w:t>
            </w:r>
          </w:p>
        </w:tc>
        <w:tc>
          <w:tcPr>
            <w:tcW w:w="1260" w:type="dxa"/>
            <w:tcBorders>
              <w:top w:val="nil"/>
              <w:left w:val="nil"/>
              <w:bottom w:val="nil"/>
              <w:right w:val="nil"/>
            </w:tcBorders>
            <w:shd w:val="clear" w:color="auto" w:fill="auto"/>
            <w:noWrap/>
            <w:vAlign w:val="bottom"/>
            <w:hideMark/>
          </w:tcPr>
          <w:p w14:paraId="74701248" w14:textId="0830A03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8,619</w:t>
            </w:r>
          </w:p>
        </w:tc>
        <w:tc>
          <w:tcPr>
            <w:tcW w:w="1180" w:type="dxa"/>
            <w:tcBorders>
              <w:top w:val="nil"/>
              <w:left w:val="nil"/>
              <w:bottom w:val="nil"/>
              <w:right w:val="nil"/>
            </w:tcBorders>
            <w:shd w:val="clear" w:color="000000" w:fill="D9D9D9"/>
            <w:noWrap/>
            <w:vAlign w:val="bottom"/>
            <w:hideMark/>
          </w:tcPr>
          <w:p w14:paraId="0A7A436E" w14:textId="34C71D32"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143</w:t>
            </w:r>
          </w:p>
        </w:tc>
        <w:tc>
          <w:tcPr>
            <w:tcW w:w="1191" w:type="dxa"/>
            <w:tcBorders>
              <w:top w:val="nil"/>
              <w:left w:val="nil"/>
              <w:bottom w:val="nil"/>
              <w:right w:val="nil"/>
            </w:tcBorders>
            <w:shd w:val="clear" w:color="auto" w:fill="auto"/>
            <w:noWrap/>
            <w:vAlign w:val="bottom"/>
            <w:hideMark/>
          </w:tcPr>
          <w:p w14:paraId="0F797C66" w14:textId="07EF8FAE"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42A619B0" w14:textId="02F7DEDB"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143</w:t>
            </w:r>
          </w:p>
        </w:tc>
      </w:tr>
      <w:tr w:rsidR="00A53629" w:rsidRPr="00E63118" w14:paraId="4C7836B1" w14:textId="77777777" w:rsidTr="00603F85">
        <w:trPr>
          <w:trHeight w:val="283"/>
          <w:jc w:val="center"/>
        </w:trPr>
        <w:tc>
          <w:tcPr>
            <w:tcW w:w="3005" w:type="dxa"/>
            <w:tcBorders>
              <w:top w:val="nil"/>
              <w:left w:val="nil"/>
              <w:bottom w:val="nil"/>
              <w:right w:val="nil"/>
            </w:tcBorders>
            <w:shd w:val="clear" w:color="auto" w:fill="auto"/>
            <w:noWrap/>
            <w:vAlign w:val="bottom"/>
            <w:hideMark/>
          </w:tcPr>
          <w:p w14:paraId="68F2609D" w14:textId="2F382835"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Annual appropriations</w:t>
            </w:r>
          </w:p>
        </w:tc>
        <w:tc>
          <w:tcPr>
            <w:tcW w:w="1260" w:type="dxa"/>
            <w:tcBorders>
              <w:top w:val="nil"/>
              <w:left w:val="nil"/>
              <w:bottom w:val="nil"/>
              <w:right w:val="nil"/>
            </w:tcBorders>
            <w:shd w:val="clear" w:color="auto" w:fill="auto"/>
            <w:noWrap/>
            <w:vAlign w:val="bottom"/>
            <w:hideMark/>
          </w:tcPr>
          <w:p w14:paraId="357164D7" w14:textId="77777777" w:rsidR="00A53629" w:rsidRPr="00E63118" w:rsidRDefault="00A53629" w:rsidP="00A53629">
            <w:pPr>
              <w:spacing w:before="0" w:after="0" w:line="240" w:lineRule="auto"/>
              <w:rPr>
                <w:rFonts w:ascii="Arial" w:hAnsi="Arial" w:cs="Arial"/>
                <w:b/>
                <w:bCs/>
                <w:sz w:val="16"/>
                <w:szCs w:val="16"/>
              </w:rPr>
            </w:pPr>
          </w:p>
        </w:tc>
        <w:tc>
          <w:tcPr>
            <w:tcW w:w="1180" w:type="dxa"/>
            <w:tcBorders>
              <w:top w:val="nil"/>
              <w:left w:val="nil"/>
              <w:bottom w:val="nil"/>
              <w:right w:val="nil"/>
            </w:tcBorders>
            <w:shd w:val="clear" w:color="000000" w:fill="D9D9D9"/>
            <w:noWrap/>
            <w:vAlign w:val="bottom"/>
            <w:hideMark/>
          </w:tcPr>
          <w:p w14:paraId="5A3664F8" w14:textId="66CD237F" w:rsidR="00A53629" w:rsidRPr="00E63118" w:rsidRDefault="00A53629" w:rsidP="00A53629">
            <w:pPr>
              <w:spacing w:before="0" w:after="0" w:line="240" w:lineRule="auto"/>
              <w:jc w:val="right"/>
              <w:rPr>
                <w:rFonts w:ascii="Arial" w:hAnsi="Arial" w:cs="Arial"/>
                <w:color w:val="E26B0A"/>
                <w:sz w:val="16"/>
                <w:szCs w:val="16"/>
              </w:rPr>
            </w:pPr>
            <w:r>
              <w:rPr>
                <w:rFonts w:ascii="Arial" w:hAnsi="Arial" w:cs="Arial"/>
                <w:color w:val="E26B0A"/>
                <w:sz w:val="16"/>
                <w:szCs w:val="16"/>
              </w:rPr>
              <w:t> </w:t>
            </w:r>
          </w:p>
        </w:tc>
        <w:tc>
          <w:tcPr>
            <w:tcW w:w="1191" w:type="dxa"/>
            <w:tcBorders>
              <w:top w:val="nil"/>
              <w:left w:val="nil"/>
              <w:bottom w:val="nil"/>
              <w:right w:val="nil"/>
            </w:tcBorders>
            <w:shd w:val="clear" w:color="auto" w:fill="auto"/>
            <w:noWrap/>
            <w:vAlign w:val="bottom"/>
            <w:hideMark/>
          </w:tcPr>
          <w:p w14:paraId="73CC6844" w14:textId="77777777" w:rsidR="00A53629" w:rsidRPr="00E63118" w:rsidRDefault="00A53629" w:rsidP="00A53629">
            <w:pPr>
              <w:spacing w:before="0" w:after="0" w:line="240" w:lineRule="auto"/>
              <w:jc w:val="right"/>
              <w:rPr>
                <w:rFonts w:ascii="Arial" w:hAnsi="Arial" w:cs="Arial"/>
                <w:color w:val="E26B0A"/>
                <w:sz w:val="16"/>
                <w:szCs w:val="16"/>
              </w:rPr>
            </w:pPr>
          </w:p>
        </w:tc>
        <w:tc>
          <w:tcPr>
            <w:tcW w:w="1134" w:type="dxa"/>
            <w:tcBorders>
              <w:top w:val="nil"/>
              <w:left w:val="nil"/>
              <w:bottom w:val="nil"/>
              <w:right w:val="nil"/>
            </w:tcBorders>
            <w:shd w:val="clear" w:color="auto" w:fill="auto"/>
            <w:noWrap/>
            <w:vAlign w:val="bottom"/>
            <w:hideMark/>
          </w:tcPr>
          <w:p w14:paraId="03C8E14F"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6DF269CF"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3AD6F779" w14:textId="70D61A47" w:rsidR="00A53629" w:rsidRPr="00E63118" w:rsidRDefault="00A53629" w:rsidP="00980AA1">
            <w:pPr>
              <w:spacing w:before="0" w:after="0" w:line="240" w:lineRule="auto"/>
              <w:ind w:leftChars="75" w:left="143"/>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(b)</w:t>
            </w:r>
          </w:p>
        </w:tc>
        <w:tc>
          <w:tcPr>
            <w:tcW w:w="1260" w:type="dxa"/>
            <w:tcBorders>
              <w:top w:val="nil"/>
              <w:left w:val="nil"/>
              <w:bottom w:val="nil"/>
              <w:right w:val="nil"/>
            </w:tcBorders>
            <w:shd w:val="clear" w:color="auto" w:fill="auto"/>
            <w:noWrap/>
            <w:vAlign w:val="bottom"/>
            <w:hideMark/>
          </w:tcPr>
          <w:p w14:paraId="63E0A842" w14:textId="77777777" w:rsidR="00A53629" w:rsidRPr="00E63118" w:rsidRDefault="00A53629" w:rsidP="00A53629">
            <w:pPr>
              <w:spacing w:before="0" w:after="0" w:line="240" w:lineRule="auto"/>
              <w:ind w:firstLineChars="100" w:firstLine="160"/>
              <w:rPr>
                <w:rFonts w:ascii="Arial" w:hAnsi="Arial" w:cs="Arial"/>
                <w:sz w:val="16"/>
                <w:szCs w:val="16"/>
              </w:rPr>
            </w:pPr>
          </w:p>
        </w:tc>
        <w:tc>
          <w:tcPr>
            <w:tcW w:w="1180" w:type="dxa"/>
            <w:tcBorders>
              <w:top w:val="nil"/>
              <w:left w:val="nil"/>
              <w:bottom w:val="nil"/>
              <w:right w:val="nil"/>
            </w:tcBorders>
            <w:shd w:val="clear" w:color="000000" w:fill="D9D9D9"/>
            <w:noWrap/>
            <w:vAlign w:val="bottom"/>
            <w:hideMark/>
          </w:tcPr>
          <w:p w14:paraId="3CA3DADF" w14:textId="4420EB66" w:rsidR="00A53629" w:rsidRPr="00E63118" w:rsidRDefault="00A53629" w:rsidP="00A53629">
            <w:pPr>
              <w:spacing w:before="0" w:after="0" w:line="240" w:lineRule="auto"/>
              <w:jc w:val="right"/>
              <w:rPr>
                <w:rFonts w:ascii="Arial" w:hAnsi="Arial" w:cs="Arial"/>
                <w:color w:val="E26B0A"/>
                <w:sz w:val="16"/>
                <w:szCs w:val="16"/>
              </w:rPr>
            </w:pPr>
            <w:r>
              <w:rPr>
                <w:rFonts w:ascii="Arial" w:hAnsi="Arial" w:cs="Arial"/>
                <w:color w:val="E26B0A"/>
                <w:sz w:val="16"/>
                <w:szCs w:val="16"/>
              </w:rPr>
              <w:t> </w:t>
            </w:r>
          </w:p>
        </w:tc>
        <w:tc>
          <w:tcPr>
            <w:tcW w:w="1191" w:type="dxa"/>
            <w:tcBorders>
              <w:top w:val="nil"/>
              <w:left w:val="nil"/>
              <w:bottom w:val="nil"/>
              <w:right w:val="nil"/>
            </w:tcBorders>
            <w:shd w:val="clear" w:color="auto" w:fill="auto"/>
            <w:noWrap/>
            <w:vAlign w:val="bottom"/>
            <w:hideMark/>
          </w:tcPr>
          <w:p w14:paraId="75107041" w14:textId="77777777" w:rsidR="00A53629" w:rsidRPr="00E63118" w:rsidRDefault="00A53629" w:rsidP="00A53629">
            <w:pPr>
              <w:spacing w:before="0" w:after="0" w:line="240" w:lineRule="auto"/>
              <w:jc w:val="right"/>
              <w:rPr>
                <w:rFonts w:ascii="Arial" w:hAnsi="Arial" w:cs="Arial"/>
                <w:color w:val="E26B0A"/>
                <w:sz w:val="16"/>
                <w:szCs w:val="16"/>
              </w:rPr>
            </w:pPr>
          </w:p>
        </w:tc>
        <w:tc>
          <w:tcPr>
            <w:tcW w:w="1134" w:type="dxa"/>
            <w:tcBorders>
              <w:top w:val="nil"/>
              <w:left w:val="nil"/>
              <w:bottom w:val="nil"/>
              <w:right w:val="nil"/>
            </w:tcBorders>
            <w:shd w:val="clear" w:color="auto" w:fill="auto"/>
            <w:noWrap/>
            <w:vAlign w:val="bottom"/>
            <w:hideMark/>
          </w:tcPr>
          <w:p w14:paraId="12AF6640" w14:textId="77777777" w:rsidR="00A53629" w:rsidRPr="00E63118" w:rsidRDefault="00A53629" w:rsidP="00A53629">
            <w:pPr>
              <w:spacing w:before="0" w:after="0" w:line="240" w:lineRule="auto"/>
              <w:jc w:val="right"/>
              <w:rPr>
                <w:rFonts w:ascii="Times New Roman" w:hAnsi="Times New Roman"/>
                <w:sz w:val="20"/>
              </w:rPr>
            </w:pPr>
          </w:p>
        </w:tc>
      </w:tr>
      <w:tr w:rsidR="00A53629" w:rsidRPr="00E63118" w14:paraId="4CF3A45D"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07D20BC2" w14:textId="3F163F08" w:rsidR="00A53629" w:rsidRPr="00E63118" w:rsidRDefault="00A53629" w:rsidP="00A53629">
            <w:pPr>
              <w:spacing w:before="0" w:after="0" w:line="240" w:lineRule="auto"/>
              <w:ind w:leftChars="150" w:left="285"/>
              <w:rPr>
                <w:rFonts w:ascii="Arial" w:hAnsi="Arial" w:cs="Arial"/>
                <w:sz w:val="16"/>
                <w:szCs w:val="16"/>
              </w:rPr>
            </w:pPr>
            <w:r>
              <w:rPr>
                <w:rFonts w:ascii="Arial" w:hAnsi="Arial" w:cs="Arial"/>
                <w:sz w:val="16"/>
                <w:szCs w:val="16"/>
              </w:rPr>
              <w:t>Outcome 1</w:t>
            </w:r>
          </w:p>
        </w:tc>
        <w:tc>
          <w:tcPr>
            <w:tcW w:w="1260" w:type="dxa"/>
            <w:tcBorders>
              <w:top w:val="nil"/>
              <w:left w:val="nil"/>
              <w:bottom w:val="nil"/>
              <w:right w:val="nil"/>
            </w:tcBorders>
            <w:shd w:val="clear" w:color="auto" w:fill="auto"/>
            <w:noWrap/>
            <w:vAlign w:val="bottom"/>
            <w:hideMark/>
          </w:tcPr>
          <w:p w14:paraId="2019D823" w14:textId="7A512C34"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49,131</w:t>
            </w:r>
          </w:p>
        </w:tc>
        <w:tc>
          <w:tcPr>
            <w:tcW w:w="1180" w:type="dxa"/>
            <w:tcBorders>
              <w:top w:val="nil"/>
              <w:left w:val="nil"/>
              <w:bottom w:val="nil"/>
              <w:right w:val="nil"/>
            </w:tcBorders>
            <w:shd w:val="clear" w:color="000000" w:fill="D9D9D9"/>
            <w:noWrap/>
            <w:vAlign w:val="bottom"/>
            <w:hideMark/>
          </w:tcPr>
          <w:p w14:paraId="1A857535" w14:textId="519065B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51,566</w:t>
            </w:r>
          </w:p>
        </w:tc>
        <w:tc>
          <w:tcPr>
            <w:tcW w:w="1191" w:type="dxa"/>
            <w:tcBorders>
              <w:top w:val="nil"/>
              <w:left w:val="nil"/>
              <w:bottom w:val="nil"/>
              <w:right w:val="nil"/>
            </w:tcBorders>
            <w:shd w:val="clear" w:color="auto" w:fill="auto"/>
            <w:noWrap/>
            <w:vAlign w:val="bottom"/>
            <w:hideMark/>
          </w:tcPr>
          <w:p w14:paraId="0CEE3877" w14:textId="664A8981"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(500)</w:t>
            </w:r>
          </w:p>
        </w:tc>
        <w:tc>
          <w:tcPr>
            <w:tcW w:w="1134" w:type="dxa"/>
            <w:tcBorders>
              <w:top w:val="nil"/>
              <w:left w:val="nil"/>
              <w:bottom w:val="nil"/>
              <w:right w:val="nil"/>
            </w:tcBorders>
            <w:shd w:val="clear" w:color="auto" w:fill="auto"/>
            <w:noWrap/>
            <w:vAlign w:val="bottom"/>
            <w:hideMark/>
          </w:tcPr>
          <w:p w14:paraId="29F8E847" w14:textId="4C11E9A8"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51,066</w:t>
            </w:r>
          </w:p>
        </w:tc>
      </w:tr>
      <w:tr w:rsidR="00A53629" w:rsidRPr="00E63118" w14:paraId="0D61B07E" w14:textId="77777777" w:rsidTr="004458AF">
        <w:trPr>
          <w:trHeight w:val="425"/>
          <w:jc w:val="center"/>
        </w:trPr>
        <w:tc>
          <w:tcPr>
            <w:tcW w:w="3005" w:type="dxa"/>
            <w:tcBorders>
              <w:top w:val="nil"/>
              <w:left w:val="nil"/>
              <w:bottom w:val="nil"/>
              <w:right w:val="nil"/>
            </w:tcBorders>
            <w:shd w:val="clear" w:color="auto" w:fill="auto"/>
            <w:vAlign w:val="bottom"/>
            <w:hideMark/>
          </w:tcPr>
          <w:p w14:paraId="39F562F2" w14:textId="66FFFB4B" w:rsidR="00A53629" w:rsidRPr="00E63118" w:rsidRDefault="00A53629" w:rsidP="00A53629">
            <w:pPr>
              <w:spacing w:before="0" w:after="0" w:line="240" w:lineRule="auto"/>
              <w:ind w:leftChars="75" w:left="143"/>
              <w:rPr>
                <w:rFonts w:ascii="Arial" w:hAnsi="Arial" w:cs="Arial"/>
                <w:b/>
                <w:bCs/>
                <w:sz w:val="16"/>
                <w:szCs w:val="16"/>
              </w:rPr>
            </w:pPr>
            <w:r>
              <w:rPr>
                <w:rFonts w:ascii="Arial" w:hAnsi="Arial" w:cs="Arial"/>
                <w:b/>
                <w:bCs/>
                <w:sz w:val="16"/>
                <w:szCs w:val="16"/>
              </w:rPr>
              <w:t>Total administered annual appropriations</w:t>
            </w:r>
          </w:p>
        </w:tc>
        <w:tc>
          <w:tcPr>
            <w:tcW w:w="1260" w:type="dxa"/>
            <w:tcBorders>
              <w:top w:val="nil"/>
              <w:left w:val="nil"/>
              <w:bottom w:val="single" w:sz="4" w:space="0" w:color="auto"/>
              <w:right w:val="nil"/>
            </w:tcBorders>
            <w:shd w:val="clear" w:color="auto" w:fill="auto"/>
            <w:noWrap/>
            <w:vAlign w:val="bottom"/>
            <w:hideMark/>
          </w:tcPr>
          <w:p w14:paraId="15E1AB9E" w14:textId="2A59BF91"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49,131</w:t>
            </w:r>
          </w:p>
        </w:tc>
        <w:tc>
          <w:tcPr>
            <w:tcW w:w="1180" w:type="dxa"/>
            <w:tcBorders>
              <w:top w:val="nil"/>
              <w:left w:val="nil"/>
              <w:bottom w:val="single" w:sz="4" w:space="0" w:color="auto"/>
              <w:right w:val="nil"/>
            </w:tcBorders>
            <w:shd w:val="clear" w:color="000000" w:fill="D9D9D9"/>
            <w:noWrap/>
            <w:vAlign w:val="bottom"/>
            <w:hideMark/>
          </w:tcPr>
          <w:p w14:paraId="0D818DBD" w14:textId="18709F2D"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51,566</w:t>
            </w:r>
          </w:p>
        </w:tc>
        <w:tc>
          <w:tcPr>
            <w:tcW w:w="1191" w:type="dxa"/>
            <w:tcBorders>
              <w:top w:val="nil"/>
              <w:left w:val="nil"/>
              <w:bottom w:val="single" w:sz="4" w:space="0" w:color="auto"/>
              <w:right w:val="nil"/>
            </w:tcBorders>
            <w:shd w:val="clear" w:color="auto" w:fill="auto"/>
            <w:noWrap/>
            <w:vAlign w:val="bottom"/>
            <w:hideMark/>
          </w:tcPr>
          <w:p w14:paraId="3E274E1F" w14:textId="4CB81E78"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(500)</w:t>
            </w:r>
          </w:p>
        </w:tc>
        <w:tc>
          <w:tcPr>
            <w:tcW w:w="1134" w:type="dxa"/>
            <w:tcBorders>
              <w:top w:val="nil"/>
              <w:left w:val="nil"/>
              <w:bottom w:val="single" w:sz="4" w:space="0" w:color="auto"/>
              <w:right w:val="nil"/>
            </w:tcBorders>
            <w:shd w:val="clear" w:color="auto" w:fill="auto"/>
            <w:noWrap/>
            <w:vAlign w:val="bottom"/>
            <w:hideMark/>
          </w:tcPr>
          <w:p w14:paraId="04ECD987" w14:textId="14B00DFE"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51,066</w:t>
            </w:r>
          </w:p>
        </w:tc>
      </w:tr>
      <w:tr w:rsidR="00A53629" w:rsidRPr="00E63118" w14:paraId="5E09D947" w14:textId="77777777" w:rsidTr="004458AF">
        <w:trPr>
          <w:trHeight w:val="425"/>
          <w:jc w:val="center"/>
        </w:trPr>
        <w:tc>
          <w:tcPr>
            <w:tcW w:w="3005" w:type="dxa"/>
            <w:tcBorders>
              <w:top w:val="nil"/>
              <w:left w:val="nil"/>
              <w:bottom w:val="nil"/>
              <w:right w:val="nil"/>
            </w:tcBorders>
            <w:shd w:val="clear" w:color="auto" w:fill="auto"/>
            <w:noWrap/>
            <w:vAlign w:val="bottom"/>
            <w:hideMark/>
          </w:tcPr>
          <w:p w14:paraId="77BC77D5" w14:textId="710EFB88"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 xml:space="preserve">Total administered resourcing </w:t>
            </w:r>
          </w:p>
        </w:tc>
        <w:tc>
          <w:tcPr>
            <w:tcW w:w="1260" w:type="dxa"/>
            <w:tcBorders>
              <w:top w:val="nil"/>
              <w:left w:val="nil"/>
              <w:bottom w:val="single" w:sz="4" w:space="0" w:color="auto"/>
              <w:right w:val="nil"/>
            </w:tcBorders>
            <w:shd w:val="clear" w:color="auto" w:fill="auto"/>
            <w:noWrap/>
            <w:vAlign w:val="bottom"/>
            <w:hideMark/>
          </w:tcPr>
          <w:p w14:paraId="144E3113" w14:textId="007DC7DF"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57,750</w:t>
            </w:r>
          </w:p>
        </w:tc>
        <w:tc>
          <w:tcPr>
            <w:tcW w:w="1180" w:type="dxa"/>
            <w:tcBorders>
              <w:top w:val="nil"/>
              <w:left w:val="nil"/>
              <w:bottom w:val="single" w:sz="4" w:space="0" w:color="auto"/>
              <w:right w:val="nil"/>
            </w:tcBorders>
            <w:shd w:val="clear" w:color="000000" w:fill="D9D9D9"/>
            <w:noWrap/>
            <w:vAlign w:val="bottom"/>
            <w:hideMark/>
          </w:tcPr>
          <w:p w14:paraId="16BD61C6" w14:textId="0D4837D5"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51,709</w:t>
            </w:r>
          </w:p>
        </w:tc>
        <w:tc>
          <w:tcPr>
            <w:tcW w:w="1191" w:type="dxa"/>
            <w:tcBorders>
              <w:top w:val="nil"/>
              <w:left w:val="nil"/>
              <w:bottom w:val="single" w:sz="4" w:space="0" w:color="auto"/>
              <w:right w:val="nil"/>
            </w:tcBorders>
            <w:shd w:val="clear" w:color="auto" w:fill="auto"/>
            <w:noWrap/>
            <w:vAlign w:val="bottom"/>
            <w:hideMark/>
          </w:tcPr>
          <w:p w14:paraId="7A5CA16C" w14:textId="63EE1828"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(500)</w:t>
            </w:r>
          </w:p>
        </w:tc>
        <w:tc>
          <w:tcPr>
            <w:tcW w:w="1134" w:type="dxa"/>
            <w:tcBorders>
              <w:top w:val="nil"/>
              <w:left w:val="nil"/>
              <w:bottom w:val="single" w:sz="4" w:space="0" w:color="auto"/>
              <w:right w:val="nil"/>
            </w:tcBorders>
            <w:shd w:val="clear" w:color="auto" w:fill="auto"/>
            <w:noWrap/>
            <w:vAlign w:val="bottom"/>
            <w:hideMark/>
          </w:tcPr>
          <w:p w14:paraId="4EA9AACA" w14:textId="64AC0729"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51,209</w:t>
            </w:r>
          </w:p>
        </w:tc>
      </w:tr>
      <w:tr w:rsidR="00A53629" w:rsidRPr="00E63118" w14:paraId="365A9A39" w14:textId="77777777" w:rsidTr="004458AF">
        <w:trPr>
          <w:trHeight w:val="425"/>
          <w:jc w:val="center"/>
        </w:trPr>
        <w:tc>
          <w:tcPr>
            <w:tcW w:w="3005" w:type="dxa"/>
            <w:tcBorders>
              <w:top w:val="nil"/>
              <w:left w:val="nil"/>
              <w:bottom w:val="single" w:sz="4" w:space="0" w:color="auto"/>
              <w:right w:val="nil"/>
            </w:tcBorders>
            <w:shd w:val="clear" w:color="auto" w:fill="auto"/>
            <w:noWrap/>
            <w:vAlign w:val="bottom"/>
            <w:hideMark/>
          </w:tcPr>
          <w:p w14:paraId="3AE16717" w14:textId="0CFC098D" w:rsidR="00A53629" w:rsidRPr="00E63118" w:rsidRDefault="00A53629" w:rsidP="00A53629">
            <w:pPr>
              <w:spacing w:before="0" w:after="0" w:line="240" w:lineRule="auto"/>
              <w:rPr>
                <w:rFonts w:ascii="Arial" w:hAnsi="Arial" w:cs="Arial"/>
                <w:b/>
                <w:bCs/>
                <w:sz w:val="16"/>
                <w:szCs w:val="16"/>
              </w:rPr>
            </w:pPr>
            <w:r>
              <w:rPr>
                <w:rFonts w:ascii="Arial" w:hAnsi="Arial" w:cs="Arial"/>
                <w:b/>
                <w:bCs/>
                <w:sz w:val="16"/>
                <w:szCs w:val="16"/>
              </w:rPr>
              <w:t>Total resourcing for OTA</w:t>
            </w:r>
          </w:p>
        </w:tc>
        <w:tc>
          <w:tcPr>
            <w:tcW w:w="1260" w:type="dxa"/>
            <w:tcBorders>
              <w:top w:val="nil"/>
              <w:left w:val="nil"/>
              <w:bottom w:val="single" w:sz="4" w:space="0" w:color="auto"/>
              <w:right w:val="nil"/>
            </w:tcBorders>
            <w:shd w:val="clear" w:color="auto" w:fill="auto"/>
            <w:noWrap/>
            <w:vAlign w:val="bottom"/>
            <w:hideMark/>
          </w:tcPr>
          <w:p w14:paraId="743C9F37" w14:textId="7920E64C"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67,711</w:t>
            </w:r>
          </w:p>
        </w:tc>
        <w:tc>
          <w:tcPr>
            <w:tcW w:w="1180" w:type="dxa"/>
            <w:tcBorders>
              <w:top w:val="nil"/>
              <w:left w:val="nil"/>
              <w:bottom w:val="single" w:sz="4" w:space="0" w:color="auto"/>
              <w:right w:val="nil"/>
            </w:tcBorders>
            <w:shd w:val="clear" w:color="000000" w:fill="D9D9D9"/>
            <w:noWrap/>
            <w:vAlign w:val="bottom"/>
            <w:hideMark/>
          </w:tcPr>
          <w:p w14:paraId="54B4F438" w14:textId="0FA49297"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62,348</w:t>
            </w:r>
          </w:p>
        </w:tc>
        <w:tc>
          <w:tcPr>
            <w:tcW w:w="1191" w:type="dxa"/>
            <w:tcBorders>
              <w:top w:val="nil"/>
              <w:left w:val="nil"/>
              <w:bottom w:val="single" w:sz="4" w:space="0" w:color="auto"/>
              <w:right w:val="nil"/>
            </w:tcBorders>
            <w:shd w:val="clear" w:color="auto" w:fill="auto"/>
            <w:noWrap/>
            <w:vAlign w:val="bottom"/>
            <w:hideMark/>
          </w:tcPr>
          <w:p w14:paraId="3D09F045" w14:textId="6BACB172"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w:t>
            </w:r>
          </w:p>
        </w:tc>
        <w:tc>
          <w:tcPr>
            <w:tcW w:w="1134" w:type="dxa"/>
            <w:tcBorders>
              <w:top w:val="nil"/>
              <w:left w:val="nil"/>
              <w:bottom w:val="single" w:sz="4" w:space="0" w:color="auto"/>
              <w:right w:val="nil"/>
            </w:tcBorders>
            <w:shd w:val="clear" w:color="auto" w:fill="auto"/>
            <w:noWrap/>
            <w:vAlign w:val="bottom"/>
            <w:hideMark/>
          </w:tcPr>
          <w:p w14:paraId="41535E6F" w14:textId="01100035"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62,348</w:t>
            </w:r>
          </w:p>
        </w:tc>
      </w:tr>
      <w:tr w:rsidR="00A53629" w:rsidRPr="00E63118" w14:paraId="5FAC4DD9" w14:textId="77777777" w:rsidTr="00603F85">
        <w:trPr>
          <w:trHeight w:val="227"/>
          <w:jc w:val="center"/>
        </w:trPr>
        <w:tc>
          <w:tcPr>
            <w:tcW w:w="3005" w:type="dxa"/>
            <w:tcBorders>
              <w:top w:val="nil"/>
              <w:left w:val="nil"/>
              <w:bottom w:val="nil"/>
              <w:right w:val="nil"/>
            </w:tcBorders>
            <w:shd w:val="clear" w:color="auto" w:fill="auto"/>
            <w:noWrap/>
            <w:vAlign w:val="bottom"/>
            <w:hideMark/>
          </w:tcPr>
          <w:p w14:paraId="4CDB44A3" w14:textId="77777777" w:rsidR="00A53629" w:rsidRPr="00E63118" w:rsidRDefault="00A53629" w:rsidP="00A53629">
            <w:pPr>
              <w:spacing w:before="0" w:after="0" w:line="240" w:lineRule="auto"/>
              <w:jc w:val="right"/>
              <w:rPr>
                <w:rFonts w:ascii="Arial" w:hAnsi="Arial" w:cs="Arial"/>
                <w:b/>
                <w:bCs/>
                <w:sz w:val="16"/>
                <w:szCs w:val="16"/>
              </w:rPr>
            </w:pPr>
          </w:p>
        </w:tc>
        <w:tc>
          <w:tcPr>
            <w:tcW w:w="1260" w:type="dxa"/>
            <w:tcBorders>
              <w:top w:val="nil"/>
              <w:left w:val="nil"/>
              <w:bottom w:val="nil"/>
              <w:right w:val="nil"/>
            </w:tcBorders>
            <w:shd w:val="clear" w:color="auto" w:fill="auto"/>
            <w:noWrap/>
            <w:vAlign w:val="bottom"/>
            <w:hideMark/>
          </w:tcPr>
          <w:p w14:paraId="12E50971" w14:textId="77777777" w:rsidR="00A53629" w:rsidRPr="00E63118" w:rsidRDefault="00A53629" w:rsidP="00A53629">
            <w:pPr>
              <w:spacing w:before="0" w:after="0" w:line="240" w:lineRule="auto"/>
              <w:rPr>
                <w:rFonts w:ascii="Times New Roman" w:hAnsi="Times New Roman"/>
                <w:sz w:val="20"/>
              </w:rPr>
            </w:pPr>
          </w:p>
        </w:tc>
        <w:tc>
          <w:tcPr>
            <w:tcW w:w="1180" w:type="dxa"/>
            <w:tcBorders>
              <w:top w:val="nil"/>
              <w:left w:val="nil"/>
              <w:bottom w:val="nil"/>
              <w:right w:val="nil"/>
            </w:tcBorders>
            <w:shd w:val="clear" w:color="auto" w:fill="auto"/>
            <w:noWrap/>
            <w:vAlign w:val="bottom"/>
            <w:hideMark/>
          </w:tcPr>
          <w:p w14:paraId="77A800ED" w14:textId="77777777" w:rsidR="00A53629" w:rsidRPr="00E63118" w:rsidRDefault="00A53629" w:rsidP="00A53629">
            <w:pPr>
              <w:spacing w:before="0" w:after="0" w:line="240" w:lineRule="auto"/>
              <w:rPr>
                <w:rFonts w:ascii="Times New Roman" w:hAnsi="Times New Roman"/>
                <w:sz w:val="20"/>
              </w:rPr>
            </w:pPr>
          </w:p>
        </w:tc>
        <w:tc>
          <w:tcPr>
            <w:tcW w:w="1191" w:type="dxa"/>
            <w:tcBorders>
              <w:top w:val="nil"/>
              <w:left w:val="nil"/>
              <w:bottom w:val="nil"/>
              <w:right w:val="nil"/>
            </w:tcBorders>
            <w:shd w:val="clear" w:color="auto" w:fill="auto"/>
            <w:noWrap/>
            <w:vAlign w:val="bottom"/>
            <w:hideMark/>
          </w:tcPr>
          <w:p w14:paraId="03386BE1" w14:textId="77777777" w:rsidR="00A53629" w:rsidRPr="00E63118" w:rsidRDefault="00A53629" w:rsidP="00A53629">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268F39E2" w14:textId="77777777" w:rsidR="00A53629" w:rsidRPr="00E63118" w:rsidRDefault="00A53629" w:rsidP="00A53629">
            <w:pPr>
              <w:spacing w:before="0" w:after="0" w:line="240" w:lineRule="auto"/>
              <w:rPr>
                <w:rFonts w:ascii="Times New Roman" w:hAnsi="Times New Roman"/>
                <w:sz w:val="20"/>
              </w:rPr>
            </w:pPr>
          </w:p>
        </w:tc>
      </w:tr>
      <w:tr w:rsidR="00A53629" w:rsidRPr="00E63118" w14:paraId="7EF3F20D" w14:textId="77777777" w:rsidTr="004458AF">
        <w:trPr>
          <w:trHeight w:val="425"/>
          <w:jc w:val="center"/>
        </w:trPr>
        <w:tc>
          <w:tcPr>
            <w:tcW w:w="3005" w:type="dxa"/>
            <w:tcBorders>
              <w:top w:val="single" w:sz="4" w:space="0" w:color="auto"/>
              <w:left w:val="nil"/>
              <w:bottom w:val="nil"/>
              <w:right w:val="nil"/>
            </w:tcBorders>
            <w:shd w:val="clear" w:color="auto" w:fill="auto"/>
            <w:noWrap/>
            <w:vAlign w:val="bottom"/>
            <w:hideMark/>
          </w:tcPr>
          <w:p w14:paraId="703357E5" w14:textId="25546558" w:rsidR="00A53629" w:rsidRPr="00E63118" w:rsidRDefault="00A53629" w:rsidP="00A536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1260" w:type="dxa"/>
            <w:tcBorders>
              <w:top w:val="single" w:sz="4" w:space="0" w:color="auto"/>
              <w:left w:val="nil"/>
              <w:bottom w:val="nil"/>
              <w:right w:val="nil"/>
            </w:tcBorders>
            <w:shd w:val="clear" w:color="auto" w:fill="auto"/>
            <w:vAlign w:val="bottom"/>
            <w:hideMark/>
          </w:tcPr>
          <w:p w14:paraId="7CBFD2C4" w14:textId="682FCBD7" w:rsidR="00A53629" w:rsidRPr="00E63118" w:rsidRDefault="00AC042A" w:rsidP="00A53629">
            <w:pPr>
              <w:spacing w:before="0" w:after="0" w:line="240" w:lineRule="auto"/>
              <w:jc w:val="right"/>
              <w:rPr>
                <w:rFonts w:ascii="Arial" w:hAnsi="Arial" w:cs="Arial"/>
                <w:b/>
                <w:bCs/>
                <w:sz w:val="16"/>
                <w:szCs w:val="16"/>
              </w:rPr>
            </w:pPr>
            <w:r>
              <w:rPr>
                <w:rFonts w:ascii="Arial" w:hAnsi="Arial" w:cs="Arial"/>
                <w:b/>
                <w:bCs/>
                <w:sz w:val="16"/>
                <w:szCs w:val="16"/>
              </w:rPr>
              <w:t>2022–</w:t>
            </w:r>
            <w:r w:rsidR="00A53629">
              <w:rPr>
                <w:rFonts w:ascii="Arial" w:hAnsi="Arial" w:cs="Arial"/>
                <w:b/>
                <w:bCs/>
                <w:sz w:val="16"/>
                <w:szCs w:val="16"/>
              </w:rPr>
              <w:t>23</w:t>
            </w:r>
            <w:r w:rsidR="00A53629">
              <w:rPr>
                <w:rFonts w:ascii="Arial" w:hAnsi="Arial" w:cs="Arial"/>
                <w:b/>
                <w:bCs/>
                <w:sz w:val="16"/>
                <w:szCs w:val="16"/>
              </w:rPr>
              <w:br/>
              <w:t>Actual</w:t>
            </w:r>
          </w:p>
        </w:tc>
        <w:tc>
          <w:tcPr>
            <w:tcW w:w="1180" w:type="dxa"/>
            <w:tcBorders>
              <w:top w:val="single" w:sz="4" w:space="0" w:color="auto"/>
              <w:left w:val="nil"/>
              <w:bottom w:val="nil"/>
              <w:right w:val="nil"/>
            </w:tcBorders>
            <w:shd w:val="clear" w:color="auto" w:fill="auto"/>
            <w:noWrap/>
            <w:vAlign w:val="bottom"/>
            <w:hideMark/>
          </w:tcPr>
          <w:p w14:paraId="66059CAA" w14:textId="5639B6C4"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 </w:t>
            </w:r>
          </w:p>
        </w:tc>
        <w:tc>
          <w:tcPr>
            <w:tcW w:w="1191" w:type="dxa"/>
            <w:tcBorders>
              <w:top w:val="single" w:sz="4" w:space="0" w:color="auto"/>
              <w:left w:val="nil"/>
              <w:bottom w:val="nil"/>
              <w:right w:val="nil"/>
            </w:tcBorders>
            <w:shd w:val="clear" w:color="auto" w:fill="auto"/>
            <w:noWrap/>
            <w:vAlign w:val="bottom"/>
            <w:hideMark/>
          </w:tcPr>
          <w:p w14:paraId="00582285" w14:textId="58F5F6BB" w:rsidR="00A53629" w:rsidRPr="00E63118" w:rsidRDefault="00A53629" w:rsidP="00A53629">
            <w:pPr>
              <w:spacing w:before="0" w:after="0" w:line="240" w:lineRule="auto"/>
              <w:jc w:val="right"/>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nil"/>
              <w:right w:val="nil"/>
            </w:tcBorders>
            <w:shd w:val="clear" w:color="auto" w:fill="auto"/>
            <w:vAlign w:val="bottom"/>
            <w:hideMark/>
          </w:tcPr>
          <w:p w14:paraId="5030E5FD" w14:textId="76455E8E" w:rsidR="00A53629" w:rsidRPr="00E63118" w:rsidRDefault="00AC042A" w:rsidP="00A53629">
            <w:pPr>
              <w:spacing w:before="0" w:after="0" w:line="240" w:lineRule="auto"/>
              <w:jc w:val="right"/>
              <w:rPr>
                <w:rFonts w:ascii="Arial" w:hAnsi="Arial" w:cs="Arial"/>
                <w:b/>
                <w:bCs/>
                <w:sz w:val="16"/>
                <w:szCs w:val="16"/>
              </w:rPr>
            </w:pPr>
            <w:r>
              <w:rPr>
                <w:rFonts w:ascii="Arial" w:hAnsi="Arial" w:cs="Arial"/>
                <w:b/>
                <w:bCs/>
                <w:sz w:val="16"/>
                <w:szCs w:val="16"/>
              </w:rPr>
              <w:t>2023–</w:t>
            </w:r>
            <w:r w:rsidR="00A53629">
              <w:rPr>
                <w:rFonts w:ascii="Arial" w:hAnsi="Arial" w:cs="Arial"/>
                <w:b/>
                <w:bCs/>
                <w:sz w:val="16"/>
                <w:szCs w:val="16"/>
              </w:rPr>
              <w:t>24</w:t>
            </w:r>
            <w:r w:rsidR="00A53629">
              <w:rPr>
                <w:rFonts w:ascii="Arial" w:hAnsi="Arial" w:cs="Arial"/>
                <w:b/>
                <w:bCs/>
                <w:sz w:val="16"/>
                <w:szCs w:val="16"/>
              </w:rPr>
              <w:br/>
              <w:t>Revised</w:t>
            </w:r>
          </w:p>
        </w:tc>
      </w:tr>
      <w:tr w:rsidR="00A53629" w:rsidRPr="00E63118" w14:paraId="6CDD804D" w14:textId="77777777" w:rsidTr="00A53629">
        <w:trPr>
          <w:trHeight w:val="227"/>
          <w:jc w:val="center"/>
        </w:trPr>
        <w:tc>
          <w:tcPr>
            <w:tcW w:w="3005" w:type="dxa"/>
            <w:tcBorders>
              <w:top w:val="nil"/>
              <w:left w:val="nil"/>
              <w:bottom w:val="single" w:sz="4" w:space="0" w:color="auto"/>
              <w:right w:val="nil"/>
            </w:tcBorders>
            <w:shd w:val="clear" w:color="auto" w:fill="auto"/>
            <w:noWrap/>
            <w:vAlign w:val="bottom"/>
            <w:hideMark/>
          </w:tcPr>
          <w:p w14:paraId="6F99CE76" w14:textId="103A7221" w:rsidR="00A53629" w:rsidRPr="00E63118" w:rsidRDefault="00A53629" w:rsidP="00A53629">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Average </w:t>
            </w:r>
            <w:r>
              <w:rPr>
                <w:rFonts w:ascii="Arial" w:hAnsi="Arial" w:cs="Arial"/>
                <w:b/>
                <w:bCs/>
                <w:sz w:val="16"/>
                <w:szCs w:val="16"/>
              </w:rPr>
              <w:t>s</w:t>
            </w:r>
            <w:r>
              <w:rPr>
                <w:rFonts w:ascii="Arial" w:hAnsi="Arial" w:cs="Arial"/>
                <w:b/>
                <w:bCs/>
                <w:color w:val="000000"/>
                <w:sz w:val="16"/>
                <w:szCs w:val="16"/>
              </w:rPr>
              <w:t xml:space="preserve">taffing </w:t>
            </w:r>
            <w:r>
              <w:rPr>
                <w:rFonts w:ascii="Arial" w:hAnsi="Arial" w:cs="Arial"/>
                <w:b/>
                <w:bCs/>
                <w:sz w:val="16"/>
                <w:szCs w:val="16"/>
              </w:rPr>
              <w:t>l</w:t>
            </w:r>
            <w:r>
              <w:rPr>
                <w:rFonts w:ascii="Arial" w:hAnsi="Arial" w:cs="Arial"/>
                <w:b/>
                <w:bCs/>
                <w:color w:val="000000"/>
                <w:sz w:val="16"/>
                <w:szCs w:val="16"/>
              </w:rPr>
              <w:t>evel (number)</w:t>
            </w:r>
          </w:p>
        </w:tc>
        <w:tc>
          <w:tcPr>
            <w:tcW w:w="1260" w:type="dxa"/>
            <w:tcBorders>
              <w:top w:val="single" w:sz="4" w:space="0" w:color="auto"/>
              <w:left w:val="nil"/>
              <w:bottom w:val="single" w:sz="4" w:space="0" w:color="auto"/>
              <w:right w:val="nil"/>
            </w:tcBorders>
            <w:shd w:val="clear" w:color="auto" w:fill="auto"/>
            <w:noWrap/>
            <w:vAlign w:val="bottom"/>
            <w:hideMark/>
          </w:tcPr>
          <w:p w14:paraId="7A927AE0" w14:textId="02FBC3EC"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28</w:t>
            </w:r>
          </w:p>
        </w:tc>
        <w:tc>
          <w:tcPr>
            <w:tcW w:w="1180" w:type="dxa"/>
            <w:tcBorders>
              <w:top w:val="single" w:sz="4" w:space="0" w:color="auto"/>
              <w:left w:val="nil"/>
              <w:bottom w:val="single" w:sz="4" w:space="0" w:color="auto"/>
              <w:right w:val="nil"/>
            </w:tcBorders>
            <w:shd w:val="clear" w:color="auto" w:fill="auto"/>
            <w:noWrap/>
            <w:vAlign w:val="bottom"/>
            <w:hideMark/>
          </w:tcPr>
          <w:p w14:paraId="6080E6DF" w14:textId="5021C365"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91" w:type="dxa"/>
            <w:tcBorders>
              <w:top w:val="single" w:sz="4" w:space="0" w:color="auto"/>
              <w:left w:val="nil"/>
              <w:bottom w:val="single" w:sz="4" w:space="0" w:color="auto"/>
              <w:right w:val="nil"/>
            </w:tcBorders>
            <w:shd w:val="clear" w:color="auto" w:fill="auto"/>
            <w:noWrap/>
            <w:vAlign w:val="bottom"/>
            <w:hideMark/>
          </w:tcPr>
          <w:p w14:paraId="4C25F0D2" w14:textId="73C79090"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noWrap/>
            <w:vAlign w:val="bottom"/>
            <w:hideMark/>
          </w:tcPr>
          <w:p w14:paraId="66949323" w14:textId="42D12E7F" w:rsidR="00A53629" w:rsidRPr="00E63118" w:rsidRDefault="00A53629" w:rsidP="00A53629">
            <w:pPr>
              <w:spacing w:before="0" w:after="0" w:line="240" w:lineRule="auto"/>
              <w:jc w:val="right"/>
              <w:rPr>
                <w:rFonts w:ascii="Arial" w:hAnsi="Arial" w:cs="Arial"/>
                <w:sz w:val="16"/>
                <w:szCs w:val="16"/>
              </w:rPr>
            </w:pPr>
            <w:r>
              <w:rPr>
                <w:rFonts w:ascii="Arial" w:hAnsi="Arial" w:cs="Arial"/>
                <w:sz w:val="16"/>
                <w:szCs w:val="16"/>
              </w:rPr>
              <w:t>30</w:t>
            </w:r>
          </w:p>
        </w:tc>
      </w:tr>
    </w:tbl>
    <w:p w14:paraId="088FFAF8" w14:textId="77777777" w:rsidR="00603F85" w:rsidRPr="006565FB" w:rsidRDefault="00603F85" w:rsidP="00A516F0">
      <w:pPr>
        <w:pStyle w:val="FootnoteText"/>
        <w:spacing w:before="120"/>
      </w:pPr>
      <w:r w:rsidRPr="006565FB">
        <w:t>All figures are GST exclusive.</w:t>
      </w:r>
    </w:p>
    <w:p w14:paraId="169BAC47" w14:textId="271CBC81" w:rsidR="00603F85" w:rsidRPr="006565FB" w:rsidRDefault="00603F85" w:rsidP="00673430">
      <w:pPr>
        <w:pStyle w:val="FootnoteText"/>
      </w:pPr>
      <w:r w:rsidRPr="006565FB">
        <w:rPr>
          <w:vertAlign w:val="superscript"/>
        </w:rPr>
        <w:t>(a)</w:t>
      </w:r>
      <w:r>
        <w:tab/>
      </w:r>
      <w:r w:rsidR="00AC042A" w:rsidRPr="00AC042A">
        <w:t>The estimate at Budget has been up</w:t>
      </w:r>
      <w:r w:rsidR="00677BF1">
        <w:t>dated to reflect the OTA's 2022</w:t>
      </w:r>
      <w:r w:rsidR="00677BF1">
        <w:rPr>
          <w:rFonts w:cs="Arial"/>
          <w:b/>
          <w:bCs/>
          <w:szCs w:val="16"/>
        </w:rPr>
        <w:t>–</w:t>
      </w:r>
      <w:r w:rsidR="00AC042A" w:rsidRPr="00AC042A">
        <w:t>23 Annual Report.</w:t>
      </w:r>
    </w:p>
    <w:p w14:paraId="6D2CCB66" w14:textId="7B822E2F" w:rsidR="00603F85" w:rsidRPr="00863540" w:rsidRDefault="00603F85" w:rsidP="00673430">
      <w:pPr>
        <w:pStyle w:val="FootnoteText"/>
      </w:pPr>
      <w:r w:rsidRPr="006565FB">
        <w:rPr>
          <w:vertAlign w:val="superscript"/>
        </w:rPr>
        <w:t>(b)</w:t>
      </w:r>
      <w:r>
        <w:tab/>
      </w:r>
      <w:r w:rsidR="00677BF1">
        <w:rPr>
          <w:i/>
        </w:rPr>
        <w:t>Appropriation Act (No. 1) 2023</w:t>
      </w:r>
      <w:r w:rsidR="00677BF1">
        <w:rPr>
          <w:rFonts w:cs="Arial"/>
          <w:b/>
          <w:bCs/>
          <w:szCs w:val="16"/>
        </w:rPr>
        <w:t>–</w:t>
      </w:r>
      <w:r w:rsidR="00AC042A" w:rsidRPr="00AC042A">
        <w:rPr>
          <w:i/>
        </w:rPr>
        <w:t xml:space="preserve">24, </w:t>
      </w:r>
      <w:r w:rsidR="00677BF1" w:rsidRPr="00863540">
        <w:t>Appropriation Bill (No. 3) 2023</w:t>
      </w:r>
      <w:r w:rsidR="00677BF1" w:rsidRPr="00863540">
        <w:rPr>
          <w:rFonts w:cs="Arial"/>
          <w:b/>
          <w:bCs/>
          <w:szCs w:val="16"/>
        </w:rPr>
        <w:t>–</w:t>
      </w:r>
      <w:r w:rsidR="00AC042A" w:rsidRPr="00863540">
        <w:t xml:space="preserve">24 and associated Bills. </w:t>
      </w:r>
    </w:p>
    <w:p w14:paraId="6A83FD51" w14:textId="7D57B3DD" w:rsidR="00603F85" w:rsidRPr="006565FB" w:rsidRDefault="00603F85" w:rsidP="00673430">
      <w:pPr>
        <w:pStyle w:val="FootnoteText"/>
      </w:pPr>
      <w:r w:rsidRPr="006565FB">
        <w:rPr>
          <w:vertAlign w:val="superscript"/>
        </w:rPr>
        <w:t>(c)</w:t>
      </w:r>
      <w:r>
        <w:tab/>
      </w:r>
      <w:r w:rsidR="00AC042A" w:rsidRPr="00AC042A">
        <w:t xml:space="preserve">Estimated retained revenue receipts under section 74 of the </w:t>
      </w:r>
      <w:r w:rsidR="00AC042A" w:rsidRPr="00AC042A">
        <w:rPr>
          <w:i/>
        </w:rPr>
        <w:t xml:space="preserve">Public Governance, Performance and Accountability Act 2013 </w:t>
      </w:r>
      <w:r w:rsidR="00AC042A" w:rsidRPr="00AC042A">
        <w:t>(PGPA Act).</w:t>
      </w:r>
      <w:r w:rsidR="00AC042A">
        <w:t xml:space="preserve"> </w:t>
      </w:r>
      <w:r w:rsidR="00677BF1">
        <w:t xml:space="preserve"> </w:t>
      </w:r>
    </w:p>
    <w:p w14:paraId="6499F09A" w14:textId="50C50ACE" w:rsidR="00603F85" w:rsidRPr="006565FB" w:rsidRDefault="00603F85" w:rsidP="00673430">
      <w:pPr>
        <w:pStyle w:val="FootnoteText"/>
      </w:pPr>
      <w:r w:rsidRPr="006565FB">
        <w:rPr>
          <w:vertAlign w:val="superscript"/>
        </w:rPr>
        <w:t>(d)</w:t>
      </w:r>
      <w:r>
        <w:tab/>
      </w:r>
      <w:r w:rsidR="00AC042A" w:rsidRPr="00AC042A">
        <w:t>Departmental Capital Budgets (DCB) are not separately identified in Appropriation Bill (No. 1) and form part of ordinary annual services items. Refer to OTA's Table 3.6 Departmental Capital Budget Statement for further details. For accounting purposes, this amount has been designated as a 'contribution by owner'.</w:t>
      </w:r>
    </w:p>
    <w:p w14:paraId="00B03E88" w14:textId="740A46D4" w:rsidR="00603F85" w:rsidRPr="00863540" w:rsidRDefault="00603F85" w:rsidP="00673430">
      <w:pPr>
        <w:pStyle w:val="FootnoteText"/>
      </w:pPr>
      <w:r w:rsidRPr="006565FB">
        <w:rPr>
          <w:vertAlign w:val="superscript"/>
        </w:rPr>
        <w:t>(e)</w:t>
      </w:r>
      <w:r>
        <w:tab/>
      </w:r>
      <w:r w:rsidR="00677BF1">
        <w:rPr>
          <w:i/>
        </w:rPr>
        <w:t>Appropriation Act (No. 2) 2023</w:t>
      </w:r>
      <w:r w:rsidR="00677BF1">
        <w:rPr>
          <w:rFonts w:cs="Arial"/>
          <w:b/>
          <w:bCs/>
          <w:szCs w:val="16"/>
        </w:rPr>
        <w:t>–</w:t>
      </w:r>
      <w:r w:rsidR="00677BF1" w:rsidRPr="00677BF1">
        <w:rPr>
          <w:i/>
        </w:rPr>
        <w:t xml:space="preserve">24 </w:t>
      </w:r>
      <w:r w:rsidR="00677BF1" w:rsidRPr="00863540">
        <w:t>and Appropriation Bill (No. 2) 2023</w:t>
      </w:r>
      <w:r w:rsidR="00677BF1" w:rsidRPr="00863540">
        <w:rPr>
          <w:rFonts w:cs="Arial"/>
          <w:b/>
          <w:bCs/>
          <w:szCs w:val="16"/>
        </w:rPr>
        <w:t>–</w:t>
      </w:r>
      <w:r w:rsidR="00677BF1" w:rsidRPr="00863540">
        <w:t xml:space="preserve">24 and associated Bills.  </w:t>
      </w:r>
    </w:p>
    <w:p w14:paraId="4A4316E9" w14:textId="4D054EEA" w:rsidR="00603F85" w:rsidRPr="00643B7D" w:rsidRDefault="00603F85" w:rsidP="00603F85">
      <w:pPr>
        <w:pStyle w:val="TableGraphic"/>
      </w:pPr>
      <w:r w:rsidRPr="006D6BD2">
        <w:br w:type="page"/>
      </w:r>
      <w:r w:rsidR="00B4485A">
        <w:fldChar w:fldCharType="begin"/>
      </w:r>
      <w:r w:rsidR="00B4485A">
        <w:instrText xml:space="preserve"> </w:instrText>
      </w:r>
      <w:proofErr w:type="gramStart"/>
      <w:r w:rsidR="00B4485A">
        <w:instrText>TC  "</w:instrText>
      </w:r>
      <w:bookmarkStart w:id="506" w:name="_Toc157591447"/>
      <w:proofErr w:type="gramEnd"/>
      <w:r w:rsidR="00B4485A">
        <w:instrText>1.3</w:instrText>
      </w:r>
      <w:r w:rsidR="00B4485A">
        <w:tab/>
        <w:instrText>Entity measures</w:instrText>
      </w:r>
      <w:bookmarkEnd w:id="506"/>
      <w:r w:rsidR="00B4485A">
        <w:instrText xml:space="preserve">" \f </w:instrText>
      </w:r>
      <w:proofErr w:type="spellStart"/>
      <w:r w:rsidR="00B4485A">
        <w:instrText>ota</w:instrText>
      </w:r>
      <w:proofErr w:type="spellEnd"/>
      <w:r w:rsidR="00B4485A">
        <w:instrText xml:space="preserve"> \l 2 </w:instrText>
      </w:r>
      <w:r w:rsidR="00B4485A">
        <w:fldChar w:fldCharType="end"/>
      </w:r>
      <w:r w:rsidRPr="00673430">
        <w:rPr>
          <w:rFonts w:ascii="Arial" w:hAnsi="Arial" w:cs="Arial"/>
          <w:b/>
          <w:sz w:val="22"/>
          <w:szCs w:val="22"/>
        </w:rPr>
        <w:t>1.3</w:t>
      </w:r>
      <w:r w:rsidRPr="00673430">
        <w:rPr>
          <w:rFonts w:ascii="Arial" w:hAnsi="Arial" w:cs="Arial"/>
          <w:b/>
          <w:sz w:val="22"/>
          <w:szCs w:val="22"/>
        </w:rPr>
        <w:tab/>
        <w:t>Entity measures</w:t>
      </w:r>
    </w:p>
    <w:p w14:paraId="0AD2CCA3" w14:textId="77777777" w:rsidR="00603F85" w:rsidRPr="001F1182" w:rsidRDefault="00603F85" w:rsidP="00603F85">
      <w:pPr>
        <w:rPr>
          <w:sz w:val="20"/>
        </w:rPr>
      </w:pPr>
      <w:r w:rsidRPr="001F1182">
        <w:rPr>
          <w:sz w:val="20"/>
        </w:rPr>
        <w:t>Table 1.2 summarises new Government measures taken since the 2023–24 Budget. The table is split into receipt and payment measures, with the affected program identified.</w:t>
      </w:r>
    </w:p>
    <w:p w14:paraId="5401313A" w14:textId="77777777" w:rsidR="00603F85" w:rsidRDefault="00603F85" w:rsidP="00603F85">
      <w:pPr>
        <w:pStyle w:val="TableHeading"/>
      </w:pPr>
      <w:r w:rsidRPr="00486E77">
        <w:t xml:space="preserve">Table 1.2: </w:t>
      </w:r>
      <w:r>
        <w:t>OTA 2023–24</w:t>
      </w:r>
      <w:r w:rsidRPr="00486E77">
        <w:t xml:space="preserve"> measures since </w:t>
      </w:r>
      <w:r>
        <w:t xml:space="preserve">the </w:t>
      </w:r>
      <w:r w:rsidRPr="00486E77">
        <w:t>Budget</w:t>
      </w:r>
    </w:p>
    <w:p w14:paraId="09959794" w14:textId="34241988" w:rsidR="00603F85" w:rsidRPr="00F02DD3" w:rsidRDefault="00603F85" w:rsidP="00F02DD3">
      <w:pPr>
        <w:pStyle w:val="TableGraphic"/>
        <w:spacing w:before="120"/>
        <w:rPr>
          <w:sz w:val="20"/>
          <w:lang w:val="x-none"/>
        </w:rPr>
      </w:pPr>
      <w:r w:rsidRPr="00542285">
        <w:rPr>
          <w:sz w:val="20"/>
        </w:rPr>
        <w:t>This table is not applicable to the OTA.</w:t>
      </w:r>
    </w:p>
    <w:p w14:paraId="4AE4C409" w14:textId="5955AF13" w:rsidR="00603F85" w:rsidRPr="001E1BB6" w:rsidRDefault="00B4485A" w:rsidP="00F02DD3">
      <w:pPr>
        <w:pStyle w:val="Heading3"/>
        <w:spacing w:before="240"/>
        <w:ind w:left="567" w:hanging="567"/>
      </w:pPr>
      <w:r>
        <w:fldChar w:fldCharType="begin"/>
      </w:r>
      <w:r>
        <w:instrText xml:space="preserve"> </w:instrText>
      </w:r>
      <w:proofErr w:type="gramStart"/>
      <w:r>
        <w:instrText>TC  "</w:instrText>
      </w:r>
      <w:bookmarkStart w:id="507" w:name="_Toc157591448"/>
      <w:proofErr w:type="gramEnd"/>
      <w:r>
        <w:instrText>1.4</w:instrText>
      </w:r>
      <w:r>
        <w:tab/>
        <w:instrText>Additional estimates, resourcing and variations to outcomes</w:instrText>
      </w:r>
      <w:bookmarkEnd w:id="507"/>
      <w:r>
        <w:instrText xml:space="preserve">" \f </w:instrText>
      </w:r>
      <w:proofErr w:type="spellStart"/>
      <w:r>
        <w:instrText>ota</w:instrText>
      </w:r>
      <w:proofErr w:type="spellEnd"/>
      <w:r>
        <w:instrText xml:space="preserve"> \l 2 </w:instrText>
      </w:r>
      <w:r>
        <w:fldChar w:fldCharType="end"/>
      </w:r>
      <w:bookmarkStart w:id="508" w:name="_Toc157592027"/>
      <w:bookmarkStart w:id="509" w:name="_Toc157592210"/>
      <w:r w:rsidR="00603F85">
        <w:t>1.4</w:t>
      </w:r>
      <w:r w:rsidR="00603F85">
        <w:tab/>
        <w:t>Additional estimates, resourcing and v</w:t>
      </w:r>
      <w:r w:rsidR="00603F85" w:rsidRPr="00597122">
        <w:t>ariations</w:t>
      </w:r>
      <w:r w:rsidR="00603F85">
        <w:t xml:space="preserve"> to outcomes</w:t>
      </w:r>
      <w:bookmarkEnd w:id="508"/>
      <w:bookmarkEnd w:id="509"/>
    </w:p>
    <w:p w14:paraId="45415ABF" w14:textId="2155DF50" w:rsidR="00603F85" w:rsidRPr="00542285" w:rsidRDefault="00603F85" w:rsidP="00603F85">
      <w:pPr>
        <w:rPr>
          <w:sz w:val="20"/>
        </w:rPr>
      </w:pPr>
      <w:r w:rsidRPr="00542285">
        <w:rPr>
          <w:sz w:val="20"/>
        </w:rPr>
        <w:t xml:space="preserve">The following tables detail the changes to the resourcing for OTA at Additional Estimates, by outcome. Table 1.3 details the Additional Estimates resulting from new measures and other variations since the 2023–24 Budget in Appropriation Bills </w:t>
      </w:r>
      <w:r w:rsidR="00980AA1">
        <w:rPr>
          <w:sz w:val="20"/>
        </w:rPr>
        <w:t>(</w:t>
      </w:r>
      <w:r w:rsidRPr="00542285">
        <w:rPr>
          <w:sz w:val="20"/>
        </w:rPr>
        <w:t>Nos. 3 and 4</w:t>
      </w:r>
      <w:r w:rsidR="00980AA1">
        <w:rPr>
          <w:sz w:val="20"/>
        </w:rPr>
        <w:t>)</w:t>
      </w:r>
      <w:r w:rsidRPr="00542285">
        <w:rPr>
          <w:sz w:val="20"/>
        </w:rPr>
        <w:t>.</w:t>
      </w:r>
    </w:p>
    <w:p w14:paraId="7743242E" w14:textId="22948A4F" w:rsidR="00603F85" w:rsidRDefault="00603F85" w:rsidP="00603F85">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660" w:type="dxa"/>
        <w:jc w:val="center"/>
        <w:tblLayout w:type="fixed"/>
        <w:tblLook w:val="04A0" w:firstRow="1" w:lastRow="0" w:firstColumn="1" w:lastColumn="0" w:noHBand="0" w:noVBand="1"/>
      </w:tblPr>
      <w:tblGrid>
        <w:gridCol w:w="4060"/>
        <w:gridCol w:w="900"/>
        <w:gridCol w:w="900"/>
        <w:gridCol w:w="900"/>
        <w:gridCol w:w="900"/>
      </w:tblGrid>
      <w:tr w:rsidR="00893991" w:rsidRPr="00893991" w14:paraId="428A9BAB" w14:textId="77777777" w:rsidTr="00313086">
        <w:trPr>
          <w:trHeight w:val="397"/>
          <w:jc w:val="center"/>
        </w:trPr>
        <w:tc>
          <w:tcPr>
            <w:tcW w:w="4060" w:type="dxa"/>
            <w:tcBorders>
              <w:top w:val="single" w:sz="4" w:space="0" w:color="auto"/>
              <w:left w:val="nil"/>
              <w:bottom w:val="nil"/>
              <w:right w:val="nil"/>
            </w:tcBorders>
            <w:shd w:val="clear" w:color="auto" w:fill="auto"/>
            <w:noWrap/>
            <w:hideMark/>
          </w:tcPr>
          <w:p w14:paraId="64BA7DDF" w14:textId="77777777" w:rsidR="00893991" w:rsidRPr="00893991" w:rsidRDefault="00893991" w:rsidP="00CA6F90">
            <w:pPr>
              <w:spacing w:before="24" w:after="0" w:line="240" w:lineRule="auto"/>
              <w:jc w:val="right"/>
              <w:rPr>
                <w:rFonts w:ascii="Arial" w:hAnsi="Arial" w:cs="Arial"/>
                <w:sz w:val="16"/>
                <w:szCs w:val="16"/>
              </w:rPr>
            </w:pPr>
            <w:r w:rsidRPr="00893991">
              <w:rPr>
                <w:rFonts w:ascii="Arial" w:hAnsi="Arial" w:cs="Arial"/>
                <w:sz w:val="16"/>
                <w:szCs w:val="16"/>
              </w:rPr>
              <w:t> </w:t>
            </w:r>
          </w:p>
        </w:tc>
        <w:tc>
          <w:tcPr>
            <w:tcW w:w="900" w:type="dxa"/>
            <w:tcBorders>
              <w:top w:val="single" w:sz="4" w:space="0" w:color="auto"/>
              <w:left w:val="nil"/>
              <w:bottom w:val="single" w:sz="4" w:space="0" w:color="auto"/>
              <w:right w:val="nil"/>
            </w:tcBorders>
            <w:shd w:val="clear" w:color="000000" w:fill="D9D9D9"/>
            <w:hideMark/>
          </w:tcPr>
          <w:p w14:paraId="617BC873" w14:textId="045B38F5" w:rsidR="00893991" w:rsidRPr="00893991" w:rsidRDefault="00A516F0" w:rsidP="00CA6F90">
            <w:pPr>
              <w:spacing w:before="24" w:after="0" w:line="240" w:lineRule="auto"/>
              <w:jc w:val="right"/>
              <w:rPr>
                <w:rFonts w:ascii="Arial" w:hAnsi="Arial" w:cs="Arial"/>
                <w:b/>
                <w:bCs/>
                <w:sz w:val="16"/>
                <w:szCs w:val="16"/>
              </w:rPr>
            </w:pPr>
            <w:r>
              <w:rPr>
                <w:rFonts w:ascii="Arial" w:hAnsi="Arial" w:cs="Arial"/>
                <w:b/>
                <w:bCs/>
                <w:sz w:val="16"/>
                <w:szCs w:val="16"/>
              </w:rPr>
              <w:t>2023–</w:t>
            </w:r>
            <w:r w:rsidR="00893991" w:rsidRPr="00893991">
              <w:rPr>
                <w:rFonts w:ascii="Arial" w:hAnsi="Arial" w:cs="Arial"/>
                <w:b/>
                <w:bCs/>
                <w:sz w:val="16"/>
                <w:szCs w:val="16"/>
              </w:rPr>
              <w:t xml:space="preserve">24 </w:t>
            </w:r>
            <w:r w:rsidR="00893991" w:rsidRPr="00893991">
              <w:rPr>
                <w:rFonts w:ascii="Arial" w:hAnsi="Arial" w:cs="Arial"/>
                <w:b/>
                <w:bCs/>
                <w:sz w:val="16"/>
                <w:szCs w:val="16"/>
              </w:rPr>
              <w:br/>
            </w:r>
            <w:r w:rsidR="00893991" w:rsidRPr="0089399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64C5C7F4" w14:textId="1486F397" w:rsidR="00893991" w:rsidRPr="00893991" w:rsidRDefault="00A516F0" w:rsidP="00CA6F90">
            <w:pPr>
              <w:spacing w:before="24" w:after="0" w:line="240" w:lineRule="auto"/>
              <w:jc w:val="right"/>
              <w:rPr>
                <w:rFonts w:ascii="Arial" w:hAnsi="Arial" w:cs="Arial"/>
                <w:b/>
                <w:bCs/>
                <w:sz w:val="16"/>
                <w:szCs w:val="16"/>
              </w:rPr>
            </w:pPr>
            <w:r>
              <w:rPr>
                <w:rFonts w:ascii="Arial" w:hAnsi="Arial" w:cs="Arial"/>
                <w:b/>
                <w:bCs/>
                <w:sz w:val="16"/>
                <w:szCs w:val="16"/>
              </w:rPr>
              <w:t>2024–</w:t>
            </w:r>
            <w:r w:rsidR="00893991" w:rsidRPr="00893991">
              <w:rPr>
                <w:rFonts w:ascii="Arial" w:hAnsi="Arial" w:cs="Arial"/>
                <w:b/>
                <w:bCs/>
                <w:sz w:val="16"/>
                <w:szCs w:val="16"/>
              </w:rPr>
              <w:t xml:space="preserve">25 </w:t>
            </w:r>
            <w:r w:rsidR="00893991" w:rsidRPr="00893991">
              <w:rPr>
                <w:rFonts w:ascii="Arial" w:hAnsi="Arial" w:cs="Arial"/>
                <w:b/>
                <w:bCs/>
                <w:sz w:val="16"/>
                <w:szCs w:val="16"/>
              </w:rPr>
              <w:br/>
            </w:r>
            <w:r w:rsidR="00893991" w:rsidRPr="0089399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1294D63A" w14:textId="35FEDEFF" w:rsidR="00893991" w:rsidRPr="00893991" w:rsidRDefault="00A516F0" w:rsidP="00CA6F90">
            <w:pPr>
              <w:spacing w:before="24" w:after="0" w:line="240" w:lineRule="auto"/>
              <w:jc w:val="right"/>
              <w:rPr>
                <w:rFonts w:ascii="Arial" w:hAnsi="Arial" w:cs="Arial"/>
                <w:b/>
                <w:bCs/>
                <w:sz w:val="16"/>
                <w:szCs w:val="16"/>
              </w:rPr>
            </w:pPr>
            <w:r>
              <w:rPr>
                <w:rFonts w:ascii="Arial" w:hAnsi="Arial" w:cs="Arial"/>
                <w:b/>
                <w:bCs/>
                <w:sz w:val="16"/>
                <w:szCs w:val="16"/>
              </w:rPr>
              <w:t>2025–</w:t>
            </w:r>
            <w:r w:rsidR="00893991" w:rsidRPr="00893991">
              <w:rPr>
                <w:rFonts w:ascii="Arial" w:hAnsi="Arial" w:cs="Arial"/>
                <w:b/>
                <w:bCs/>
                <w:sz w:val="16"/>
                <w:szCs w:val="16"/>
              </w:rPr>
              <w:t xml:space="preserve">26 </w:t>
            </w:r>
            <w:r w:rsidR="00893991" w:rsidRPr="00893991">
              <w:rPr>
                <w:rFonts w:ascii="Arial" w:hAnsi="Arial" w:cs="Arial"/>
                <w:b/>
                <w:bCs/>
                <w:sz w:val="16"/>
                <w:szCs w:val="16"/>
              </w:rPr>
              <w:br/>
            </w:r>
            <w:r w:rsidR="00893991" w:rsidRPr="00893991">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14:paraId="72EB28D6" w14:textId="2EAD0618" w:rsidR="00893991" w:rsidRPr="00893991" w:rsidRDefault="00A516F0" w:rsidP="00CA6F90">
            <w:pPr>
              <w:spacing w:before="24" w:after="0" w:line="240" w:lineRule="auto"/>
              <w:jc w:val="right"/>
              <w:rPr>
                <w:rFonts w:ascii="Arial" w:hAnsi="Arial" w:cs="Arial"/>
                <w:b/>
                <w:bCs/>
                <w:sz w:val="16"/>
                <w:szCs w:val="16"/>
              </w:rPr>
            </w:pPr>
            <w:r>
              <w:rPr>
                <w:rFonts w:ascii="Arial" w:hAnsi="Arial" w:cs="Arial"/>
                <w:b/>
                <w:bCs/>
                <w:sz w:val="16"/>
                <w:szCs w:val="16"/>
              </w:rPr>
              <w:t>2026–</w:t>
            </w:r>
            <w:r w:rsidR="00893991" w:rsidRPr="00893991">
              <w:rPr>
                <w:rFonts w:ascii="Arial" w:hAnsi="Arial" w:cs="Arial"/>
                <w:b/>
                <w:bCs/>
                <w:sz w:val="16"/>
                <w:szCs w:val="16"/>
              </w:rPr>
              <w:t xml:space="preserve">27 </w:t>
            </w:r>
            <w:r w:rsidR="00893991" w:rsidRPr="00893991">
              <w:rPr>
                <w:rFonts w:ascii="Arial" w:hAnsi="Arial" w:cs="Arial"/>
                <w:b/>
                <w:bCs/>
                <w:sz w:val="16"/>
                <w:szCs w:val="16"/>
              </w:rPr>
              <w:br/>
            </w:r>
            <w:r w:rsidR="00893991" w:rsidRPr="00893991">
              <w:rPr>
                <w:rFonts w:ascii="Arial" w:hAnsi="Arial" w:cs="Arial"/>
                <w:sz w:val="16"/>
                <w:szCs w:val="16"/>
              </w:rPr>
              <w:t>$'000</w:t>
            </w:r>
          </w:p>
        </w:tc>
      </w:tr>
      <w:tr w:rsidR="00893991" w:rsidRPr="00893991" w14:paraId="6636591B" w14:textId="77777777" w:rsidTr="00480979">
        <w:trPr>
          <w:trHeight w:val="283"/>
          <w:jc w:val="center"/>
        </w:trPr>
        <w:tc>
          <w:tcPr>
            <w:tcW w:w="7660" w:type="dxa"/>
            <w:gridSpan w:val="5"/>
            <w:tcBorders>
              <w:top w:val="nil"/>
              <w:left w:val="nil"/>
              <w:bottom w:val="nil"/>
              <w:right w:val="nil"/>
            </w:tcBorders>
            <w:shd w:val="clear" w:color="auto" w:fill="auto"/>
            <w:vAlign w:val="bottom"/>
            <w:hideMark/>
          </w:tcPr>
          <w:p w14:paraId="5A82C7C3" w14:textId="77777777" w:rsidR="00893991" w:rsidRPr="00893991" w:rsidRDefault="00893991" w:rsidP="00893991">
            <w:pPr>
              <w:spacing w:before="0" w:after="0" w:line="240" w:lineRule="auto"/>
              <w:rPr>
                <w:rFonts w:ascii="Arial" w:hAnsi="Arial" w:cs="Arial"/>
                <w:b/>
                <w:bCs/>
                <w:sz w:val="16"/>
                <w:szCs w:val="16"/>
              </w:rPr>
            </w:pPr>
            <w:r w:rsidRPr="00893991">
              <w:rPr>
                <w:rFonts w:ascii="Arial" w:hAnsi="Arial" w:cs="Arial"/>
                <w:b/>
                <w:bCs/>
                <w:sz w:val="16"/>
                <w:szCs w:val="16"/>
              </w:rPr>
              <w:t>Program 1.1: A Nationally Coordinated System for Organ and Tissue Donation for Transplantation</w:t>
            </w:r>
          </w:p>
        </w:tc>
      </w:tr>
      <w:tr w:rsidR="00893991" w:rsidRPr="00893991" w14:paraId="52B3C4D1" w14:textId="77777777" w:rsidTr="00786A80">
        <w:trPr>
          <w:trHeight w:val="283"/>
          <w:jc w:val="center"/>
        </w:trPr>
        <w:tc>
          <w:tcPr>
            <w:tcW w:w="4060" w:type="dxa"/>
            <w:tcBorders>
              <w:top w:val="nil"/>
              <w:left w:val="nil"/>
              <w:bottom w:val="nil"/>
              <w:right w:val="nil"/>
            </w:tcBorders>
            <w:shd w:val="clear" w:color="auto" w:fill="auto"/>
            <w:noWrap/>
            <w:vAlign w:val="bottom"/>
            <w:hideMark/>
          </w:tcPr>
          <w:p w14:paraId="4E0555C5" w14:textId="77777777" w:rsidR="00893991" w:rsidRPr="00893991" w:rsidRDefault="00893991" w:rsidP="00893991">
            <w:pPr>
              <w:spacing w:before="0" w:after="0" w:line="240" w:lineRule="auto"/>
              <w:rPr>
                <w:rFonts w:ascii="Arial" w:hAnsi="Arial" w:cs="Arial"/>
                <w:b/>
                <w:bCs/>
                <w:sz w:val="16"/>
                <w:szCs w:val="16"/>
              </w:rPr>
            </w:pPr>
            <w:r w:rsidRPr="00893991">
              <w:rPr>
                <w:rFonts w:ascii="Arial" w:hAnsi="Arial"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14:paraId="3DB85529" w14:textId="77777777" w:rsidR="00893991" w:rsidRPr="00893991" w:rsidRDefault="00893991" w:rsidP="00893991">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63A7E3A1" w14:textId="77777777" w:rsidR="00893991" w:rsidRPr="00893991" w:rsidRDefault="00893991" w:rsidP="00893991">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AD47A3F" w14:textId="77777777" w:rsidR="00893991" w:rsidRPr="00893991" w:rsidRDefault="00893991" w:rsidP="00893991">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046285CD" w14:textId="77777777" w:rsidR="00893991" w:rsidRPr="00893991" w:rsidRDefault="00893991" w:rsidP="00893991">
            <w:pPr>
              <w:spacing w:before="0" w:after="0" w:line="240" w:lineRule="auto"/>
              <w:jc w:val="right"/>
              <w:rPr>
                <w:rFonts w:ascii="Times New Roman" w:hAnsi="Times New Roman"/>
                <w:sz w:val="20"/>
              </w:rPr>
            </w:pPr>
          </w:p>
        </w:tc>
      </w:tr>
      <w:tr w:rsidR="00893991" w:rsidRPr="00893991" w14:paraId="12A7BC32" w14:textId="77777777" w:rsidTr="00C37ABD">
        <w:trPr>
          <w:trHeight w:val="283"/>
          <w:jc w:val="center"/>
        </w:trPr>
        <w:tc>
          <w:tcPr>
            <w:tcW w:w="4060" w:type="dxa"/>
            <w:tcBorders>
              <w:top w:val="nil"/>
              <w:left w:val="nil"/>
              <w:bottom w:val="nil"/>
              <w:right w:val="nil"/>
            </w:tcBorders>
            <w:shd w:val="clear" w:color="auto" w:fill="auto"/>
            <w:noWrap/>
            <w:vAlign w:val="bottom"/>
            <w:hideMark/>
          </w:tcPr>
          <w:p w14:paraId="55925A5E" w14:textId="77777777" w:rsidR="00893991" w:rsidRPr="00893991" w:rsidRDefault="00893991" w:rsidP="00893991">
            <w:pPr>
              <w:spacing w:before="0" w:after="0" w:line="240" w:lineRule="auto"/>
              <w:rPr>
                <w:rFonts w:ascii="Arial" w:hAnsi="Arial" w:cs="Arial"/>
                <w:sz w:val="16"/>
                <w:szCs w:val="16"/>
              </w:rPr>
            </w:pPr>
            <w:r w:rsidRPr="00893991">
              <w:rPr>
                <w:rFonts w:ascii="Arial" w:hAnsi="Arial" w:cs="Arial"/>
                <w:sz w:val="16"/>
                <w:szCs w:val="16"/>
              </w:rPr>
              <w:t xml:space="preserve">Appropriation Bill (No. 3) </w:t>
            </w:r>
          </w:p>
        </w:tc>
        <w:tc>
          <w:tcPr>
            <w:tcW w:w="900" w:type="dxa"/>
            <w:tcBorders>
              <w:top w:val="nil"/>
              <w:left w:val="nil"/>
              <w:bottom w:val="nil"/>
              <w:right w:val="nil"/>
            </w:tcBorders>
            <w:shd w:val="clear" w:color="000000" w:fill="D9D9D9"/>
            <w:noWrap/>
            <w:vAlign w:val="bottom"/>
            <w:hideMark/>
          </w:tcPr>
          <w:p w14:paraId="6AA1BD2F"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9E3A9A3" w14:textId="77777777" w:rsidR="00893991" w:rsidRPr="00893991" w:rsidRDefault="00893991" w:rsidP="00893991">
            <w:pPr>
              <w:spacing w:before="0"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DEFABD5" w14:textId="77777777" w:rsidR="00893991" w:rsidRPr="00893991" w:rsidRDefault="00893991" w:rsidP="00893991">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3E9FC725" w14:textId="77777777" w:rsidR="00893991" w:rsidRPr="00893991" w:rsidRDefault="00893991" w:rsidP="00893991">
            <w:pPr>
              <w:spacing w:before="0" w:after="0" w:line="240" w:lineRule="auto"/>
              <w:jc w:val="right"/>
              <w:rPr>
                <w:rFonts w:ascii="Times New Roman" w:hAnsi="Times New Roman"/>
                <w:sz w:val="20"/>
              </w:rPr>
            </w:pPr>
          </w:p>
        </w:tc>
      </w:tr>
      <w:tr w:rsidR="00893991" w:rsidRPr="00893991" w14:paraId="24BED794" w14:textId="77777777" w:rsidTr="00C37ABD">
        <w:trPr>
          <w:trHeight w:val="454"/>
          <w:jc w:val="center"/>
        </w:trPr>
        <w:tc>
          <w:tcPr>
            <w:tcW w:w="4060" w:type="dxa"/>
            <w:tcBorders>
              <w:top w:val="nil"/>
              <w:left w:val="nil"/>
              <w:bottom w:val="nil"/>
              <w:right w:val="nil"/>
            </w:tcBorders>
            <w:shd w:val="clear" w:color="000000" w:fill="FFFFFF"/>
            <w:vAlign w:val="bottom"/>
            <w:hideMark/>
          </w:tcPr>
          <w:p w14:paraId="47EB9744" w14:textId="77777777" w:rsidR="00893991" w:rsidRPr="00893991" w:rsidRDefault="00893991" w:rsidP="00893991">
            <w:pPr>
              <w:spacing w:before="0" w:after="0" w:line="240" w:lineRule="auto"/>
              <w:rPr>
                <w:rFonts w:ascii="Arial" w:hAnsi="Arial" w:cs="Arial"/>
                <w:sz w:val="16"/>
                <w:szCs w:val="16"/>
              </w:rPr>
            </w:pPr>
            <w:r w:rsidRPr="00893991">
              <w:rPr>
                <w:rFonts w:ascii="Arial" w:hAnsi="Arial" w:cs="Arial"/>
                <w:sz w:val="16"/>
                <w:szCs w:val="16"/>
              </w:rPr>
              <w:t>Reclassification of funding from administered to departmental</w:t>
            </w:r>
          </w:p>
        </w:tc>
        <w:tc>
          <w:tcPr>
            <w:tcW w:w="900" w:type="dxa"/>
            <w:tcBorders>
              <w:top w:val="nil"/>
              <w:left w:val="nil"/>
              <w:bottom w:val="nil"/>
              <w:right w:val="nil"/>
            </w:tcBorders>
            <w:shd w:val="clear" w:color="000000" w:fill="D9D9D9"/>
            <w:noWrap/>
            <w:vAlign w:val="bottom"/>
            <w:hideMark/>
          </w:tcPr>
          <w:p w14:paraId="3416E206"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(500)</w:t>
            </w:r>
          </w:p>
        </w:tc>
        <w:tc>
          <w:tcPr>
            <w:tcW w:w="900" w:type="dxa"/>
            <w:tcBorders>
              <w:top w:val="nil"/>
              <w:left w:val="nil"/>
              <w:bottom w:val="nil"/>
              <w:right w:val="nil"/>
            </w:tcBorders>
            <w:shd w:val="clear" w:color="auto" w:fill="auto"/>
            <w:noWrap/>
            <w:vAlign w:val="bottom"/>
            <w:hideMark/>
          </w:tcPr>
          <w:p w14:paraId="6CE9BD3E"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(500)</w:t>
            </w:r>
          </w:p>
        </w:tc>
        <w:tc>
          <w:tcPr>
            <w:tcW w:w="900" w:type="dxa"/>
            <w:tcBorders>
              <w:top w:val="nil"/>
              <w:left w:val="nil"/>
              <w:bottom w:val="nil"/>
              <w:right w:val="nil"/>
            </w:tcBorders>
            <w:shd w:val="clear" w:color="auto" w:fill="auto"/>
            <w:noWrap/>
            <w:vAlign w:val="bottom"/>
            <w:hideMark/>
          </w:tcPr>
          <w:p w14:paraId="5E0DF526"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(500)</w:t>
            </w:r>
          </w:p>
        </w:tc>
        <w:tc>
          <w:tcPr>
            <w:tcW w:w="900" w:type="dxa"/>
            <w:tcBorders>
              <w:top w:val="nil"/>
              <w:left w:val="nil"/>
              <w:bottom w:val="nil"/>
              <w:right w:val="nil"/>
            </w:tcBorders>
            <w:shd w:val="clear" w:color="auto" w:fill="auto"/>
            <w:noWrap/>
            <w:vAlign w:val="bottom"/>
            <w:hideMark/>
          </w:tcPr>
          <w:p w14:paraId="588295EF"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(500)</w:t>
            </w:r>
          </w:p>
        </w:tc>
      </w:tr>
      <w:tr w:rsidR="00893991" w:rsidRPr="00893991" w14:paraId="012A2427" w14:textId="77777777" w:rsidTr="00786A80">
        <w:trPr>
          <w:trHeight w:val="283"/>
          <w:jc w:val="center"/>
        </w:trPr>
        <w:tc>
          <w:tcPr>
            <w:tcW w:w="4060" w:type="dxa"/>
            <w:tcBorders>
              <w:top w:val="nil"/>
              <w:left w:val="nil"/>
              <w:bottom w:val="nil"/>
              <w:right w:val="nil"/>
            </w:tcBorders>
            <w:shd w:val="clear" w:color="000000" w:fill="FFFFFF"/>
            <w:noWrap/>
            <w:vAlign w:val="bottom"/>
            <w:hideMark/>
          </w:tcPr>
          <w:p w14:paraId="486115DE" w14:textId="36181144" w:rsidR="00893991" w:rsidRPr="00893991" w:rsidRDefault="00F868ED" w:rsidP="00893991">
            <w:pPr>
              <w:spacing w:before="0" w:after="0" w:line="240" w:lineRule="auto"/>
              <w:rPr>
                <w:rFonts w:ascii="Arial" w:hAnsi="Arial" w:cs="Arial"/>
                <w:sz w:val="16"/>
                <w:szCs w:val="16"/>
              </w:rPr>
            </w:pPr>
            <w:r>
              <w:rPr>
                <w:rFonts w:ascii="Arial" w:hAnsi="Arial" w:cs="Arial"/>
                <w:sz w:val="16"/>
                <w:szCs w:val="16"/>
              </w:rPr>
              <w:t>Price parameter adjustments</w:t>
            </w:r>
            <w:r w:rsidR="00893991" w:rsidRPr="00893991">
              <w:rPr>
                <w:rFonts w:ascii="Arial" w:hAnsi="Arial" w:cs="Arial"/>
                <w:sz w:val="16"/>
                <w:szCs w:val="16"/>
                <w:vertAlign w:val="superscript"/>
              </w:rPr>
              <w:t>(a)</w:t>
            </w:r>
          </w:p>
        </w:tc>
        <w:tc>
          <w:tcPr>
            <w:tcW w:w="900" w:type="dxa"/>
            <w:tcBorders>
              <w:top w:val="nil"/>
              <w:left w:val="nil"/>
              <w:bottom w:val="nil"/>
              <w:right w:val="nil"/>
            </w:tcBorders>
            <w:shd w:val="clear" w:color="000000" w:fill="D9D9D9"/>
            <w:noWrap/>
            <w:vAlign w:val="bottom"/>
            <w:hideMark/>
          </w:tcPr>
          <w:p w14:paraId="4F90BBF7"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E87D628"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51 </w:t>
            </w:r>
          </w:p>
        </w:tc>
        <w:tc>
          <w:tcPr>
            <w:tcW w:w="900" w:type="dxa"/>
            <w:tcBorders>
              <w:top w:val="nil"/>
              <w:left w:val="nil"/>
              <w:bottom w:val="nil"/>
              <w:right w:val="nil"/>
            </w:tcBorders>
            <w:shd w:val="clear" w:color="auto" w:fill="auto"/>
            <w:noWrap/>
            <w:vAlign w:val="bottom"/>
            <w:hideMark/>
          </w:tcPr>
          <w:p w14:paraId="3C2FBE28"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156 </w:t>
            </w:r>
          </w:p>
        </w:tc>
        <w:tc>
          <w:tcPr>
            <w:tcW w:w="900" w:type="dxa"/>
            <w:tcBorders>
              <w:top w:val="nil"/>
              <w:left w:val="nil"/>
              <w:bottom w:val="nil"/>
              <w:right w:val="nil"/>
            </w:tcBorders>
            <w:shd w:val="clear" w:color="auto" w:fill="auto"/>
            <w:noWrap/>
            <w:vAlign w:val="bottom"/>
            <w:hideMark/>
          </w:tcPr>
          <w:p w14:paraId="0E9EE7AA"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160 </w:t>
            </w:r>
          </w:p>
        </w:tc>
      </w:tr>
      <w:tr w:rsidR="00893991" w:rsidRPr="00893991" w14:paraId="4E4B6DB0" w14:textId="77777777" w:rsidTr="00786A80">
        <w:trPr>
          <w:trHeight w:val="283"/>
          <w:jc w:val="center"/>
        </w:trPr>
        <w:tc>
          <w:tcPr>
            <w:tcW w:w="4060" w:type="dxa"/>
            <w:tcBorders>
              <w:top w:val="nil"/>
              <w:left w:val="nil"/>
              <w:bottom w:val="nil"/>
              <w:right w:val="nil"/>
            </w:tcBorders>
            <w:shd w:val="clear" w:color="auto" w:fill="auto"/>
            <w:noWrap/>
            <w:vAlign w:val="bottom"/>
            <w:hideMark/>
          </w:tcPr>
          <w:p w14:paraId="48B992E8" w14:textId="77777777" w:rsidR="00893991" w:rsidRPr="00893991" w:rsidRDefault="00893991" w:rsidP="00893991">
            <w:pPr>
              <w:spacing w:before="0" w:after="0" w:line="240" w:lineRule="auto"/>
              <w:rPr>
                <w:rFonts w:ascii="Arial" w:hAnsi="Arial" w:cs="Arial"/>
                <w:b/>
                <w:bCs/>
                <w:sz w:val="16"/>
                <w:szCs w:val="16"/>
              </w:rPr>
            </w:pPr>
            <w:r w:rsidRPr="00893991">
              <w:rPr>
                <w:rFonts w:ascii="Arial" w:hAnsi="Arial" w:cs="Arial"/>
                <w:b/>
                <w:bCs/>
                <w:sz w:val="16"/>
                <w:szCs w:val="16"/>
              </w:rPr>
              <w:t>Changes to departmental appropriations</w:t>
            </w:r>
          </w:p>
        </w:tc>
        <w:tc>
          <w:tcPr>
            <w:tcW w:w="900" w:type="dxa"/>
            <w:tcBorders>
              <w:top w:val="nil"/>
              <w:left w:val="nil"/>
              <w:bottom w:val="nil"/>
              <w:right w:val="nil"/>
            </w:tcBorders>
            <w:shd w:val="clear" w:color="000000" w:fill="D9D9D9"/>
            <w:noWrap/>
            <w:vAlign w:val="bottom"/>
            <w:hideMark/>
          </w:tcPr>
          <w:p w14:paraId="1245A49A"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4C8707B" w14:textId="77777777" w:rsidR="00893991" w:rsidRPr="00893991" w:rsidRDefault="00893991" w:rsidP="00893991">
            <w:pPr>
              <w:spacing w:before="0"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88FCB90" w14:textId="77777777" w:rsidR="00893991" w:rsidRPr="00893991" w:rsidRDefault="00893991" w:rsidP="00893991">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6F814BF2" w14:textId="77777777" w:rsidR="00893991" w:rsidRPr="00893991" w:rsidRDefault="00893991" w:rsidP="00893991">
            <w:pPr>
              <w:spacing w:before="0" w:after="0" w:line="240" w:lineRule="auto"/>
              <w:jc w:val="right"/>
              <w:rPr>
                <w:rFonts w:ascii="Times New Roman" w:hAnsi="Times New Roman"/>
                <w:sz w:val="20"/>
              </w:rPr>
            </w:pPr>
          </w:p>
        </w:tc>
      </w:tr>
      <w:tr w:rsidR="00893991" w:rsidRPr="00893991" w14:paraId="7988CCE7" w14:textId="77777777" w:rsidTr="00C37ABD">
        <w:trPr>
          <w:trHeight w:val="283"/>
          <w:jc w:val="center"/>
        </w:trPr>
        <w:tc>
          <w:tcPr>
            <w:tcW w:w="4060" w:type="dxa"/>
            <w:tcBorders>
              <w:top w:val="nil"/>
              <w:left w:val="nil"/>
              <w:bottom w:val="nil"/>
              <w:right w:val="nil"/>
            </w:tcBorders>
            <w:shd w:val="clear" w:color="auto" w:fill="auto"/>
            <w:noWrap/>
            <w:vAlign w:val="bottom"/>
            <w:hideMark/>
          </w:tcPr>
          <w:p w14:paraId="3EBBCCA2" w14:textId="77777777" w:rsidR="00893991" w:rsidRPr="00893991" w:rsidRDefault="00893991" w:rsidP="00893991">
            <w:pPr>
              <w:spacing w:before="0" w:after="0" w:line="240" w:lineRule="auto"/>
              <w:rPr>
                <w:rFonts w:ascii="Arial" w:hAnsi="Arial" w:cs="Arial"/>
                <w:sz w:val="16"/>
                <w:szCs w:val="16"/>
              </w:rPr>
            </w:pPr>
            <w:r w:rsidRPr="00893991">
              <w:rPr>
                <w:rFonts w:ascii="Arial" w:hAnsi="Arial" w:cs="Arial"/>
                <w:sz w:val="16"/>
                <w:szCs w:val="16"/>
              </w:rPr>
              <w:t xml:space="preserve">Appropriation Bill (No. 3) </w:t>
            </w:r>
          </w:p>
        </w:tc>
        <w:tc>
          <w:tcPr>
            <w:tcW w:w="900" w:type="dxa"/>
            <w:tcBorders>
              <w:top w:val="nil"/>
              <w:left w:val="nil"/>
              <w:bottom w:val="nil"/>
              <w:right w:val="nil"/>
            </w:tcBorders>
            <w:shd w:val="clear" w:color="000000" w:fill="D9D9D9"/>
            <w:noWrap/>
            <w:vAlign w:val="bottom"/>
            <w:hideMark/>
          </w:tcPr>
          <w:p w14:paraId="45A63892"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4D50B17" w14:textId="77777777" w:rsidR="00893991" w:rsidRPr="00893991" w:rsidRDefault="00893991" w:rsidP="00893991">
            <w:pPr>
              <w:spacing w:before="0"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C1720DC" w14:textId="77777777" w:rsidR="00893991" w:rsidRPr="00893991" w:rsidRDefault="00893991" w:rsidP="00893991">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E5477E8" w14:textId="77777777" w:rsidR="00893991" w:rsidRPr="00893991" w:rsidRDefault="00893991" w:rsidP="00893991">
            <w:pPr>
              <w:spacing w:before="0" w:after="0" w:line="240" w:lineRule="auto"/>
              <w:jc w:val="right"/>
              <w:rPr>
                <w:rFonts w:ascii="Times New Roman" w:hAnsi="Times New Roman"/>
                <w:sz w:val="20"/>
              </w:rPr>
            </w:pPr>
          </w:p>
        </w:tc>
      </w:tr>
      <w:tr w:rsidR="00893991" w:rsidRPr="00893991" w14:paraId="6421CA56" w14:textId="77777777" w:rsidTr="00C37ABD">
        <w:trPr>
          <w:trHeight w:val="454"/>
          <w:jc w:val="center"/>
        </w:trPr>
        <w:tc>
          <w:tcPr>
            <w:tcW w:w="4060" w:type="dxa"/>
            <w:tcBorders>
              <w:top w:val="nil"/>
              <w:left w:val="nil"/>
              <w:bottom w:val="nil"/>
              <w:right w:val="nil"/>
            </w:tcBorders>
            <w:shd w:val="clear" w:color="000000" w:fill="FFFFFF"/>
            <w:vAlign w:val="bottom"/>
            <w:hideMark/>
          </w:tcPr>
          <w:p w14:paraId="1029C104" w14:textId="77777777" w:rsidR="00893991" w:rsidRPr="00893991" w:rsidRDefault="00893991" w:rsidP="00893991">
            <w:pPr>
              <w:spacing w:before="0" w:after="0" w:line="240" w:lineRule="auto"/>
              <w:rPr>
                <w:rFonts w:ascii="Arial" w:hAnsi="Arial" w:cs="Arial"/>
                <w:sz w:val="16"/>
                <w:szCs w:val="16"/>
              </w:rPr>
            </w:pPr>
            <w:r w:rsidRPr="00893991">
              <w:rPr>
                <w:rFonts w:ascii="Arial" w:hAnsi="Arial" w:cs="Arial"/>
                <w:sz w:val="16"/>
                <w:szCs w:val="16"/>
              </w:rPr>
              <w:t>Reclassification of funding from administered to departmental</w:t>
            </w:r>
          </w:p>
        </w:tc>
        <w:tc>
          <w:tcPr>
            <w:tcW w:w="900" w:type="dxa"/>
            <w:tcBorders>
              <w:top w:val="nil"/>
              <w:left w:val="nil"/>
              <w:bottom w:val="nil"/>
              <w:right w:val="nil"/>
            </w:tcBorders>
            <w:shd w:val="clear" w:color="000000" w:fill="D9D9D9"/>
            <w:noWrap/>
            <w:vAlign w:val="bottom"/>
            <w:hideMark/>
          </w:tcPr>
          <w:p w14:paraId="2CDE7D1D"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500 </w:t>
            </w:r>
          </w:p>
        </w:tc>
        <w:tc>
          <w:tcPr>
            <w:tcW w:w="900" w:type="dxa"/>
            <w:tcBorders>
              <w:top w:val="nil"/>
              <w:left w:val="nil"/>
              <w:bottom w:val="nil"/>
              <w:right w:val="nil"/>
            </w:tcBorders>
            <w:shd w:val="clear" w:color="auto" w:fill="auto"/>
            <w:noWrap/>
            <w:vAlign w:val="bottom"/>
            <w:hideMark/>
          </w:tcPr>
          <w:p w14:paraId="6E728006"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500 </w:t>
            </w:r>
          </w:p>
        </w:tc>
        <w:tc>
          <w:tcPr>
            <w:tcW w:w="900" w:type="dxa"/>
            <w:tcBorders>
              <w:top w:val="nil"/>
              <w:left w:val="nil"/>
              <w:bottom w:val="nil"/>
              <w:right w:val="nil"/>
            </w:tcBorders>
            <w:shd w:val="clear" w:color="auto" w:fill="auto"/>
            <w:noWrap/>
            <w:vAlign w:val="bottom"/>
            <w:hideMark/>
          </w:tcPr>
          <w:p w14:paraId="39A652C0"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500 </w:t>
            </w:r>
          </w:p>
        </w:tc>
        <w:tc>
          <w:tcPr>
            <w:tcW w:w="900" w:type="dxa"/>
            <w:tcBorders>
              <w:top w:val="nil"/>
              <w:left w:val="nil"/>
              <w:bottom w:val="nil"/>
              <w:right w:val="nil"/>
            </w:tcBorders>
            <w:shd w:val="clear" w:color="auto" w:fill="auto"/>
            <w:noWrap/>
            <w:vAlign w:val="bottom"/>
            <w:hideMark/>
          </w:tcPr>
          <w:p w14:paraId="3CC1713B"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500 </w:t>
            </w:r>
          </w:p>
        </w:tc>
      </w:tr>
      <w:tr w:rsidR="00893991" w:rsidRPr="00893991" w14:paraId="6EBAF65A" w14:textId="77777777" w:rsidTr="00C37ABD">
        <w:trPr>
          <w:trHeight w:val="283"/>
          <w:jc w:val="center"/>
        </w:trPr>
        <w:tc>
          <w:tcPr>
            <w:tcW w:w="4060" w:type="dxa"/>
            <w:tcBorders>
              <w:top w:val="nil"/>
              <w:left w:val="nil"/>
              <w:bottom w:val="nil"/>
              <w:right w:val="nil"/>
            </w:tcBorders>
            <w:shd w:val="clear" w:color="000000" w:fill="FFFFFF"/>
            <w:noWrap/>
            <w:vAlign w:val="bottom"/>
            <w:hideMark/>
          </w:tcPr>
          <w:p w14:paraId="7F5C2047" w14:textId="1F20B080" w:rsidR="00893991" w:rsidRPr="00893991" w:rsidRDefault="00893991" w:rsidP="00F868ED">
            <w:pPr>
              <w:spacing w:before="0" w:after="0" w:line="240" w:lineRule="auto"/>
              <w:rPr>
                <w:rFonts w:ascii="Arial" w:hAnsi="Arial" w:cs="Arial"/>
                <w:sz w:val="16"/>
                <w:szCs w:val="16"/>
              </w:rPr>
            </w:pPr>
            <w:r w:rsidRPr="00893991">
              <w:rPr>
                <w:rFonts w:ascii="Arial" w:hAnsi="Arial" w:cs="Arial"/>
                <w:sz w:val="16"/>
                <w:szCs w:val="16"/>
              </w:rPr>
              <w:t>Price parameter adjustments</w:t>
            </w:r>
            <w:r w:rsidRPr="00893991">
              <w:rPr>
                <w:rFonts w:ascii="Arial" w:hAnsi="Arial" w:cs="Arial"/>
                <w:sz w:val="16"/>
                <w:szCs w:val="16"/>
                <w:vertAlign w:val="superscript"/>
              </w:rPr>
              <w:t>(a)</w:t>
            </w:r>
          </w:p>
        </w:tc>
        <w:tc>
          <w:tcPr>
            <w:tcW w:w="900" w:type="dxa"/>
            <w:tcBorders>
              <w:top w:val="nil"/>
              <w:left w:val="nil"/>
              <w:bottom w:val="nil"/>
              <w:right w:val="nil"/>
            </w:tcBorders>
            <w:shd w:val="clear" w:color="000000" w:fill="D9D9D9"/>
            <w:noWrap/>
            <w:vAlign w:val="bottom"/>
            <w:hideMark/>
          </w:tcPr>
          <w:p w14:paraId="0C4F383C"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562D13C3"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10 </w:t>
            </w:r>
          </w:p>
        </w:tc>
        <w:tc>
          <w:tcPr>
            <w:tcW w:w="900" w:type="dxa"/>
            <w:tcBorders>
              <w:top w:val="nil"/>
              <w:left w:val="nil"/>
              <w:bottom w:val="nil"/>
              <w:right w:val="nil"/>
            </w:tcBorders>
            <w:shd w:val="clear" w:color="auto" w:fill="auto"/>
            <w:noWrap/>
            <w:vAlign w:val="bottom"/>
            <w:hideMark/>
          </w:tcPr>
          <w:p w14:paraId="1A5C0200"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26 </w:t>
            </w:r>
          </w:p>
        </w:tc>
        <w:tc>
          <w:tcPr>
            <w:tcW w:w="900" w:type="dxa"/>
            <w:tcBorders>
              <w:top w:val="nil"/>
              <w:left w:val="nil"/>
              <w:bottom w:val="nil"/>
              <w:right w:val="nil"/>
            </w:tcBorders>
            <w:shd w:val="clear" w:color="auto" w:fill="auto"/>
            <w:noWrap/>
            <w:vAlign w:val="bottom"/>
            <w:hideMark/>
          </w:tcPr>
          <w:p w14:paraId="56C56B87" w14:textId="77777777" w:rsidR="00893991" w:rsidRPr="00893991" w:rsidRDefault="00893991" w:rsidP="00893991">
            <w:pPr>
              <w:spacing w:before="0" w:after="0" w:line="240" w:lineRule="auto"/>
              <w:jc w:val="right"/>
              <w:rPr>
                <w:rFonts w:ascii="Arial" w:hAnsi="Arial" w:cs="Arial"/>
                <w:sz w:val="16"/>
                <w:szCs w:val="16"/>
              </w:rPr>
            </w:pPr>
            <w:r w:rsidRPr="00893991">
              <w:rPr>
                <w:rFonts w:ascii="Arial" w:hAnsi="Arial" w:cs="Arial"/>
                <w:sz w:val="16"/>
                <w:szCs w:val="16"/>
              </w:rPr>
              <w:t xml:space="preserve">27 </w:t>
            </w:r>
          </w:p>
        </w:tc>
      </w:tr>
      <w:tr w:rsidR="00893991" w:rsidRPr="00893991" w14:paraId="12F415C9" w14:textId="77777777" w:rsidTr="00C37ABD">
        <w:trPr>
          <w:trHeight w:val="283"/>
          <w:jc w:val="center"/>
        </w:trPr>
        <w:tc>
          <w:tcPr>
            <w:tcW w:w="4060" w:type="dxa"/>
            <w:tcBorders>
              <w:top w:val="nil"/>
              <w:left w:val="nil"/>
              <w:bottom w:val="single" w:sz="4" w:space="0" w:color="auto"/>
              <w:right w:val="nil"/>
            </w:tcBorders>
            <w:shd w:val="clear" w:color="auto" w:fill="auto"/>
            <w:noWrap/>
            <w:vAlign w:val="bottom"/>
            <w:hideMark/>
          </w:tcPr>
          <w:p w14:paraId="1589D282" w14:textId="77777777" w:rsidR="00893991" w:rsidRPr="00893991" w:rsidRDefault="00893991" w:rsidP="00893991">
            <w:pPr>
              <w:spacing w:before="0" w:after="0" w:line="240" w:lineRule="auto"/>
              <w:rPr>
                <w:rFonts w:ascii="Arial" w:hAnsi="Arial" w:cs="Arial"/>
                <w:b/>
                <w:bCs/>
                <w:sz w:val="16"/>
                <w:szCs w:val="16"/>
              </w:rPr>
            </w:pPr>
            <w:r w:rsidRPr="00893991">
              <w:rPr>
                <w:rFonts w:ascii="Arial" w:hAnsi="Arial" w:cs="Arial"/>
                <w:b/>
                <w:bCs/>
                <w:sz w:val="16"/>
                <w:szCs w:val="16"/>
              </w:rPr>
              <w:t>Total</w:t>
            </w:r>
          </w:p>
        </w:tc>
        <w:tc>
          <w:tcPr>
            <w:tcW w:w="900" w:type="dxa"/>
            <w:tcBorders>
              <w:top w:val="single" w:sz="4" w:space="0" w:color="auto"/>
              <w:left w:val="nil"/>
              <w:bottom w:val="single" w:sz="4" w:space="0" w:color="auto"/>
              <w:right w:val="nil"/>
            </w:tcBorders>
            <w:shd w:val="clear" w:color="000000" w:fill="D9D9D9"/>
            <w:noWrap/>
            <w:vAlign w:val="bottom"/>
            <w:hideMark/>
          </w:tcPr>
          <w:p w14:paraId="635D89C9" w14:textId="77777777" w:rsidR="00893991" w:rsidRPr="00893991" w:rsidRDefault="00893991" w:rsidP="00893991">
            <w:pPr>
              <w:spacing w:before="0" w:after="0" w:line="240" w:lineRule="auto"/>
              <w:jc w:val="right"/>
              <w:rPr>
                <w:rFonts w:ascii="Arial" w:hAnsi="Arial" w:cs="Arial"/>
                <w:b/>
                <w:bCs/>
                <w:sz w:val="16"/>
                <w:szCs w:val="16"/>
              </w:rPr>
            </w:pPr>
            <w:r w:rsidRPr="00893991">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167BC594" w14:textId="77777777" w:rsidR="00893991" w:rsidRPr="00893991" w:rsidRDefault="00893991" w:rsidP="00893991">
            <w:pPr>
              <w:spacing w:before="0" w:after="0" w:line="240" w:lineRule="auto"/>
              <w:jc w:val="right"/>
              <w:rPr>
                <w:rFonts w:ascii="Arial" w:hAnsi="Arial" w:cs="Arial"/>
                <w:b/>
                <w:bCs/>
                <w:sz w:val="16"/>
                <w:szCs w:val="16"/>
              </w:rPr>
            </w:pPr>
            <w:r w:rsidRPr="00893991">
              <w:rPr>
                <w:rFonts w:ascii="Arial" w:hAnsi="Arial" w:cs="Arial"/>
                <w:b/>
                <w:bCs/>
                <w:sz w:val="16"/>
                <w:szCs w:val="16"/>
              </w:rPr>
              <w:t xml:space="preserve">61 </w:t>
            </w:r>
          </w:p>
        </w:tc>
        <w:tc>
          <w:tcPr>
            <w:tcW w:w="900" w:type="dxa"/>
            <w:tcBorders>
              <w:top w:val="single" w:sz="4" w:space="0" w:color="auto"/>
              <w:left w:val="nil"/>
              <w:bottom w:val="single" w:sz="4" w:space="0" w:color="auto"/>
              <w:right w:val="nil"/>
            </w:tcBorders>
            <w:shd w:val="clear" w:color="auto" w:fill="auto"/>
            <w:noWrap/>
            <w:vAlign w:val="bottom"/>
            <w:hideMark/>
          </w:tcPr>
          <w:p w14:paraId="25578546" w14:textId="77777777" w:rsidR="00893991" w:rsidRPr="00893991" w:rsidRDefault="00893991" w:rsidP="00893991">
            <w:pPr>
              <w:spacing w:before="0" w:after="0" w:line="240" w:lineRule="auto"/>
              <w:jc w:val="right"/>
              <w:rPr>
                <w:rFonts w:ascii="Arial" w:hAnsi="Arial" w:cs="Arial"/>
                <w:b/>
                <w:bCs/>
                <w:sz w:val="16"/>
                <w:szCs w:val="16"/>
              </w:rPr>
            </w:pPr>
            <w:r w:rsidRPr="00893991">
              <w:rPr>
                <w:rFonts w:ascii="Arial" w:hAnsi="Arial" w:cs="Arial"/>
                <w:b/>
                <w:bCs/>
                <w:sz w:val="16"/>
                <w:szCs w:val="16"/>
              </w:rPr>
              <w:t xml:space="preserve">182 </w:t>
            </w:r>
          </w:p>
        </w:tc>
        <w:tc>
          <w:tcPr>
            <w:tcW w:w="900" w:type="dxa"/>
            <w:tcBorders>
              <w:top w:val="single" w:sz="4" w:space="0" w:color="auto"/>
              <w:left w:val="nil"/>
              <w:bottom w:val="single" w:sz="4" w:space="0" w:color="auto"/>
              <w:right w:val="nil"/>
            </w:tcBorders>
            <w:shd w:val="clear" w:color="auto" w:fill="auto"/>
            <w:noWrap/>
            <w:vAlign w:val="bottom"/>
            <w:hideMark/>
          </w:tcPr>
          <w:p w14:paraId="29A0A559" w14:textId="77777777" w:rsidR="00893991" w:rsidRPr="00893991" w:rsidRDefault="00893991" w:rsidP="00893991">
            <w:pPr>
              <w:spacing w:before="0" w:after="0" w:line="240" w:lineRule="auto"/>
              <w:jc w:val="right"/>
              <w:rPr>
                <w:rFonts w:ascii="Arial" w:hAnsi="Arial" w:cs="Arial"/>
                <w:b/>
                <w:bCs/>
                <w:sz w:val="16"/>
                <w:szCs w:val="16"/>
              </w:rPr>
            </w:pPr>
            <w:r w:rsidRPr="00893991">
              <w:rPr>
                <w:rFonts w:ascii="Arial" w:hAnsi="Arial" w:cs="Arial"/>
                <w:b/>
                <w:bCs/>
                <w:sz w:val="16"/>
                <w:szCs w:val="16"/>
              </w:rPr>
              <w:t xml:space="preserve">187 </w:t>
            </w:r>
          </w:p>
        </w:tc>
      </w:tr>
    </w:tbl>
    <w:p w14:paraId="378AD037" w14:textId="3C723B20" w:rsidR="00FB392F" w:rsidRPr="00F868ED" w:rsidRDefault="00C37ABD" w:rsidP="00C37ABD">
      <w:pPr>
        <w:pStyle w:val="FootnoteText"/>
        <w:spacing w:before="120"/>
        <w:rPr>
          <w:szCs w:val="16"/>
        </w:rPr>
      </w:pPr>
      <w:r w:rsidRPr="00F868ED">
        <w:rPr>
          <w:szCs w:val="16"/>
          <w:vertAlign w:val="superscript"/>
        </w:rPr>
        <w:t>(a)</w:t>
      </w:r>
      <w:r w:rsidR="00AD57B3" w:rsidRPr="00F868ED">
        <w:rPr>
          <w:szCs w:val="16"/>
        </w:rPr>
        <w:tab/>
      </w:r>
      <w:r w:rsidRPr="00F868ED">
        <w:rPr>
          <w:szCs w:val="16"/>
        </w:rPr>
        <w:t>See explanation in Portfolio Glossary.</w:t>
      </w:r>
      <w:r w:rsidR="00A516F0" w:rsidRPr="00F868ED">
        <w:rPr>
          <w:szCs w:val="16"/>
        </w:rPr>
        <w:t xml:space="preserve"> </w:t>
      </w:r>
    </w:p>
    <w:p w14:paraId="05531930" w14:textId="77777777" w:rsidR="00FB392F" w:rsidRDefault="00FB392F">
      <w:pPr>
        <w:spacing w:before="0" w:after="0" w:line="240" w:lineRule="auto"/>
        <w:rPr>
          <w:rFonts w:ascii="Arial" w:hAnsi="Arial"/>
          <w:sz w:val="15"/>
          <w:szCs w:val="15"/>
        </w:rPr>
      </w:pPr>
      <w:r>
        <w:rPr>
          <w:sz w:val="15"/>
          <w:szCs w:val="15"/>
        </w:rPr>
        <w:br w:type="page"/>
      </w:r>
    </w:p>
    <w:p w14:paraId="608AF330" w14:textId="1A033A79" w:rsidR="00603F85" w:rsidRPr="00564C0F" w:rsidRDefault="00B4485A" w:rsidP="00603F85">
      <w:pPr>
        <w:pStyle w:val="Heading3"/>
        <w:ind w:right="-156"/>
      </w:pPr>
      <w:r>
        <w:fldChar w:fldCharType="begin"/>
      </w:r>
      <w:r>
        <w:instrText xml:space="preserve"> </w:instrText>
      </w:r>
      <w:proofErr w:type="gramStart"/>
      <w:r>
        <w:instrText>TC  "</w:instrText>
      </w:r>
      <w:bookmarkStart w:id="510" w:name="_Toc157591449"/>
      <w:proofErr w:type="gramEnd"/>
      <w:r>
        <w:instrText>1.5</w:instrText>
      </w:r>
      <w:r>
        <w:tab/>
        <w:instrText>Breakdown of estimates by appropriation bill</w:instrText>
      </w:r>
      <w:bookmarkEnd w:id="510"/>
      <w:r>
        <w:instrText xml:space="preserve">" \f </w:instrText>
      </w:r>
      <w:proofErr w:type="spellStart"/>
      <w:r>
        <w:instrText>ota</w:instrText>
      </w:r>
      <w:proofErr w:type="spellEnd"/>
      <w:r>
        <w:instrText xml:space="preserve"> \l 2 </w:instrText>
      </w:r>
      <w:r>
        <w:fldChar w:fldCharType="end"/>
      </w:r>
      <w:bookmarkStart w:id="511" w:name="_Toc157592028"/>
      <w:bookmarkStart w:id="512" w:name="_Toc157592211"/>
      <w:r w:rsidR="00603F85">
        <w:t>1.5</w:t>
      </w:r>
      <w:r w:rsidR="00603F85">
        <w:tab/>
      </w:r>
      <w:r w:rsidR="00603F85" w:rsidRPr="00564C0F">
        <w:t>Breakdown of additional estimates by appropriation bill</w:t>
      </w:r>
      <w:bookmarkEnd w:id="511"/>
      <w:bookmarkEnd w:id="512"/>
    </w:p>
    <w:p w14:paraId="4DA06C0D" w14:textId="6B91D384" w:rsidR="00603F85" w:rsidRPr="00FA545C" w:rsidRDefault="00603F85" w:rsidP="00603F85">
      <w:pPr>
        <w:rPr>
          <w:sz w:val="20"/>
        </w:rPr>
      </w:pPr>
      <w:r w:rsidRPr="00FA545C">
        <w:rPr>
          <w:sz w:val="20"/>
        </w:rPr>
        <w:t xml:space="preserve">The following tables detail the Additional Estimates sought for OTA through Appropriation Bills </w:t>
      </w:r>
      <w:r w:rsidR="00980AA1">
        <w:rPr>
          <w:sz w:val="20"/>
        </w:rPr>
        <w:t>(</w:t>
      </w:r>
      <w:r w:rsidRPr="00FA545C">
        <w:rPr>
          <w:sz w:val="20"/>
        </w:rPr>
        <w:t>Nos. 3 and 4</w:t>
      </w:r>
      <w:r w:rsidR="00980AA1">
        <w:rPr>
          <w:sz w:val="20"/>
        </w:rPr>
        <w:t>)</w:t>
      </w:r>
      <w:r w:rsidRPr="00FA545C">
        <w:rPr>
          <w:sz w:val="20"/>
        </w:rPr>
        <w:t>.</w:t>
      </w:r>
    </w:p>
    <w:p w14:paraId="1E5E12FB" w14:textId="77777777" w:rsidR="00603F85" w:rsidRDefault="00603F85" w:rsidP="00603F85">
      <w:pPr>
        <w:pStyle w:val="TableHeading"/>
      </w:pPr>
      <w:r>
        <w:t>Table 1.4</w:t>
      </w:r>
      <w:r w:rsidRPr="00564C0F">
        <w:t xml:space="preserve">: Appropriation Bill (No. 3) </w:t>
      </w:r>
      <w:r>
        <w:t>2023–2024</w:t>
      </w:r>
    </w:p>
    <w:tbl>
      <w:tblPr>
        <w:tblW w:w="7744" w:type="dxa"/>
        <w:jc w:val="center"/>
        <w:tblLayout w:type="fixed"/>
        <w:tblLook w:val="04A0" w:firstRow="1" w:lastRow="0" w:firstColumn="1" w:lastColumn="0" w:noHBand="0" w:noVBand="1"/>
      </w:tblPr>
      <w:tblGrid>
        <w:gridCol w:w="2977"/>
        <w:gridCol w:w="1008"/>
        <w:gridCol w:w="913"/>
        <w:gridCol w:w="913"/>
        <w:gridCol w:w="992"/>
        <w:gridCol w:w="941"/>
      </w:tblGrid>
      <w:tr w:rsidR="006B2444" w:rsidRPr="00C47BA9" w14:paraId="525B094F" w14:textId="77777777" w:rsidTr="00F868ED">
        <w:trPr>
          <w:trHeight w:val="543"/>
          <w:jc w:val="center"/>
        </w:trPr>
        <w:tc>
          <w:tcPr>
            <w:tcW w:w="2977" w:type="dxa"/>
            <w:tcBorders>
              <w:top w:val="single" w:sz="4" w:space="0" w:color="000000"/>
              <w:left w:val="nil"/>
              <w:bottom w:val="nil"/>
              <w:right w:val="nil"/>
            </w:tcBorders>
            <w:shd w:val="clear" w:color="auto" w:fill="auto"/>
            <w:noWrap/>
            <w:tcMar>
              <w:left w:w="0" w:type="dxa"/>
            </w:tcMar>
            <w:hideMark/>
          </w:tcPr>
          <w:p w14:paraId="1A0ADC03" w14:textId="2E5903C7" w:rsidR="006B2444" w:rsidRPr="00C47BA9" w:rsidRDefault="006B2444" w:rsidP="00CA6F90">
            <w:pPr>
              <w:spacing w:before="24" w:after="0" w:line="240" w:lineRule="auto"/>
              <w:jc w:val="right"/>
              <w:rPr>
                <w:rFonts w:ascii="Arial" w:hAnsi="Arial" w:cs="Arial"/>
                <w:sz w:val="16"/>
                <w:szCs w:val="16"/>
              </w:rPr>
            </w:pPr>
            <w:r>
              <w:rPr>
                <w:rFonts w:ascii="Arial" w:hAnsi="Arial" w:cs="Arial"/>
                <w:sz w:val="16"/>
                <w:szCs w:val="16"/>
              </w:rPr>
              <w:t> </w:t>
            </w:r>
          </w:p>
        </w:tc>
        <w:tc>
          <w:tcPr>
            <w:tcW w:w="1008" w:type="dxa"/>
            <w:tcBorders>
              <w:top w:val="single" w:sz="4" w:space="0" w:color="000000"/>
              <w:left w:val="nil"/>
              <w:bottom w:val="single" w:sz="4" w:space="0" w:color="000000"/>
              <w:right w:val="nil"/>
            </w:tcBorders>
            <w:shd w:val="clear" w:color="auto" w:fill="auto"/>
            <w:tcMar>
              <w:left w:w="0" w:type="dxa"/>
            </w:tcMar>
            <w:hideMark/>
          </w:tcPr>
          <w:p w14:paraId="2DA714BD" w14:textId="6582F23C" w:rsidR="006B2444" w:rsidRPr="00C47BA9" w:rsidRDefault="00F90108" w:rsidP="00980AA1">
            <w:pPr>
              <w:spacing w:before="24" w:after="0" w:line="240" w:lineRule="auto"/>
              <w:jc w:val="right"/>
              <w:rPr>
                <w:rFonts w:ascii="Arial" w:hAnsi="Arial" w:cs="Arial"/>
                <w:b/>
                <w:bCs/>
                <w:sz w:val="16"/>
                <w:szCs w:val="16"/>
              </w:rPr>
            </w:pPr>
            <w:r>
              <w:rPr>
                <w:rFonts w:ascii="Arial" w:hAnsi="Arial" w:cs="Arial"/>
                <w:b/>
                <w:bCs/>
                <w:sz w:val="16"/>
                <w:szCs w:val="16"/>
              </w:rPr>
              <w:t>2022–</w:t>
            </w:r>
            <w:r w:rsidR="00FB392F">
              <w:rPr>
                <w:rFonts w:ascii="Arial" w:hAnsi="Arial" w:cs="Arial"/>
                <w:b/>
                <w:bCs/>
                <w:sz w:val="16"/>
                <w:szCs w:val="16"/>
              </w:rPr>
              <w:t>23</w:t>
            </w:r>
            <w:r w:rsidR="00FB392F">
              <w:rPr>
                <w:rFonts w:ascii="Arial" w:hAnsi="Arial" w:cs="Arial"/>
                <w:b/>
                <w:bCs/>
                <w:sz w:val="16"/>
                <w:szCs w:val="16"/>
              </w:rPr>
              <w:br/>
              <w:t>Available</w:t>
            </w:r>
            <w:r w:rsidR="00F868ED" w:rsidRPr="00F868ED">
              <w:rPr>
                <w:rFonts w:ascii="Arial" w:hAnsi="Arial" w:cs="Arial"/>
                <w:b/>
                <w:bCs/>
                <w:sz w:val="16"/>
                <w:szCs w:val="16"/>
                <w:vertAlign w:val="superscript"/>
              </w:rPr>
              <w:t>(a)</w:t>
            </w:r>
            <w:r w:rsidR="00FB392F">
              <w:rPr>
                <w:rFonts w:ascii="Arial" w:hAnsi="Arial" w:cs="Arial"/>
                <w:b/>
                <w:bCs/>
                <w:sz w:val="16"/>
                <w:szCs w:val="16"/>
              </w:rPr>
              <w:br/>
            </w:r>
            <w:r w:rsidR="006B2444">
              <w:rPr>
                <w:rFonts w:ascii="Arial" w:hAnsi="Arial" w:cs="Arial"/>
                <w:sz w:val="16"/>
                <w:szCs w:val="16"/>
              </w:rPr>
              <w:t>$'000</w:t>
            </w:r>
          </w:p>
        </w:tc>
        <w:tc>
          <w:tcPr>
            <w:tcW w:w="913" w:type="dxa"/>
            <w:tcBorders>
              <w:top w:val="single" w:sz="4" w:space="0" w:color="000000"/>
              <w:left w:val="nil"/>
              <w:bottom w:val="single" w:sz="4" w:space="0" w:color="000000"/>
              <w:right w:val="nil"/>
            </w:tcBorders>
            <w:shd w:val="clear" w:color="auto" w:fill="auto"/>
            <w:tcMar>
              <w:left w:w="0" w:type="dxa"/>
            </w:tcMar>
            <w:hideMark/>
          </w:tcPr>
          <w:p w14:paraId="7DD37298" w14:textId="507C8F8B" w:rsidR="006B2444" w:rsidRPr="00C47BA9" w:rsidRDefault="00F90108" w:rsidP="00980AA1">
            <w:pPr>
              <w:spacing w:before="24" w:after="0" w:line="240" w:lineRule="auto"/>
              <w:jc w:val="right"/>
              <w:rPr>
                <w:rFonts w:ascii="Arial" w:hAnsi="Arial" w:cs="Arial"/>
                <w:b/>
                <w:bCs/>
                <w:sz w:val="16"/>
                <w:szCs w:val="16"/>
              </w:rPr>
            </w:pPr>
            <w:r>
              <w:rPr>
                <w:rFonts w:ascii="Arial" w:hAnsi="Arial" w:cs="Arial"/>
                <w:b/>
                <w:bCs/>
                <w:sz w:val="16"/>
                <w:szCs w:val="16"/>
              </w:rPr>
              <w:t>2023–</w:t>
            </w:r>
            <w:r w:rsidR="006B2444">
              <w:rPr>
                <w:rFonts w:ascii="Arial" w:hAnsi="Arial" w:cs="Arial"/>
                <w:b/>
                <w:bCs/>
                <w:sz w:val="16"/>
                <w:szCs w:val="16"/>
              </w:rPr>
              <w:t>24</w:t>
            </w:r>
            <w:r w:rsidR="006B2444">
              <w:rPr>
                <w:rFonts w:ascii="Arial" w:hAnsi="Arial" w:cs="Arial"/>
                <w:b/>
                <w:bCs/>
                <w:sz w:val="16"/>
                <w:szCs w:val="16"/>
              </w:rPr>
              <w:br/>
              <w:t>Budget</w:t>
            </w:r>
            <w:r w:rsidR="006B2444">
              <w:rPr>
                <w:rFonts w:ascii="Arial" w:hAnsi="Arial" w:cs="Arial"/>
                <w:b/>
                <w:bCs/>
                <w:sz w:val="16"/>
                <w:szCs w:val="16"/>
              </w:rPr>
              <w:br/>
            </w:r>
            <w:r w:rsidR="006B2444">
              <w:rPr>
                <w:rFonts w:ascii="Arial" w:hAnsi="Arial" w:cs="Arial"/>
                <w:sz w:val="16"/>
                <w:szCs w:val="16"/>
              </w:rPr>
              <w:t>$'000</w:t>
            </w:r>
          </w:p>
        </w:tc>
        <w:tc>
          <w:tcPr>
            <w:tcW w:w="913" w:type="dxa"/>
            <w:tcBorders>
              <w:top w:val="single" w:sz="4" w:space="0" w:color="000000"/>
              <w:left w:val="nil"/>
              <w:bottom w:val="single" w:sz="4" w:space="0" w:color="000000"/>
              <w:right w:val="nil"/>
            </w:tcBorders>
            <w:shd w:val="clear" w:color="auto" w:fill="auto"/>
            <w:tcMar>
              <w:left w:w="0" w:type="dxa"/>
            </w:tcMar>
            <w:hideMark/>
          </w:tcPr>
          <w:p w14:paraId="33E02C8D" w14:textId="3588DB24" w:rsidR="006B2444" w:rsidRPr="00C47BA9" w:rsidRDefault="00F90108" w:rsidP="00980AA1">
            <w:pPr>
              <w:spacing w:before="24" w:after="0" w:line="240" w:lineRule="auto"/>
              <w:jc w:val="right"/>
              <w:rPr>
                <w:rFonts w:ascii="Arial" w:hAnsi="Arial" w:cs="Arial"/>
                <w:b/>
                <w:bCs/>
                <w:sz w:val="16"/>
                <w:szCs w:val="16"/>
              </w:rPr>
            </w:pPr>
            <w:r>
              <w:rPr>
                <w:rFonts w:ascii="Arial" w:hAnsi="Arial" w:cs="Arial"/>
                <w:b/>
                <w:bCs/>
                <w:sz w:val="16"/>
                <w:szCs w:val="16"/>
              </w:rPr>
              <w:t>2023–</w:t>
            </w:r>
            <w:r w:rsidR="006B2444">
              <w:rPr>
                <w:rFonts w:ascii="Arial" w:hAnsi="Arial" w:cs="Arial"/>
                <w:b/>
                <w:bCs/>
                <w:sz w:val="16"/>
                <w:szCs w:val="16"/>
              </w:rPr>
              <w:t>24</w:t>
            </w:r>
            <w:r w:rsidR="006B2444">
              <w:rPr>
                <w:rFonts w:ascii="Arial" w:hAnsi="Arial" w:cs="Arial"/>
                <w:b/>
                <w:bCs/>
                <w:sz w:val="16"/>
                <w:szCs w:val="16"/>
              </w:rPr>
              <w:br/>
              <w:t>Revised</w:t>
            </w:r>
            <w:r w:rsidR="006B2444">
              <w:rPr>
                <w:rFonts w:ascii="Arial" w:hAnsi="Arial" w:cs="Arial"/>
                <w:b/>
                <w:bCs/>
                <w:sz w:val="16"/>
                <w:szCs w:val="16"/>
              </w:rPr>
              <w:br/>
            </w:r>
            <w:r w:rsidR="006B2444">
              <w:rPr>
                <w:rFonts w:ascii="Arial" w:hAnsi="Arial" w:cs="Arial"/>
                <w:sz w:val="16"/>
                <w:szCs w:val="16"/>
              </w:rPr>
              <w:t>$'000</w:t>
            </w:r>
          </w:p>
        </w:tc>
        <w:tc>
          <w:tcPr>
            <w:tcW w:w="992" w:type="dxa"/>
            <w:tcBorders>
              <w:top w:val="single" w:sz="4" w:space="0" w:color="000000"/>
              <w:left w:val="nil"/>
              <w:bottom w:val="single" w:sz="4" w:space="0" w:color="000000"/>
              <w:right w:val="nil"/>
            </w:tcBorders>
            <w:shd w:val="clear" w:color="000000" w:fill="D9D9D9"/>
            <w:tcMar>
              <w:left w:w="0" w:type="dxa"/>
            </w:tcMar>
            <w:hideMark/>
          </w:tcPr>
          <w:p w14:paraId="3A19F677" w14:textId="580FB8D5" w:rsidR="006B2444" w:rsidRPr="00C47BA9" w:rsidRDefault="006B2444" w:rsidP="00980AA1">
            <w:pPr>
              <w:spacing w:before="24" w:after="0" w:line="240" w:lineRule="auto"/>
              <w:jc w:val="right"/>
              <w:rPr>
                <w:rFonts w:ascii="Arial" w:hAnsi="Arial" w:cs="Arial"/>
                <w:b/>
                <w:bCs/>
                <w:sz w:val="16"/>
                <w:szCs w:val="16"/>
              </w:rPr>
            </w:pPr>
            <w:r>
              <w:rPr>
                <w:rFonts w:ascii="Arial" w:hAnsi="Arial" w:cs="Arial"/>
                <w:b/>
                <w:bCs/>
                <w:sz w:val="16"/>
                <w:szCs w:val="16"/>
              </w:rPr>
              <w:t>Additional</w:t>
            </w:r>
            <w:r>
              <w:rPr>
                <w:rFonts w:ascii="Arial" w:hAnsi="Arial" w:cs="Arial"/>
                <w:b/>
                <w:bCs/>
                <w:sz w:val="16"/>
                <w:szCs w:val="16"/>
              </w:rPr>
              <w:br/>
              <w:t>Estimates</w:t>
            </w:r>
            <w:r>
              <w:rPr>
                <w:rFonts w:ascii="Arial" w:hAnsi="Arial" w:cs="Arial"/>
                <w:b/>
                <w:bCs/>
                <w:sz w:val="16"/>
                <w:szCs w:val="16"/>
              </w:rPr>
              <w:br/>
            </w:r>
            <w:r>
              <w:rPr>
                <w:rFonts w:ascii="Arial" w:hAnsi="Arial" w:cs="Arial"/>
                <w:sz w:val="16"/>
                <w:szCs w:val="16"/>
              </w:rPr>
              <w:t>$'000</w:t>
            </w:r>
          </w:p>
        </w:tc>
        <w:tc>
          <w:tcPr>
            <w:tcW w:w="941" w:type="dxa"/>
            <w:tcBorders>
              <w:top w:val="single" w:sz="4" w:space="0" w:color="000000"/>
              <w:left w:val="nil"/>
              <w:bottom w:val="single" w:sz="4" w:space="0" w:color="000000"/>
              <w:right w:val="nil"/>
            </w:tcBorders>
            <w:shd w:val="clear" w:color="auto" w:fill="auto"/>
            <w:tcMar>
              <w:left w:w="0" w:type="dxa"/>
            </w:tcMar>
            <w:hideMark/>
          </w:tcPr>
          <w:p w14:paraId="1110F386" w14:textId="77117EB8" w:rsidR="006B2444" w:rsidRPr="00C47BA9" w:rsidRDefault="006B2444" w:rsidP="00980AA1">
            <w:pPr>
              <w:spacing w:before="24" w:after="0" w:line="240" w:lineRule="auto"/>
              <w:jc w:val="right"/>
              <w:rPr>
                <w:rFonts w:ascii="Arial" w:hAnsi="Arial" w:cs="Arial"/>
                <w:b/>
                <w:bCs/>
                <w:sz w:val="16"/>
                <w:szCs w:val="16"/>
              </w:rPr>
            </w:pPr>
            <w:r>
              <w:rPr>
                <w:rFonts w:ascii="Arial" w:hAnsi="Arial" w:cs="Arial"/>
                <w:b/>
                <w:bCs/>
                <w:sz w:val="16"/>
                <w:szCs w:val="16"/>
              </w:rPr>
              <w:t>Reduced</w:t>
            </w:r>
            <w:r>
              <w:rPr>
                <w:rFonts w:ascii="Arial" w:hAnsi="Arial" w:cs="Arial"/>
                <w:b/>
                <w:bCs/>
                <w:sz w:val="16"/>
                <w:szCs w:val="16"/>
              </w:rPr>
              <w:br/>
              <w:t>Estimates</w:t>
            </w:r>
            <w:r>
              <w:rPr>
                <w:rFonts w:ascii="Arial" w:hAnsi="Arial" w:cs="Arial"/>
                <w:b/>
                <w:bCs/>
                <w:sz w:val="16"/>
                <w:szCs w:val="16"/>
              </w:rPr>
              <w:br/>
            </w:r>
            <w:r>
              <w:rPr>
                <w:rFonts w:ascii="Arial" w:hAnsi="Arial" w:cs="Arial"/>
                <w:sz w:val="16"/>
                <w:szCs w:val="16"/>
              </w:rPr>
              <w:t>$'000</w:t>
            </w:r>
          </w:p>
        </w:tc>
      </w:tr>
      <w:tr w:rsidR="006B2444" w:rsidRPr="00C47BA9" w14:paraId="40957D93" w14:textId="77777777" w:rsidTr="00F868ED">
        <w:trPr>
          <w:trHeight w:val="283"/>
          <w:jc w:val="center"/>
        </w:trPr>
        <w:tc>
          <w:tcPr>
            <w:tcW w:w="2977" w:type="dxa"/>
            <w:tcBorders>
              <w:top w:val="nil"/>
              <w:left w:val="nil"/>
              <w:bottom w:val="nil"/>
              <w:right w:val="nil"/>
            </w:tcBorders>
            <w:shd w:val="clear" w:color="auto" w:fill="auto"/>
            <w:noWrap/>
            <w:vAlign w:val="bottom"/>
            <w:hideMark/>
          </w:tcPr>
          <w:p w14:paraId="09810D4B" w14:textId="0B891A8C" w:rsidR="006B2444" w:rsidRPr="00C47BA9" w:rsidRDefault="006B2444" w:rsidP="006B2444">
            <w:pPr>
              <w:spacing w:before="0" w:after="0" w:line="240" w:lineRule="auto"/>
              <w:rPr>
                <w:rFonts w:ascii="Arial" w:hAnsi="Arial" w:cs="Arial"/>
                <w:b/>
                <w:bCs/>
                <w:sz w:val="16"/>
                <w:szCs w:val="16"/>
              </w:rPr>
            </w:pPr>
            <w:r>
              <w:rPr>
                <w:rFonts w:ascii="Arial" w:hAnsi="Arial" w:cs="Arial"/>
                <w:b/>
                <w:bCs/>
                <w:sz w:val="16"/>
                <w:szCs w:val="16"/>
              </w:rPr>
              <w:t>Outcome 1</w:t>
            </w:r>
          </w:p>
        </w:tc>
        <w:tc>
          <w:tcPr>
            <w:tcW w:w="1008" w:type="dxa"/>
            <w:tcBorders>
              <w:top w:val="nil"/>
              <w:left w:val="nil"/>
              <w:bottom w:val="nil"/>
              <w:right w:val="nil"/>
            </w:tcBorders>
            <w:shd w:val="clear" w:color="auto" w:fill="auto"/>
            <w:noWrap/>
            <w:vAlign w:val="bottom"/>
            <w:hideMark/>
          </w:tcPr>
          <w:p w14:paraId="36E7B7CF" w14:textId="77777777" w:rsidR="006B2444" w:rsidRPr="00C47BA9" w:rsidRDefault="006B2444" w:rsidP="006B2444">
            <w:pPr>
              <w:spacing w:before="0" w:after="0" w:line="240" w:lineRule="auto"/>
              <w:rPr>
                <w:rFonts w:ascii="Arial" w:hAnsi="Arial" w:cs="Arial"/>
                <w:b/>
                <w:bCs/>
                <w:sz w:val="16"/>
                <w:szCs w:val="16"/>
              </w:rPr>
            </w:pPr>
          </w:p>
        </w:tc>
        <w:tc>
          <w:tcPr>
            <w:tcW w:w="913" w:type="dxa"/>
            <w:tcBorders>
              <w:top w:val="nil"/>
              <w:left w:val="nil"/>
              <w:bottom w:val="nil"/>
              <w:right w:val="nil"/>
            </w:tcBorders>
            <w:shd w:val="clear" w:color="auto" w:fill="auto"/>
            <w:noWrap/>
            <w:vAlign w:val="bottom"/>
            <w:hideMark/>
          </w:tcPr>
          <w:p w14:paraId="72835790" w14:textId="77777777" w:rsidR="006B2444" w:rsidRPr="00C47BA9" w:rsidRDefault="006B2444" w:rsidP="006B2444">
            <w:pPr>
              <w:spacing w:before="0" w:after="0" w:line="240" w:lineRule="auto"/>
              <w:jc w:val="right"/>
              <w:rPr>
                <w:rFonts w:ascii="Times New Roman" w:hAnsi="Times New Roman"/>
                <w:sz w:val="20"/>
              </w:rPr>
            </w:pPr>
          </w:p>
        </w:tc>
        <w:tc>
          <w:tcPr>
            <w:tcW w:w="913" w:type="dxa"/>
            <w:tcBorders>
              <w:top w:val="nil"/>
              <w:left w:val="nil"/>
              <w:bottom w:val="nil"/>
              <w:right w:val="nil"/>
            </w:tcBorders>
            <w:shd w:val="clear" w:color="auto" w:fill="auto"/>
            <w:noWrap/>
            <w:vAlign w:val="bottom"/>
            <w:hideMark/>
          </w:tcPr>
          <w:p w14:paraId="33C32793" w14:textId="77777777" w:rsidR="006B2444" w:rsidRPr="00C47BA9" w:rsidRDefault="006B2444" w:rsidP="006B2444">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60D1FA68" w14:textId="22775B20"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w:t>
            </w:r>
          </w:p>
        </w:tc>
        <w:tc>
          <w:tcPr>
            <w:tcW w:w="941" w:type="dxa"/>
            <w:tcBorders>
              <w:top w:val="nil"/>
              <w:left w:val="nil"/>
              <w:bottom w:val="nil"/>
              <w:right w:val="nil"/>
            </w:tcBorders>
            <w:shd w:val="clear" w:color="auto" w:fill="auto"/>
            <w:noWrap/>
            <w:vAlign w:val="bottom"/>
            <w:hideMark/>
          </w:tcPr>
          <w:p w14:paraId="728056F9" w14:textId="77777777" w:rsidR="006B2444" w:rsidRPr="00C47BA9" w:rsidRDefault="006B2444" w:rsidP="006B2444">
            <w:pPr>
              <w:spacing w:before="0" w:after="0" w:line="240" w:lineRule="auto"/>
              <w:jc w:val="right"/>
              <w:rPr>
                <w:rFonts w:ascii="Arial" w:hAnsi="Arial" w:cs="Arial"/>
                <w:sz w:val="16"/>
                <w:szCs w:val="16"/>
              </w:rPr>
            </w:pPr>
          </w:p>
        </w:tc>
      </w:tr>
      <w:tr w:rsidR="006B2444" w:rsidRPr="00C47BA9" w14:paraId="456C800D" w14:textId="77777777" w:rsidTr="00F868ED">
        <w:trPr>
          <w:trHeight w:val="595"/>
          <w:jc w:val="center"/>
        </w:trPr>
        <w:tc>
          <w:tcPr>
            <w:tcW w:w="2977" w:type="dxa"/>
            <w:tcBorders>
              <w:top w:val="nil"/>
              <w:left w:val="nil"/>
              <w:bottom w:val="nil"/>
              <w:right w:val="nil"/>
            </w:tcBorders>
            <w:shd w:val="clear" w:color="auto" w:fill="auto"/>
            <w:vAlign w:val="bottom"/>
            <w:hideMark/>
          </w:tcPr>
          <w:p w14:paraId="41FF58A1" w14:textId="1D00038D" w:rsidR="006B2444" w:rsidRPr="00C47BA9" w:rsidRDefault="006B2444" w:rsidP="006B2444">
            <w:pPr>
              <w:spacing w:before="0" w:after="0" w:line="240" w:lineRule="auto"/>
              <w:ind w:leftChars="75" w:left="143"/>
              <w:rPr>
                <w:rFonts w:ascii="Arial" w:hAnsi="Arial" w:cs="Arial"/>
                <w:sz w:val="16"/>
                <w:szCs w:val="16"/>
              </w:rPr>
            </w:pPr>
            <w:r>
              <w:rPr>
                <w:rFonts w:ascii="Arial" w:hAnsi="Arial" w:cs="Arial"/>
                <w:sz w:val="16"/>
                <w:szCs w:val="16"/>
              </w:rPr>
              <w:t>Improved access to organ and tissue transplants, including through a nationally coordinated and consistent approach and system.</w:t>
            </w:r>
          </w:p>
        </w:tc>
        <w:tc>
          <w:tcPr>
            <w:tcW w:w="1008" w:type="dxa"/>
            <w:tcBorders>
              <w:top w:val="nil"/>
              <w:left w:val="nil"/>
              <w:bottom w:val="nil"/>
              <w:right w:val="nil"/>
            </w:tcBorders>
            <w:shd w:val="clear" w:color="auto" w:fill="auto"/>
            <w:noWrap/>
            <w:vAlign w:val="bottom"/>
            <w:hideMark/>
          </w:tcPr>
          <w:p w14:paraId="7BF7E55D" w14:textId="77777777" w:rsidR="006B2444" w:rsidRPr="00C47BA9" w:rsidRDefault="006B2444" w:rsidP="006B2444">
            <w:pPr>
              <w:spacing w:before="0" w:after="0" w:line="240" w:lineRule="auto"/>
              <w:ind w:firstLineChars="200" w:firstLine="320"/>
              <w:rPr>
                <w:rFonts w:ascii="Arial" w:hAnsi="Arial" w:cs="Arial"/>
                <w:sz w:val="16"/>
                <w:szCs w:val="16"/>
              </w:rPr>
            </w:pPr>
          </w:p>
        </w:tc>
        <w:tc>
          <w:tcPr>
            <w:tcW w:w="913" w:type="dxa"/>
            <w:tcBorders>
              <w:top w:val="nil"/>
              <w:left w:val="nil"/>
              <w:bottom w:val="nil"/>
              <w:right w:val="nil"/>
            </w:tcBorders>
            <w:shd w:val="clear" w:color="auto" w:fill="auto"/>
            <w:noWrap/>
            <w:vAlign w:val="bottom"/>
            <w:hideMark/>
          </w:tcPr>
          <w:p w14:paraId="7027088F" w14:textId="77777777" w:rsidR="006B2444" w:rsidRPr="00C47BA9" w:rsidRDefault="006B2444" w:rsidP="006B2444">
            <w:pPr>
              <w:spacing w:before="0" w:after="0" w:line="240" w:lineRule="auto"/>
              <w:jc w:val="right"/>
              <w:rPr>
                <w:rFonts w:ascii="Times New Roman" w:hAnsi="Times New Roman"/>
                <w:sz w:val="20"/>
              </w:rPr>
            </w:pPr>
          </w:p>
        </w:tc>
        <w:tc>
          <w:tcPr>
            <w:tcW w:w="913" w:type="dxa"/>
            <w:tcBorders>
              <w:top w:val="nil"/>
              <w:left w:val="nil"/>
              <w:bottom w:val="nil"/>
              <w:right w:val="nil"/>
            </w:tcBorders>
            <w:shd w:val="clear" w:color="auto" w:fill="auto"/>
            <w:noWrap/>
            <w:vAlign w:val="bottom"/>
            <w:hideMark/>
          </w:tcPr>
          <w:p w14:paraId="248045D2" w14:textId="77777777" w:rsidR="006B2444" w:rsidRPr="00C47BA9" w:rsidRDefault="006B2444" w:rsidP="006B2444">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000000" w:fill="D9D9D9"/>
            <w:noWrap/>
            <w:vAlign w:val="bottom"/>
            <w:hideMark/>
          </w:tcPr>
          <w:p w14:paraId="6803441B" w14:textId="005C811E"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w:t>
            </w:r>
          </w:p>
        </w:tc>
        <w:tc>
          <w:tcPr>
            <w:tcW w:w="941" w:type="dxa"/>
            <w:tcBorders>
              <w:top w:val="nil"/>
              <w:left w:val="nil"/>
              <w:bottom w:val="nil"/>
              <w:right w:val="nil"/>
            </w:tcBorders>
            <w:shd w:val="clear" w:color="auto" w:fill="auto"/>
            <w:noWrap/>
            <w:vAlign w:val="bottom"/>
            <w:hideMark/>
          </w:tcPr>
          <w:p w14:paraId="6058B033" w14:textId="77777777" w:rsidR="006B2444" w:rsidRPr="00C47BA9" w:rsidRDefault="006B2444" w:rsidP="006B2444">
            <w:pPr>
              <w:spacing w:before="0" w:after="0" w:line="240" w:lineRule="auto"/>
              <w:jc w:val="right"/>
              <w:rPr>
                <w:rFonts w:ascii="Arial" w:hAnsi="Arial" w:cs="Arial"/>
                <w:sz w:val="16"/>
                <w:szCs w:val="16"/>
              </w:rPr>
            </w:pPr>
          </w:p>
        </w:tc>
      </w:tr>
      <w:tr w:rsidR="006B2444" w:rsidRPr="00C47BA9" w14:paraId="2070DC62" w14:textId="77777777" w:rsidTr="00F868ED">
        <w:trPr>
          <w:trHeight w:val="227"/>
          <w:jc w:val="center"/>
        </w:trPr>
        <w:tc>
          <w:tcPr>
            <w:tcW w:w="2977" w:type="dxa"/>
            <w:tcBorders>
              <w:top w:val="nil"/>
              <w:left w:val="nil"/>
              <w:bottom w:val="nil"/>
              <w:right w:val="nil"/>
            </w:tcBorders>
            <w:shd w:val="clear" w:color="auto" w:fill="auto"/>
            <w:vAlign w:val="bottom"/>
            <w:hideMark/>
          </w:tcPr>
          <w:p w14:paraId="131398BD" w14:textId="6920BF04" w:rsidR="006B2444" w:rsidRPr="00C47BA9" w:rsidRDefault="006B2444" w:rsidP="006B2444">
            <w:pPr>
              <w:spacing w:before="0" w:after="0" w:line="240" w:lineRule="auto"/>
              <w:ind w:firstLineChars="300" w:firstLine="480"/>
              <w:rPr>
                <w:rFonts w:ascii="Arial" w:hAnsi="Arial" w:cs="Arial"/>
                <w:sz w:val="16"/>
                <w:szCs w:val="16"/>
              </w:rPr>
            </w:pPr>
            <w:r>
              <w:rPr>
                <w:rFonts w:ascii="Arial" w:hAnsi="Arial" w:cs="Arial"/>
                <w:sz w:val="16"/>
                <w:szCs w:val="16"/>
              </w:rPr>
              <w:t xml:space="preserve">Departmental </w:t>
            </w:r>
          </w:p>
        </w:tc>
        <w:tc>
          <w:tcPr>
            <w:tcW w:w="1008" w:type="dxa"/>
            <w:tcBorders>
              <w:top w:val="nil"/>
              <w:left w:val="nil"/>
              <w:bottom w:val="single" w:sz="4" w:space="0" w:color="auto"/>
              <w:right w:val="nil"/>
            </w:tcBorders>
            <w:shd w:val="clear" w:color="auto" w:fill="auto"/>
            <w:noWrap/>
            <w:vAlign w:val="bottom"/>
            <w:hideMark/>
          </w:tcPr>
          <w:p w14:paraId="71D748EC" w14:textId="29D9697C"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6,458 </w:t>
            </w:r>
          </w:p>
        </w:tc>
        <w:tc>
          <w:tcPr>
            <w:tcW w:w="913" w:type="dxa"/>
            <w:tcBorders>
              <w:top w:val="nil"/>
              <w:left w:val="nil"/>
              <w:bottom w:val="single" w:sz="4" w:space="0" w:color="auto"/>
              <w:right w:val="nil"/>
            </w:tcBorders>
            <w:shd w:val="clear" w:color="auto" w:fill="auto"/>
            <w:noWrap/>
            <w:vAlign w:val="bottom"/>
            <w:hideMark/>
          </w:tcPr>
          <w:p w14:paraId="6B1583C3" w14:textId="5296DA9F"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6,537 </w:t>
            </w:r>
          </w:p>
        </w:tc>
        <w:tc>
          <w:tcPr>
            <w:tcW w:w="913" w:type="dxa"/>
            <w:tcBorders>
              <w:top w:val="nil"/>
              <w:left w:val="nil"/>
              <w:bottom w:val="single" w:sz="4" w:space="0" w:color="auto"/>
              <w:right w:val="nil"/>
            </w:tcBorders>
            <w:shd w:val="clear" w:color="auto" w:fill="auto"/>
            <w:noWrap/>
            <w:vAlign w:val="bottom"/>
            <w:hideMark/>
          </w:tcPr>
          <w:p w14:paraId="336CBDC3" w14:textId="494B08CE"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7,037 </w:t>
            </w:r>
          </w:p>
        </w:tc>
        <w:tc>
          <w:tcPr>
            <w:tcW w:w="992" w:type="dxa"/>
            <w:tcBorders>
              <w:top w:val="nil"/>
              <w:left w:val="nil"/>
              <w:bottom w:val="single" w:sz="4" w:space="0" w:color="auto"/>
              <w:right w:val="nil"/>
            </w:tcBorders>
            <w:shd w:val="clear" w:color="000000" w:fill="D9D9D9"/>
            <w:noWrap/>
            <w:vAlign w:val="bottom"/>
            <w:hideMark/>
          </w:tcPr>
          <w:p w14:paraId="6DB8A74C" w14:textId="5DA609E0"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500 </w:t>
            </w:r>
          </w:p>
        </w:tc>
        <w:tc>
          <w:tcPr>
            <w:tcW w:w="941" w:type="dxa"/>
            <w:tcBorders>
              <w:top w:val="nil"/>
              <w:left w:val="nil"/>
              <w:bottom w:val="single" w:sz="4" w:space="0" w:color="auto"/>
              <w:right w:val="nil"/>
            </w:tcBorders>
            <w:shd w:val="clear" w:color="auto" w:fill="auto"/>
            <w:noWrap/>
            <w:vAlign w:val="bottom"/>
            <w:hideMark/>
          </w:tcPr>
          <w:p w14:paraId="5FF6F70F" w14:textId="3168C491"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 </w:t>
            </w:r>
          </w:p>
        </w:tc>
      </w:tr>
      <w:tr w:rsidR="006B2444" w:rsidRPr="00C47BA9" w14:paraId="57EB341B" w14:textId="77777777" w:rsidTr="00F868ED">
        <w:trPr>
          <w:trHeight w:val="283"/>
          <w:jc w:val="center"/>
        </w:trPr>
        <w:tc>
          <w:tcPr>
            <w:tcW w:w="2977" w:type="dxa"/>
            <w:tcBorders>
              <w:top w:val="nil"/>
              <w:left w:val="nil"/>
              <w:bottom w:val="nil"/>
              <w:right w:val="nil"/>
            </w:tcBorders>
            <w:shd w:val="clear" w:color="auto" w:fill="auto"/>
            <w:noWrap/>
            <w:vAlign w:val="bottom"/>
            <w:hideMark/>
          </w:tcPr>
          <w:p w14:paraId="049C633A" w14:textId="6ECC8D8D" w:rsidR="006B2444" w:rsidRPr="00C47BA9" w:rsidRDefault="006B2444" w:rsidP="006B2444">
            <w:pPr>
              <w:spacing w:before="0" w:after="0" w:line="240" w:lineRule="auto"/>
              <w:ind w:firstLineChars="300" w:firstLine="480"/>
              <w:rPr>
                <w:rFonts w:ascii="Arial" w:hAnsi="Arial" w:cs="Arial"/>
                <w:sz w:val="16"/>
                <w:szCs w:val="16"/>
              </w:rPr>
            </w:pPr>
            <w:r>
              <w:rPr>
                <w:rFonts w:ascii="Arial" w:hAnsi="Arial" w:cs="Arial"/>
                <w:sz w:val="16"/>
                <w:szCs w:val="16"/>
              </w:rPr>
              <w:t>Administered</w:t>
            </w:r>
          </w:p>
        </w:tc>
        <w:tc>
          <w:tcPr>
            <w:tcW w:w="1008" w:type="dxa"/>
            <w:tcBorders>
              <w:top w:val="nil"/>
              <w:left w:val="nil"/>
              <w:bottom w:val="single" w:sz="4" w:space="0" w:color="auto"/>
              <w:right w:val="nil"/>
            </w:tcBorders>
            <w:shd w:val="clear" w:color="auto" w:fill="auto"/>
            <w:noWrap/>
            <w:vAlign w:val="bottom"/>
            <w:hideMark/>
          </w:tcPr>
          <w:p w14:paraId="7E9757CC" w14:textId="3A4E39AD"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49,131 </w:t>
            </w:r>
          </w:p>
        </w:tc>
        <w:tc>
          <w:tcPr>
            <w:tcW w:w="913" w:type="dxa"/>
            <w:tcBorders>
              <w:top w:val="nil"/>
              <w:left w:val="nil"/>
              <w:bottom w:val="single" w:sz="4" w:space="0" w:color="auto"/>
              <w:right w:val="nil"/>
            </w:tcBorders>
            <w:shd w:val="clear" w:color="auto" w:fill="auto"/>
            <w:noWrap/>
            <w:vAlign w:val="bottom"/>
            <w:hideMark/>
          </w:tcPr>
          <w:p w14:paraId="0F102200" w14:textId="48463EEE"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51,566 </w:t>
            </w:r>
          </w:p>
        </w:tc>
        <w:tc>
          <w:tcPr>
            <w:tcW w:w="913" w:type="dxa"/>
            <w:tcBorders>
              <w:top w:val="nil"/>
              <w:left w:val="nil"/>
              <w:bottom w:val="single" w:sz="4" w:space="0" w:color="auto"/>
              <w:right w:val="nil"/>
            </w:tcBorders>
            <w:shd w:val="clear" w:color="auto" w:fill="auto"/>
            <w:noWrap/>
            <w:vAlign w:val="bottom"/>
            <w:hideMark/>
          </w:tcPr>
          <w:p w14:paraId="78F51B42" w14:textId="09E438AD"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51,066 </w:t>
            </w:r>
          </w:p>
        </w:tc>
        <w:tc>
          <w:tcPr>
            <w:tcW w:w="992" w:type="dxa"/>
            <w:tcBorders>
              <w:top w:val="nil"/>
              <w:left w:val="nil"/>
              <w:bottom w:val="single" w:sz="4" w:space="0" w:color="auto"/>
              <w:right w:val="nil"/>
            </w:tcBorders>
            <w:shd w:val="clear" w:color="000000" w:fill="D9D9D9"/>
            <w:noWrap/>
            <w:vAlign w:val="bottom"/>
            <w:hideMark/>
          </w:tcPr>
          <w:p w14:paraId="6E23BB32" w14:textId="3FF01CBA"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 xml:space="preserve">- </w:t>
            </w:r>
          </w:p>
        </w:tc>
        <w:tc>
          <w:tcPr>
            <w:tcW w:w="941" w:type="dxa"/>
            <w:tcBorders>
              <w:top w:val="nil"/>
              <w:left w:val="nil"/>
              <w:bottom w:val="single" w:sz="4" w:space="0" w:color="auto"/>
              <w:right w:val="nil"/>
            </w:tcBorders>
            <w:shd w:val="clear" w:color="auto" w:fill="auto"/>
            <w:noWrap/>
            <w:vAlign w:val="bottom"/>
            <w:hideMark/>
          </w:tcPr>
          <w:p w14:paraId="6BD14FB1" w14:textId="5F846AD8" w:rsidR="006B2444" w:rsidRPr="00C47BA9" w:rsidRDefault="006B2444" w:rsidP="006B2444">
            <w:pPr>
              <w:spacing w:before="0" w:after="0" w:line="240" w:lineRule="auto"/>
              <w:jc w:val="right"/>
              <w:rPr>
                <w:rFonts w:ascii="Arial" w:hAnsi="Arial" w:cs="Arial"/>
                <w:sz w:val="16"/>
                <w:szCs w:val="16"/>
              </w:rPr>
            </w:pPr>
            <w:r>
              <w:rPr>
                <w:rFonts w:ascii="Arial" w:hAnsi="Arial" w:cs="Arial"/>
                <w:sz w:val="16"/>
                <w:szCs w:val="16"/>
              </w:rPr>
              <w:t>(500)</w:t>
            </w:r>
          </w:p>
        </w:tc>
      </w:tr>
      <w:tr w:rsidR="006B2444" w:rsidRPr="00C47BA9" w14:paraId="47525189" w14:textId="77777777" w:rsidTr="00F868ED">
        <w:trPr>
          <w:trHeight w:val="454"/>
          <w:jc w:val="center"/>
        </w:trPr>
        <w:tc>
          <w:tcPr>
            <w:tcW w:w="2977" w:type="dxa"/>
            <w:tcBorders>
              <w:top w:val="nil"/>
              <w:left w:val="nil"/>
              <w:bottom w:val="single" w:sz="4" w:space="0" w:color="auto"/>
              <w:right w:val="nil"/>
            </w:tcBorders>
            <w:shd w:val="clear" w:color="auto" w:fill="auto"/>
            <w:vAlign w:val="bottom"/>
            <w:hideMark/>
          </w:tcPr>
          <w:p w14:paraId="56B42F37" w14:textId="2FEF751E" w:rsidR="006B2444" w:rsidRPr="00C47BA9" w:rsidRDefault="006B2444" w:rsidP="006B2444">
            <w:pPr>
              <w:spacing w:before="0" w:after="0" w:line="240" w:lineRule="auto"/>
              <w:rPr>
                <w:rFonts w:ascii="Arial" w:hAnsi="Arial" w:cs="Arial"/>
                <w:b/>
                <w:bCs/>
                <w:sz w:val="16"/>
                <w:szCs w:val="16"/>
              </w:rPr>
            </w:pPr>
            <w:r>
              <w:rPr>
                <w:rFonts w:ascii="Arial" w:hAnsi="Arial" w:cs="Arial"/>
                <w:b/>
                <w:bCs/>
                <w:sz w:val="16"/>
                <w:szCs w:val="16"/>
              </w:rPr>
              <w:t>Total appropriation administered and departmental Bill (No. 3)</w:t>
            </w:r>
          </w:p>
        </w:tc>
        <w:tc>
          <w:tcPr>
            <w:tcW w:w="1008" w:type="dxa"/>
            <w:tcBorders>
              <w:top w:val="nil"/>
              <w:left w:val="nil"/>
              <w:bottom w:val="single" w:sz="4" w:space="0" w:color="auto"/>
              <w:right w:val="nil"/>
            </w:tcBorders>
            <w:shd w:val="clear" w:color="auto" w:fill="auto"/>
            <w:noWrap/>
            <w:vAlign w:val="bottom"/>
            <w:hideMark/>
          </w:tcPr>
          <w:p w14:paraId="59842785" w14:textId="385A96D2" w:rsidR="006B2444" w:rsidRPr="00C47BA9" w:rsidRDefault="006B2444" w:rsidP="006B2444">
            <w:pPr>
              <w:spacing w:before="0" w:after="0" w:line="240" w:lineRule="auto"/>
              <w:jc w:val="right"/>
              <w:rPr>
                <w:rFonts w:ascii="Arial" w:hAnsi="Arial" w:cs="Arial"/>
                <w:b/>
                <w:bCs/>
                <w:sz w:val="16"/>
                <w:szCs w:val="16"/>
              </w:rPr>
            </w:pPr>
            <w:r>
              <w:rPr>
                <w:rFonts w:ascii="Arial" w:hAnsi="Arial" w:cs="Arial"/>
                <w:b/>
                <w:bCs/>
                <w:sz w:val="16"/>
                <w:szCs w:val="16"/>
              </w:rPr>
              <w:t xml:space="preserve">55,589 </w:t>
            </w:r>
          </w:p>
        </w:tc>
        <w:tc>
          <w:tcPr>
            <w:tcW w:w="913" w:type="dxa"/>
            <w:tcBorders>
              <w:top w:val="nil"/>
              <w:left w:val="nil"/>
              <w:bottom w:val="single" w:sz="4" w:space="0" w:color="auto"/>
              <w:right w:val="nil"/>
            </w:tcBorders>
            <w:shd w:val="clear" w:color="auto" w:fill="auto"/>
            <w:noWrap/>
            <w:vAlign w:val="bottom"/>
            <w:hideMark/>
          </w:tcPr>
          <w:p w14:paraId="3DED11A7" w14:textId="1538B610" w:rsidR="006B2444" w:rsidRPr="00C47BA9" w:rsidRDefault="006B2444" w:rsidP="006B2444">
            <w:pPr>
              <w:spacing w:before="0" w:after="0" w:line="240" w:lineRule="auto"/>
              <w:jc w:val="right"/>
              <w:rPr>
                <w:rFonts w:ascii="Arial" w:hAnsi="Arial" w:cs="Arial"/>
                <w:b/>
                <w:bCs/>
                <w:sz w:val="16"/>
                <w:szCs w:val="16"/>
              </w:rPr>
            </w:pPr>
            <w:r>
              <w:rPr>
                <w:rFonts w:ascii="Arial" w:hAnsi="Arial" w:cs="Arial"/>
                <w:b/>
                <w:bCs/>
                <w:sz w:val="16"/>
                <w:szCs w:val="16"/>
              </w:rPr>
              <w:t xml:space="preserve">58,103 </w:t>
            </w:r>
          </w:p>
        </w:tc>
        <w:tc>
          <w:tcPr>
            <w:tcW w:w="913" w:type="dxa"/>
            <w:tcBorders>
              <w:top w:val="nil"/>
              <w:left w:val="nil"/>
              <w:bottom w:val="single" w:sz="4" w:space="0" w:color="auto"/>
              <w:right w:val="nil"/>
            </w:tcBorders>
            <w:shd w:val="clear" w:color="auto" w:fill="auto"/>
            <w:noWrap/>
            <w:vAlign w:val="bottom"/>
            <w:hideMark/>
          </w:tcPr>
          <w:p w14:paraId="4ACB0291" w14:textId="026ABE50" w:rsidR="006B2444" w:rsidRPr="00C47BA9" w:rsidRDefault="006B2444" w:rsidP="006B2444">
            <w:pPr>
              <w:spacing w:before="0" w:after="0" w:line="240" w:lineRule="auto"/>
              <w:jc w:val="right"/>
              <w:rPr>
                <w:rFonts w:ascii="Arial" w:hAnsi="Arial" w:cs="Arial"/>
                <w:b/>
                <w:bCs/>
                <w:sz w:val="16"/>
                <w:szCs w:val="16"/>
              </w:rPr>
            </w:pPr>
            <w:r>
              <w:rPr>
                <w:rFonts w:ascii="Arial" w:hAnsi="Arial" w:cs="Arial"/>
                <w:b/>
                <w:bCs/>
                <w:sz w:val="16"/>
                <w:szCs w:val="16"/>
              </w:rPr>
              <w:t xml:space="preserve">58,103 </w:t>
            </w:r>
          </w:p>
        </w:tc>
        <w:tc>
          <w:tcPr>
            <w:tcW w:w="992" w:type="dxa"/>
            <w:tcBorders>
              <w:top w:val="nil"/>
              <w:left w:val="nil"/>
              <w:bottom w:val="single" w:sz="4" w:space="0" w:color="auto"/>
              <w:right w:val="nil"/>
            </w:tcBorders>
            <w:shd w:val="clear" w:color="000000" w:fill="D9D9D9"/>
            <w:noWrap/>
            <w:vAlign w:val="bottom"/>
            <w:hideMark/>
          </w:tcPr>
          <w:p w14:paraId="692E58C7" w14:textId="13995A73" w:rsidR="006B2444" w:rsidRPr="00C47BA9" w:rsidRDefault="006B2444" w:rsidP="006B2444">
            <w:pPr>
              <w:spacing w:before="0" w:after="0" w:line="240" w:lineRule="auto"/>
              <w:jc w:val="right"/>
              <w:rPr>
                <w:rFonts w:ascii="Arial" w:hAnsi="Arial" w:cs="Arial"/>
                <w:b/>
                <w:bCs/>
                <w:sz w:val="16"/>
                <w:szCs w:val="16"/>
              </w:rPr>
            </w:pPr>
            <w:r>
              <w:rPr>
                <w:rFonts w:ascii="Arial" w:hAnsi="Arial" w:cs="Arial"/>
                <w:b/>
                <w:bCs/>
                <w:sz w:val="16"/>
                <w:szCs w:val="16"/>
              </w:rPr>
              <w:t xml:space="preserve">500 </w:t>
            </w:r>
          </w:p>
        </w:tc>
        <w:tc>
          <w:tcPr>
            <w:tcW w:w="941" w:type="dxa"/>
            <w:tcBorders>
              <w:top w:val="nil"/>
              <w:left w:val="nil"/>
              <w:bottom w:val="single" w:sz="4" w:space="0" w:color="auto"/>
              <w:right w:val="nil"/>
            </w:tcBorders>
            <w:shd w:val="clear" w:color="auto" w:fill="auto"/>
            <w:noWrap/>
            <w:vAlign w:val="bottom"/>
            <w:hideMark/>
          </w:tcPr>
          <w:p w14:paraId="3210BDE9" w14:textId="261C39DE" w:rsidR="006B2444" w:rsidRPr="00C47BA9" w:rsidRDefault="006B2444" w:rsidP="006B2444">
            <w:pPr>
              <w:spacing w:before="0" w:after="0" w:line="240" w:lineRule="auto"/>
              <w:jc w:val="right"/>
              <w:rPr>
                <w:rFonts w:ascii="Arial" w:hAnsi="Arial" w:cs="Arial"/>
                <w:b/>
                <w:bCs/>
                <w:sz w:val="16"/>
                <w:szCs w:val="16"/>
              </w:rPr>
            </w:pPr>
            <w:r>
              <w:rPr>
                <w:rFonts w:ascii="Arial" w:hAnsi="Arial" w:cs="Arial"/>
                <w:b/>
                <w:bCs/>
                <w:sz w:val="16"/>
                <w:szCs w:val="16"/>
              </w:rPr>
              <w:t>(500)</w:t>
            </w:r>
          </w:p>
        </w:tc>
      </w:tr>
    </w:tbl>
    <w:p w14:paraId="0D0354B7" w14:textId="77777777" w:rsidR="0086445D" w:rsidRPr="003D5790" w:rsidRDefault="0086445D" w:rsidP="0086445D">
      <w:pPr>
        <w:pStyle w:val="FootnoteText"/>
        <w:spacing w:before="120"/>
        <w:rPr>
          <w:szCs w:val="16"/>
        </w:rPr>
      </w:pPr>
      <w:r w:rsidRPr="003D5790">
        <w:rPr>
          <w:szCs w:val="16"/>
          <w:vertAlign w:val="superscript"/>
        </w:rPr>
        <w:t>(a)</w:t>
      </w:r>
      <w:r w:rsidRPr="003D5790">
        <w:rPr>
          <w:szCs w:val="16"/>
        </w:rPr>
        <w:tab/>
        <w:t xml:space="preserve">2022–23 available appropriation is included to allow a comparison of this year's appropriation with what was made available for use in the previous year. Available appropriation is the amount available to be drawn </w:t>
      </w:r>
      <w:proofErr w:type="gramStart"/>
      <w:r w:rsidRPr="003D5790">
        <w:rPr>
          <w:szCs w:val="16"/>
        </w:rPr>
        <w:t>down, and</w:t>
      </w:r>
      <w:proofErr w:type="gramEnd"/>
      <w:r w:rsidRPr="003D5790">
        <w:rPr>
          <w:szCs w:val="16"/>
        </w:rPr>
        <w:t xml:space="preserve"> is equal to: Budget Appropriation + Additional Estimates Appropriation + Advance to the Finance Minister - section 51 withholdings - administrative quarantines +/- Machinery of Government transfers.</w:t>
      </w:r>
    </w:p>
    <w:p w14:paraId="3C0ECFF5" w14:textId="77777777" w:rsidR="00603F85" w:rsidRDefault="00603F85" w:rsidP="00603F85">
      <w:pPr>
        <w:spacing w:after="0" w:line="240" w:lineRule="auto"/>
      </w:pPr>
    </w:p>
    <w:p w14:paraId="1F4CC605" w14:textId="77777777" w:rsidR="00603F85" w:rsidRDefault="00603F85" w:rsidP="00603F85">
      <w:pPr>
        <w:pStyle w:val="TableHeading"/>
      </w:pPr>
      <w:r w:rsidRPr="00564C0F">
        <w:t>Table 1.5: Appropriation B</w:t>
      </w:r>
      <w:r>
        <w:t>ill (No. 4</w:t>
      </w:r>
      <w:r w:rsidRPr="00564C0F">
        <w:t xml:space="preserve">) </w:t>
      </w:r>
      <w:r>
        <w:t>2023–2024</w:t>
      </w:r>
    </w:p>
    <w:p w14:paraId="5F556363" w14:textId="000760E5" w:rsidR="00603F85" w:rsidRPr="001F1182" w:rsidRDefault="00603F85" w:rsidP="00673430">
      <w:pPr>
        <w:pStyle w:val="TableGraphic"/>
        <w:spacing w:before="120"/>
        <w:rPr>
          <w:sz w:val="20"/>
        </w:rPr>
      </w:pPr>
      <w:r w:rsidRPr="001F1182">
        <w:rPr>
          <w:sz w:val="20"/>
        </w:rPr>
        <w:t>This table i</w:t>
      </w:r>
      <w:r w:rsidR="00673430" w:rsidRPr="001F1182">
        <w:rPr>
          <w:sz w:val="20"/>
        </w:rPr>
        <w:t>s not applicable to OTA in 2023–</w:t>
      </w:r>
      <w:r w:rsidRPr="001F1182">
        <w:rPr>
          <w:sz w:val="20"/>
        </w:rPr>
        <w:t>24.</w:t>
      </w:r>
    </w:p>
    <w:p w14:paraId="69D2C84B" w14:textId="77777777" w:rsidR="00603F85" w:rsidRDefault="00603F85" w:rsidP="00603F85">
      <w:pPr>
        <w:spacing w:before="0" w:after="0" w:line="240" w:lineRule="auto"/>
        <w:rPr>
          <w:rFonts w:ascii="Arial" w:hAnsi="Arial"/>
          <w:b/>
          <w:sz w:val="30"/>
        </w:rPr>
      </w:pPr>
      <w:r>
        <w:br w:type="page"/>
      </w:r>
    </w:p>
    <w:p w14:paraId="565AE4B3" w14:textId="4E3A8DC7" w:rsidR="00603F85" w:rsidRPr="00E41681" w:rsidRDefault="00B4485A" w:rsidP="00603F85">
      <w:pPr>
        <w:pStyle w:val="Heading2-TOC"/>
      </w:pPr>
      <w:r>
        <w:fldChar w:fldCharType="begin"/>
      </w:r>
      <w:r>
        <w:instrText xml:space="preserve"> </w:instrText>
      </w:r>
      <w:proofErr w:type="gramStart"/>
      <w:r>
        <w:instrText>TC  "</w:instrText>
      </w:r>
      <w:bookmarkStart w:id="513" w:name="_Toc157591450"/>
      <w:proofErr w:type="gramEnd"/>
      <w:r>
        <w:instrText>Section 2: Revisions to outcomes and planned performance</w:instrText>
      </w:r>
      <w:bookmarkEnd w:id="513"/>
      <w:r>
        <w:instrText xml:space="preserve">" \f </w:instrText>
      </w:r>
      <w:proofErr w:type="spellStart"/>
      <w:r>
        <w:instrText>ota</w:instrText>
      </w:r>
      <w:proofErr w:type="spellEnd"/>
      <w:r>
        <w:instrText xml:space="preserve"> \l 1 </w:instrText>
      </w:r>
      <w:r>
        <w:fldChar w:fldCharType="end"/>
      </w:r>
      <w:bookmarkStart w:id="514" w:name="_Toc157592029"/>
      <w:bookmarkStart w:id="515" w:name="_Toc157592212"/>
      <w:r w:rsidR="00603F85" w:rsidRPr="00E41681">
        <w:t>Section 2: Revisions to outcomes and planned performance</w:t>
      </w:r>
      <w:bookmarkEnd w:id="514"/>
      <w:bookmarkEnd w:id="515"/>
    </w:p>
    <w:p w14:paraId="38B792FA" w14:textId="03B5AE7A" w:rsidR="00603F85" w:rsidRDefault="00B4485A" w:rsidP="00F02DD3">
      <w:pPr>
        <w:pStyle w:val="Heading3"/>
        <w:spacing w:before="240" w:after="240"/>
      </w:pPr>
      <w:r>
        <w:fldChar w:fldCharType="begin"/>
      </w:r>
      <w:r>
        <w:instrText xml:space="preserve"> </w:instrText>
      </w:r>
      <w:proofErr w:type="gramStart"/>
      <w:r>
        <w:instrText>TC  "</w:instrText>
      </w:r>
      <w:bookmarkStart w:id="516" w:name="_Toc157591451"/>
      <w:proofErr w:type="gramEnd"/>
      <w:r>
        <w:instrText>2.1</w:instrText>
      </w:r>
      <w:r>
        <w:tab/>
        <w:instrText>Budgeted expenses and performance for Outcome 1</w:instrText>
      </w:r>
      <w:bookmarkEnd w:id="516"/>
      <w:r>
        <w:instrText xml:space="preserve">" \f </w:instrText>
      </w:r>
      <w:proofErr w:type="spellStart"/>
      <w:r>
        <w:instrText>ota</w:instrText>
      </w:r>
      <w:proofErr w:type="spellEnd"/>
      <w:r>
        <w:instrText xml:space="preserve"> \l 2 </w:instrText>
      </w:r>
      <w:r>
        <w:fldChar w:fldCharType="end"/>
      </w:r>
      <w:bookmarkStart w:id="517" w:name="_Toc157592030"/>
      <w:bookmarkStart w:id="518" w:name="_Toc157592213"/>
      <w:r w:rsidR="00F02DD3">
        <w:t>2.1</w:t>
      </w:r>
      <w:r w:rsidR="00603F85">
        <w:tab/>
        <w:t>Budgeted expens</w:t>
      </w:r>
      <w:r w:rsidR="00F02DD3">
        <w:t>es and performance for Outcome 1</w:t>
      </w:r>
      <w:bookmarkEnd w:id="517"/>
      <w:bookmarkEnd w:id="5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603F85" w:rsidRPr="005E6F2B" w14:paraId="6FD80F60" w14:textId="77777777" w:rsidTr="00F02DD3">
        <w:tc>
          <w:tcPr>
            <w:tcW w:w="7705" w:type="dxa"/>
            <w:shd w:val="clear" w:color="auto" w:fill="E6E6E6"/>
          </w:tcPr>
          <w:p w14:paraId="522851D4" w14:textId="7CEDC60F" w:rsidR="00603F85" w:rsidRPr="005E6F2B" w:rsidRDefault="00603F85" w:rsidP="00F02DD3">
            <w:pPr>
              <w:pStyle w:val="TableColumnHeadingLeft"/>
              <w:spacing w:before="24" w:after="24"/>
            </w:pPr>
            <w:r w:rsidRPr="00F862B3">
              <w:rPr>
                <w:sz w:val="20"/>
              </w:rPr>
              <w:t xml:space="preserve">Outcome </w:t>
            </w:r>
            <w:r w:rsidR="00F02DD3">
              <w:rPr>
                <w:sz w:val="20"/>
              </w:rPr>
              <w:t>1</w:t>
            </w:r>
            <w:r w:rsidRPr="00F862B3">
              <w:rPr>
                <w:sz w:val="20"/>
              </w:rPr>
              <w:t xml:space="preserve">: </w:t>
            </w:r>
            <w:r w:rsidR="00F02DD3" w:rsidRPr="00F02DD3">
              <w:rPr>
                <w:rFonts w:ascii="Arial" w:hAnsi="Arial" w:cs="Arial"/>
                <w:b w:val="0"/>
                <w:sz w:val="20"/>
              </w:rPr>
              <w:t>Improved access to organ and tissue transplants, including through a nationally coordinated and consistent approach and system.</w:t>
            </w:r>
          </w:p>
        </w:tc>
      </w:tr>
    </w:tbl>
    <w:p w14:paraId="4ED2BC27" w14:textId="77777777" w:rsidR="00603F85" w:rsidRPr="005E6F2B" w:rsidRDefault="00603F85" w:rsidP="00603F85">
      <w:pPr>
        <w:pStyle w:val="NoSpacing"/>
      </w:pPr>
    </w:p>
    <w:p w14:paraId="65FBFEF3" w14:textId="08766BB9" w:rsidR="00603F85" w:rsidRPr="00450113" w:rsidRDefault="005D20A2" w:rsidP="00603F85">
      <w:pPr>
        <w:pStyle w:val="Heading5"/>
        <w:rPr>
          <w:b/>
          <w:i w:val="0"/>
        </w:rPr>
      </w:pPr>
      <w:r w:rsidRPr="00450113">
        <w:rPr>
          <w:b/>
          <w:i w:val="0"/>
        </w:rPr>
        <w:t>Budgeted expenses for Outcome 1</w:t>
      </w:r>
    </w:p>
    <w:p w14:paraId="0F709E46" w14:textId="77777777" w:rsidR="00603F85" w:rsidRPr="00450113" w:rsidRDefault="00603F85" w:rsidP="00603F85">
      <w:pPr>
        <w:rPr>
          <w:sz w:val="20"/>
        </w:rPr>
      </w:pPr>
      <w:r w:rsidRPr="00450113">
        <w:rPr>
          <w:sz w:val="20"/>
        </w:rPr>
        <w:t>This table shows how much the entity intends to spend (on an accrual basis) on achieving the outcome, broken down by program, as well as by Administered and Departmental funding sources.</w:t>
      </w:r>
    </w:p>
    <w:p w14:paraId="6E74AFC7" w14:textId="06F5EB06" w:rsidR="00603F85" w:rsidRDefault="00603F85" w:rsidP="00F0266C">
      <w:pPr>
        <w:pStyle w:val="TableHeading"/>
      </w:pPr>
      <w:r w:rsidRPr="00D93D96">
        <w:t>Table 2.</w:t>
      </w:r>
      <w:r>
        <w:t>1.</w:t>
      </w:r>
      <w:r w:rsidRPr="00D93D96">
        <w:t xml:space="preserve">1 Budgeted </w:t>
      </w:r>
      <w:r w:rsidR="008C31AF" w:rsidRPr="00D93D96">
        <w:t>expenses</w:t>
      </w:r>
      <w:r w:rsidR="004836FA">
        <w:t xml:space="preserve"> and resources</w:t>
      </w:r>
      <w:r w:rsidR="008C31AF">
        <w:t xml:space="preserve"> for</w:t>
      </w:r>
      <w:r w:rsidR="008C31AF" w:rsidRPr="00D93D96">
        <w:t xml:space="preserve"> Outcome </w:t>
      </w:r>
      <w:r w:rsidR="00F0266C">
        <w:t>1</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AD57B3" w:rsidRPr="00AD57B3" w14:paraId="744D2B0B" w14:textId="77777777" w:rsidTr="008506A0">
        <w:trPr>
          <w:trHeight w:val="765"/>
          <w:jc w:val="center"/>
        </w:trPr>
        <w:tc>
          <w:tcPr>
            <w:tcW w:w="3080" w:type="dxa"/>
            <w:tcBorders>
              <w:top w:val="single" w:sz="4" w:space="0" w:color="auto"/>
              <w:left w:val="nil"/>
              <w:bottom w:val="nil"/>
              <w:right w:val="nil"/>
            </w:tcBorders>
            <w:shd w:val="clear" w:color="auto" w:fill="auto"/>
            <w:hideMark/>
          </w:tcPr>
          <w:p w14:paraId="5EADC67C" w14:textId="77777777" w:rsidR="00AD57B3" w:rsidRPr="00AD57B3" w:rsidRDefault="00AD57B3" w:rsidP="008506A0">
            <w:pPr>
              <w:spacing w:before="24" w:after="0" w:line="240" w:lineRule="auto"/>
              <w:jc w:val="right"/>
              <w:rPr>
                <w:rFonts w:ascii="Arial" w:hAnsi="Arial" w:cs="Arial"/>
                <w:b/>
                <w:bCs/>
                <w:sz w:val="16"/>
                <w:szCs w:val="16"/>
              </w:rPr>
            </w:pPr>
            <w:r w:rsidRPr="00AD57B3">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4BA45E62" w14:textId="3827C5D3" w:rsidR="00AD57B3" w:rsidRPr="00AD57B3" w:rsidRDefault="00AD57B3" w:rsidP="008506A0">
            <w:pPr>
              <w:spacing w:before="24" w:after="0" w:line="240" w:lineRule="auto"/>
              <w:jc w:val="right"/>
              <w:rPr>
                <w:rFonts w:ascii="Arial" w:hAnsi="Arial" w:cs="Arial"/>
                <w:b/>
                <w:bCs/>
                <w:sz w:val="16"/>
                <w:szCs w:val="16"/>
              </w:rPr>
            </w:pPr>
            <w:r>
              <w:rPr>
                <w:rFonts w:ascii="Arial" w:hAnsi="Arial" w:cs="Arial"/>
                <w:b/>
                <w:bCs/>
                <w:sz w:val="16"/>
                <w:szCs w:val="16"/>
              </w:rPr>
              <w:t>2022–</w:t>
            </w:r>
            <w:r w:rsidRPr="00AD57B3">
              <w:rPr>
                <w:rFonts w:ascii="Arial" w:hAnsi="Arial" w:cs="Arial"/>
                <w:b/>
                <w:bCs/>
                <w:sz w:val="16"/>
                <w:szCs w:val="16"/>
              </w:rPr>
              <w:t>23</w:t>
            </w:r>
            <w:r w:rsidRPr="00AD57B3">
              <w:rPr>
                <w:rFonts w:ascii="Arial" w:hAnsi="Arial" w:cs="Arial"/>
                <w:b/>
                <w:bCs/>
                <w:sz w:val="16"/>
                <w:szCs w:val="16"/>
              </w:rPr>
              <w:br/>
              <w:t>Actual</w:t>
            </w:r>
            <w:r w:rsidRPr="00AD57B3">
              <w:rPr>
                <w:rFonts w:ascii="Arial" w:hAnsi="Arial" w:cs="Arial"/>
                <w:b/>
                <w:bCs/>
                <w:sz w:val="16"/>
                <w:szCs w:val="16"/>
              </w:rPr>
              <w:br/>
            </w:r>
            <w:r w:rsidRPr="00AD57B3">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7BC5BF8C" w14:textId="4C920D9B" w:rsidR="00AD57B3" w:rsidRPr="00AD57B3" w:rsidRDefault="00CD4584" w:rsidP="008506A0">
            <w:pPr>
              <w:spacing w:before="24" w:after="0" w:line="240" w:lineRule="auto"/>
              <w:jc w:val="right"/>
              <w:rPr>
                <w:rFonts w:ascii="Arial" w:hAnsi="Arial" w:cs="Arial"/>
                <w:b/>
                <w:bCs/>
                <w:sz w:val="16"/>
                <w:szCs w:val="16"/>
              </w:rPr>
            </w:pPr>
            <w:r>
              <w:rPr>
                <w:rFonts w:ascii="Arial" w:hAnsi="Arial" w:cs="Arial"/>
                <w:b/>
                <w:bCs/>
                <w:sz w:val="16"/>
                <w:szCs w:val="16"/>
              </w:rPr>
              <w:t>2023–</w:t>
            </w:r>
            <w:r w:rsidR="00AD57B3" w:rsidRPr="00AD57B3">
              <w:rPr>
                <w:rFonts w:ascii="Arial" w:hAnsi="Arial" w:cs="Arial"/>
                <w:b/>
                <w:bCs/>
                <w:sz w:val="16"/>
                <w:szCs w:val="16"/>
              </w:rPr>
              <w:t>24</w:t>
            </w:r>
            <w:r w:rsidR="00AD57B3" w:rsidRPr="00AD57B3">
              <w:rPr>
                <w:rFonts w:ascii="Arial" w:hAnsi="Arial" w:cs="Arial"/>
                <w:b/>
                <w:bCs/>
                <w:sz w:val="16"/>
                <w:szCs w:val="16"/>
              </w:rPr>
              <w:br/>
              <w:t>Revised</w:t>
            </w:r>
            <w:r w:rsidR="00AD57B3" w:rsidRPr="00AD57B3">
              <w:rPr>
                <w:rFonts w:ascii="Arial" w:hAnsi="Arial" w:cs="Arial"/>
                <w:b/>
                <w:bCs/>
                <w:sz w:val="16"/>
                <w:szCs w:val="16"/>
              </w:rPr>
              <w:br/>
              <w:t>Budget</w:t>
            </w:r>
            <w:r w:rsidR="00AD57B3" w:rsidRPr="00AD57B3">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6C5257EA" w14:textId="0F06103F" w:rsidR="00AD57B3" w:rsidRPr="00AD57B3" w:rsidRDefault="00AD57B3" w:rsidP="008506A0">
            <w:pPr>
              <w:spacing w:before="24" w:after="0" w:line="240" w:lineRule="auto"/>
              <w:jc w:val="right"/>
              <w:rPr>
                <w:rFonts w:ascii="Arial" w:hAnsi="Arial" w:cs="Arial"/>
                <w:b/>
                <w:bCs/>
                <w:sz w:val="16"/>
                <w:szCs w:val="16"/>
              </w:rPr>
            </w:pPr>
            <w:r w:rsidRPr="00AD57B3">
              <w:rPr>
                <w:rFonts w:ascii="Arial" w:hAnsi="Arial" w:cs="Arial"/>
                <w:b/>
                <w:bCs/>
                <w:sz w:val="16"/>
                <w:szCs w:val="16"/>
              </w:rPr>
              <w:t>2024</w:t>
            </w:r>
            <w:r>
              <w:rPr>
                <w:rFonts w:ascii="Arial" w:hAnsi="Arial" w:cs="Arial"/>
                <w:b/>
                <w:bCs/>
                <w:sz w:val="16"/>
                <w:szCs w:val="16"/>
              </w:rPr>
              <w:t>–</w:t>
            </w:r>
            <w:r w:rsidRPr="00AD57B3">
              <w:rPr>
                <w:rFonts w:ascii="Arial" w:hAnsi="Arial" w:cs="Arial"/>
                <w:b/>
                <w:bCs/>
                <w:sz w:val="16"/>
                <w:szCs w:val="16"/>
              </w:rPr>
              <w:t>25 Forward Estimate</w:t>
            </w:r>
            <w:r w:rsidRPr="00AD57B3">
              <w:rPr>
                <w:rFonts w:ascii="Arial" w:hAnsi="Arial" w:cs="Arial"/>
                <w:b/>
                <w:bCs/>
                <w:sz w:val="16"/>
                <w:szCs w:val="16"/>
              </w:rPr>
              <w:br/>
            </w:r>
            <w:r w:rsidRPr="00AD57B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2E03A82A" w14:textId="46970735" w:rsidR="00AD57B3" w:rsidRPr="00AD57B3" w:rsidRDefault="00AD57B3" w:rsidP="008506A0">
            <w:pPr>
              <w:spacing w:before="24" w:after="0" w:line="240" w:lineRule="auto"/>
              <w:jc w:val="right"/>
              <w:rPr>
                <w:rFonts w:ascii="Arial" w:hAnsi="Arial" w:cs="Arial"/>
                <w:b/>
                <w:bCs/>
                <w:sz w:val="16"/>
                <w:szCs w:val="16"/>
              </w:rPr>
            </w:pPr>
            <w:r w:rsidRPr="00AD57B3">
              <w:rPr>
                <w:rFonts w:ascii="Arial" w:hAnsi="Arial" w:cs="Arial"/>
                <w:b/>
                <w:bCs/>
                <w:sz w:val="16"/>
                <w:szCs w:val="16"/>
              </w:rPr>
              <w:t>2025</w:t>
            </w:r>
            <w:r>
              <w:rPr>
                <w:rFonts w:ascii="Arial" w:hAnsi="Arial" w:cs="Arial"/>
                <w:b/>
                <w:bCs/>
                <w:sz w:val="16"/>
                <w:szCs w:val="16"/>
              </w:rPr>
              <w:t>–</w:t>
            </w:r>
            <w:r w:rsidRPr="00AD57B3">
              <w:rPr>
                <w:rFonts w:ascii="Arial" w:hAnsi="Arial" w:cs="Arial"/>
                <w:b/>
                <w:bCs/>
                <w:sz w:val="16"/>
                <w:szCs w:val="16"/>
              </w:rPr>
              <w:t>26 Forward Estimate</w:t>
            </w:r>
            <w:r w:rsidRPr="00AD57B3">
              <w:rPr>
                <w:rFonts w:ascii="Arial" w:hAnsi="Arial" w:cs="Arial"/>
                <w:b/>
                <w:bCs/>
                <w:sz w:val="16"/>
                <w:szCs w:val="16"/>
              </w:rPr>
              <w:br/>
            </w:r>
            <w:r w:rsidRPr="00AD57B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D572C59" w14:textId="09637307" w:rsidR="00AD57B3" w:rsidRPr="00AD57B3" w:rsidRDefault="00AD57B3" w:rsidP="008506A0">
            <w:pPr>
              <w:spacing w:before="24" w:after="0" w:line="240" w:lineRule="auto"/>
              <w:jc w:val="right"/>
              <w:rPr>
                <w:rFonts w:ascii="Arial" w:hAnsi="Arial" w:cs="Arial"/>
                <w:b/>
                <w:bCs/>
                <w:sz w:val="16"/>
                <w:szCs w:val="16"/>
              </w:rPr>
            </w:pPr>
            <w:r>
              <w:rPr>
                <w:rFonts w:ascii="Arial" w:hAnsi="Arial" w:cs="Arial"/>
                <w:b/>
                <w:bCs/>
                <w:sz w:val="16"/>
                <w:szCs w:val="16"/>
              </w:rPr>
              <w:t>2026–</w:t>
            </w:r>
            <w:r w:rsidRPr="00AD57B3">
              <w:rPr>
                <w:rFonts w:ascii="Arial" w:hAnsi="Arial" w:cs="Arial"/>
                <w:b/>
                <w:bCs/>
                <w:sz w:val="16"/>
                <w:szCs w:val="16"/>
              </w:rPr>
              <w:t>27 Forward Estimate</w:t>
            </w:r>
            <w:r w:rsidRPr="00AD57B3">
              <w:rPr>
                <w:rFonts w:ascii="Arial" w:hAnsi="Arial" w:cs="Arial"/>
                <w:b/>
                <w:bCs/>
                <w:sz w:val="16"/>
                <w:szCs w:val="16"/>
              </w:rPr>
              <w:br/>
            </w:r>
            <w:r w:rsidRPr="00AD57B3">
              <w:rPr>
                <w:rFonts w:ascii="Arial" w:hAnsi="Arial" w:cs="Arial"/>
                <w:sz w:val="16"/>
                <w:szCs w:val="16"/>
              </w:rPr>
              <w:t>$'000</w:t>
            </w:r>
          </w:p>
        </w:tc>
      </w:tr>
      <w:tr w:rsidR="00AD57B3" w:rsidRPr="00AD57B3" w14:paraId="7ABC8322" w14:textId="77777777" w:rsidTr="000F3302">
        <w:trPr>
          <w:trHeight w:val="283"/>
          <w:jc w:val="center"/>
        </w:trPr>
        <w:tc>
          <w:tcPr>
            <w:tcW w:w="7880" w:type="dxa"/>
            <w:gridSpan w:val="6"/>
            <w:tcBorders>
              <w:top w:val="nil"/>
              <w:left w:val="nil"/>
              <w:bottom w:val="nil"/>
              <w:right w:val="nil"/>
            </w:tcBorders>
            <w:shd w:val="clear" w:color="auto" w:fill="auto"/>
            <w:vAlign w:val="bottom"/>
            <w:hideMark/>
          </w:tcPr>
          <w:p w14:paraId="4F794798" w14:textId="77777777" w:rsidR="00AD57B3" w:rsidRPr="00AD57B3" w:rsidRDefault="00AD57B3" w:rsidP="00AD57B3">
            <w:pPr>
              <w:spacing w:before="0" w:after="0" w:line="240" w:lineRule="auto"/>
              <w:rPr>
                <w:rFonts w:ascii="Arial" w:hAnsi="Arial" w:cs="Arial"/>
                <w:b/>
                <w:bCs/>
                <w:sz w:val="16"/>
                <w:szCs w:val="16"/>
              </w:rPr>
            </w:pPr>
            <w:r w:rsidRPr="00AD57B3">
              <w:rPr>
                <w:rFonts w:ascii="Arial" w:hAnsi="Arial" w:cs="Arial"/>
                <w:b/>
                <w:bCs/>
                <w:sz w:val="16"/>
                <w:szCs w:val="16"/>
              </w:rPr>
              <w:t>Program 1.1: A Nationally Coordinated System for Organ and Tissue Donation for Transplantation</w:t>
            </w:r>
          </w:p>
        </w:tc>
      </w:tr>
      <w:tr w:rsidR="00AD57B3" w:rsidRPr="00AD57B3" w14:paraId="5EE63DC3" w14:textId="77777777" w:rsidTr="002401F0">
        <w:trPr>
          <w:trHeight w:val="283"/>
          <w:jc w:val="center"/>
        </w:trPr>
        <w:tc>
          <w:tcPr>
            <w:tcW w:w="3080" w:type="dxa"/>
            <w:tcBorders>
              <w:top w:val="nil"/>
              <w:left w:val="nil"/>
              <w:bottom w:val="nil"/>
              <w:right w:val="nil"/>
            </w:tcBorders>
            <w:shd w:val="clear" w:color="auto" w:fill="auto"/>
            <w:noWrap/>
            <w:vAlign w:val="bottom"/>
            <w:hideMark/>
          </w:tcPr>
          <w:p w14:paraId="2CFFA54A" w14:textId="77777777" w:rsidR="00AD57B3" w:rsidRPr="00AD57B3" w:rsidRDefault="00AD57B3" w:rsidP="0078761D">
            <w:pPr>
              <w:spacing w:before="0" w:after="0" w:line="240" w:lineRule="auto"/>
              <w:ind w:leftChars="75" w:left="143"/>
              <w:rPr>
                <w:rFonts w:ascii="Arial" w:hAnsi="Arial" w:cs="Arial"/>
                <w:sz w:val="16"/>
                <w:szCs w:val="16"/>
              </w:rPr>
            </w:pPr>
            <w:r w:rsidRPr="00AD57B3">
              <w:rPr>
                <w:rFonts w:ascii="Arial" w:hAnsi="Arial" w:cs="Arial"/>
                <w:sz w:val="16"/>
                <w:szCs w:val="16"/>
              </w:rPr>
              <w:t>Administered expenses</w:t>
            </w:r>
          </w:p>
        </w:tc>
        <w:tc>
          <w:tcPr>
            <w:tcW w:w="960" w:type="dxa"/>
            <w:tcBorders>
              <w:top w:val="nil"/>
              <w:left w:val="nil"/>
              <w:bottom w:val="nil"/>
              <w:right w:val="nil"/>
            </w:tcBorders>
            <w:shd w:val="clear" w:color="auto" w:fill="auto"/>
            <w:vAlign w:val="bottom"/>
            <w:hideMark/>
          </w:tcPr>
          <w:p w14:paraId="6674DE20" w14:textId="77777777" w:rsidR="00AD57B3" w:rsidRPr="00AD57B3" w:rsidRDefault="00AD57B3" w:rsidP="00AD57B3">
            <w:pPr>
              <w:spacing w:before="0" w:after="0" w:line="240" w:lineRule="auto"/>
              <w:ind w:firstLineChars="100" w:firstLine="160"/>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2C7A4E17"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6B128160" w14:textId="77777777" w:rsidR="00AD57B3" w:rsidRPr="00AD57B3" w:rsidRDefault="00AD57B3" w:rsidP="00AD57B3">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bottom"/>
            <w:hideMark/>
          </w:tcPr>
          <w:p w14:paraId="3FFA227B" w14:textId="77777777" w:rsidR="00AD57B3" w:rsidRPr="00AD57B3" w:rsidRDefault="00AD57B3" w:rsidP="00AD57B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vAlign w:val="bottom"/>
            <w:hideMark/>
          </w:tcPr>
          <w:p w14:paraId="7A09A405" w14:textId="77777777" w:rsidR="00AD57B3" w:rsidRPr="00AD57B3" w:rsidRDefault="00AD57B3" w:rsidP="00AD57B3">
            <w:pPr>
              <w:spacing w:before="0" w:after="0" w:line="240" w:lineRule="auto"/>
              <w:jc w:val="right"/>
              <w:rPr>
                <w:rFonts w:ascii="Times New Roman" w:hAnsi="Times New Roman"/>
                <w:sz w:val="20"/>
              </w:rPr>
            </w:pPr>
          </w:p>
        </w:tc>
      </w:tr>
      <w:tr w:rsidR="00AD57B3" w:rsidRPr="00AD57B3" w14:paraId="673C7EF6" w14:textId="77777777" w:rsidTr="00AD57B3">
        <w:trPr>
          <w:trHeight w:val="228"/>
          <w:jc w:val="center"/>
        </w:trPr>
        <w:tc>
          <w:tcPr>
            <w:tcW w:w="3080" w:type="dxa"/>
            <w:tcBorders>
              <w:top w:val="nil"/>
              <w:left w:val="nil"/>
              <w:bottom w:val="nil"/>
              <w:right w:val="nil"/>
            </w:tcBorders>
            <w:shd w:val="clear" w:color="auto" w:fill="auto"/>
            <w:noWrap/>
            <w:vAlign w:val="bottom"/>
            <w:hideMark/>
          </w:tcPr>
          <w:p w14:paraId="41DC5C0C" w14:textId="199B4151" w:rsidR="00AD57B3" w:rsidRPr="00AD57B3" w:rsidRDefault="00AD57B3" w:rsidP="0078761D">
            <w:pPr>
              <w:spacing w:before="0" w:after="0" w:line="240" w:lineRule="auto"/>
              <w:ind w:leftChars="150" w:left="285"/>
              <w:rPr>
                <w:rFonts w:ascii="Arial" w:hAnsi="Arial" w:cs="Arial"/>
                <w:sz w:val="16"/>
                <w:szCs w:val="16"/>
              </w:rPr>
            </w:pPr>
            <w:r w:rsidRPr="00AD57B3">
              <w:rPr>
                <w:rFonts w:ascii="Arial" w:hAnsi="Arial" w:cs="Arial"/>
                <w:sz w:val="16"/>
                <w:szCs w:val="16"/>
              </w:rPr>
              <w:t>Ordinary annual services</w:t>
            </w:r>
            <w:r w:rsidRPr="00AD57B3">
              <w:rPr>
                <w:rFonts w:ascii="Arial" w:hAnsi="Arial" w:cs="Arial"/>
                <w:sz w:val="16"/>
                <w:szCs w:val="16"/>
                <w:vertAlign w:val="superscript"/>
              </w:rPr>
              <w:t>(a)</w:t>
            </w:r>
          </w:p>
        </w:tc>
        <w:tc>
          <w:tcPr>
            <w:tcW w:w="960" w:type="dxa"/>
            <w:tcBorders>
              <w:top w:val="nil"/>
              <w:left w:val="nil"/>
              <w:bottom w:val="nil"/>
              <w:right w:val="nil"/>
            </w:tcBorders>
            <w:shd w:val="clear" w:color="auto" w:fill="auto"/>
            <w:noWrap/>
            <w:vAlign w:val="bottom"/>
            <w:hideMark/>
          </w:tcPr>
          <w:p w14:paraId="3DC41C04"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49,121</w:t>
            </w:r>
          </w:p>
        </w:tc>
        <w:tc>
          <w:tcPr>
            <w:tcW w:w="960" w:type="dxa"/>
            <w:tcBorders>
              <w:top w:val="nil"/>
              <w:left w:val="nil"/>
              <w:bottom w:val="nil"/>
              <w:right w:val="nil"/>
            </w:tcBorders>
            <w:shd w:val="clear" w:color="000000" w:fill="D9D9D9"/>
            <w:noWrap/>
            <w:vAlign w:val="bottom"/>
            <w:hideMark/>
          </w:tcPr>
          <w:p w14:paraId="27738F42"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51,066</w:t>
            </w:r>
          </w:p>
        </w:tc>
        <w:tc>
          <w:tcPr>
            <w:tcW w:w="960" w:type="dxa"/>
            <w:tcBorders>
              <w:top w:val="nil"/>
              <w:left w:val="nil"/>
              <w:bottom w:val="nil"/>
              <w:right w:val="nil"/>
            </w:tcBorders>
            <w:shd w:val="clear" w:color="auto" w:fill="auto"/>
            <w:noWrap/>
            <w:vAlign w:val="bottom"/>
            <w:hideMark/>
          </w:tcPr>
          <w:p w14:paraId="174BAD99"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51,956</w:t>
            </w:r>
          </w:p>
        </w:tc>
        <w:tc>
          <w:tcPr>
            <w:tcW w:w="960" w:type="dxa"/>
            <w:tcBorders>
              <w:top w:val="nil"/>
              <w:left w:val="nil"/>
              <w:bottom w:val="nil"/>
              <w:right w:val="nil"/>
            </w:tcBorders>
            <w:shd w:val="clear" w:color="auto" w:fill="auto"/>
            <w:noWrap/>
            <w:vAlign w:val="bottom"/>
            <w:hideMark/>
          </w:tcPr>
          <w:p w14:paraId="4D4F7928"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53,143</w:t>
            </w:r>
          </w:p>
        </w:tc>
        <w:tc>
          <w:tcPr>
            <w:tcW w:w="960" w:type="dxa"/>
            <w:tcBorders>
              <w:top w:val="nil"/>
              <w:left w:val="nil"/>
              <w:bottom w:val="nil"/>
              <w:right w:val="nil"/>
            </w:tcBorders>
            <w:shd w:val="clear" w:color="auto" w:fill="auto"/>
            <w:noWrap/>
            <w:vAlign w:val="bottom"/>
            <w:hideMark/>
          </w:tcPr>
          <w:p w14:paraId="7CE7E4AB"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54,292</w:t>
            </w:r>
          </w:p>
        </w:tc>
      </w:tr>
      <w:tr w:rsidR="00AD57B3" w:rsidRPr="00AD57B3" w14:paraId="0C120074" w14:textId="77777777" w:rsidTr="002401F0">
        <w:trPr>
          <w:trHeight w:val="283"/>
          <w:jc w:val="center"/>
        </w:trPr>
        <w:tc>
          <w:tcPr>
            <w:tcW w:w="3080" w:type="dxa"/>
            <w:tcBorders>
              <w:top w:val="nil"/>
              <w:left w:val="nil"/>
              <w:bottom w:val="nil"/>
              <w:right w:val="nil"/>
            </w:tcBorders>
            <w:shd w:val="clear" w:color="auto" w:fill="auto"/>
            <w:noWrap/>
            <w:vAlign w:val="bottom"/>
            <w:hideMark/>
          </w:tcPr>
          <w:p w14:paraId="16DF938A" w14:textId="77777777" w:rsidR="00AD57B3" w:rsidRPr="00AD57B3" w:rsidRDefault="00AD57B3" w:rsidP="0078761D">
            <w:pPr>
              <w:spacing w:before="0" w:after="0" w:line="240" w:lineRule="auto"/>
              <w:ind w:leftChars="75" w:left="143"/>
              <w:rPr>
                <w:rFonts w:ascii="Arial" w:hAnsi="Arial" w:cs="Arial"/>
                <w:sz w:val="16"/>
                <w:szCs w:val="16"/>
              </w:rPr>
            </w:pPr>
            <w:r w:rsidRPr="00AD57B3">
              <w:rPr>
                <w:rFonts w:ascii="Arial" w:hAnsi="Arial" w:cs="Arial"/>
                <w:sz w:val="16"/>
                <w:szCs w:val="16"/>
              </w:rPr>
              <w:t>Departmental expenses</w:t>
            </w:r>
          </w:p>
        </w:tc>
        <w:tc>
          <w:tcPr>
            <w:tcW w:w="960" w:type="dxa"/>
            <w:tcBorders>
              <w:top w:val="nil"/>
              <w:left w:val="nil"/>
              <w:bottom w:val="nil"/>
              <w:right w:val="nil"/>
            </w:tcBorders>
            <w:shd w:val="clear" w:color="auto" w:fill="auto"/>
            <w:vAlign w:val="bottom"/>
            <w:hideMark/>
          </w:tcPr>
          <w:p w14:paraId="1A2BC564" w14:textId="77777777" w:rsidR="00AD57B3" w:rsidRPr="00AD57B3" w:rsidRDefault="00AD57B3" w:rsidP="00AD57B3">
            <w:pPr>
              <w:spacing w:before="0" w:after="0" w:line="240" w:lineRule="auto"/>
              <w:ind w:firstLineChars="100" w:firstLine="160"/>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1C403FE8"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 </w:t>
            </w:r>
          </w:p>
        </w:tc>
        <w:tc>
          <w:tcPr>
            <w:tcW w:w="960" w:type="dxa"/>
            <w:tcBorders>
              <w:top w:val="nil"/>
              <w:left w:val="nil"/>
              <w:bottom w:val="nil"/>
              <w:right w:val="nil"/>
            </w:tcBorders>
            <w:shd w:val="clear" w:color="auto" w:fill="auto"/>
            <w:vAlign w:val="bottom"/>
            <w:hideMark/>
          </w:tcPr>
          <w:p w14:paraId="67E0720F" w14:textId="77777777" w:rsidR="00AD57B3" w:rsidRPr="00AD57B3" w:rsidRDefault="00AD57B3" w:rsidP="00AD57B3">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vAlign w:val="bottom"/>
            <w:hideMark/>
          </w:tcPr>
          <w:p w14:paraId="28848DEE" w14:textId="77777777" w:rsidR="00AD57B3" w:rsidRPr="00AD57B3" w:rsidRDefault="00AD57B3" w:rsidP="00AD57B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vAlign w:val="bottom"/>
            <w:hideMark/>
          </w:tcPr>
          <w:p w14:paraId="0045AD32" w14:textId="77777777" w:rsidR="00AD57B3" w:rsidRPr="00AD57B3" w:rsidRDefault="00AD57B3" w:rsidP="00AD57B3">
            <w:pPr>
              <w:spacing w:before="0" w:after="0" w:line="240" w:lineRule="auto"/>
              <w:jc w:val="right"/>
              <w:rPr>
                <w:rFonts w:ascii="Times New Roman" w:hAnsi="Times New Roman"/>
                <w:sz w:val="20"/>
              </w:rPr>
            </w:pPr>
          </w:p>
        </w:tc>
      </w:tr>
      <w:tr w:rsidR="00AD57B3" w:rsidRPr="00AD57B3" w14:paraId="6BB616F7" w14:textId="77777777" w:rsidTr="00AD57B3">
        <w:trPr>
          <w:trHeight w:val="225"/>
          <w:jc w:val="center"/>
        </w:trPr>
        <w:tc>
          <w:tcPr>
            <w:tcW w:w="3080" w:type="dxa"/>
            <w:tcBorders>
              <w:top w:val="nil"/>
              <w:left w:val="nil"/>
              <w:bottom w:val="nil"/>
              <w:right w:val="nil"/>
            </w:tcBorders>
            <w:shd w:val="clear" w:color="auto" w:fill="auto"/>
            <w:noWrap/>
            <w:vAlign w:val="bottom"/>
            <w:hideMark/>
          </w:tcPr>
          <w:p w14:paraId="29A818D7" w14:textId="1DB13BFC" w:rsidR="00AD57B3" w:rsidRPr="00AD57B3" w:rsidRDefault="00AD57B3" w:rsidP="00CA3B59">
            <w:pPr>
              <w:spacing w:before="0" w:after="0" w:line="240" w:lineRule="auto"/>
              <w:ind w:leftChars="150" w:left="285"/>
              <w:rPr>
                <w:rFonts w:ascii="Arial" w:hAnsi="Arial" w:cs="Arial"/>
                <w:sz w:val="16"/>
                <w:szCs w:val="16"/>
              </w:rPr>
            </w:pPr>
            <w:r w:rsidRPr="00AD57B3">
              <w:rPr>
                <w:rFonts w:ascii="Arial" w:hAnsi="Arial" w:cs="Arial"/>
                <w:sz w:val="16"/>
                <w:szCs w:val="16"/>
              </w:rPr>
              <w:t>Departmental appropriation</w:t>
            </w:r>
            <w:r w:rsidRPr="00AD57B3">
              <w:rPr>
                <w:rFonts w:ascii="Arial" w:hAnsi="Arial" w:cs="Arial"/>
                <w:sz w:val="16"/>
                <w:szCs w:val="16"/>
                <w:vertAlign w:val="superscript"/>
              </w:rPr>
              <w:t>(b)</w:t>
            </w:r>
          </w:p>
        </w:tc>
        <w:tc>
          <w:tcPr>
            <w:tcW w:w="960" w:type="dxa"/>
            <w:tcBorders>
              <w:top w:val="nil"/>
              <w:left w:val="nil"/>
              <w:bottom w:val="nil"/>
              <w:right w:val="nil"/>
            </w:tcBorders>
            <w:shd w:val="clear" w:color="auto" w:fill="auto"/>
            <w:noWrap/>
            <w:vAlign w:val="bottom"/>
            <w:hideMark/>
          </w:tcPr>
          <w:p w14:paraId="30CDC8E3"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5,765</w:t>
            </w:r>
          </w:p>
        </w:tc>
        <w:tc>
          <w:tcPr>
            <w:tcW w:w="960" w:type="dxa"/>
            <w:tcBorders>
              <w:top w:val="nil"/>
              <w:left w:val="nil"/>
              <w:bottom w:val="nil"/>
              <w:right w:val="nil"/>
            </w:tcBorders>
            <w:shd w:val="clear" w:color="000000" w:fill="D9D9D9"/>
            <w:noWrap/>
            <w:vAlign w:val="bottom"/>
            <w:hideMark/>
          </w:tcPr>
          <w:p w14:paraId="61A0806C"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6,520</w:t>
            </w:r>
          </w:p>
        </w:tc>
        <w:tc>
          <w:tcPr>
            <w:tcW w:w="960" w:type="dxa"/>
            <w:tcBorders>
              <w:top w:val="nil"/>
              <w:left w:val="nil"/>
              <w:bottom w:val="nil"/>
              <w:right w:val="nil"/>
            </w:tcBorders>
            <w:shd w:val="clear" w:color="auto" w:fill="auto"/>
            <w:noWrap/>
            <w:vAlign w:val="bottom"/>
            <w:hideMark/>
          </w:tcPr>
          <w:p w14:paraId="656B8A28"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6,674</w:t>
            </w:r>
          </w:p>
        </w:tc>
        <w:tc>
          <w:tcPr>
            <w:tcW w:w="960" w:type="dxa"/>
            <w:tcBorders>
              <w:top w:val="nil"/>
              <w:left w:val="nil"/>
              <w:bottom w:val="nil"/>
              <w:right w:val="nil"/>
            </w:tcBorders>
            <w:shd w:val="clear" w:color="auto" w:fill="auto"/>
            <w:noWrap/>
            <w:vAlign w:val="bottom"/>
            <w:hideMark/>
          </w:tcPr>
          <w:p w14:paraId="69A01DA9"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6,755</w:t>
            </w:r>
          </w:p>
        </w:tc>
        <w:tc>
          <w:tcPr>
            <w:tcW w:w="960" w:type="dxa"/>
            <w:tcBorders>
              <w:top w:val="nil"/>
              <w:left w:val="nil"/>
              <w:bottom w:val="nil"/>
              <w:right w:val="nil"/>
            </w:tcBorders>
            <w:shd w:val="clear" w:color="auto" w:fill="auto"/>
            <w:noWrap/>
            <w:vAlign w:val="bottom"/>
            <w:hideMark/>
          </w:tcPr>
          <w:p w14:paraId="3E9EC346"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6,872</w:t>
            </w:r>
          </w:p>
        </w:tc>
      </w:tr>
      <w:tr w:rsidR="00AD57B3" w:rsidRPr="00AD57B3" w14:paraId="300473E3" w14:textId="77777777" w:rsidTr="002401F0">
        <w:trPr>
          <w:trHeight w:val="425"/>
          <w:jc w:val="center"/>
        </w:trPr>
        <w:tc>
          <w:tcPr>
            <w:tcW w:w="3080" w:type="dxa"/>
            <w:tcBorders>
              <w:top w:val="nil"/>
              <w:left w:val="nil"/>
              <w:bottom w:val="nil"/>
              <w:right w:val="nil"/>
            </w:tcBorders>
            <w:shd w:val="clear" w:color="auto" w:fill="auto"/>
            <w:vAlign w:val="bottom"/>
            <w:hideMark/>
          </w:tcPr>
          <w:p w14:paraId="439BE6F5" w14:textId="7FA4D44F" w:rsidR="00AD57B3" w:rsidRPr="00AD57B3" w:rsidRDefault="00AD57B3" w:rsidP="00CA3B59">
            <w:pPr>
              <w:spacing w:before="0" w:after="0" w:line="240" w:lineRule="auto"/>
              <w:ind w:leftChars="150" w:left="285"/>
              <w:rPr>
                <w:rFonts w:ascii="Arial" w:hAnsi="Arial" w:cs="Arial"/>
                <w:sz w:val="16"/>
                <w:szCs w:val="16"/>
              </w:rPr>
            </w:pPr>
            <w:r w:rsidRPr="00AD57B3">
              <w:rPr>
                <w:rFonts w:ascii="Arial" w:hAnsi="Arial" w:cs="Arial"/>
                <w:sz w:val="16"/>
                <w:szCs w:val="16"/>
              </w:rPr>
              <w:t>Expenses not requiring appropriation in the Budget year</w:t>
            </w:r>
            <w:r w:rsidRPr="00AD57B3">
              <w:rPr>
                <w:rFonts w:ascii="Arial" w:hAnsi="Arial" w:cs="Arial"/>
                <w:sz w:val="16"/>
                <w:szCs w:val="16"/>
                <w:vertAlign w:val="superscript"/>
              </w:rPr>
              <w:t>(c)</w:t>
            </w:r>
          </w:p>
        </w:tc>
        <w:tc>
          <w:tcPr>
            <w:tcW w:w="960" w:type="dxa"/>
            <w:tcBorders>
              <w:top w:val="nil"/>
              <w:left w:val="nil"/>
              <w:bottom w:val="nil"/>
              <w:right w:val="nil"/>
            </w:tcBorders>
            <w:shd w:val="clear" w:color="auto" w:fill="auto"/>
            <w:noWrap/>
            <w:vAlign w:val="bottom"/>
            <w:hideMark/>
          </w:tcPr>
          <w:p w14:paraId="4EF82E21"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621</w:t>
            </w:r>
          </w:p>
        </w:tc>
        <w:tc>
          <w:tcPr>
            <w:tcW w:w="960" w:type="dxa"/>
            <w:tcBorders>
              <w:top w:val="nil"/>
              <w:left w:val="nil"/>
              <w:bottom w:val="nil"/>
              <w:right w:val="nil"/>
            </w:tcBorders>
            <w:shd w:val="clear" w:color="000000" w:fill="D9D9D9"/>
            <w:noWrap/>
            <w:vAlign w:val="bottom"/>
            <w:hideMark/>
          </w:tcPr>
          <w:p w14:paraId="220E7BC3"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753</w:t>
            </w:r>
          </w:p>
        </w:tc>
        <w:tc>
          <w:tcPr>
            <w:tcW w:w="960" w:type="dxa"/>
            <w:tcBorders>
              <w:top w:val="nil"/>
              <w:left w:val="nil"/>
              <w:bottom w:val="nil"/>
              <w:right w:val="nil"/>
            </w:tcBorders>
            <w:shd w:val="clear" w:color="auto" w:fill="auto"/>
            <w:noWrap/>
            <w:vAlign w:val="bottom"/>
            <w:hideMark/>
          </w:tcPr>
          <w:p w14:paraId="20AE9E2A"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844</w:t>
            </w:r>
          </w:p>
        </w:tc>
        <w:tc>
          <w:tcPr>
            <w:tcW w:w="960" w:type="dxa"/>
            <w:tcBorders>
              <w:top w:val="nil"/>
              <w:left w:val="nil"/>
              <w:bottom w:val="nil"/>
              <w:right w:val="nil"/>
            </w:tcBorders>
            <w:shd w:val="clear" w:color="auto" w:fill="auto"/>
            <w:noWrap/>
            <w:vAlign w:val="bottom"/>
            <w:hideMark/>
          </w:tcPr>
          <w:p w14:paraId="65F67F2E"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847</w:t>
            </w:r>
          </w:p>
        </w:tc>
        <w:tc>
          <w:tcPr>
            <w:tcW w:w="960" w:type="dxa"/>
            <w:tcBorders>
              <w:top w:val="nil"/>
              <w:left w:val="nil"/>
              <w:bottom w:val="nil"/>
              <w:right w:val="nil"/>
            </w:tcBorders>
            <w:shd w:val="clear" w:color="auto" w:fill="auto"/>
            <w:noWrap/>
            <w:vAlign w:val="bottom"/>
            <w:hideMark/>
          </w:tcPr>
          <w:p w14:paraId="3C7A0451"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849</w:t>
            </w:r>
          </w:p>
        </w:tc>
      </w:tr>
      <w:tr w:rsidR="00AD57B3" w:rsidRPr="00AD57B3" w14:paraId="7266184A" w14:textId="77777777" w:rsidTr="00AD57B3">
        <w:trPr>
          <w:trHeight w:val="225"/>
          <w:jc w:val="center"/>
        </w:trPr>
        <w:tc>
          <w:tcPr>
            <w:tcW w:w="3080" w:type="dxa"/>
            <w:tcBorders>
              <w:top w:val="nil"/>
              <w:left w:val="nil"/>
              <w:bottom w:val="nil"/>
              <w:right w:val="nil"/>
            </w:tcBorders>
            <w:shd w:val="clear" w:color="auto" w:fill="auto"/>
            <w:noWrap/>
            <w:vAlign w:val="bottom"/>
            <w:hideMark/>
          </w:tcPr>
          <w:p w14:paraId="35DEAAD9" w14:textId="77777777" w:rsidR="00AD57B3" w:rsidRPr="00AD57B3" w:rsidRDefault="00AD57B3" w:rsidP="0078761D">
            <w:pPr>
              <w:spacing w:before="0" w:after="0" w:line="240" w:lineRule="auto"/>
              <w:ind w:leftChars="75" w:left="143"/>
              <w:rPr>
                <w:rFonts w:ascii="Arial" w:hAnsi="Arial" w:cs="Arial"/>
                <w:sz w:val="16"/>
                <w:szCs w:val="16"/>
              </w:rPr>
            </w:pPr>
            <w:r w:rsidRPr="00AD57B3">
              <w:rPr>
                <w:rFonts w:ascii="Arial" w:hAnsi="Arial" w:cs="Arial"/>
                <w:sz w:val="16"/>
                <w:szCs w:val="16"/>
              </w:rPr>
              <w:t>Operating deficit (surplus)</w:t>
            </w:r>
          </w:p>
        </w:tc>
        <w:tc>
          <w:tcPr>
            <w:tcW w:w="960" w:type="dxa"/>
            <w:tcBorders>
              <w:top w:val="nil"/>
              <w:left w:val="nil"/>
              <w:bottom w:val="single" w:sz="4" w:space="0" w:color="auto"/>
              <w:right w:val="nil"/>
            </w:tcBorders>
            <w:shd w:val="clear" w:color="auto" w:fill="auto"/>
            <w:noWrap/>
            <w:vAlign w:val="bottom"/>
            <w:hideMark/>
          </w:tcPr>
          <w:p w14:paraId="3A4D2970"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(86)</w:t>
            </w:r>
          </w:p>
        </w:tc>
        <w:tc>
          <w:tcPr>
            <w:tcW w:w="960" w:type="dxa"/>
            <w:tcBorders>
              <w:top w:val="nil"/>
              <w:left w:val="nil"/>
              <w:bottom w:val="single" w:sz="4" w:space="0" w:color="auto"/>
              <w:right w:val="nil"/>
            </w:tcBorders>
            <w:shd w:val="clear" w:color="000000" w:fill="D9D9D9"/>
            <w:noWrap/>
            <w:vAlign w:val="bottom"/>
            <w:hideMark/>
          </w:tcPr>
          <w:p w14:paraId="3D3B8907"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30049521"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3AD9E6AF"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w:t>
            </w:r>
          </w:p>
        </w:tc>
        <w:tc>
          <w:tcPr>
            <w:tcW w:w="960" w:type="dxa"/>
            <w:tcBorders>
              <w:top w:val="nil"/>
              <w:left w:val="nil"/>
              <w:bottom w:val="single" w:sz="4" w:space="0" w:color="auto"/>
              <w:right w:val="nil"/>
            </w:tcBorders>
            <w:shd w:val="clear" w:color="auto" w:fill="auto"/>
            <w:noWrap/>
            <w:vAlign w:val="bottom"/>
            <w:hideMark/>
          </w:tcPr>
          <w:p w14:paraId="54739D4B"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w:t>
            </w:r>
          </w:p>
        </w:tc>
      </w:tr>
      <w:tr w:rsidR="00AD57B3" w:rsidRPr="00AD57B3" w14:paraId="51EC48E9" w14:textId="77777777" w:rsidTr="002401F0">
        <w:trPr>
          <w:trHeight w:val="283"/>
          <w:jc w:val="center"/>
        </w:trPr>
        <w:tc>
          <w:tcPr>
            <w:tcW w:w="3080" w:type="dxa"/>
            <w:tcBorders>
              <w:top w:val="nil"/>
              <w:left w:val="nil"/>
              <w:bottom w:val="nil"/>
              <w:right w:val="nil"/>
            </w:tcBorders>
            <w:shd w:val="clear" w:color="auto" w:fill="auto"/>
            <w:vAlign w:val="bottom"/>
            <w:hideMark/>
          </w:tcPr>
          <w:p w14:paraId="51BECB1D" w14:textId="77777777" w:rsidR="00AD57B3" w:rsidRPr="00AD57B3" w:rsidRDefault="00AD57B3" w:rsidP="0078761D">
            <w:pPr>
              <w:spacing w:before="0" w:after="0" w:line="240" w:lineRule="auto"/>
              <w:ind w:leftChars="75" w:left="143"/>
              <w:rPr>
                <w:rFonts w:ascii="Arial" w:hAnsi="Arial" w:cs="Arial"/>
                <w:b/>
                <w:bCs/>
                <w:sz w:val="16"/>
                <w:szCs w:val="16"/>
              </w:rPr>
            </w:pPr>
            <w:r w:rsidRPr="00AD57B3">
              <w:rPr>
                <w:rFonts w:ascii="Arial" w:hAnsi="Arial" w:cs="Arial"/>
                <w:b/>
                <w:bCs/>
                <w:sz w:val="16"/>
                <w:szCs w:val="16"/>
              </w:rPr>
              <w:t>Total for Program 1.1</w:t>
            </w:r>
          </w:p>
        </w:tc>
        <w:tc>
          <w:tcPr>
            <w:tcW w:w="960" w:type="dxa"/>
            <w:tcBorders>
              <w:top w:val="nil"/>
              <w:left w:val="nil"/>
              <w:bottom w:val="single" w:sz="4" w:space="0" w:color="auto"/>
              <w:right w:val="nil"/>
            </w:tcBorders>
            <w:shd w:val="clear" w:color="auto" w:fill="auto"/>
            <w:noWrap/>
            <w:vAlign w:val="bottom"/>
            <w:hideMark/>
          </w:tcPr>
          <w:p w14:paraId="1F82F7AC"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55,421</w:t>
            </w:r>
          </w:p>
        </w:tc>
        <w:tc>
          <w:tcPr>
            <w:tcW w:w="960" w:type="dxa"/>
            <w:tcBorders>
              <w:top w:val="nil"/>
              <w:left w:val="nil"/>
              <w:bottom w:val="single" w:sz="4" w:space="0" w:color="auto"/>
              <w:right w:val="nil"/>
            </w:tcBorders>
            <w:shd w:val="clear" w:color="000000" w:fill="D9D9D9"/>
            <w:noWrap/>
            <w:vAlign w:val="bottom"/>
            <w:hideMark/>
          </w:tcPr>
          <w:p w14:paraId="7E6436AE"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58,339</w:t>
            </w:r>
          </w:p>
        </w:tc>
        <w:tc>
          <w:tcPr>
            <w:tcW w:w="960" w:type="dxa"/>
            <w:tcBorders>
              <w:top w:val="nil"/>
              <w:left w:val="nil"/>
              <w:bottom w:val="single" w:sz="4" w:space="0" w:color="auto"/>
              <w:right w:val="nil"/>
            </w:tcBorders>
            <w:shd w:val="clear" w:color="auto" w:fill="auto"/>
            <w:noWrap/>
            <w:vAlign w:val="bottom"/>
            <w:hideMark/>
          </w:tcPr>
          <w:p w14:paraId="6592B010"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59,474</w:t>
            </w:r>
          </w:p>
        </w:tc>
        <w:tc>
          <w:tcPr>
            <w:tcW w:w="960" w:type="dxa"/>
            <w:tcBorders>
              <w:top w:val="nil"/>
              <w:left w:val="nil"/>
              <w:bottom w:val="single" w:sz="4" w:space="0" w:color="auto"/>
              <w:right w:val="nil"/>
            </w:tcBorders>
            <w:shd w:val="clear" w:color="auto" w:fill="auto"/>
            <w:noWrap/>
            <w:vAlign w:val="bottom"/>
            <w:hideMark/>
          </w:tcPr>
          <w:p w14:paraId="47794395"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60,745</w:t>
            </w:r>
          </w:p>
        </w:tc>
        <w:tc>
          <w:tcPr>
            <w:tcW w:w="960" w:type="dxa"/>
            <w:tcBorders>
              <w:top w:val="nil"/>
              <w:left w:val="nil"/>
              <w:bottom w:val="single" w:sz="4" w:space="0" w:color="auto"/>
              <w:right w:val="nil"/>
            </w:tcBorders>
            <w:shd w:val="clear" w:color="auto" w:fill="auto"/>
            <w:noWrap/>
            <w:vAlign w:val="bottom"/>
            <w:hideMark/>
          </w:tcPr>
          <w:p w14:paraId="122288F1"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62,013</w:t>
            </w:r>
          </w:p>
        </w:tc>
      </w:tr>
      <w:tr w:rsidR="00AD57B3" w:rsidRPr="00AD57B3" w14:paraId="4A060F0C" w14:textId="77777777" w:rsidTr="002401F0">
        <w:trPr>
          <w:trHeight w:val="283"/>
          <w:jc w:val="center"/>
        </w:trPr>
        <w:tc>
          <w:tcPr>
            <w:tcW w:w="3080" w:type="dxa"/>
            <w:tcBorders>
              <w:top w:val="nil"/>
              <w:left w:val="nil"/>
              <w:bottom w:val="single" w:sz="4" w:space="0" w:color="auto"/>
              <w:right w:val="nil"/>
            </w:tcBorders>
            <w:shd w:val="clear" w:color="auto" w:fill="auto"/>
            <w:noWrap/>
            <w:vAlign w:val="bottom"/>
            <w:hideMark/>
          </w:tcPr>
          <w:p w14:paraId="70B5F7CC" w14:textId="77777777" w:rsidR="00AD57B3" w:rsidRPr="00AD57B3" w:rsidRDefault="00AD57B3" w:rsidP="00AD57B3">
            <w:pPr>
              <w:spacing w:before="0" w:after="0" w:line="240" w:lineRule="auto"/>
              <w:rPr>
                <w:rFonts w:ascii="Arial" w:hAnsi="Arial" w:cs="Arial"/>
                <w:b/>
                <w:bCs/>
                <w:color w:val="000000"/>
                <w:sz w:val="16"/>
                <w:szCs w:val="16"/>
              </w:rPr>
            </w:pPr>
            <w:r w:rsidRPr="00AD57B3">
              <w:rPr>
                <w:rFonts w:ascii="Arial" w:hAnsi="Arial" w:cs="Arial"/>
                <w:b/>
                <w:bCs/>
                <w:color w:val="000000"/>
                <w:sz w:val="16"/>
                <w:szCs w:val="16"/>
              </w:rPr>
              <w:t>Total expenses for Outcome 1</w:t>
            </w:r>
          </w:p>
        </w:tc>
        <w:tc>
          <w:tcPr>
            <w:tcW w:w="960" w:type="dxa"/>
            <w:tcBorders>
              <w:top w:val="nil"/>
              <w:left w:val="nil"/>
              <w:bottom w:val="single" w:sz="4" w:space="0" w:color="auto"/>
              <w:right w:val="nil"/>
            </w:tcBorders>
            <w:shd w:val="clear" w:color="auto" w:fill="auto"/>
            <w:noWrap/>
            <w:vAlign w:val="bottom"/>
            <w:hideMark/>
          </w:tcPr>
          <w:p w14:paraId="0FF02F32"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55,421</w:t>
            </w:r>
          </w:p>
        </w:tc>
        <w:tc>
          <w:tcPr>
            <w:tcW w:w="960" w:type="dxa"/>
            <w:tcBorders>
              <w:top w:val="nil"/>
              <w:left w:val="nil"/>
              <w:bottom w:val="single" w:sz="4" w:space="0" w:color="auto"/>
              <w:right w:val="nil"/>
            </w:tcBorders>
            <w:shd w:val="clear" w:color="000000" w:fill="D9D9D9"/>
            <w:noWrap/>
            <w:vAlign w:val="bottom"/>
            <w:hideMark/>
          </w:tcPr>
          <w:p w14:paraId="0C4F3BCD"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58,339</w:t>
            </w:r>
          </w:p>
        </w:tc>
        <w:tc>
          <w:tcPr>
            <w:tcW w:w="960" w:type="dxa"/>
            <w:tcBorders>
              <w:top w:val="nil"/>
              <w:left w:val="nil"/>
              <w:bottom w:val="single" w:sz="4" w:space="0" w:color="auto"/>
              <w:right w:val="nil"/>
            </w:tcBorders>
            <w:shd w:val="clear" w:color="auto" w:fill="auto"/>
            <w:noWrap/>
            <w:vAlign w:val="bottom"/>
            <w:hideMark/>
          </w:tcPr>
          <w:p w14:paraId="56B5E882"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59,474</w:t>
            </w:r>
          </w:p>
        </w:tc>
        <w:tc>
          <w:tcPr>
            <w:tcW w:w="960" w:type="dxa"/>
            <w:tcBorders>
              <w:top w:val="nil"/>
              <w:left w:val="nil"/>
              <w:bottom w:val="single" w:sz="4" w:space="0" w:color="auto"/>
              <w:right w:val="nil"/>
            </w:tcBorders>
            <w:shd w:val="clear" w:color="auto" w:fill="auto"/>
            <w:noWrap/>
            <w:vAlign w:val="bottom"/>
            <w:hideMark/>
          </w:tcPr>
          <w:p w14:paraId="1BA5B68B"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60,745</w:t>
            </w:r>
          </w:p>
        </w:tc>
        <w:tc>
          <w:tcPr>
            <w:tcW w:w="960" w:type="dxa"/>
            <w:tcBorders>
              <w:top w:val="nil"/>
              <w:left w:val="nil"/>
              <w:bottom w:val="single" w:sz="4" w:space="0" w:color="auto"/>
              <w:right w:val="nil"/>
            </w:tcBorders>
            <w:shd w:val="clear" w:color="auto" w:fill="auto"/>
            <w:noWrap/>
            <w:vAlign w:val="bottom"/>
            <w:hideMark/>
          </w:tcPr>
          <w:p w14:paraId="3F58BAE1" w14:textId="77777777" w:rsidR="00AD57B3" w:rsidRPr="00AD57B3" w:rsidRDefault="00AD57B3" w:rsidP="00AD57B3">
            <w:pPr>
              <w:spacing w:before="0" w:after="0" w:line="240" w:lineRule="auto"/>
              <w:jc w:val="right"/>
              <w:rPr>
                <w:rFonts w:ascii="Arial" w:hAnsi="Arial" w:cs="Arial"/>
                <w:b/>
                <w:bCs/>
                <w:sz w:val="16"/>
                <w:szCs w:val="16"/>
              </w:rPr>
            </w:pPr>
            <w:r w:rsidRPr="00AD57B3">
              <w:rPr>
                <w:rFonts w:ascii="Arial" w:hAnsi="Arial" w:cs="Arial"/>
                <w:b/>
                <w:bCs/>
                <w:sz w:val="16"/>
                <w:szCs w:val="16"/>
              </w:rPr>
              <w:t>62,013</w:t>
            </w:r>
          </w:p>
        </w:tc>
      </w:tr>
      <w:tr w:rsidR="00AD57B3" w:rsidRPr="00AD57B3" w14:paraId="78A4AF9D" w14:textId="77777777" w:rsidTr="00AD57B3">
        <w:trPr>
          <w:trHeight w:val="225"/>
          <w:jc w:val="center"/>
        </w:trPr>
        <w:tc>
          <w:tcPr>
            <w:tcW w:w="3080" w:type="dxa"/>
            <w:tcBorders>
              <w:top w:val="nil"/>
              <w:left w:val="nil"/>
              <w:bottom w:val="nil"/>
              <w:right w:val="nil"/>
            </w:tcBorders>
            <w:shd w:val="clear" w:color="auto" w:fill="auto"/>
            <w:noWrap/>
            <w:vAlign w:val="bottom"/>
            <w:hideMark/>
          </w:tcPr>
          <w:p w14:paraId="657C19DF" w14:textId="77777777" w:rsidR="00AD57B3" w:rsidRPr="00AD57B3" w:rsidRDefault="00AD57B3" w:rsidP="00AD57B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4F96A09" w14:textId="77777777" w:rsidR="00AD57B3" w:rsidRPr="00AD57B3" w:rsidRDefault="00AD57B3" w:rsidP="00AD57B3">
            <w:pPr>
              <w:spacing w:before="0" w:after="0" w:line="240" w:lineRule="auto"/>
              <w:ind w:firstLineChars="100" w:firstLine="200"/>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F65B5EF" w14:textId="77777777" w:rsidR="00AD57B3" w:rsidRPr="00AD57B3" w:rsidRDefault="00AD57B3" w:rsidP="00AD57B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0C01636D" w14:textId="77777777" w:rsidR="00AD57B3" w:rsidRPr="00AD57B3" w:rsidRDefault="00AD57B3" w:rsidP="00AD57B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2C4FF8A8" w14:textId="77777777" w:rsidR="00AD57B3" w:rsidRPr="00AD57B3" w:rsidRDefault="00AD57B3" w:rsidP="00AD57B3">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13031761" w14:textId="77777777" w:rsidR="00AD57B3" w:rsidRPr="00AD57B3" w:rsidRDefault="00AD57B3" w:rsidP="00AD57B3">
            <w:pPr>
              <w:spacing w:before="0" w:after="0" w:line="240" w:lineRule="auto"/>
              <w:rPr>
                <w:rFonts w:ascii="Times New Roman" w:hAnsi="Times New Roman"/>
                <w:sz w:val="20"/>
              </w:rPr>
            </w:pPr>
          </w:p>
        </w:tc>
      </w:tr>
      <w:tr w:rsidR="00AD57B3" w:rsidRPr="00AD57B3" w14:paraId="05B0ECCD" w14:textId="77777777" w:rsidTr="002401F0">
        <w:trPr>
          <w:trHeight w:val="425"/>
          <w:jc w:val="center"/>
        </w:trPr>
        <w:tc>
          <w:tcPr>
            <w:tcW w:w="3080" w:type="dxa"/>
            <w:tcBorders>
              <w:top w:val="single" w:sz="4" w:space="0" w:color="auto"/>
              <w:left w:val="nil"/>
              <w:bottom w:val="nil"/>
              <w:right w:val="nil"/>
            </w:tcBorders>
            <w:shd w:val="clear" w:color="auto" w:fill="auto"/>
            <w:noWrap/>
            <w:vAlign w:val="bottom"/>
            <w:hideMark/>
          </w:tcPr>
          <w:p w14:paraId="60F20FE5" w14:textId="77777777" w:rsidR="00AD57B3" w:rsidRPr="00AD57B3" w:rsidRDefault="00AD57B3" w:rsidP="00AD57B3">
            <w:pPr>
              <w:spacing w:before="0" w:after="0" w:line="240" w:lineRule="auto"/>
              <w:rPr>
                <w:rFonts w:ascii="Arial" w:hAnsi="Arial" w:cs="Arial"/>
                <w:color w:val="000000"/>
                <w:sz w:val="16"/>
                <w:szCs w:val="16"/>
              </w:rPr>
            </w:pPr>
            <w:r w:rsidRPr="00AD57B3">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4158B9C1" w14:textId="7038947E" w:rsidR="00AD57B3" w:rsidRPr="00AD57B3" w:rsidRDefault="00AD57B3" w:rsidP="00AD57B3">
            <w:pPr>
              <w:spacing w:before="0" w:after="0" w:line="240" w:lineRule="auto"/>
              <w:jc w:val="right"/>
              <w:rPr>
                <w:rFonts w:ascii="Arial" w:hAnsi="Arial" w:cs="Arial"/>
                <w:b/>
                <w:bCs/>
                <w:sz w:val="16"/>
                <w:szCs w:val="16"/>
              </w:rPr>
            </w:pPr>
            <w:r>
              <w:rPr>
                <w:rFonts w:ascii="Arial" w:hAnsi="Arial" w:cs="Arial"/>
                <w:b/>
                <w:bCs/>
                <w:sz w:val="16"/>
                <w:szCs w:val="16"/>
              </w:rPr>
              <w:t>2022–</w:t>
            </w:r>
            <w:r w:rsidRPr="00AD57B3">
              <w:rPr>
                <w:rFonts w:ascii="Arial" w:hAnsi="Arial" w:cs="Arial"/>
                <w:b/>
                <w:bCs/>
                <w:sz w:val="16"/>
                <w:szCs w:val="16"/>
              </w:rPr>
              <w:t>23</w:t>
            </w:r>
            <w:r w:rsidRPr="00AD57B3">
              <w:rPr>
                <w:rFonts w:ascii="Arial" w:hAnsi="Arial" w:cs="Arial"/>
                <w:b/>
                <w:bCs/>
                <w:sz w:val="16"/>
                <w:szCs w:val="16"/>
              </w:rPr>
              <w:br/>
              <w:t>Actual</w:t>
            </w:r>
          </w:p>
        </w:tc>
        <w:tc>
          <w:tcPr>
            <w:tcW w:w="960" w:type="dxa"/>
            <w:tcBorders>
              <w:top w:val="single" w:sz="4" w:space="0" w:color="auto"/>
              <w:left w:val="nil"/>
              <w:bottom w:val="single" w:sz="4" w:space="0" w:color="auto"/>
              <w:right w:val="nil"/>
            </w:tcBorders>
            <w:shd w:val="clear" w:color="000000" w:fill="D9D9D9"/>
            <w:vAlign w:val="bottom"/>
            <w:hideMark/>
          </w:tcPr>
          <w:p w14:paraId="03DAFABB" w14:textId="3A3B9716" w:rsidR="00AD57B3" w:rsidRPr="00AD57B3" w:rsidRDefault="00AD57B3" w:rsidP="00AD57B3">
            <w:pPr>
              <w:spacing w:before="0" w:after="0" w:line="240" w:lineRule="auto"/>
              <w:jc w:val="right"/>
              <w:rPr>
                <w:rFonts w:ascii="Arial" w:hAnsi="Arial" w:cs="Arial"/>
                <w:b/>
                <w:bCs/>
                <w:sz w:val="16"/>
                <w:szCs w:val="16"/>
              </w:rPr>
            </w:pPr>
            <w:r>
              <w:rPr>
                <w:rFonts w:ascii="Arial" w:hAnsi="Arial" w:cs="Arial"/>
                <w:b/>
                <w:bCs/>
                <w:sz w:val="16"/>
                <w:szCs w:val="16"/>
              </w:rPr>
              <w:t>2023–</w:t>
            </w:r>
            <w:r w:rsidRPr="00AD57B3">
              <w:rPr>
                <w:rFonts w:ascii="Arial" w:hAnsi="Arial" w:cs="Arial"/>
                <w:b/>
                <w:bCs/>
                <w:sz w:val="16"/>
                <w:szCs w:val="16"/>
              </w:rPr>
              <w:t>24</w:t>
            </w:r>
            <w:r w:rsidRPr="00AD57B3">
              <w:rPr>
                <w:rFonts w:ascii="Arial" w:hAnsi="Arial" w:cs="Arial"/>
                <w:b/>
                <w:bCs/>
                <w:sz w:val="16"/>
                <w:szCs w:val="16"/>
              </w:rPr>
              <w:br/>
              <w:t>Revised</w:t>
            </w:r>
          </w:p>
        </w:tc>
        <w:tc>
          <w:tcPr>
            <w:tcW w:w="960" w:type="dxa"/>
            <w:tcBorders>
              <w:top w:val="nil"/>
              <w:left w:val="nil"/>
              <w:bottom w:val="nil"/>
              <w:right w:val="nil"/>
            </w:tcBorders>
            <w:shd w:val="clear" w:color="auto" w:fill="auto"/>
            <w:noWrap/>
            <w:vAlign w:val="center"/>
            <w:hideMark/>
          </w:tcPr>
          <w:p w14:paraId="02D194B4" w14:textId="77777777" w:rsidR="00AD57B3" w:rsidRPr="00AD57B3" w:rsidRDefault="00AD57B3" w:rsidP="00AD57B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center"/>
            <w:hideMark/>
          </w:tcPr>
          <w:p w14:paraId="3D427CC8" w14:textId="77777777" w:rsidR="00AD57B3" w:rsidRPr="00AD57B3" w:rsidRDefault="00AD57B3" w:rsidP="00AD57B3">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3AB9D1C3" w14:textId="77777777" w:rsidR="00AD57B3" w:rsidRPr="00AD57B3" w:rsidRDefault="00AD57B3" w:rsidP="00AD57B3">
            <w:pPr>
              <w:spacing w:before="0" w:after="0" w:line="240" w:lineRule="auto"/>
              <w:rPr>
                <w:rFonts w:ascii="Times New Roman" w:hAnsi="Times New Roman"/>
                <w:sz w:val="20"/>
              </w:rPr>
            </w:pPr>
          </w:p>
        </w:tc>
      </w:tr>
      <w:tr w:rsidR="00AD57B3" w:rsidRPr="00AD57B3" w14:paraId="488E776D" w14:textId="77777777" w:rsidTr="00AD57B3">
        <w:trPr>
          <w:trHeight w:val="225"/>
          <w:jc w:val="center"/>
        </w:trPr>
        <w:tc>
          <w:tcPr>
            <w:tcW w:w="3080" w:type="dxa"/>
            <w:tcBorders>
              <w:top w:val="nil"/>
              <w:left w:val="nil"/>
              <w:bottom w:val="single" w:sz="4" w:space="0" w:color="auto"/>
              <w:right w:val="nil"/>
            </w:tcBorders>
            <w:shd w:val="clear" w:color="auto" w:fill="auto"/>
            <w:noWrap/>
            <w:vAlign w:val="bottom"/>
            <w:hideMark/>
          </w:tcPr>
          <w:p w14:paraId="6F792878" w14:textId="77777777" w:rsidR="00AD57B3" w:rsidRPr="00AD57B3" w:rsidRDefault="00AD57B3" w:rsidP="00AD57B3">
            <w:pPr>
              <w:spacing w:before="0" w:after="0" w:line="240" w:lineRule="auto"/>
              <w:rPr>
                <w:rFonts w:ascii="Arial" w:hAnsi="Arial" w:cs="Arial"/>
                <w:b/>
                <w:bCs/>
                <w:color w:val="000000"/>
                <w:sz w:val="16"/>
                <w:szCs w:val="16"/>
              </w:rPr>
            </w:pPr>
            <w:r w:rsidRPr="00AD57B3">
              <w:rPr>
                <w:rFonts w:ascii="Arial" w:hAnsi="Arial" w:cs="Arial"/>
                <w:b/>
                <w:bCs/>
                <w:color w:val="000000"/>
                <w:sz w:val="16"/>
                <w:szCs w:val="16"/>
              </w:rPr>
              <w:t xml:space="preserve">Average </w:t>
            </w:r>
            <w:r w:rsidRPr="00AD57B3">
              <w:rPr>
                <w:rFonts w:ascii="Arial" w:hAnsi="Arial" w:cs="Arial"/>
                <w:b/>
                <w:bCs/>
                <w:sz w:val="16"/>
                <w:szCs w:val="16"/>
              </w:rPr>
              <w:t>s</w:t>
            </w:r>
            <w:r w:rsidRPr="00AD57B3">
              <w:rPr>
                <w:rFonts w:ascii="Arial" w:hAnsi="Arial" w:cs="Arial"/>
                <w:b/>
                <w:bCs/>
                <w:color w:val="000000"/>
                <w:sz w:val="16"/>
                <w:szCs w:val="16"/>
              </w:rPr>
              <w:t xml:space="preserve">taffing </w:t>
            </w:r>
            <w:r w:rsidRPr="00AD57B3">
              <w:rPr>
                <w:rFonts w:ascii="Arial" w:hAnsi="Arial" w:cs="Arial"/>
                <w:b/>
                <w:bCs/>
                <w:sz w:val="16"/>
                <w:szCs w:val="16"/>
              </w:rPr>
              <w:t>l</w:t>
            </w:r>
            <w:r w:rsidRPr="00AD57B3">
              <w:rPr>
                <w:rFonts w:ascii="Arial" w:hAnsi="Arial" w:cs="Arial"/>
                <w:b/>
                <w:bCs/>
                <w:color w:val="000000"/>
                <w:sz w:val="16"/>
                <w:szCs w:val="16"/>
              </w:rPr>
              <w:t>evel (number)</w:t>
            </w:r>
          </w:p>
        </w:tc>
        <w:tc>
          <w:tcPr>
            <w:tcW w:w="960" w:type="dxa"/>
            <w:tcBorders>
              <w:top w:val="nil"/>
              <w:left w:val="nil"/>
              <w:bottom w:val="single" w:sz="4" w:space="0" w:color="auto"/>
              <w:right w:val="nil"/>
            </w:tcBorders>
            <w:shd w:val="clear" w:color="auto" w:fill="auto"/>
            <w:noWrap/>
            <w:vAlign w:val="bottom"/>
            <w:hideMark/>
          </w:tcPr>
          <w:p w14:paraId="1612860C"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28</w:t>
            </w:r>
          </w:p>
        </w:tc>
        <w:tc>
          <w:tcPr>
            <w:tcW w:w="960" w:type="dxa"/>
            <w:tcBorders>
              <w:top w:val="nil"/>
              <w:left w:val="nil"/>
              <w:bottom w:val="single" w:sz="4" w:space="0" w:color="auto"/>
              <w:right w:val="nil"/>
            </w:tcBorders>
            <w:shd w:val="clear" w:color="000000" w:fill="D9D9D9"/>
            <w:noWrap/>
            <w:vAlign w:val="bottom"/>
            <w:hideMark/>
          </w:tcPr>
          <w:p w14:paraId="5FAD36FA" w14:textId="77777777" w:rsidR="00AD57B3" w:rsidRPr="00AD57B3" w:rsidRDefault="00AD57B3" w:rsidP="00AD57B3">
            <w:pPr>
              <w:spacing w:before="0" w:after="0" w:line="240" w:lineRule="auto"/>
              <w:jc w:val="right"/>
              <w:rPr>
                <w:rFonts w:ascii="Arial" w:hAnsi="Arial" w:cs="Arial"/>
                <w:sz w:val="16"/>
                <w:szCs w:val="16"/>
              </w:rPr>
            </w:pPr>
            <w:r w:rsidRPr="00AD57B3">
              <w:rPr>
                <w:rFonts w:ascii="Arial" w:hAnsi="Arial" w:cs="Arial"/>
                <w:sz w:val="16"/>
                <w:szCs w:val="16"/>
              </w:rPr>
              <w:t>30</w:t>
            </w:r>
          </w:p>
        </w:tc>
        <w:tc>
          <w:tcPr>
            <w:tcW w:w="960" w:type="dxa"/>
            <w:tcBorders>
              <w:top w:val="nil"/>
              <w:left w:val="nil"/>
              <w:bottom w:val="nil"/>
              <w:right w:val="nil"/>
            </w:tcBorders>
            <w:shd w:val="clear" w:color="auto" w:fill="auto"/>
            <w:noWrap/>
            <w:vAlign w:val="center"/>
            <w:hideMark/>
          </w:tcPr>
          <w:p w14:paraId="1322ECA4" w14:textId="77777777" w:rsidR="00AD57B3" w:rsidRPr="00AD57B3" w:rsidRDefault="00AD57B3" w:rsidP="00AD57B3">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center"/>
            <w:hideMark/>
          </w:tcPr>
          <w:p w14:paraId="3DDCFE8F" w14:textId="77777777" w:rsidR="00AD57B3" w:rsidRPr="00AD57B3" w:rsidRDefault="00AD57B3" w:rsidP="00AD57B3">
            <w:pPr>
              <w:spacing w:before="0" w:after="0" w:line="240" w:lineRule="auto"/>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621E8984" w14:textId="77777777" w:rsidR="00AD57B3" w:rsidRPr="00AD57B3" w:rsidRDefault="00AD57B3" w:rsidP="00AD57B3">
            <w:pPr>
              <w:spacing w:before="0" w:after="0" w:line="240" w:lineRule="auto"/>
              <w:rPr>
                <w:rFonts w:ascii="Times New Roman" w:hAnsi="Times New Roman"/>
                <w:sz w:val="20"/>
              </w:rPr>
            </w:pPr>
          </w:p>
        </w:tc>
      </w:tr>
    </w:tbl>
    <w:p w14:paraId="5F38609F" w14:textId="3CC46284" w:rsidR="0078761D" w:rsidRPr="0078761D" w:rsidRDefault="0078761D" w:rsidP="0078761D">
      <w:pPr>
        <w:pStyle w:val="FootnoteText"/>
        <w:spacing w:before="120"/>
      </w:pPr>
      <w:r w:rsidRPr="0078761D">
        <w:rPr>
          <w:vertAlign w:val="superscript"/>
        </w:rPr>
        <w:t>(a)</w:t>
      </w:r>
      <w:r w:rsidRPr="0078761D">
        <w:t xml:space="preserve"> </w:t>
      </w:r>
      <w:r>
        <w:tab/>
      </w:r>
      <w:r w:rsidRPr="0078761D">
        <w:rPr>
          <w:i/>
        </w:rPr>
        <w:t>Appropriation Act (No. 1) 2023–24</w:t>
      </w:r>
      <w:r w:rsidRPr="0078761D">
        <w:t xml:space="preserve">, </w:t>
      </w:r>
      <w:r>
        <w:t xml:space="preserve">Appropriation Bill (No. 3) 2023–24 and associated Bills. </w:t>
      </w:r>
    </w:p>
    <w:p w14:paraId="10DF8C8E" w14:textId="0A10E597" w:rsidR="0078761D" w:rsidRPr="0078761D" w:rsidRDefault="0078761D" w:rsidP="0078761D">
      <w:pPr>
        <w:pStyle w:val="FootnoteText"/>
      </w:pPr>
      <w:r w:rsidRPr="0078761D">
        <w:rPr>
          <w:vertAlign w:val="superscript"/>
        </w:rPr>
        <w:t>(b)</w:t>
      </w:r>
      <w:r w:rsidRPr="0078761D">
        <w:t xml:space="preserve"> </w:t>
      </w:r>
      <w:r>
        <w:tab/>
      </w:r>
      <w:r w:rsidRPr="0078761D">
        <w:t>Departmental appropriation combines 'Ordinary annual services' and 'Revenue from independent sources' (s74).</w:t>
      </w:r>
    </w:p>
    <w:p w14:paraId="5049CFA4" w14:textId="7D45179B" w:rsidR="00AD57B3" w:rsidRPr="0078761D" w:rsidRDefault="0078761D" w:rsidP="0078761D">
      <w:pPr>
        <w:pStyle w:val="FootnoteText"/>
      </w:pPr>
      <w:r w:rsidRPr="0078761D">
        <w:rPr>
          <w:vertAlign w:val="superscript"/>
        </w:rPr>
        <w:t>(c)</w:t>
      </w:r>
      <w:r w:rsidRPr="0078761D">
        <w:t xml:space="preserve"> </w:t>
      </w:r>
      <w:r>
        <w:tab/>
      </w:r>
      <w:r w:rsidRPr="0078761D">
        <w:t>Expenses not requiring appropriation in the Budget year are made up of depreciation expense, amortisation expense, makegood expense and audit fees.</w:t>
      </w:r>
    </w:p>
    <w:p w14:paraId="0529A499" w14:textId="77777777" w:rsidR="00603F85" w:rsidRDefault="00603F85" w:rsidP="00603F85">
      <w:pPr>
        <w:pStyle w:val="TableGraphic"/>
        <w:rPr>
          <w:iCs/>
        </w:rPr>
      </w:pPr>
    </w:p>
    <w:p w14:paraId="4C6CFEC0" w14:textId="01C26CFF" w:rsidR="00603F85" w:rsidRPr="003C6968" w:rsidRDefault="00603F85" w:rsidP="00603F85">
      <w:pPr>
        <w:pStyle w:val="Heading5"/>
        <w:rPr>
          <w:b/>
          <w:i w:val="0"/>
        </w:rPr>
      </w:pPr>
      <w:r w:rsidRPr="003C6968">
        <w:rPr>
          <w:b/>
          <w:i w:val="0"/>
        </w:rPr>
        <w:t>Performance measure</w:t>
      </w:r>
      <w:r w:rsidR="005D20A2" w:rsidRPr="003C6968">
        <w:rPr>
          <w:b/>
          <w:i w:val="0"/>
        </w:rPr>
        <w:t xml:space="preserve"> for </w:t>
      </w:r>
      <w:r w:rsidR="00B6537D">
        <w:rPr>
          <w:b/>
          <w:i w:val="0"/>
        </w:rPr>
        <w:t>the OTA</w:t>
      </w:r>
    </w:p>
    <w:p w14:paraId="42C9236B" w14:textId="7F5892BA" w:rsidR="005D20A2" w:rsidRPr="004836FA" w:rsidRDefault="005D20A2" w:rsidP="005D20A2">
      <w:pPr>
        <w:pStyle w:val="ChartandTableFootnoteAlpha"/>
        <w:numPr>
          <w:ilvl w:val="0"/>
          <w:numId w:val="0"/>
        </w:numPr>
        <w:rPr>
          <w:rFonts w:ascii="Book Antiqua" w:hAnsi="Book Antiqua"/>
          <w:color w:val="auto"/>
          <w:sz w:val="20"/>
        </w:rPr>
      </w:pPr>
      <w:r w:rsidRPr="003C6968">
        <w:rPr>
          <w:rFonts w:ascii="Book Antiqua" w:hAnsi="Book Antiqua"/>
          <w:color w:val="auto"/>
          <w:sz w:val="20"/>
        </w:rPr>
        <w:t xml:space="preserve">There have been no changes to performance information for the OTA since the </w:t>
      </w:r>
      <w:r w:rsidR="004836FA">
        <w:rPr>
          <w:rFonts w:ascii="Book Antiqua" w:hAnsi="Book Antiqua"/>
          <w:color w:val="auto"/>
          <w:sz w:val="20"/>
        </w:rPr>
        <w:br/>
      </w:r>
      <w:r w:rsidRPr="003C6968">
        <w:rPr>
          <w:rFonts w:ascii="Book Antiqua" w:hAnsi="Book Antiqua"/>
          <w:color w:val="auto"/>
          <w:sz w:val="20"/>
        </w:rPr>
        <w:t>2023–24 Budget which require new or modified per</w:t>
      </w:r>
      <w:r w:rsidR="00646FDA">
        <w:rPr>
          <w:rFonts w:ascii="Book Antiqua" w:hAnsi="Book Antiqua"/>
          <w:color w:val="auto"/>
          <w:sz w:val="20"/>
        </w:rPr>
        <w:t xml:space="preserve">formance </w:t>
      </w:r>
      <w:r w:rsidR="00646FDA" w:rsidRPr="00A76841">
        <w:rPr>
          <w:rFonts w:ascii="Book Antiqua" w:hAnsi="Book Antiqua" w:cs="BookAntiqua"/>
          <w:sz w:val="20"/>
        </w:rPr>
        <w:t>measures</w:t>
      </w:r>
      <w:r w:rsidRPr="003C6968">
        <w:rPr>
          <w:rFonts w:ascii="Book Antiqua" w:hAnsi="Book Antiqua"/>
          <w:color w:val="auto"/>
          <w:sz w:val="20"/>
        </w:rPr>
        <w:t xml:space="preserve">. Refer page 409 of the </w:t>
      </w:r>
      <w:r w:rsidRPr="00736AFA">
        <w:rPr>
          <w:rFonts w:ascii="Book Antiqua" w:hAnsi="Book Antiqua"/>
          <w:i/>
          <w:color w:val="auto"/>
          <w:sz w:val="20"/>
        </w:rPr>
        <w:t>Health and Aged Care Portfolio Budget Statements 2023–24</w:t>
      </w:r>
      <w:r w:rsidRPr="003C6968">
        <w:rPr>
          <w:rFonts w:ascii="Book Antiqua" w:hAnsi="Book Antiqua"/>
          <w:color w:val="auto"/>
          <w:sz w:val="20"/>
        </w:rPr>
        <w:t xml:space="preserve"> for current performance information.</w:t>
      </w:r>
      <w:r w:rsidR="00646FDA">
        <w:rPr>
          <w:rFonts w:ascii="Book Antiqua" w:hAnsi="Book Antiqua"/>
          <w:color w:val="auto"/>
          <w:sz w:val="20"/>
        </w:rPr>
        <w:t xml:space="preserve"> </w:t>
      </w:r>
    </w:p>
    <w:p w14:paraId="684F4F86" w14:textId="52E79296" w:rsidR="00603F85" w:rsidRPr="00E41681" w:rsidRDefault="00603F85" w:rsidP="00603F85">
      <w:pPr>
        <w:pStyle w:val="Heading2-TOC"/>
      </w:pPr>
      <w:r>
        <w:rPr>
          <w:lang w:val="en-GB"/>
        </w:rPr>
        <w:br w:type="page"/>
      </w:r>
      <w:r w:rsidR="00B4485A">
        <w:fldChar w:fldCharType="begin"/>
      </w:r>
      <w:r w:rsidR="00B4485A">
        <w:instrText xml:space="preserve"> </w:instrText>
      </w:r>
      <w:proofErr w:type="gramStart"/>
      <w:r w:rsidR="00B4485A">
        <w:instrText>TC  "</w:instrText>
      </w:r>
      <w:bookmarkStart w:id="519" w:name="_Toc157591452"/>
      <w:proofErr w:type="gramEnd"/>
      <w:r w:rsidR="00B4485A">
        <w:instrText>Section 3: Special account flows and budgeted financial statements</w:instrText>
      </w:r>
      <w:bookmarkEnd w:id="519"/>
      <w:r w:rsidR="00B4485A">
        <w:instrText xml:space="preserve">" \f </w:instrText>
      </w:r>
      <w:proofErr w:type="spellStart"/>
      <w:r w:rsidR="00B4485A">
        <w:instrText>ota</w:instrText>
      </w:r>
      <w:proofErr w:type="spellEnd"/>
      <w:r w:rsidR="00B4485A">
        <w:instrText xml:space="preserve"> \l 1 </w:instrText>
      </w:r>
      <w:r w:rsidR="00B4485A">
        <w:fldChar w:fldCharType="end"/>
      </w:r>
      <w:bookmarkStart w:id="520" w:name="_Toc157592031"/>
      <w:bookmarkStart w:id="521" w:name="_Toc157592214"/>
      <w:r w:rsidRPr="00E41681">
        <w:t>Section 3: Special account flows and budgeted financial statements</w:t>
      </w:r>
      <w:bookmarkEnd w:id="520"/>
      <w:bookmarkEnd w:id="521"/>
    </w:p>
    <w:p w14:paraId="45AAC376" w14:textId="3EF3E02C" w:rsidR="00603F85" w:rsidRPr="004D3E2B" w:rsidRDefault="00B4485A" w:rsidP="00603F85">
      <w:pPr>
        <w:pStyle w:val="Heading3"/>
      </w:pPr>
      <w:r>
        <w:fldChar w:fldCharType="begin"/>
      </w:r>
      <w:r>
        <w:instrText xml:space="preserve"> </w:instrText>
      </w:r>
      <w:proofErr w:type="gramStart"/>
      <w:r>
        <w:instrText>TC  "</w:instrText>
      </w:r>
      <w:bookmarkStart w:id="522" w:name="_Toc157591453"/>
      <w:proofErr w:type="gramEnd"/>
      <w:r>
        <w:instrText>3.1</w:instrText>
      </w:r>
      <w:r>
        <w:tab/>
        <w:instrText>Special account flows and balances</w:instrText>
      </w:r>
      <w:bookmarkEnd w:id="522"/>
      <w:r>
        <w:instrText xml:space="preserve">" \f </w:instrText>
      </w:r>
      <w:proofErr w:type="spellStart"/>
      <w:r>
        <w:instrText>ota</w:instrText>
      </w:r>
      <w:proofErr w:type="spellEnd"/>
      <w:r>
        <w:instrText xml:space="preserve"> \l 2 </w:instrText>
      </w:r>
      <w:r>
        <w:fldChar w:fldCharType="end"/>
      </w:r>
      <w:bookmarkStart w:id="523" w:name="_Toc157592032"/>
      <w:bookmarkStart w:id="524" w:name="_Toc157592215"/>
      <w:r w:rsidR="00603F85" w:rsidRPr="004D3E2B">
        <w:t>3.1</w:t>
      </w:r>
      <w:r w:rsidR="00603F85" w:rsidRPr="004D3E2B">
        <w:tab/>
        <w:t>Special account flows</w:t>
      </w:r>
      <w:r w:rsidR="00603F85">
        <w:t xml:space="preserve"> and balances</w:t>
      </w:r>
      <w:bookmarkEnd w:id="523"/>
      <w:bookmarkEnd w:id="524"/>
    </w:p>
    <w:p w14:paraId="43196267" w14:textId="77777777" w:rsidR="00603F85" w:rsidRDefault="00603F85" w:rsidP="00603F85">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4E89E434" w14:textId="5A68C686" w:rsidR="00603F85" w:rsidRPr="009F6003" w:rsidRDefault="006A45F7" w:rsidP="006A45F7">
      <w:pPr>
        <w:pStyle w:val="Heading3"/>
        <w:rPr>
          <w:sz w:val="20"/>
        </w:rPr>
      </w:pPr>
      <w:bookmarkStart w:id="525" w:name="_Toc157592033"/>
      <w:bookmarkStart w:id="526" w:name="_Toc157592216"/>
      <w:r w:rsidRPr="009F6003">
        <w:rPr>
          <w:rFonts w:ascii="Book Antiqua" w:hAnsi="Book Antiqua"/>
          <w:b w:val="0"/>
          <w:sz w:val="20"/>
        </w:rPr>
        <w:t>Table 3.1 is not applicable to the OTA in 2023–24 as it does not manage any special accounts.</w:t>
      </w:r>
      <w:bookmarkEnd w:id="525"/>
      <w:bookmarkEnd w:id="526"/>
    </w:p>
    <w:p w14:paraId="1B04767C" w14:textId="3C8BBB74" w:rsidR="00603F85" w:rsidRDefault="00B4485A" w:rsidP="006A45F7">
      <w:pPr>
        <w:pStyle w:val="Heading3"/>
        <w:spacing w:before="240"/>
      </w:pPr>
      <w:r>
        <w:fldChar w:fldCharType="begin"/>
      </w:r>
      <w:r>
        <w:instrText xml:space="preserve"> </w:instrText>
      </w:r>
      <w:proofErr w:type="gramStart"/>
      <w:r>
        <w:instrText>TC  "</w:instrText>
      </w:r>
      <w:bookmarkStart w:id="527" w:name="_Toc157591454"/>
      <w:proofErr w:type="gramEnd"/>
      <w:r>
        <w:instrText>3.2</w:instrText>
      </w:r>
      <w:r>
        <w:tab/>
        <w:instrText>Budgeted financial statements</w:instrText>
      </w:r>
      <w:bookmarkEnd w:id="527"/>
      <w:r>
        <w:instrText xml:space="preserve">" \f </w:instrText>
      </w:r>
      <w:proofErr w:type="spellStart"/>
      <w:r>
        <w:instrText>ota</w:instrText>
      </w:r>
      <w:proofErr w:type="spellEnd"/>
      <w:r>
        <w:instrText xml:space="preserve"> \l 2 </w:instrText>
      </w:r>
      <w:r>
        <w:fldChar w:fldCharType="end"/>
      </w:r>
      <w:bookmarkStart w:id="528" w:name="_Toc157592034"/>
      <w:bookmarkStart w:id="529" w:name="_Toc157592217"/>
      <w:r w:rsidR="00603F85" w:rsidRPr="005554F9">
        <w:t>3.2</w:t>
      </w:r>
      <w:r w:rsidR="00603F85">
        <w:tab/>
        <w:t>Budgeted financial statements</w:t>
      </w:r>
      <w:bookmarkEnd w:id="528"/>
      <w:bookmarkEnd w:id="529"/>
    </w:p>
    <w:p w14:paraId="1542337D" w14:textId="77777777" w:rsidR="00603F85" w:rsidRPr="004928FF" w:rsidRDefault="00603F85" w:rsidP="00603F85">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42C37A40" w14:textId="77777777" w:rsidR="00B8010C" w:rsidRPr="009C1612" w:rsidRDefault="00B8010C" w:rsidP="00B8010C">
      <w:pPr>
        <w:pStyle w:val="Heading4"/>
        <w:spacing w:before="120"/>
        <w:rPr>
          <w:rFonts w:ascii="Arial" w:hAnsi="Arial" w:cs="Arial"/>
          <w:sz w:val="22"/>
        </w:rPr>
      </w:pPr>
      <w:r w:rsidRPr="009C1612">
        <w:rPr>
          <w:rFonts w:ascii="Arial" w:hAnsi="Arial" w:cs="Arial"/>
          <w:sz w:val="22"/>
        </w:rPr>
        <w:t xml:space="preserve">Departmental resources </w:t>
      </w:r>
    </w:p>
    <w:p w14:paraId="6035B78D" w14:textId="48A4304D" w:rsidR="00B8010C" w:rsidRPr="00B8010C" w:rsidRDefault="00B8010C" w:rsidP="00B8010C">
      <w:pPr>
        <w:pStyle w:val="Heading4"/>
        <w:rPr>
          <w:rFonts w:ascii="Book Antiqua" w:hAnsi="Book Antiqua"/>
          <w:b w:val="0"/>
        </w:rPr>
      </w:pPr>
      <w:r w:rsidRPr="00B8010C">
        <w:rPr>
          <w:rFonts w:ascii="Book Antiqua" w:hAnsi="Book Antiqua"/>
          <w:b w:val="0"/>
        </w:rPr>
        <w:t>For the Budget and forward years, the OTA is expecting a break-even position net of unfunded depreciation and</w:t>
      </w:r>
      <w:r>
        <w:rPr>
          <w:rFonts w:ascii="Book Antiqua" w:hAnsi="Book Antiqua"/>
          <w:b w:val="0"/>
        </w:rPr>
        <w:t xml:space="preserve"> amortisation expenses. In 2023–</w:t>
      </w:r>
      <w:r w:rsidRPr="00B8010C">
        <w:rPr>
          <w:rFonts w:ascii="Book Antiqua" w:hAnsi="Book Antiqua"/>
          <w:b w:val="0"/>
        </w:rPr>
        <w:t>24 the OTA has appropriation revenue of $7.037 million and total expenses are estimated at $7.273 million. This amount includes a reclassification of $0.5 million from administered to departmental resourcing to primarily support a modern digital communications function which is key to increasing the number of Australian's who are registered organ donors.</w:t>
      </w:r>
    </w:p>
    <w:p w14:paraId="07CF85F3" w14:textId="77777777" w:rsidR="00B8010C" w:rsidRPr="009C1612" w:rsidRDefault="00B8010C" w:rsidP="00B8010C">
      <w:pPr>
        <w:pStyle w:val="Heading4"/>
        <w:rPr>
          <w:rFonts w:ascii="Arial" w:hAnsi="Arial" w:cs="Arial"/>
        </w:rPr>
      </w:pPr>
      <w:r w:rsidRPr="009C1612">
        <w:rPr>
          <w:rFonts w:ascii="Arial" w:hAnsi="Arial" w:cs="Arial"/>
        </w:rPr>
        <w:t>Balance Sheet</w:t>
      </w:r>
    </w:p>
    <w:p w14:paraId="3F527A11" w14:textId="77777777" w:rsidR="00B8010C" w:rsidRPr="00B8010C" w:rsidRDefault="00B8010C" w:rsidP="00985640">
      <w:pPr>
        <w:pStyle w:val="Heading4"/>
        <w:spacing w:before="120"/>
        <w:rPr>
          <w:rFonts w:ascii="Book Antiqua" w:hAnsi="Book Antiqua"/>
          <w:b w:val="0"/>
        </w:rPr>
      </w:pPr>
      <w:r w:rsidRPr="00B8010C">
        <w:rPr>
          <w:rFonts w:ascii="Book Antiqua" w:hAnsi="Book Antiqua"/>
          <w:b w:val="0"/>
        </w:rPr>
        <w:t>The OTA’s net assets are expected to remain relatively stable across the forward years.</w:t>
      </w:r>
    </w:p>
    <w:p w14:paraId="5A21C041" w14:textId="77777777" w:rsidR="00B8010C" w:rsidRPr="009C1612" w:rsidRDefault="00B8010C" w:rsidP="00B8010C">
      <w:pPr>
        <w:pStyle w:val="Heading4"/>
        <w:rPr>
          <w:rFonts w:ascii="Arial" w:hAnsi="Arial" w:cs="Arial"/>
          <w:sz w:val="22"/>
          <w:szCs w:val="22"/>
        </w:rPr>
      </w:pPr>
      <w:r w:rsidRPr="009C1612">
        <w:rPr>
          <w:rFonts w:ascii="Arial" w:hAnsi="Arial" w:cs="Arial"/>
          <w:sz w:val="22"/>
          <w:szCs w:val="22"/>
        </w:rPr>
        <w:t xml:space="preserve">Administered </w:t>
      </w:r>
      <w:proofErr w:type="gramStart"/>
      <w:r w:rsidRPr="009C1612">
        <w:rPr>
          <w:rFonts w:ascii="Arial" w:hAnsi="Arial" w:cs="Arial"/>
          <w:sz w:val="22"/>
          <w:szCs w:val="22"/>
        </w:rPr>
        <w:t>resources</w:t>
      </w:r>
      <w:proofErr w:type="gramEnd"/>
    </w:p>
    <w:p w14:paraId="5BD974E6" w14:textId="77777777" w:rsidR="00B8010C" w:rsidRPr="00B8010C" w:rsidRDefault="00B8010C" w:rsidP="00985640">
      <w:pPr>
        <w:pStyle w:val="Heading4"/>
        <w:spacing w:before="120"/>
        <w:rPr>
          <w:rFonts w:ascii="Book Antiqua" w:hAnsi="Book Antiqua"/>
          <w:b w:val="0"/>
        </w:rPr>
      </w:pPr>
      <w:r w:rsidRPr="00B8010C">
        <w:rPr>
          <w:rFonts w:ascii="Book Antiqua" w:hAnsi="Book Antiqua"/>
          <w:b w:val="0"/>
        </w:rPr>
        <w:t xml:space="preserve">The OTA administers funds associated with the delivery of the Australian Government’s national program to increase organ and tissue donation for transplantation. Funding is provided to jurisdictions to deliver organ and tissue donation services in selected public and private hospitals.  State and territory governments use these funds to employ donation specialist staff – the DonateLife Network – to deliver organ and tissue donation services. </w:t>
      </w:r>
    </w:p>
    <w:p w14:paraId="3B21C634" w14:textId="11313C9C" w:rsidR="00B8010C" w:rsidRPr="00B8010C" w:rsidRDefault="00B8010C" w:rsidP="00985640">
      <w:pPr>
        <w:pStyle w:val="Heading4"/>
        <w:spacing w:before="120"/>
        <w:rPr>
          <w:rFonts w:ascii="Book Antiqua" w:hAnsi="Book Antiqua"/>
          <w:b w:val="0"/>
        </w:rPr>
      </w:pPr>
      <w:r>
        <w:rPr>
          <w:rFonts w:ascii="Book Antiqua" w:hAnsi="Book Antiqua"/>
          <w:b w:val="0"/>
        </w:rPr>
        <w:t>In 2023–</w:t>
      </w:r>
      <w:r w:rsidRPr="00B8010C">
        <w:rPr>
          <w:rFonts w:ascii="Book Antiqua" w:hAnsi="Book Antiqua"/>
          <w:b w:val="0"/>
        </w:rPr>
        <w:t>24, the OTA has forecast Administered expenses of $51.066 million.</w:t>
      </w:r>
    </w:p>
    <w:p w14:paraId="2515F2FE" w14:textId="77777777" w:rsidR="00B8010C" w:rsidRDefault="00B8010C">
      <w:pPr>
        <w:spacing w:before="0" w:after="0" w:line="240" w:lineRule="auto"/>
        <w:rPr>
          <w:rFonts w:ascii="Arial Bold" w:hAnsi="Arial Bold"/>
          <w:b/>
          <w:sz w:val="20"/>
        </w:rPr>
      </w:pPr>
      <w:r>
        <w:br w:type="page"/>
      </w:r>
    </w:p>
    <w:p w14:paraId="3EC5492B" w14:textId="5A4F08EB" w:rsidR="00603F85" w:rsidRPr="004928FF" w:rsidRDefault="00603F85" w:rsidP="00B8010C">
      <w:pPr>
        <w:pStyle w:val="Heading4"/>
        <w:spacing w:before="120"/>
      </w:pPr>
      <w:r w:rsidRPr="00EC73D1">
        <w:t>3.2.2</w:t>
      </w:r>
      <w:r>
        <w:tab/>
      </w:r>
      <w:r w:rsidRPr="004928FF">
        <w:t xml:space="preserve">Budgeted </w:t>
      </w:r>
      <w:r>
        <w:t>f</w:t>
      </w:r>
      <w:r w:rsidRPr="004928FF">
        <w:t xml:space="preserve">inancial </w:t>
      </w:r>
      <w:r>
        <w:t>s</w:t>
      </w:r>
      <w:r w:rsidRPr="004928FF">
        <w:t>tatements</w:t>
      </w:r>
    </w:p>
    <w:p w14:paraId="3194DF4C" w14:textId="77777777" w:rsidR="00603F85" w:rsidRDefault="00603F85" w:rsidP="00603F85">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675403" w:rsidRPr="00675403" w14:paraId="477A05E6" w14:textId="77777777" w:rsidTr="008506A0">
        <w:trPr>
          <w:trHeight w:val="765"/>
          <w:jc w:val="center"/>
        </w:trPr>
        <w:tc>
          <w:tcPr>
            <w:tcW w:w="3080" w:type="dxa"/>
            <w:tcBorders>
              <w:top w:val="single" w:sz="4" w:space="0" w:color="auto"/>
              <w:left w:val="nil"/>
              <w:bottom w:val="nil"/>
              <w:right w:val="nil"/>
            </w:tcBorders>
            <w:shd w:val="clear" w:color="auto" w:fill="auto"/>
            <w:hideMark/>
          </w:tcPr>
          <w:p w14:paraId="475B3E84" w14:textId="77777777" w:rsidR="00675403" w:rsidRPr="00675403" w:rsidRDefault="00675403" w:rsidP="008506A0">
            <w:pPr>
              <w:spacing w:before="24" w:after="0" w:line="240" w:lineRule="auto"/>
              <w:jc w:val="right"/>
              <w:rPr>
                <w:rFonts w:ascii="Arial" w:hAnsi="Arial" w:cs="Arial"/>
                <w:sz w:val="16"/>
                <w:szCs w:val="16"/>
              </w:rPr>
            </w:pPr>
            <w:r w:rsidRPr="00675403">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hideMark/>
          </w:tcPr>
          <w:p w14:paraId="127A23D3" w14:textId="48DDF8E0" w:rsidR="00675403" w:rsidRPr="00675403" w:rsidRDefault="00675403" w:rsidP="008506A0">
            <w:pPr>
              <w:spacing w:before="24" w:after="0" w:line="240" w:lineRule="auto"/>
              <w:jc w:val="right"/>
              <w:rPr>
                <w:rFonts w:ascii="Arial" w:hAnsi="Arial" w:cs="Arial"/>
                <w:b/>
                <w:bCs/>
                <w:sz w:val="16"/>
                <w:szCs w:val="16"/>
              </w:rPr>
            </w:pPr>
            <w:r>
              <w:rPr>
                <w:rFonts w:ascii="Arial" w:hAnsi="Arial" w:cs="Arial"/>
                <w:b/>
                <w:bCs/>
                <w:sz w:val="16"/>
                <w:szCs w:val="16"/>
              </w:rPr>
              <w:t>2022–</w:t>
            </w:r>
            <w:r w:rsidRPr="00675403">
              <w:rPr>
                <w:rFonts w:ascii="Arial" w:hAnsi="Arial" w:cs="Arial"/>
                <w:b/>
                <w:bCs/>
                <w:sz w:val="16"/>
                <w:szCs w:val="16"/>
              </w:rPr>
              <w:t>23</w:t>
            </w:r>
            <w:r w:rsidRPr="00675403">
              <w:rPr>
                <w:rFonts w:ascii="Arial" w:hAnsi="Arial" w:cs="Arial"/>
                <w:b/>
                <w:bCs/>
                <w:sz w:val="16"/>
                <w:szCs w:val="16"/>
              </w:rPr>
              <w:br/>
              <w:t>Actual</w:t>
            </w:r>
            <w:r w:rsidRPr="00675403">
              <w:rPr>
                <w:rFonts w:ascii="Arial" w:hAnsi="Arial" w:cs="Arial"/>
                <w:b/>
                <w:bCs/>
                <w:sz w:val="16"/>
                <w:szCs w:val="16"/>
              </w:rPr>
              <w:br/>
            </w:r>
            <w:r w:rsidRPr="00675403">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72BD0F45" w14:textId="0E21B9F6" w:rsidR="00675403" w:rsidRPr="00675403" w:rsidRDefault="00675403" w:rsidP="008506A0">
            <w:pPr>
              <w:spacing w:before="24" w:after="0" w:line="240" w:lineRule="auto"/>
              <w:jc w:val="right"/>
              <w:rPr>
                <w:rFonts w:ascii="Arial" w:hAnsi="Arial" w:cs="Arial"/>
                <w:b/>
                <w:bCs/>
                <w:sz w:val="16"/>
                <w:szCs w:val="16"/>
              </w:rPr>
            </w:pPr>
            <w:r>
              <w:rPr>
                <w:rFonts w:ascii="Arial" w:hAnsi="Arial" w:cs="Arial"/>
                <w:b/>
                <w:bCs/>
                <w:sz w:val="16"/>
                <w:szCs w:val="16"/>
              </w:rPr>
              <w:t>2023–</w:t>
            </w:r>
            <w:r w:rsidRPr="00675403">
              <w:rPr>
                <w:rFonts w:ascii="Arial" w:hAnsi="Arial" w:cs="Arial"/>
                <w:b/>
                <w:bCs/>
                <w:sz w:val="16"/>
                <w:szCs w:val="16"/>
              </w:rPr>
              <w:t>24</w:t>
            </w:r>
            <w:r w:rsidRPr="00675403">
              <w:rPr>
                <w:rFonts w:ascii="Arial" w:hAnsi="Arial" w:cs="Arial"/>
                <w:b/>
                <w:bCs/>
                <w:sz w:val="16"/>
                <w:szCs w:val="16"/>
              </w:rPr>
              <w:br/>
              <w:t>Revised</w:t>
            </w:r>
            <w:r w:rsidRPr="00675403">
              <w:rPr>
                <w:rFonts w:ascii="Arial" w:hAnsi="Arial" w:cs="Arial"/>
                <w:b/>
                <w:bCs/>
                <w:sz w:val="16"/>
                <w:szCs w:val="16"/>
              </w:rPr>
              <w:br/>
              <w:t>Budget</w:t>
            </w:r>
            <w:r w:rsidRPr="00675403">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59FFBE0E" w14:textId="07A5478A" w:rsidR="00675403" w:rsidRPr="00675403" w:rsidRDefault="00675403" w:rsidP="008506A0">
            <w:pPr>
              <w:spacing w:before="24" w:after="0" w:line="240" w:lineRule="auto"/>
              <w:jc w:val="right"/>
              <w:rPr>
                <w:rFonts w:ascii="Arial" w:hAnsi="Arial" w:cs="Arial"/>
                <w:b/>
                <w:bCs/>
                <w:sz w:val="16"/>
                <w:szCs w:val="16"/>
              </w:rPr>
            </w:pPr>
            <w:r>
              <w:rPr>
                <w:rFonts w:ascii="Arial" w:hAnsi="Arial" w:cs="Arial"/>
                <w:b/>
                <w:bCs/>
                <w:sz w:val="16"/>
                <w:szCs w:val="16"/>
              </w:rPr>
              <w:t>2024–</w:t>
            </w:r>
            <w:r w:rsidRPr="00675403">
              <w:rPr>
                <w:rFonts w:ascii="Arial" w:hAnsi="Arial" w:cs="Arial"/>
                <w:b/>
                <w:bCs/>
                <w:sz w:val="16"/>
                <w:szCs w:val="16"/>
              </w:rPr>
              <w:t>25 Forward Estimate</w:t>
            </w:r>
            <w:r w:rsidRPr="00675403">
              <w:rPr>
                <w:rFonts w:ascii="Arial" w:hAnsi="Arial" w:cs="Arial"/>
                <w:b/>
                <w:bCs/>
                <w:sz w:val="16"/>
                <w:szCs w:val="16"/>
              </w:rPr>
              <w:br/>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432AFFD2" w14:textId="1898C7FC" w:rsidR="00675403" w:rsidRPr="00675403" w:rsidRDefault="00675403" w:rsidP="008506A0">
            <w:pPr>
              <w:spacing w:before="24" w:after="0" w:line="240" w:lineRule="auto"/>
              <w:jc w:val="right"/>
              <w:rPr>
                <w:rFonts w:ascii="Arial" w:hAnsi="Arial" w:cs="Arial"/>
                <w:b/>
                <w:bCs/>
                <w:sz w:val="16"/>
                <w:szCs w:val="16"/>
              </w:rPr>
            </w:pPr>
            <w:r>
              <w:rPr>
                <w:rFonts w:ascii="Arial" w:hAnsi="Arial" w:cs="Arial"/>
                <w:b/>
                <w:bCs/>
                <w:sz w:val="16"/>
                <w:szCs w:val="16"/>
              </w:rPr>
              <w:t>2025–</w:t>
            </w:r>
            <w:r w:rsidRPr="00675403">
              <w:rPr>
                <w:rFonts w:ascii="Arial" w:hAnsi="Arial" w:cs="Arial"/>
                <w:b/>
                <w:bCs/>
                <w:sz w:val="16"/>
                <w:szCs w:val="16"/>
              </w:rPr>
              <w:t>26 Forward Estimate</w:t>
            </w:r>
            <w:r w:rsidRPr="00675403">
              <w:rPr>
                <w:rFonts w:ascii="Arial" w:hAnsi="Arial" w:cs="Arial"/>
                <w:b/>
                <w:bCs/>
                <w:sz w:val="16"/>
                <w:szCs w:val="16"/>
              </w:rPr>
              <w:br/>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63A4E1DF" w14:textId="7AA8EF13" w:rsidR="00675403" w:rsidRPr="00675403" w:rsidRDefault="00675403" w:rsidP="008506A0">
            <w:pPr>
              <w:spacing w:before="24" w:after="0" w:line="240" w:lineRule="auto"/>
              <w:jc w:val="right"/>
              <w:rPr>
                <w:rFonts w:ascii="Arial" w:hAnsi="Arial" w:cs="Arial"/>
                <w:b/>
                <w:bCs/>
                <w:sz w:val="16"/>
                <w:szCs w:val="16"/>
              </w:rPr>
            </w:pPr>
            <w:r>
              <w:rPr>
                <w:rFonts w:ascii="Arial" w:hAnsi="Arial" w:cs="Arial"/>
                <w:b/>
                <w:bCs/>
                <w:sz w:val="16"/>
                <w:szCs w:val="16"/>
              </w:rPr>
              <w:t>2026–</w:t>
            </w:r>
            <w:r w:rsidRPr="00675403">
              <w:rPr>
                <w:rFonts w:ascii="Arial" w:hAnsi="Arial" w:cs="Arial"/>
                <w:b/>
                <w:bCs/>
                <w:sz w:val="16"/>
                <w:szCs w:val="16"/>
              </w:rPr>
              <w:t>27 Forward Estimate</w:t>
            </w:r>
            <w:r w:rsidRPr="00675403">
              <w:rPr>
                <w:rFonts w:ascii="Arial" w:hAnsi="Arial" w:cs="Arial"/>
                <w:b/>
                <w:bCs/>
                <w:sz w:val="16"/>
                <w:szCs w:val="16"/>
              </w:rPr>
              <w:br/>
            </w:r>
            <w:r w:rsidRPr="00675403">
              <w:rPr>
                <w:rFonts w:ascii="Arial" w:hAnsi="Arial" w:cs="Arial"/>
                <w:sz w:val="16"/>
                <w:szCs w:val="16"/>
              </w:rPr>
              <w:t>$'000</w:t>
            </w:r>
          </w:p>
        </w:tc>
      </w:tr>
      <w:tr w:rsidR="00675403" w:rsidRPr="00675403" w14:paraId="7EB21E6E"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2F4112E3"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EXPENSES</w:t>
            </w:r>
          </w:p>
        </w:tc>
        <w:tc>
          <w:tcPr>
            <w:tcW w:w="960" w:type="dxa"/>
            <w:tcBorders>
              <w:top w:val="single" w:sz="4" w:space="0" w:color="auto"/>
              <w:left w:val="nil"/>
              <w:bottom w:val="nil"/>
              <w:right w:val="nil"/>
            </w:tcBorders>
            <w:shd w:val="clear" w:color="auto" w:fill="auto"/>
            <w:noWrap/>
            <w:vAlign w:val="bottom"/>
            <w:hideMark/>
          </w:tcPr>
          <w:p w14:paraId="6E7E4922"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single" w:sz="4" w:space="0" w:color="auto"/>
              <w:left w:val="nil"/>
              <w:bottom w:val="nil"/>
              <w:right w:val="nil"/>
            </w:tcBorders>
            <w:shd w:val="clear" w:color="000000" w:fill="D9D9D9"/>
            <w:noWrap/>
            <w:vAlign w:val="bottom"/>
            <w:hideMark/>
          </w:tcPr>
          <w:p w14:paraId="7DC87FC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0FDBF5C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046FA098"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49709287"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 </w:t>
            </w:r>
          </w:p>
        </w:tc>
      </w:tr>
      <w:tr w:rsidR="00675403" w:rsidRPr="00675403" w14:paraId="04FCD04D"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1246568D"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2F732AFA"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4,829</w:t>
            </w:r>
          </w:p>
        </w:tc>
        <w:tc>
          <w:tcPr>
            <w:tcW w:w="960" w:type="dxa"/>
            <w:tcBorders>
              <w:top w:val="nil"/>
              <w:left w:val="nil"/>
              <w:bottom w:val="nil"/>
              <w:right w:val="nil"/>
            </w:tcBorders>
            <w:shd w:val="clear" w:color="000000" w:fill="D9D9D9"/>
            <w:noWrap/>
            <w:vAlign w:val="bottom"/>
            <w:hideMark/>
          </w:tcPr>
          <w:p w14:paraId="704484CC"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5,656</w:t>
            </w:r>
          </w:p>
        </w:tc>
        <w:tc>
          <w:tcPr>
            <w:tcW w:w="960" w:type="dxa"/>
            <w:tcBorders>
              <w:top w:val="nil"/>
              <w:left w:val="nil"/>
              <w:bottom w:val="nil"/>
              <w:right w:val="nil"/>
            </w:tcBorders>
            <w:shd w:val="clear" w:color="auto" w:fill="auto"/>
            <w:noWrap/>
            <w:vAlign w:val="bottom"/>
            <w:hideMark/>
          </w:tcPr>
          <w:p w14:paraId="0FA766FF"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5,776</w:t>
            </w:r>
          </w:p>
        </w:tc>
        <w:tc>
          <w:tcPr>
            <w:tcW w:w="960" w:type="dxa"/>
            <w:tcBorders>
              <w:top w:val="nil"/>
              <w:left w:val="nil"/>
              <w:bottom w:val="nil"/>
              <w:right w:val="nil"/>
            </w:tcBorders>
            <w:shd w:val="clear" w:color="auto" w:fill="auto"/>
            <w:noWrap/>
            <w:vAlign w:val="bottom"/>
            <w:hideMark/>
          </w:tcPr>
          <w:p w14:paraId="2426F2DF"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5,835</w:t>
            </w:r>
          </w:p>
        </w:tc>
        <w:tc>
          <w:tcPr>
            <w:tcW w:w="960" w:type="dxa"/>
            <w:tcBorders>
              <w:top w:val="nil"/>
              <w:left w:val="nil"/>
              <w:bottom w:val="nil"/>
              <w:right w:val="nil"/>
            </w:tcBorders>
            <w:shd w:val="clear" w:color="auto" w:fill="auto"/>
            <w:noWrap/>
            <w:vAlign w:val="bottom"/>
            <w:hideMark/>
          </w:tcPr>
          <w:p w14:paraId="05400B44"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5,953</w:t>
            </w:r>
          </w:p>
        </w:tc>
      </w:tr>
      <w:tr w:rsidR="00675403" w:rsidRPr="00675403" w14:paraId="64FCA113"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71CFCDF8"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Supplier expenses</w:t>
            </w:r>
          </w:p>
        </w:tc>
        <w:tc>
          <w:tcPr>
            <w:tcW w:w="960" w:type="dxa"/>
            <w:tcBorders>
              <w:top w:val="nil"/>
              <w:left w:val="nil"/>
              <w:bottom w:val="nil"/>
              <w:right w:val="nil"/>
            </w:tcBorders>
            <w:shd w:val="clear" w:color="auto" w:fill="auto"/>
            <w:noWrap/>
            <w:vAlign w:val="bottom"/>
            <w:hideMark/>
          </w:tcPr>
          <w:p w14:paraId="4C1DA58B"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944</w:t>
            </w:r>
          </w:p>
        </w:tc>
        <w:tc>
          <w:tcPr>
            <w:tcW w:w="960" w:type="dxa"/>
            <w:tcBorders>
              <w:top w:val="nil"/>
              <w:left w:val="nil"/>
              <w:bottom w:val="nil"/>
              <w:right w:val="nil"/>
            </w:tcBorders>
            <w:shd w:val="clear" w:color="000000" w:fill="D9D9D9"/>
            <w:noWrap/>
            <w:vAlign w:val="bottom"/>
            <w:hideMark/>
          </w:tcPr>
          <w:p w14:paraId="2864A87A"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922</w:t>
            </w:r>
          </w:p>
        </w:tc>
        <w:tc>
          <w:tcPr>
            <w:tcW w:w="960" w:type="dxa"/>
            <w:tcBorders>
              <w:top w:val="nil"/>
              <w:left w:val="nil"/>
              <w:bottom w:val="nil"/>
              <w:right w:val="nil"/>
            </w:tcBorders>
            <w:shd w:val="clear" w:color="auto" w:fill="auto"/>
            <w:noWrap/>
            <w:vAlign w:val="bottom"/>
            <w:hideMark/>
          </w:tcPr>
          <w:p w14:paraId="38A02823"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932</w:t>
            </w:r>
          </w:p>
        </w:tc>
        <w:tc>
          <w:tcPr>
            <w:tcW w:w="960" w:type="dxa"/>
            <w:tcBorders>
              <w:top w:val="nil"/>
              <w:left w:val="nil"/>
              <w:bottom w:val="nil"/>
              <w:right w:val="nil"/>
            </w:tcBorders>
            <w:shd w:val="clear" w:color="auto" w:fill="auto"/>
            <w:noWrap/>
            <w:vAlign w:val="bottom"/>
            <w:hideMark/>
          </w:tcPr>
          <w:p w14:paraId="73309C0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965</w:t>
            </w:r>
          </w:p>
        </w:tc>
        <w:tc>
          <w:tcPr>
            <w:tcW w:w="960" w:type="dxa"/>
            <w:tcBorders>
              <w:top w:val="nil"/>
              <w:left w:val="nil"/>
              <w:bottom w:val="nil"/>
              <w:right w:val="nil"/>
            </w:tcBorders>
            <w:shd w:val="clear" w:color="auto" w:fill="auto"/>
            <w:noWrap/>
            <w:vAlign w:val="bottom"/>
            <w:hideMark/>
          </w:tcPr>
          <w:p w14:paraId="2ADFC10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975</w:t>
            </w:r>
          </w:p>
        </w:tc>
      </w:tr>
      <w:tr w:rsidR="00675403" w:rsidRPr="00675403" w14:paraId="57ACE139"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4ABC41F3"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Depreciation and amortisation</w:t>
            </w:r>
          </w:p>
        </w:tc>
        <w:tc>
          <w:tcPr>
            <w:tcW w:w="960" w:type="dxa"/>
            <w:tcBorders>
              <w:top w:val="nil"/>
              <w:left w:val="nil"/>
              <w:bottom w:val="nil"/>
              <w:right w:val="nil"/>
            </w:tcBorders>
            <w:shd w:val="clear" w:color="auto" w:fill="auto"/>
            <w:noWrap/>
            <w:vAlign w:val="bottom"/>
            <w:hideMark/>
          </w:tcPr>
          <w:p w14:paraId="333ADE4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521</w:t>
            </w:r>
          </w:p>
        </w:tc>
        <w:tc>
          <w:tcPr>
            <w:tcW w:w="960" w:type="dxa"/>
            <w:tcBorders>
              <w:top w:val="nil"/>
              <w:left w:val="nil"/>
              <w:bottom w:val="nil"/>
              <w:right w:val="nil"/>
            </w:tcBorders>
            <w:shd w:val="clear" w:color="000000" w:fill="D9D9D9"/>
            <w:noWrap/>
            <w:vAlign w:val="bottom"/>
            <w:hideMark/>
          </w:tcPr>
          <w:p w14:paraId="746DD27B"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650</w:t>
            </w:r>
          </w:p>
        </w:tc>
        <w:tc>
          <w:tcPr>
            <w:tcW w:w="960" w:type="dxa"/>
            <w:tcBorders>
              <w:top w:val="nil"/>
              <w:left w:val="nil"/>
              <w:bottom w:val="nil"/>
              <w:right w:val="nil"/>
            </w:tcBorders>
            <w:shd w:val="clear" w:color="auto" w:fill="auto"/>
            <w:noWrap/>
            <w:vAlign w:val="bottom"/>
            <w:hideMark/>
          </w:tcPr>
          <w:p w14:paraId="3430BB96"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740</w:t>
            </w:r>
          </w:p>
        </w:tc>
        <w:tc>
          <w:tcPr>
            <w:tcW w:w="960" w:type="dxa"/>
            <w:tcBorders>
              <w:top w:val="nil"/>
              <w:left w:val="nil"/>
              <w:bottom w:val="nil"/>
              <w:right w:val="nil"/>
            </w:tcBorders>
            <w:shd w:val="clear" w:color="auto" w:fill="auto"/>
            <w:noWrap/>
            <w:vAlign w:val="bottom"/>
            <w:hideMark/>
          </w:tcPr>
          <w:p w14:paraId="4C99298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742</w:t>
            </w:r>
          </w:p>
        </w:tc>
        <w:tc>
          <w:tcPr>
            <w:tcW w:w="960" w:type="dxa"/>
            <w:tcBorders>
              <w:top w:val="nil"/>
              <w:left w:val="nil"/>
              <w:bottom w:val="nil"/>
              <w:right w:val="nil"/>
            </w:tcBorders>
            <w:shd w:val="clear" w:color="auto" w:fill="auto"/>
            <w:noWrap/>
            <w:vAlign w:val="bottom"/>
            <w:hideMark/>
          </w:tcPr>
          <w:p w14:paraId="2ADC120A"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743</w:t>
            </w:r>
          </w:p>
        </w:tc>
      </w:tr>
      <w:tr w:rsidR="00675403" w:rsidRPr="00675403" w14:paraId="3D939582"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1E492E83"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 xml:space="preserve">Interest on </w:t>
            </w:r>
            <w:proofErr w:type="spellStart"/>
            <w:r w:rsidRPr="00675403">
              <w:rPr>
                <w:rFonts w:ascii="Arial" w:hAnsi="Arial" w:cs="Arial"/>
                <w:sz w:val="16"/>
                <w:szCs w:val="16"/>
              </w:rPr>
              <w:t>RoU</w:t>
            </w:r>
            <w:proofErr w:type="spellEnd"/>
          </w:p>
        </w:tc>
        <w:tc>
          <w:tcPr>
            <w:tcW w:w="960" w:type="dxa"/>
            <w:tcBorders>
              <w:top w:val="nil"/>
              <w:left w:val="nil"/>
              <w:bottom w:val="nil"/>
              <w:right w:val="nil"/>
            </w:tcBorders>
            <w:shd w:val="clear" w:color="auto" w:fill="auto"/>
            <w:noWrap/>
            <w:vAlign w:val="bottom"/>
            <w:hideMark/>
          </w:tcPr>
          <w:p w14:paraId="788A1328"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3</w:t>
            </w:r>
          </w:p>
        </w:tc>
        <w:tc>
          <w:tcPr>
            <w:tcW w:w="960" w:type="dxa"/>
            <w:tcBorders>
              <w:top w:val="nil"/>
              <w:left w:val="nil"/>
              <w:bottom w:val="nil"/>
              <w:right w:val="nil"/>
            </w:tcBorders>
            <w:shd w:val="clear" w:color="000000" w:fill="D9D9D9"/>
            <w:noWrap/>
            <w:vAlign w:val="bottom"/>
            <w:hideMark/>
          </w:tcPr>
          <w:p w14:paraId="640DCEE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45</w:t>
            </w:r>
          </w:p>
        </w:tc>
        <w:tc>
          <w:tcPr>
            <w:tcW w:w="960" w:type="dxa"/>
            <w:tcBorders>
              <w:top w:val="nil"/>
              <w:left w:val="nil"/>
              <w:bottom w:val="nil"/>
              <w:right w:val="nil"/>
            </w:tcBorders>
            <w:shd w:val="clear" w:color="auto" w:fill="auto"/>
            <w:noWrap/>
            <w:vAlign w:val="bottom"/>
            <w:hideMark/>
          </w:tcPr>
          <w:p w14:paraId="00C6769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70</w:t>
            </w:r>
          </w:p>
        </w:tc>
        <w:tc>
          <w:tcPr>
            <w:tcW w:w="960" w:type="dxa"/>
            <w:tcBorders>
              <w:top w:val="nil"/>
              <w:left w:val="nil"/>
              <w:bottom w:val="nil"/>
              <w:right w:val="nil"/>
            </w:tcBorders>
            <w:shd w:val="clear" w:color="auto" w:fill="auto"/>
            <w:noWrap/>
            <w:vAlign w:val="bottom"/>
            <w:hideMark/>
          </w:tcPr>
          <w:p w14:paraId="58BF509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60</w:t>
            </w:r>
          </w:p>
        </w:tc>
        <w:tc>
          <w:tcPr>
            <w:tcW w:w="960" w:type="dxa"/>
            <w:tcBorders>
              <w:top w:val="nil"/>
              <w:left w:val="nil"/>
              <w:bottom w:val="nil"/>
              <w:right w:val="nil"/>
            </w:tcBorders>
            <w:shd w:val="clear" w:color="auto" w:fill="auto"/>
            <w:noWrap/>
            <w:vAlign w:val="bottom"/>
            <w:hideMark/>
          </w:tcPr>
          <w:p w14:paraId="3E82DE36"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50</w:t>
            </w:r>
          </w:p>
        </w:tc>
      </w:tr>
      <w:tr w:rsidR="00675403" w:rsidRPr="00675403" w14:paraId="4AB12501"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61DB7889"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Write-down and impairment of assets</w:t>
            </w:r>
          </w:p>
        </w:tc>
        <w:tc>
          <w:tcPr>
            <w:tcW w:w="960" w:type="dxa"/>
            <w:tcBorders>
              <w:top w:val="nil"/>
              <w:left w:val="nil"/>
              <w:bottom w:val="nil"/>
              <w:right w:val="nil"/>
            </w:tcBorders>
            <w:shd w:val="clear" w:color="auto" w:fill="auto"/>
            <w:noWrap/>
            <w:vAlign w:val="bottom"/>
            <w:hideMark/>
          </w:tcPr>
          <w:p w14:paraId="3BAC179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3</w:t>
            </w:r>
          </w:p>
        </w:tc>
        <w:tc>
          <w:tcPr>
            <w:tcW w:w="960" w:type="dxa"/>
            <w:tcBorders>
              <w:top w:val="nil"/>
              <w:left w:val="nil"/>
              <w:bottom w:val="nil"/>
              <w:right w:val="nil"/>
            </w:tcBorders>
            <w:shd w:val="clear" w:color="000000" w:fill="D9D9D9"/>
            <w:noWrap/>
            <w:vAlign w:val="bottom"/>
            <w:hideMark/>
          </w:tcPr>
          <w:p w14:paraId="5411739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C8D28A0"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E5C4CC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5F95EA9"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r>
      <w:tr w:rsidR="00675403" w:rsidRPr="00675403" w14:paraId="0463BFC7"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08E56644" w14:textId="77777777" w:rsidR="00675403" w:rsidRPr="00675403" w:rsidRDefault="00675403" w:rsidP="008301C5">
            <w:pPr>
              <w:spacing w:before="0" w:after="0" w:line="240" w:lineRule="auto"/>
              <w:ind w:leftChars="75" w:left="143"/>
              <w:rPr>
                <w:rFonts w:ascii="Arial" w:hAnsi="Arial" w:cs="Arial"/>
                <w:b/>
                <w:bCs/>
                <w:sz w:val="16"/>
                <w:szCs w:val="16"/>
              </w:rPr>
            </w:pPr>
            <w:r w:rsidRPr="00675403">
              <w:rPr>
                <w:rFonts w:ascii="Arial" w:hAnsi="Arial" w:cs="Arial"/>
                <w:b/>
                <w:bCs/>
                <w:sz w:val="16"/>
                <w:szCs w:val="16"/>
              </w:rPr>
              <w:t>Total expenses</w:t>
            </w:r>
          </w:p>
        </w:tc>
        <w:tc>
          <w:tcPr>
            <w:tcW w:w="960" w:type="dxa"/>
            <w:tcBorders>
              <w:top w:val="nil"/>
              <w:left w:val="nil"/>
              <w:bottom w:val="single" w:sz="4" w:space="0" w:color="auto"/>
              <w:right w:val="nil"/>
            </w:tcBorders>
            <w:shd w:val="clear" w:color="auto" w:fill="auto"/>
            <w:noWrap/>
            <w:vAlign w:val="bottom"/>
            <w:hideMark/>
          </w:tcPr>
          <w:p w14:paraId="6390FC7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6,300</w:t>
            </w:r>
          </w:p>
        </w:tc>
        <w:tc>
          <w:tcPr>
            <w:tcW w:w="960" w:type="dxa"/>
            <w:tcBorders>
              <w:top w:val="nil"/>
              <w:left w:val="nil"/>
              <w:bottom w:val="single" w:sz="4" w:space="0" w:color="auto"/>
              <w:right w:val="nil"/>
            </w:tcBorders>
            <w:shd w:val="clear" w:color="000000" w:fill="D9D9D9"/>
            <w:noWrap/>
            <w:vAlign w:val="bottom"/>
            <w:hideMark/>
          </w:tcPr>
          <w:p w14:paraId="4C316EA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7,273</w:t>
            </w:r>
          </w:p>
        </w:tc>
        <w:tc>
          <w:tcPr>
            <w:tcW w:w="960" w:type="dxa"/>
            <w:tcBorders>
              <w:top w:val="nil"/>
              <w:left w:val="nil"/>
              <w:bottom w:val="single" w:sz="4" w:space="0" w:color="auto"/>
              <w:right w:val="nil"/>
            </w:tcBorders>
            <w:shd w:val="clear" w:color="auto" w:fill="auto"/>
            <w:noWrap/>
            <w:vAlign w:val="bottom"/>
            <w:hideMark/>
          </w:tcPr>
          <w:p w14:paraId="1F6F5404"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7,518</w:t>
            </w:r>
          </w:p>
        </w:tc>
        <w:tc>
          <w:tcPr>
            <w:tcW w:w="960" w:type="dxa"/>
            <w:tcBorders>
              <w:top w:val="nil"/>
              <w:left w:val="nil"/>
              <w:bottom w:val="single" w:sz="4" w:space="0" w:color="auto"/>
              <w:right w:val="nil"/>
            </w:tcBorders>
            <w:shd w:val="clear" w:color="auto" w:fill="auto"/>
            <w:noWrap/>
            <w:vAlign w:val="bottom"/>
            <w:hideMark/>
          </w:tcPr>
          <w:p w14:paraId="0CF6D248"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7,602</w:t>
            </w:r>
          </w:p>
        </w:tc>
        <w:tc>
          <w:tcPr>
            <w:tcW w:w="960" w:type="dxa"/>
            <w:tcBorders>
              <w:top w:val="nil"/>
              <w:left w:val="nil"/>
              <w:bottom w:val="single" w:sz="4" w:space="0" w:color="auto"/>
              <w:right w:val="nil"/>
            </w:tcBorders>
            <w:shd w:val="clear" w:color="auto" w:fill="auto"/>
            <w:noWrap/>
            <w:vAlign w:val="bottom"/>
            <w:hideMark/>
          </w:tcPr>
          <w:p w14:paraId="73EDC9C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7,721</w:t>
            </w:r>
          </w:p>
        </w:tc>
      </w:tr>
      <w:tr w:rsidR="00675403" w:rsidRPr="00675403" w14:paraId="2E76F7ED" w14:textId="77777777" w:rsidTr="00705AD6">
        <w:trPr>
          <w:trHeight w:val="283"/>
          <w:jc w:val="center"/>
        </w:trPr>
        <w:tc>
          <w:tcPr>
            <w:tcW w:w="3080" w:type="dxa"/>
            <w:tcBorders>
              <w:top w:val="nil"/>
              <w:left w:val="nil"/>
              <w:bottom w:val="nil"/>
              <w:right w:val="nil"/>
            </w:tcBorders>
            <w:shd w:val="clear" w:color="auto" w:fill="auto"/>
            <w:noWrap/>
            <w:vAlign w:val="bottom"/>
            <w:hideMark/>
          </w:tcPr>
          <w:p w14:paraId="01C0E3FA"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 xml:space="preserve">LESS: </w:t>
            </w:r>
          </w:p>
        </w:tc>
        <w:tc>
          <w:tcPr>
            <w:tcW w:w="960" w:type="dxa"/>
            <w:tcBorders>
              <w:top w:val="nil"/>
              <w:left w:val="nil"/>
              <w:bottom w:val="nil"/>
              <w:right w:val="nil"/>
            </w:tcBorders>
            <w:shd w:val="clear" w:color="auto" w:fill="auto"/>
            <w:noWrap/>
            <w:vAlign w:val="bottom"/>
            <w:hideMark/>
          </w:tcPr>
          <w:p w14:paraId="5FF6A783" w14:textId="77777777" w:rsidR="00675403" w:rsidRPr="00675403" w:rsidRDefault="00675403" w:rsidP="00675403">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1485478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5816B979" w14:textId="77777777" w:rsidR="00675403" w:rsidRPr="00675403" w:rsidRDefault="00675403" w:rsidP="0067540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7AD63B35" w14:textId="77777777" w:rsidR="00675403" w:rsidRPr="00675403" w:rsidRDefault="00675403" w:rsidP="0067540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7AA61CF" w14:textId="77777777" w:rsidR="00675403" w:rsidRPr="00675403" w:rsidRDefault="00675403" w:rsidP="00675403">
            <w:pPr>
              <w:spacing w:before="0" w:after="0" w:line="240" w:lineRule="auto"/>
              <w:jc w:val="right"/>
              <w:rPr>
                <w:rFonts w:ascii="Times New Roman" w:hAnsi="Times New Roman"/>
                <w:sz w:val="20"/>
              </w:rPr>
            </w:pPr>
          </w:p>
        </w:tc>
      </w:tr>
      <w:tr w:rsidR="00675403" w:rsidRPr="00675403" w14:paraId="36D8FB4B"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2511FBA4"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OWN-SOURCE INCOME</w:t>
            </w:r>
          </w:p>
        </w:tc>
        <w:tc>
          <w:tcPr>
            <w:tcW w:w="960" w:type="dxa"/>
            <w:tcBorders>
              <w:top w:val="nil"/>
              <w:left w:val="nil"/>
              <w:bottom w:val="nil"/>
              <w:right w:val="nil"/>
            </w:tcBorders>
            <w:shd w:val="clear" w:color="auto" w:fill="auto"/>
            <w:noWrap/>
            <w:vAlign w:val="bottom"/>
            <w:hideMark/>
          </w:tcPr>
          <w:p w14:paraId="3DEF936D" w14:textId="77777777" w:rsidR="00675403" w:rsidRPr="00675403" w:rsidRDefault="00675403" w:rsidP="00675403">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2AF79610"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7744B901" w14:textId="77777777" w:rsidR="00675403" w:rsidRPr="00675403" w:rsidRDefault="00675403" w:rsidP="0067540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227A495C" w14:textId="77777777" w:rsidR="00675403" w:rsidRPr="00675403" w:rsidRDefault="00675403" w:rsidP="0067540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85D1AC6" w14:textId="77777777" w:rsidR="00675403" w:rsidRPr="00675403" w:rsidRDefault="00675403" w:rsidP="00675403">
            <w:pPr>
              <w:spacing w:before="0" w:after="0" w:line="240" w:lineRule="auto"/>
              <w:jc w:val="right"/>
              <w:rPr>
                <w:rFonts w:ascii="Times New Roman" w:hAnsi="Times New Roman"/>
                <w:sz w:val="20"/>
              </w:rPr>
            </w:pPr>
          </w:p>
        </w:tc>
      </w:tr>
      <w:tr w:rsidR="00675403" w:rsidRPr="00675403" w14:paraId="621FDEBB"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3D2D2C29" w14:textId="77777777" w:rsidR="00675403" w:rsidRPr="00675403" w:rsidRDefault="00675403" w:rsidP="008301C5">
            <w:pPr>
              <w:spacing w:before="0" w:after="0" w:line="240" w:lineRule="auto"/>
              <w:ind w:leftChars="75" w:left="143"/>
              <w:rPr>
                <w:rFonts w:ascii="Arial" w:hAnsi="Arial" w:cs="Arial"/>
                <w:b/>
                <w:bCs/>
                <w:sz w:val="16"/>
                <w:szCs w:val="16"/>
              </w:rPr>
            </w:pPr>
            <w:r w:rsidRPr="00675403">
              <w:rPr>
                <w:rFonts w:ascii="Arial" w:hAnsi="Arial" w:cs="Arial"/>
                <w:b/>
                <w:bCs/>
                <w:sz w:val="16"/>
                <w:szCs w:val="16"/>
              </w:rPr>
              <w:t>Revenue</w:t>
            </w:r>
          </w:p>
        </w:tc>
        <w:tc>
          <w:tcPr>
            <w:tcW w:w="960" w:type="dxa"/>
            <w:tcBorders>
              <w:top w:val="nil"/>
              <w:left w:val="nil"/>
              <w:bottom w:val="nil"/>
              <w:right w:val="nil"/>
            </w:tcBorders>
            <w:shd w:val="clear" w:color="auto" w:fill="auto"/>
            <w:noWrap/>
            <w:vAlign w:val="bottom"/>
            <w:hideMark/>
          </w:tcPr>
          <w:p w14:paraId="0903F86A" w14:textId="77777777" w:rsidR="00675403" w:rsidRPr="00675403" w:rsidRDefault="00675403" w:rsidP="00675403">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785DB3F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3DCE63E0" w14:textId="77777777" w:rsidR="00675403" w:rsidRPr="00675403" w:rsidRDefault="00675403" w:rsidP="0067540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31DA4B23" w14:textId="77777777" w:rsidR="00675403" w:rsidRPr="00675403" w:rsidRDefault="00675403" w:rsidP="0067540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E81517D" w14:textId="77777777" w:rsidR="00675403" w:rsidRPr="00675403" w:rsidRDefault="00675403" w:rsidP="00675403">
            <w:pPr>
              <w:spacing w:before="0" w:after="0" w:line="240" w:lineRule="auto"/>
              <w:jc w:val="right"/>
              <w:rPr>
                <w:rFonts w:ascii="Times New Roman" w:hAnsi="Times New Roman"/>
                <w:sz w:val="20"/>
              </w:rPr>
            </w:pPr>
          </w:p>
        </w:tc>
      </w:tr>
      <w:tr w:rsidR="00675403" w:rsidRPr="00675403" w14:paraId="364F3EC6" w14:textId="77777777" w:rsidTr="00705AD6">
        <w:trPr>
          <w:trHeight w:val="425"/>
          <w:jc w:val="center"/>
        </w:trPr>
        <w:tc>
          <w:tcPr>
            <w:tcW w:w="3080" w:type="dxa"/>
            <w:tcBorders>
              <w:top w:val="nil"/>
              <w:left w:val="nil"/>
              <w:bottom w:val="nil"/>
              <w:right w:val="nil"/>
            </w:tcBorders>
            <w:shd w:val="clear" w:color="auto" w:fill="auto"/>
            <w:vAlign w:val="bottom"/>
            <w:hideMark/>
          </w:tcPr>
          <w:p w14:paraId="7BB0A038" w14:textId="77777777" w:rsidR="00675403" w:rsidRPr="00675403" w:rsidRDefault="00675403" w:rsidP="008301C5">
            <w:pPr>
              <w:spacing w:before="0" w:after="0" w:line="240" w:lineRule="auto"/>
              <w:ind w:leftChars="150" w:left="285"/>
              <w:rPr>
                <w:rFonts w:ascii="Arial" w:hAnsi="Arial" w:cs="Arial"/>
                <w:sz w:val="16"/>
                <w:szCs w:val="16"/>
              </w:rPr>
            </w:pPr>
            <w:r w:rsidRPr="00675403">
              <w:rPr>
                <w:rFonts w:ascii="Arial" w:hAnsi="Arial" w:cs="Arial"/>
                <w:sz w:val="16"/>
                <w:szCs w:val="16"/>
              </w:rPr>
              <w:t>Sale of goods and rendering of services</w:t>
            </w:r>
          </w:p>
        </w:tc>
        <w:tc>
          <w:tcPr>
            <w:tcW w:w="960" w:type="dxa"/>
            <w:tcBorders>
              <w:top w:val="nil"/>
              <w:left w:val="nil"/>
              <w:bottom w:val="nil"/>
              <w:right w:val="nil"/>
            </w:tcBorders>
            <w:shd w:val="clear" w:color="auto" w:fill="auto"/>
            <w:noWrap/>
            <w:vAlign w:val="bottom"/>
            <w:hideMark/>
          </w:tcPr>
          <w:p w14:paraId="41FF80F3"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0202C6D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F91FFEA"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5F13927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CE7DE7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r>
      <w:tr w:rsidR="00675403" w:rsidRPr="00675403" w14:paraId="6999890A"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1927F1D9" w14:textId="77777777" w:rsidR="00675403" w:rsidRPr="00675403" w:rsidRDefault="00675403" w:rsidP="008301C5">
            <w:pPr>
              <w:spacing w:before="0" w:after="0" w:line="240" w:lineRule="auto"/>
              <w:ind w:leftChars="150" w:left="285"/>
              <w:rPr>
                <w:rFonts w:ascii="Arial" w:hAnsi="Arial" w:cs="Arial"/>
                <w:sz w:val="16"/>
                <w:szCs w:val="16"/>
              </w:rPr>
            </w:pPr>
            <w:r w:rsidRPr="00675403">
              <w:rPr>
                <w:rFonts w:ascii="Arial" w:hAnsi="Arial" w:cs="Arial"/>
                <w:sz w:val="16"/>
                <w:szCs w:val="16"/>
              </w:rPr>
              <w:t>Other revenue</w:t>
            </w:r>
          </w:p>
        </w:tc>
        <w:tc>
          <w:tcPr>
            <w:tcW w:w="960" w:type="dxa"/>
            <w:tcBorders>
              <w:top w:val="nil"/>
              <w:left w:val="nil"/>
              <w:bottom w:val="nil"/>
              <w:right w:val="nil"/>
            </w:tcBorders>
            <w:shd w:val="clear" w:color="auto" w:fill="auto"/>
            <w:noWrap/>
            <w:vAlign w:val="bottom"/>
            <w:hideMark/>
          </w:tcPr>
          <w:p w14:paraId="2C75C2F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3CC61D6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761F84B"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247F17DC"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AC318C1"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r>
      <w:tr w:rsidR="00675403" w:rsidRPr="00675403" w14:paraId="42BC30EE"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422B382C" w14:textId="77777777" w:rsidR="00675403" w:rsidRPr="00675403" w:rsidRDefault="00675403" w:rsidP="008301C5">
            <w:pPr>
              <w:spacing w:before="0" w:after="0" w:line="240" w:lineRule="auto"/>
              <w:ind w:leftChars="150" w:left="285"/>
              <w:rPr>
                <w:rFonts w:ascii="Arial" w:hAnsi="Arial" w:cs="Arial"/>
                <w:b/>
                <w:bCs/>
                <w:sz w:val="16"/>
                <w:szCs w:val="16"/>
              </w:rPr>
            </w:pPr>
            <w:r w:rsidRPr="00675403">
              <w:rPr>
                <w:rFonts w:ascii="Arial" w:hAnsi="Arial" w:cs="Arial"/>
                <w:b/>
                <w:bCs/>
                <w:sz w:val="16"/>
                <w:szCs w:val="16"/>
              </w:rPr>
              <w:t>Total revenue</w:t>
            </w:r>
          </w:p>
        </w:tc>
        <w:tc>
          <w:tcPr>
            <w:tcW w:w="960" w:type="dxa"/>
            <w:tcBorders>
              <w:top w:val="nil"/>
              <w:left w:val="nil"/>
              <w:bottom w:val="single" w:sz="4" w:space="0" w:color="auto"/>
              <w:right w:val="nil"/>
            </w:tcBorders>
            <w:shd w:val="clear" w:color="auto" w:fill="auto"/>
            <w:noWrap/>
            <w:vAlign w:val="bottom"/>
            <w:hideMark/>
          </w:tcPr>
          <w:p w14:paraId="0F16CD46"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78CDAF5F"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05CDD184"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43EB6E20"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39EC8BCE"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r>
      <w:tr w:rsidR="00675403" w:rsidRPr="00675403" w14:paraId="108C5685" w14:textId="77777777" w:rsidTr="00705AD6">
        <w:trPr>
          <w:trHeight w:val="283"/>
          <w:jc w:val="center"/>
        </w:trPr>
        <w:tc>
          <w:tcPr>
            <w:tcW w:w="3080" w:type="dxa"/>
            <w:tcBorders>
              <w:top w:val="nil"/>
              <w:left w:val="nil"/>
              <w:bottom w:val="nil"/>
              <w:right w:val="nil"/>
            </w:tcBorders>
            <w:shd w:val="clear" w:color="auto" w:fill="auto"/>
            <w:noWrap/>
            <w:vAlign w:val="bottom"/>
            <w:hideMark/>
          </w:tcPr>
          <w:p w14:paraId="48AE0529" w14:textId="77777777" w:rsidR="00675403" w:rsidRPr="00675403" w:rsidRDefault="00675403" w:rsidP="008301C5">
            <w:pPr>
              <w:spacing w:before="0" w:after="0" w:line="240" w:lineRule="auto"/>
              <w:ind w:leftChars="75" w:left="143"/>
              <w:rPr>
                <w:rFonts w:ascii="Arial" w:hAnsi="Arial" w:cs="Arial"/>
                <w:b/>
                <w:bCs/>
                <w:sz w:val="16"/>
                <w:szCs w:val="16"/>
              </w:rPr>
            </w:pPr>
            <w:r w:rsidRPr="00675403">
              <w:rPr>
                <w:rFonts w:ascii="Arial" w:hAnsi="Arial" w:cs="Arial"/>
                <w:b/>
                <w:bCs/>
                <w:sz w:val="16"/>
                <w:szCs w:val="16"/>
              </w:rPr>
              <w:t>Gains</w:t>
            </w:r>
          </w:p>
        </w:tc>
        <w:tc>
          <w:tcPr>
            <w:tcW w:w="960" w:type="dxa"/>
            <w:tcBorders>
              <w:top w:val="nil"/>
              <w:left w:val="nil"/>
              <w:bottom w:val="nil"/>
              <w:right w:val="nil"/>
            </w:tcBorders>
            <w:shd w:val="clear" w:color="auto" w:fill="auto"/>
            <w:noWrap/>
            <w:vAlign w:val="bottom"/>
            <w:hideMark/>
          </w:tcPr>
          <w:p w14:paraId="5708C28C" w14:textId="77777777" w:rsidR="00675403" w:rsidRPr="00675403" w:rsidRDefault="00675403" w:rsidP="00675403">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061C47BC"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05F8A6BB" w14:textId="77777777" w:rsidR="00675403" w:rsidRPr="00675403" w:rsidRDefault="00675403" w:rsidP="0067540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2F210696" w14:textId="77777777" w:rsidR="00675403" w:rsidRPr="00675403" w:rsidRDefault="00675403" w:rsidP="0067540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1067A3E" w14:textId="77777777" w:rsidR="00675403" w:rsidRPr="00675403" w:rsidRDefault="00675403" w:rsidP="00675403">
            <w:pPr>
              <w:spacing w:before="0" w:after="0" w:line="240" w:lineRule="auto"/>
              <w:jc w:val="right"/>
              <w:rPr>
                <w:rFonts w:ascii="Times New Roman" w:hAnsi="Times New Roman"/>
                <w:sz w:val="20"/>
              </w:rPr>
            </w:pPr>
          </w:p>
        </w:tc>
      </w:tr>
      <w:tr w:rsidR="00675403" w:rsidRPr="00675403" w14:paraId="047681B8"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72DFF66B" w14:textId="77777777" w:rsidR="00675403" w:rsidRPr="00675403" w:rsidRDefault="00675403" w:rsidP="008301C5">
            <w:pPr>
              <w:spacing w:before="0" w:after="0" w:line="240" w:lineRule="auto"/>
              <w:ind w:leftChars="150" w:left="285"/>
              <w:rPr>
                <w:rFonts w:ascii="Arial" w:hAnsi="Arial" w:cs="Arial"/>
                <w:sz w:val="16"/>
                <w:szCs w:val="16"/>
              </w:rPr>
            </w:pPr>
            <w:r w:rsidRPr="00675403">
              <w:rPr>
                <w:rFonts w:ascii="Arial" w:hAnsi="Arial" w:cs="Arial"/>
                <w:sz w:val="16"/>
                <w:szCs w:val="16"/>
              </w:rPr>
              <w:t>Other</w:t>
            </w:r>
          </w:p>
        </w:tc>
        <w:tc>
          <w:tcPr>
            <w:tcW w:w="960" w:type="dxa"/>
            <w:tcBorders>
              <w:top w:val="nil"/>
              <w:left w:val="nil"/>
              <w:bottom w:val="nil"/>
              <w:right w:val="nil"/>
            </w:tcBorders>
            <w:shd w:val="clear" w:color="auto" w:fill="auto"/>
            <w:noWrap/>
            <w:vAlign w:val="bottom"/>
            <w:hideMark/>
          </w:tcPr>
          <w:p w14:paraId="14FD595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100</w:t>
            </w:r>
          </w:p>
        </w:tc>
        <w:tc>
          <w:tcPr>
            <w:tcW w:w="960" w:type="dxa"/>
            <w:tcBorders>
              <w:top w:val="nil"/>
              <w:left w:val="nil"/>
              <w:bottom w:val="nil"/>
              <w:right w:val="nil"/>
            </w:tcBorders>
            <w:shd w:val="clear" w:color="000000" w:fill="D9D9D9"/>
            <w:noWrap/>
            <w:vAlign w:val="bottom"/>
            <w:hideMark/>
          </w:tcPr>
          <w:p w14:paraId="565A0D3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103</w:t>
            </w:r>
          </w:p>
        </w:tc>
        <w:tc>
          <w:tcPr>
            <w:tcW w:w="960" w:type="dxa"/>
            <w:tcBorders>
              <w:top w:val="nil"/>
              <w:left w:val="nil"/>
              <w:bottom w:val="nil"/>
              <w:right w:val="nil"/>
            </w:tcBorders>
            <w:shd w:val="clear" w:color="auto" w:fill="auto"/>
            <w:noWrap/>
            <w:vAlign w:val="bottom"/>
            <w:hideMark/>
          </w:tcPr>
          <w:p w14:paraId="57BACFC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104</w:t>
            </w:r>
          </w:p>
        </w:tc>
        <w:tc>
          <w:tcPr>
            <w:tcW w:w="960" w:type="dxa"/>
            <w:tcBorders>
              <w:top w:val="nil"/>
              <w:left w:val="nil"/>
              <w:bottom w:val="nil"/>
              <w:right w:val="nil"/>
            </w:tcBorders>
            <w:shd w:val="clear" w:color="auto" w:fill="auto"/>
            <w:noWrap/>
            <w:vAlign w:val="bottom"/>
            <w:hideMark/>
          </w:tcPr>
          <w:p w14:paraId="34C2C1D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105</w:t>
            </w:r>
          </w:p>
        </w:tc>
        <w:tc>
          <w:tcPr>
            <w:tcW w:w="960" w:type="dxa"/>
            <w:tcBorders>
              <w:top w:val="nil"/>
              <w:left w:val="nil"/>
              <w:bottom w:val="nil"/>
              <w:right w:val="nil"/>
            </w:tcBorders>
            <w:shd w:val="clear" w:color="auto" w:fill="auto"/>
            <w:noWrap/>
            <w:vAlign w:val="bottom"/>
            <w:hideMark/>
          </w:tcPr>
          <w:p w14:paraId="2E9425AF"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106</w:t>
            </w:r>
          </w:p>
        </w:tc>
      </w:tr>
      <w:tr w:rsidR="00675403" w:rsidRPr="00675403" w14:paraId="6B516EDE"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515B2CD6" w14:textId="77777777" w:rsidR="00675403" w:rsidRPr="00675403" w:rsidRDefault="00675403" w:rsidP="008301C5">
            <w:pPr>
              <w:spacing w:before="0" w:after="0" w:line="240" w:lineRule="auto"/>
              <w:ind w:leftChars="150" w:left="285"/>
              <w:rPr>
                <w:rFonts w:ascii="Arial" w:hAnsi="Arial" w:cs="Arial"/>
                <w:b/>
                <w:bCs/>
                <w:sz w:val="16"/>
                <w:szCs w:val="16"/>
              </w:rPr>
            </w:pPr>
            <w:r w:rsidRPr="00675403">
              <w:rPr>
                <w:rFonts w:ascii="Arial" w:hAnsi="Arial" w:cs="Arial"/>
                <w:b/>
                <w:bCs/>
                <w:sz w:val="16"/>
                <w:szCs w:val="16"/>
              </w:rPr>
              <w:t>Total gains</w:t>
            </w:r>
          </w:p>
        </w:tc>
        <w:tc>
          <w:tcPr>
            <w:tcW w:w="960" w:type="dxa"/>
            <w:tcBorders>
              <w:top w:val="nil"/>
              <w:left w:val="nil"/>
              <w:bottom w:val="single" w:sz="4" w:space="0" w:color="auto"/>
              <w:right w:val="nil"/>
            </w:tcBorders>
            <w:shd w:val="clear" w:color="auto" w:fill="auto"/>
            <w:noWrap/>
            <w:vAlign w:val="bottom"/>
            <w:hideMark/>
          </w:tcPr>
          <w:p w14:paraId="31D3E20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100</w:t>
            </w:r>
          </w:p>
        </w:tc>
        <w:tc>
          <w:tcPr>
            <w:tcW w:w="960" w:type="dxa"/>
            <w:tcBorders>
              <w:top w:val="nil"/>
              <w:left w:val="nil"/>
              <w:bottom w:val="single" w:sz="4" w:space="0" w:color="auto"/>
              <w:right w:val="nil"/>
            </w:tcBorders>
            <w:shd w:val="clear" w:color="000000" w:fill="D9D9D9"/>
            <w:noWrap/>
            <w:vAlign w:val="bottom"/>
            <w:hideMark/>
          </w:tcPr>
          <w:p w14:paraId="28935A5F"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103</w:t>
            </w:r>
          </w:p>
        </w:tc>
        <w:tc>
          <w:tcPr>
            <w:tcW w:w="960" w:type="dxa"/>
            <w:tcBorders>
              <w:top w:val="nil"/>
              <w:left w:val="nil"/>
              <w:bottom w:val="single" w:sz="4" w:space="0" w:color="auto"/>
              <w:right w:val="nil"/>
            </w:tcBorders>
            <w:shd w:val="clear" w:color="auto" w:fill="auto"/>
            <w:noWrap/>
            <w:vAlign w:val="bottom"/>
            <w:hideMark/>
          </w:tcPr>
          <w:p w14:paraId="37FEC5F4"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104</w:t>
            </w:r>
          </w:p>
        </w:tc>
        <w:tc>
          <w:tcPr>
            <w:tcW w:w="960" w:type="dxa"/>
            <w:tcBorders>
              <w:top w:val="nil"/>
              <w:left w:val="nil"/>
              <w:bottom w:val="single" w:sz="4" w:space="0" w:color="auto"/>
              <w:right w:val="nil"/>
            </w:tcBorders>
            <w:shd w:val="clear" w:color="auto" w:fill="auto"/>
            <w:noWrap/>
            <w:vAlign w:val="bottom"/>
            <w:hideMark/>
          </w:tcPr>
          <w:p w14:paraId="43FCFA8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105</w:t>
            </w:r>
          </w:p>
        </w:tc>
        <w:tc>
          <w:tcPr>
            <w:tcW w:w="960" w:type="dxa"/>
            <w:tcBorders>
              <w:top w:val="nil"/>
              <w:left w:val="nil"/>
              <w:bottom w:val="single" w:sz="4" w:space="0" w:color="auto"/>
              <w:right w:val="nil"/>
            </w:tcBorders>
            <w:shd w:val="clear" w:color="auto" w:fill="auto"/>
            <w:noWrap/>
            <w:vAlign w:val="bottom"/>
            <w:hideMark/>
          </w:tcPr>
          <w:p w14:paraId="5B231109"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106</w:t>
            </w:r>
          </w:p>
        </w:tc>
      </w:tr>
      <w:tr w:rsidR="00675403" w:rsidRPr="00675403" w14:paraId="59BC0876" w14:textId="77777777" w:rsidTr="00675403">
        <w:trPr>
          <w:trHeight w:val="225"/>
          <w:jc w:val="center"/>
        </w:trPr>
        <w:tc>
          <w:tcPr>
            <w:tcW w:w="3080" w:type="dxa"/>
            <w:tcBorders>
              <w:top w:val="nil"/>
              <w:left w:val="nil"/>
              <w:bottom w:val="nil"/>
              <w:right w:val="nil"/>
            </w:tcBorders>
            <w:shd w:val="clear" w:color="auto" w:fill="auto"/>
            <w:noWrap/>
            <w:vAlign w:val="bottom"/>
            <w:hideMark/>
          </w:tcPr>
          <w:p w14:paraId="2E172A5E" w14:textId="77777777" w:rsidR="00675403" w:rsidRPr="00675403" w:rsidRDefault="00675403" w:rsidP="008301C5">
            <w:pPr>
              <w:spacing w:before="0" w:after="0" w:line="240" w:lineRule="auto"/>
              <w:ind w:leftChars="75" w:left="143"/>
              <w:rPr>
                <w:rFonts w:ascii="Arial" w:hAnsi="Arial" w:cs="Arial"/>
                <w:b/>
                <w:bCs/>
                <w:sz w:val="16"/>
                <w:szCs w:val="16"/>
              </w:rPr>
            </w:pPr>
            <w:r w:rsidRPr="00675403">
              <w:rPr>
                <w:rFonts w:ascii="Arial" w:hAnsi="Arial" w:cs="Arial"/>
                <w:b/>
                <w:bCs/>
                <w:sz w:val="16"/>
                <w:szCs w:val="16"/>
              </w:rPr>
              <w:t>Total own-source income</w:t>
            </w:r>
          </w:p>
        </w:tc>
        <w:tc>
          <w:tcPr>
            <w:tcW w:w="960" w:type="dxa"/>
            <w:tcBorders>
              <w:top w:val="nil"/>
              <w:left w:val="nil"/>
              <w:bottom w:val="single" w:sz="4" w:space="0" w:color="auto"/>
              <w:right w:val="nil"/>
            </w:tcBorders>
            <w:shd w:val="clear" w:color="auto" w:fill="auto"/>
            <w:noWrap/>
            <w:vAlign w:val="bottom"/>
            <w:hideMark/>
          </w:tcPr>
          <w:p w14:paraId="49C12B6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100</w:t>
            </w:r>
          </w:p>
        </w:tc>
        <w:tc>
          <w:tcPr>
            <w:tcW w:w="960" w:type="dxa"/>
            <w:tcBorders>
              <w:top w:val="nil"/>
              <w:left w:val="nil"/>
              <w:bottom w:val="single" w:sz="4" w:space="0" w:color="auto"/>
              <w:right w:val="nil"/>
            </w:tcBorders>
            <w:shd w:val="clear" w:color="000000" w:fill="D9D9D9"/>
            <w:noWrap/>
            <w:vAlign w:val="bottom"/>
            <w:hideMark/>
          </w:tcPr>
          <w:p w14:paraId="12AA93F7"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103</w:t>
            </w:r>
          </w:p>
        </w:tc>
        <w:tc>
          <w:tcPr>
            <w:tcW w:w="960" w:type="dxa"/>
            <w:tcBorders>
              <w:top w:val="nil"/>
              <w:left w:val="nil"/>
              <w:bottom w:val="single" w:sz="4" w:space="0" w:color="auto"/>
              <w:right w:val="nil"/>
            </w:tcBorders>
            <w:shd w:val="clear" w:color="auto" w:fill="auto"/>
            <w:noWrap/>
            <w:vAlign w:val="bottom"/>
            <w:hideMark/>
          </w:tcPr>
          <w:p w14:paraId="34FB2F24"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104</w:t>
            </w:r>
          </w:p>
        </w:tc>
        <w:tc>
          <w:tcPr>
            <w:tcW w:w="960" w:type="dxa"/>
            <w:tcBorders>
              <w:top w:val="nil"/>
              <w:left w:val="nil"/>
              <w:bottom w:val="single" w:sz="4" w:space="0" w:color="auto"/>
              <w:right w:val="nil"/>
            </w:tcBorders>
            <w:shd w:val="clear" w:color="auto" w:fill="auto"/>
            <w:noWrap/>
            <w:vAlign w:val="bottom"/>
            <w:hideMark/>
          </w:tcPr>
          <w:p w14:paraId="234C4BB3"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105</w:t>
            </w:r>
          </w:p>
        </w:tc>
        <w:tc>
          <w:tcPr>
            <w:tcW w:w="960" w:type="dxa"/>
            <w:tcBorders>
              <w:top w:val="nil"/>
              <w:left w:val="nil"/>
              <w:bottom w:val="single" w:sz="4" w:space="0" w:color="auto"/>
              <w:right w:val="nil"/>
            </w:tcBorders>
            <w:shd w:val="clear" w:color="auto" w:fill="auto"/>
            <w:noWrap/>
            <w:vAlign w:val="bottom"/>
            <w:hideMark/>
          </w:tcPr>
          <w:p w14:paraId="4100E0C7"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106</w:t>
            </w:r>
          </w:p>
        </w:tc>
      </w:tr>
      <w:tr w:rsidR="00675403" w:rsidRPr="00675403" w14:paraId="3FA864BF" w14:textId="77777777" w:rsidTr="00705AD6">
        <w:trPr>
          <w:trHeight w:val="454"/>
          <w:jc w:val="center"/>
        </w:trPr>
        <w:tc>
          <w:tcPr>
            <w:tcW w:w="3080" w:type="dxa"/>
            <w:tcBorders>
              <w:top w:val="nil"/>
              <w:left w:val="nil"/>
              <w:bottom w:val="nil"/>
              <w:right w:val="nil"/>
            </w:tcBorders>
            <w:shd w:val="clear" w:color="auto" w:fill="auto"/>
            <w:vAlign w:val="bottom"/>
            <w:hideMark/>
          </w:tcPr>
          <w:p w14:paraId="1D9D6C5D"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 xml:space="preserve">Net cost of (contribution by) services </w:t>
            </w:r>
          </w:p>
        </w:tc>
        <w:tc>
          <w:tcPr>
            <w:tcW w:w="960" w:type="dxa"/>
            <w:tcBorders>
              <w:top w:val="nil"/>
              <w:left w:val="nil"/>
              <w:bottom w:val="single" w:sz="4" w:space="0" w:color="auto"/>
              <w:right w:val="nil"/>
            </w:tcBorders>
            <w:shd w:val="clear" w:color="auto" w:fill="auto"/>
            <w:noWrap/>
            <w:vAlign w:val="bottom"/>
            <w:hideMark/>
          </w:tcPr>
          <w:p w14:paraId="3B52E8E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6,200</w:t>
            </w:r>
          </w:p>
        </w:tc>
        <w:tc>
          <w:tcPr>
            <w:tcW w:w="960" w:type="dxa"/>
            <w:tcBorders>
              <w:top w:val="nil"/>
              <w:left w:val="nil"/>
              <w:bottom w:val="single" w:sz="4" w:space="0" w:color="auto"/>
              <w:right w:val="nil"/>
            </w:tcBorders>
            <w:shd w:val="clear" w:color="000000" w:fill="D9D9D9"/>
            <w:noWrap/>
            <w:vAlign w:val="bottom"/>
            <w:hideMark/>
          </w:tcPr>
          <w:p w14:paraId="76BEAE53"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7,170</w:t>
            </w:r>
          </w:p>
        </w:tc>
        <w:tc>
          <w:tcPr>
            <w:tcW w:w="960" w:type="dxa"/>
            <w:tcBorders>
              <w:top w:val="nil"/>
              <w:left w:val="nil"/>
              <w:bottom w:val="single" w:sz="4" w:space="0" w:color="auto"/>
              <w:right w:val="nil"/>
            </w:tcBorders>
            <w:shd w:val="clear" w:color="auto" w:fill="auto"/>
            <w:noWrap/>
            <w:vAlign w:val="bottom"/>
            <w:hideMark/>
          </w:tcPr>
          <w:p w14:paraId="0C32AB6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7,414</w:t>
            </w:r>
          </w:p>
        </w:tc>
        <w:tc>
          <w:tcPr>
            <w:tcW w:w="960" w:type="dxa"/>
            <w:tcBorders>
              <w:top w:val="nil"/>
              <w:left w:val="nil"/>
              <w:bottom w:val="single" w:sz="4" w:space="0" w:color="auto"/>
              <w:right w:val="nil"/>
            </w:tcBorders>
            <w:shd w:val="clear" w:color="auto" w:fill="auto"/>
            <w:noWrap/>
            <w:vAlign w:val="bottom"/>
            <w:hideMark/>
          </w:tcPr>
          <w:p w14:paraId="0EE55A38"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7,497</w:t>
            </w:r>
          </w:p>
        </w:tc>
        <w:tc>
          <w:tcPr>
            <w:tcW w:w="960" w:type="dxa"/>
            <w:tcBorders>
              <w:top w:val="nil"/>
              <w:left w:val="nil"/>
              <w:bottom w:val="single" w:sz="4" w:space="0" w:color="auto"/>
              <w:right w:val="nil"/>
            </w:tcBorders>
            <w:shd w:val="clear" w:color="auto" w:fill="auto"/>
            <w:noWrap/>
            <w:vAlign w:val="bottom"/>
            <w:hideMark/>
          </w:tcPr>
          <w:p w14:paraId="0FC2CFBE"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7,615</w:t>
            </w:r>
          </w:p>
        </w:tc>
      </w:tr>
      <w:tr w:rsidR="00675403" w:rsidRPr="00675403" w14:paraId="4E81CB86" w14:textId="77777777" w:rsidTr="00705AD6">
        <w:trPr>
          <w:trHeight w:val="283"/>
          <w:jc w:val="center"/>
        </w:trPr>
        <w:tc>
          <w:tcPr>
            <w:tcW w:w="3080" w:type="dxa"/>
            <w:tcBorders>
              <w:top w:val="nil"/>
              <w:left w:val="nil"/>
              <w:bottom w:val="nil"/>
              <w:right w:val="nil"/>
            </w:tcBorders>
            <w:shd w:val="clear" w:color="auto" w:fill="auto"/>
            <w:noWrap/>
            <w:vAlign w:val="bottom"/>
            <w:hideMark/>
          </w:tcPr>
          <w:p w14:paraId="3A2DBA1F"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Revenue from Government</w:t>
            </w:r>
          </w:p>
        </w:tc>
        <w:tc>
          <w:tcPr>
            <w:tcW w:w="960" w:type="dxa"/>
            <w:tcBorders>
              <w:top w:val="nil"/>
              <w:left w:val="nil"/>
              <w:bottom w:val="nil"/>
              <w:right w:val="nil"/>
            </w:tcBorders>
            <w:shd w:val="clear" w:color="auto" w:fill="auto"/>
            <w:noWrap/>
            <w:vAlign w:val="bottom"/>
            <w:hideMark/>
          </w:tcPr>
          <w:p w14:paraId="0749FCB9"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6,089</w:t>
            </w:r>
          </w:p>
        </w:tc>
        <w:tc>
          <w:tcPr>
            <w:tcW w:w="960" w:type="dxa"/>
            <w:tcBorders>
              <w:top w:val="nil"/>
              <w:left w:val="nil"/>
              <w:bottom w:val="nil"/>
              <w:right w:val="nil"/>
            </w:tcBorders>
            <w:shd w:val="clear" w:color="000000" w:fill="D9D9D9"/>
            <w:noWrap/>
            <w:vAlign w:val="bottom"/>
            <w:hideMark/>
          </w:tcPr>
          <w:p w14:paraId="3C71074B"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6,765</w:t>
            </w:r>
          </w:p>
        </w:tc>
        <w:tc>
          <w:tcPr>
            <w:tcW w:w="960" w:type="dxa"/>
            <w:tcBorders>
              <w:top w:val="nil"/>
              <w:left w:val="nil"/>
              <w:bottom w:val="nil"/>
              <w:right w:val="nil"/>
            </w:tcBorders>
            <w:shd w:val="clear" w:color="auto" w:fill="auto"/>
            <w:noWrap/>
            <w:vAlign w:val="bottom"/>
            <w:hideMark/>
          </w:tcPr>
          <w:p w14:paraId="5731AA07"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6,920</w:t>
            </w:r>
          </w:p>
        </w:tc>
        <w:tc>
          <w:tcPr>
            <w:tcW w:w="960" w:type="dxa"/>
            <w:tcBorders>
              <w:top w:val="nil"/>
              <w:left w:val="nil"/>
              <w:bottom w:val="nil"/>
              <w:right w:val="nil"/>
            </w:tcBorders>
            <w:shd w:val="clear" w:color="auto" w:fill="auto"/>
            <w:noWrap/>
            <w:vAlign w:val="bottom"/>
            <w:hideMark/>
          </w:tcPr>
          <w:p w14:paraId="2754A9F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7,021</w:t>
            </w:r>
          </w:p>
        </w:tc>
        <w:tc>
          <w:tcPr>
            <w:tcW w:w="960" w:type="dxa"/>
            <w:tcBorders>
              <w:top w:val="nil"/>
              <w:left w:val="nil"/>
              <w:bottom w:val="nil"/>
              <w:right w:val="nil"/>
            </w:tcBorders>
            <w:shd w:val="clear" w:color="auto" w:fill="auto"/>
            <w:noWrap/>
            <w:vAlign w:val="bottom"/>
            <w:hideMark/>
          </w:tcPr>
          <w:p w14:paraId="7608E68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7,160</w:t>
            </w:r>
          </w:p>
        </w:tc>
      </w:tr>
      <w:tr w:rsidR="00675403" w:rsidRPr="00675403" w14:paraId="6558E2B0" w14:textId="77777777" w:rsidTr="00705AD6">
        <w:trPr>
          <w:trHeight w:val="283"/>
          <w:jc w:val="center"/>
        </w:trPr>
        <w:tc>
          <w:tcPr>
            <w:tcW w:w="3080" w:type="dxa"/>
            <w:tcBorders>
              <w:top w:val="nil"/>
              <w:left w:val="nil"/>
              <w:bottom w:val="nil"/>
              <w:right w:val="nil"/>
            </w:tcBorders>
            <w:shd w:val="clear" w:color="auto" w:fill="auto"/>
            <w:noWrap/>
            <w:vAlign w:val="bottom"/>
            <w:hideMark/>
          </w:tcPr>
          <w:p w14:paraId="6469A9EC"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Surplus (deficit)</w:t>
            </w:r>
          </w:p>
        </w:tc>
        <w:tc>
          <w:tcPr>
            <w:tcW w:w="960" w:type="dxa"/>
            <w:tcBorders>
              <w:top w:val="nil"/>
              <w:left w:val="nil"/>
              <w:bottom w:val="single" w:sz="4" w:space="0" w:color="auto"/>
              <w:right w:val="nil"/>
            </w:tcBorders>
            <w:shd w:val="clear" w:color="auto" w:fill="auto"/>
            <w:noWrap/>
            <w:vAlign w:val="bottom"/>
            <w:hideMark/>
          </w:tcPr>
          <w:p w14:paraId="44A89F32"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(111)</w:t>
            </w:r>
          </w:p>
        </w:tc>
        <w:tc>
          <w:tcPr>
            <w:tcW w:w="960" w:type="dxa"/>
            <w:tcBorders>
              <w:top w:val="nil"/>
              <w:left w:val="nil"/>
              <w:bottom w:val="single" w:sz="4" w:space="0" w:color="auto"/>
              <w:right w:val="nil"/>
            </w:tcBorders>
            <w:shd w:val="clear" w:color="000000" w:fill="D9D9D9"/>
            <w:noWrap/>
            <w:vAlign w:val="bottom"/>
            <w:hideMark/>
          </w:tcPr>
          <w:p w14:paraId="13F0208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(405)</w:t>
            </w:r>
          </w:p>
        </w:tc>
        <w:tc>
          <w:tcPr>
            <w:tcW w:w="960" w:type="dxa"/>
            <w:tcBorders>
              <w:top w:val="nil"/>
              <w:left w:val="nil"/>
              <w:bottom w:val="single" w:sz="4" w:space="0" w:color="auto"/>
              <w:right w:val="nil"/>
            </w:tcBorders>
            <w:shd w:val="clear" w:color="auto" w:fill="auto"/>
            <w:noWrap/>
            <w:vAlign w:val="bottom"/>
            <w:hideMark/>
          </w:tcPr>
          <w:p w14:paraId="7E1D7D76"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(494)</w:t>
            </w:r>
          </w:p>
        </w:tc>
        <w:tc>
          <w:tcPr>
            <w:tcW w:w="960" w:type="dxa"/>
            <w:tcBorders>
              <w:top w:val="nil"/>
              <w:left w:val="nil"/>
              <w:bottom w:val="single" w:sz="4" w:space="0" w:color="auto"/>
              <w:right w:val="nil"/>
            </w:tcBorders>
            <w:shd w:val="clear" w:color="auto" w:fill="auto"/>
            <w:noWrap/>
            <w:vAlign w:val="bottom"/>
            <w:hideMark/>
          </w:tcPr>
          <w:p w14:paraId="4C63199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(476)</w:t>
            </w:r>
          </w:p>
        </w:tc>
        <w:tc>
          <w:tcPr>
            <w:tcW w:w="960" w:type="dxa"/>
            <w:tcBorders>
              <w:top w:val="nil"/>
              <w:left w:val="nil"/>
              <w:bottom w:val="single" w:sz="4" w:space="0" w:color="auto"/>
              <w:right w:val="nil"/>
            </w:tcBorders>
            <w:shd w:val="clear" w:color="auto" w:fill="auto"/>
            <w:noWrap/>
            <w:vAlign w:val="bottom"/>
            <w:hideMark/>
          </w:tcPr>
          <w:p w14:paraId="10D8B9B4"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(455)</w:t>
            </w:r>
          </w:p>
        </w:tc>
      </w:tr>
      <w:tr w:rsidR="00675403" w:rsidRPr="00675403" w14:paraId="2B2778B4" w14:textId="77777777" w:rsidTr="00705AD6">
        <w:trPr>
          <w:trHeight w:val="454"/>
          <w:jc w:val="center"/>
        </w:trPr>
        <w:tc>
          <w:tcPr>
            <w:tcW w:w="3080" w:type="dxa"/>
            <w:tcBorders>
              <w:top w:val="nil"/>
              <w:left w:val="nil"/>
              <w:bottom w:val="nil"/>
              <w:right w:val="nil"/>
            </w:tcBorders>
            <w:shd w:val="clear" w:color="auto" w:fill="auto"/>
            <w:vAlign w:val="bottom"/>
            <w:hideMark/>
          </w:tcPr>
          <w:p w14:paraId="1DFD71E6"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Surplus (deficit)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1F0756F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(111)</w:t>
            </w:r>
          </w:p>
        </w:tc>
        <w:tc>
          <w:tcPr>
            <w:tcW w:w="960" w:type="dxa"/>
            <w:tcBorders>
              <w:top w:val="nil"/>
              <w:left w:val="nil"/>
              <w:bottom w:val="single" w:sz="4" w:space="0" w:color="auto"/>
              <w:right w:val="nil"/>
            </w:tcBorders>
            <w:shd w:val="clear" w:color="000000" w:fill="D9D9D9"/>
            <w:noWrap/>
            <w:vAlign w:val="bottom"/>
            <w:hideMark/>
          </w:tcPr>
          <w:p w14:paraId="77A0872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(405)</w:t>
            </w:r>
          </w:p>
        </w:tc>
        <w:tc>
          <w:tcPr>
            <w:tcW w:w="960" w:type="dxa"/>
            <w:tcBorders>
              <w:top w:val="nil"/>
              <w:left w:val="nil"/>
              <w:bottom w:val="single" w:sz="4" w:space="0" w:color="auto"/>
              <w:right w:val="nil"/>
            </w:tcBorders>
            <w:shd w:val="clear" w:color="auto" w:fill="auto"/>
            <w:noWrap/>
            <w:vAlign w:val="bottom"/>
            <w:hideMark/>
          </w:tcPr>
          <w:p w14:paraId="646E47FF"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(494)</w:t>
            </w:r>
          </w:p>
        </w:tc>
        <w:tc>
          <w:tcPr>
            <w:tcW w:w="960" w:type="dxa"/>
            <w:tcBorders>
              <w:top w:val="nil"/>
              <w:left w:val="nil"/>
              <w:bottom w:val="single" w:sz="4" w:space="0" w:color="auto"/>
              <w:right w:val="nil"/>
            </w:tcBorders>
            <w:shd w:val="clear" w:color="auto" w:fill="auto"/>
            <w:noWrap/>
            <w:vAlign w:val="bottom"/>
            <w:hideMark/>
          </w:tcPr>
          <w:p w14:paraId="75CCF7A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(476)</w:t>
            </w:r>
          </w:p>
        </w:tc>
        <w:tc>
          <w:tcPr>
            <w:tcW w:w="960" w:type="dxa"/>
            <w:tcBorders>
              <w:top w:val="nil"/>
              <w:left w:val="nil"/>
              <w:bottom w:val="single" w:sz="4" w:space="0" w:color="auto"/>
              <w:right w:val="nil"/>
            </w:tcBorders>
            <w:shd w:val="clear" w:color="auto" w:fill="auto"/>
            <w:noWrap/>
            <w:vAlign w:val="bottom"/>
            <w:hideMark/>
          </w:tcPr>
          <w:p w14:paraId="5345785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(455)</w:t>
            </w:r>
          </w:p>
        </w:tc>
      </w:tr>
      <w:tr w:rsidR="00675403" w:rsidRPr="00675403" w14:paraId="4A279BD9" w14:textId="77777777" w:rsidTr="00705AD6">
        <w:trPr>
          <w:trHeight w:val="283"/>
          <w:jc w:val="center"/>
        </w:trPr>
        <w:tc>
          <w:tcPr>
            <w:tcW w:w="3080" w:type="dxa"/>
            <w:tcBorders>
              <w:top w:val="nil"/>
              <w:left w:val="nil"/>
              <w:bottom w:val="nil"/>
              <w:right w:val="nil"/>
            </w:tcBorders>
            <w:shd w:val="clear" w:color="auto" w:fill="auto"/>
            <w:noWrap/>
            <w:vAlign w:val="bottom"/>
            <w:hideMark/>
          </w:tcPr>
          <w:p w14:paraId="244E60F7"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OTHER COMPREHENSIVE INCOME</w:t>
            </w:r>
          </w:p>
        </w:tc>
        <w:tc>
          <w:tcPr>
            <w:tcW w:w="960" w:type="dxa"/>
            <w:tcBorders>
              <w:top w:val="nil"/>
              <w:left w:val="nil"/>
              <w:bottom w:val="nil"/>
              <w:right w:val="nil"/>
            </w:tcBorders>
            <w:shd w:val="clear" w:color="auto" w:fill="auto"/>
            <w:noWrap/>
            <w:vAlign w:val="bottom"/>
            <w:hideMark/>
          </w:tcPr>
          <w:p w14:paraId="6DEAB9D2" w14:textId="77777777" w:rsidR="00675403" w:rsidRPr="00675403" w:rsidRDefault="00675403" w:rsidP="00675403">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60E7A22D"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31457FFA" w14:textId="77777777" w:rsidR="00675403" w:rsidRPr="00675403" w:rsidRDefault="00675403" w:rsidP="00675403">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24B5550" w14:textId="77777777" w:rsidR="00675403" w:rsidRPr="00675403" w:rsidRDefault="00675403" w:rsidP="00675403">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F14C072" w14:textId="77777777" w:rsidR="00675403" w:rsidRPr="00675403" w:rsidRDefault="00675403" w:rsidP="00675403">
            <w:pPr>
              <w:spacing w:before="0" w:after="0" w:line="240" w:lineRule="auto"/>
              <w:jc w:val="right"/>
              <w:rPr>
                <w:rFonts w:ascii="Times New Roman" w:hAnsi="Times New Roman"/>
                <w:sz w:val="20"/>
              </w:rPr>
            </w:pPr>
          </w:p>
        </w:tc>
      </w:tr>
      <w:tr w:rsidR="00675403" w:rsidRPr="00675403" w14:paraId="30B92C2D" w14:textId="77777777" w:rsidTr="00705AD6">
        <w:trPr>
          <w:trHeight w:val="227"/>
          <w:jc w:val="center"/>
        </w:trPr>
        <w:tc>
          <w:tcPr>
            <w:tcW w:w="3080" w:type="dxa"/>
            <w:tcBorders>
              <w:top w:val="nil"/>
              <w:left w:val="nil"/>
              <w:bottom w:val="nil"/>
              <w:right w:val="nil"/>
            </w:tcBorders>
            <w:shd w:val="clear" w:color="auto" w:fill="auto"/>
            <w:vAlign w:val="bottom"/>
            <w:hideMark/>
          </w:tcPr>
          <w:p w14:paraId="6C92A3C7" w14:textId="77777777" w:rsidR="00675403" w:rsidRPr="00675403" w:rsidRDefault="00675403" w:rsidP="008301C5">
            <w:pPr>
              <w:spacing w:before="0" w:after="0" w:line="240" w:lineRule="auto"/>
              <w:ind w:leftChars="75" w:left="143"/>
              <w:rPr>
                <w:rFonts w:ascii="Arial" w:hAnsi="Arial" w:cs="Arial"/>
                <w:sz w:val="16"/>
                <w:szCs w:val="16"/>
              </w:rPr>
            </w:pPr>
            <w:r w:rsidRPr="00675403">
              <w:rPr>
                <w:rFonts w:ascii="Arial" w:hAnsi="Arial" w:cs="Arial"/>
                <w:sz w:val="16"/>
                <w:szCs w:val="16"/>
              </w:rPr>
              <w:t>Changes in asset revaluation reserves</w:t>
            </w:r>
          </w:p>
        </w:tc>
        <w:tc>
          <w:tcPr>
            <w:tcW w:w="960" w:type="dxa"/>
            <w:tcBorders>
              <w:top w:val="nil"/>
              <w:left w:val="nil"/>
              <w:bottom w:val="nil"/>
              <w:right w:val="nil"/>
            </w:tcBorders>
            <w:shd w:val="clear" w:color="auto" w:fill="auto"/>
            <w:noWrap/>
            <w:vAlign w:val="bottom"/>
            <w:hideMark/>
          </w:tcPr>
          <w:p w14:paraId="50A2023A"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723C4B80"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E2964F0"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5121357"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17CEDBD"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w:t>
            </w:r>
          </w:p>
        </w:tc>
      </w:tr>
      <w:tr w:rsidR="00675403" w:rsidRPr="00675403" w14:paraId="05CB049D" w14:textId="77777777" w:rsidTr="00705AD6">
        <w:trPr>
          <w:trHeight w:val="454"/>
          <w:jc w:val="center"/>
        </w:trPr>
        <w:tc>
          <w:tcPr>
            <w:tcW w:w="3080" w:type="dxa"/>
            <w:tcBorders>
              <w:top w:val="nil"/>
              <w:left w:val="nil"/>
              <w:bottom w:val="nil"/>
              <w:right w:val="nil"/>
            </w:tcBorders>
            <w:shd w:val="clear" w:color="auto" w:fill="auto"/>
            <w:vAlign w:val="bottom"/>
            <w:hideMark/>
          </w:tcPr>
          <w:p w14:paraId="4AE07CE3" w14:textId="77777777" w:rsidR="00675403" w:rsidRPr="00675403" w:rsidRDefault="00675403" w:rsidP="008301C5">
            <w:pPr>
              <w:spacing w:before="0" w:after="0" w:line="240" w:lineRule="auto"/>
              <w:ind w:leftChars="75" w:left="143"/>
              <w:rPr>
                <w:rFonts w:ascii="Arial" w:hAnsi="Arial" w:cs="Arial"/>
                <w:b/>
                <w:bCs/>
                <w:sz w:val="16"/>
                <w:szCs w:val="16"/>
              </w:rPr>
            </w:pPr>
            <w:r w:rsidRPr="00675403">
              <w:rPr>
                <w:rFonts w:ascii="Arial" w:hAnsi="Arial" w:cs="Arial"/>
                <w:b/>
                <w:bCs/>
                <w:sz w:val="16"/>
                <w:szCs w:val="16"/>
              </w:rPr>
              <w:t xml:space="preserve">Total other comprehensive income </w:t>
            </w:r>
          </w:p>
        </w:tc>
        <w:tc>
          <w:tcPr>
            <w:tcW w:w="960" w:type="dxa"/>
            <w:tcBorders>
              <w:top w:val="nil"/>
              <w:left w:val="nil"/>
              <w:bottom w:val="single" w:sz="4" w:space="0" w:color="auto"/>
              <w:right w:val="nil"/>
            </w:tcBorders>
            <w:shd w:val="clear" w:color="auto" w:fill="auto"/>
            <w:noWrap/>
            <w:vAlign w:val="bottom"/>
            <w:hideMark/>
          </w:tcPr>
          <w:p w14:paraId="2123DAD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778EEEBF"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416A1FA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1F4C4246"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4B9748A7"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r>
      <w:tr w:rsidR="00675403" w:rsidRPr="00675403" w14:paraId="50C21A41" w14:textId="77777777" w:rsidTr="00705AD6">
        <w:trPr>
          <w:trHeight w:val="624"/>
          <w:jc w:val="center"/>
        </w:trPr>
        <w:tc>
          <w:tcPr>
            <w:tcW w:w="3080" w:type="dxa"/>
            <w:tcBorders>
              <w:top w:val="nil"/>
              <w:left w:val="nil"/>
              <w:bottom w:val="single" w:sz="4" w:space="0" w:color="auto"/>
              <w:right w:val="nil"/>
            </w:tcBorders>
            <w:shd w:val="clear" w:color="auto" w:fill="auto"/>
            <w:vAlign w:val="bottom"/>
            <w:hideMark/>
          </w:tcPr>
          <w:p w14:paraId="587CBB9F"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Total comprehensive income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4436B2A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(111)</w:t>
            </w:r>
          </w:p>
        </w:tc>
        <w:tc>
          <w:tcPr>
            <w:tcW w:w="960" w:type="dxa"/>
            <w:tcBorders>
              <w:top w:val="nil"/>
              <w:left w:val="nil"/>
              <w:bottom w:val="single" w:sz="4" w:space="0" w:color="auto"/>
              <w:right w:val="nil"/>
            </w:tcBorders>
            <w:shd w:val="clear" w:color="000000" w:fill="D9D9D9"/>
            <w:noWrap/>
            <w:vAlign w:val="bottom"/>
            <w:hideMark/>
          </w:tcPr>
          <w:p w14:paraId="016FAB99"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(405)</w:t>
            </w:r>
          </w:p>
        </w:tc>
        <w:tc>
          <w:tcPr>
            <w:tcW w:w="960" w:type="dxa"/>
            <w:tcBorders>
              <w:top w:val="nil"/>
              <w:left w:val="nil"/>
              <w:bottom w:val="single" w:sz="4" w:space="0" w:color="auto"/>
              <w:right w:val="nil"/>
            </w:tcBorders>
            <w:shd w:val="clear" w:color="auto" w:fill="auto"/>
            <w:noWrap/>
            <w:vAlign w:val="bottom"/>
            <w:hideMark/>
          </w:tcPr>
          <w:p w14:paraId="3416CFA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(494)</w:t>
            </w:r>
          </w:p>
        </w:tc>
        <w:tc>
          <w:tcPr>
            <w:tcW w:w="960" w:type="dxa"/>
            <w:tcBorders>
              <w:top w:val="nil"/>
              <w:left w:val="nil"/>
              <w:bottom w:val="single" w:sz="4" w:space="0" w:color="auto"/>
              <w:right w:val="nil"/>
            </w:tcBorders>
            <w:shd w:val="clear" w:color="auto" w:fill="auto"/>
            <w:noWrap/>
            <w:vAlign w:val="bottom"/>
            <w:hideMark/>
          </w:tcPr>
          <w:p w14:paraId="6A28B638"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(476)</w:t>
            </w:r>
          </w:p>
        </w:tc>
        <w:tc>
          <w:tcPr>
            <w:tcW w:w="960" w:type="dxa"/>
            <w:tcBorders>
              <w:top w:val="nil"/>
              <w:left w:val="nil"/>
              <w:bottom w:val="single" w:sz="4" w:space="0" w:color="auto"/>
              <w:right w:val="nil"/>
            </w:tcBorders>
            <w:shd w:val="clear" w:color="auto" w:fill="auto"/>
            <w:noWrap/>
            <w:vAlign w:val="bottom"/>
            <w:hideMark/>
          </w:tcPr>
          <w:p w14:paraId="36E38069"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(455)</w:t>
            </w:r>
          </w:p>
        </w:tc>
      </w:tr>
    </w:tbl>
    <w:p w14:paraId="43D38FA3" w14:textId="2398BC13" w:rsidR="00675403" w:rsidRDefault="00675403" w:rsidP="00603F85">
      <w:pPr>
        <w:pStyle w:val="TableHeading"/>
        <w:spacing w:before="0"/>
      </w:pPr>
    </w:p>
    <w:p w14:paraId="26CBCFCA" w14:textId="77777777" w:rsidR="00675403" w:rsidRDefault="00675403">
      <w:pPr>
        <w:spacing w:before="0" w:after="0" w:line="240" w:lineRule="auto"/>
      </w:pPr>
      <w:r>
        <w:br w:type="page"/>
      </w:r>
    </w:p>
    <w:p w14:paraId="3573F228" w14:textId="1CA005F4" w:rsidR="00675403" w:rsidRPr="00200DF1" w:rsidRDefault="00675403" w:rsidP="0070046A">
      <w:pPr>
        <w:pStyle w:val="Tableheadingrow9pt"/>
        <w:spacing w:after="20"/>
        <w:rPr>
          <w:sz w:val="20"/>
        </w:rPr>
      </w:pPr>
      <w:r w:rsidRPr="00200DF1">
        <w:rPr>
          <w:sz w:val="20"/>
        </w:rPr>
        <w:t>Table 3.2: Comprehensive income statement (showing net cost of services) for the period ended 30 June (continued)</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E948EF" w:rsidRPr="00675403" w14:paraId="4B531234" w14:textId="77777777" w:rsidTr="00E948EF">
        <w:trPr>
          <w:trHeight w:val="227"/>
          <w:jc w:val="center"/>
        </w:trPr>
        <w:tc>
          <w:tcPr>
            <w:tcW w:w="7880" w:type="dxa"/>
            <w:gridSpan w:val="6"/>
            <w:tcBorders>
              <w:top w:val="single" w:sz="4" w:space="0" w:color="auto"/>
              <w:left w:val="nil"/>
              <w:bottom w:val="single" w:sz="4" w:space="0" w:color="auto"/>
              <w:right w:val="nil"/>
            </w:tcBorders>
            <w:shd w:val="clear" w:color="auto" w:fill="auto"/>
          </w:tcPr>
          <w:p w14:paraId="098EEE27" w14:textId="229A5FFB" w:rsidR="00E948EF" w:rsidRPr="009C1612" w:rsidRDefault="00E948EF" w:rsidP="00E948EF">
            <w:pPr>
              <w:spacing w:before="24" w:after="24" w:line="240" w:lineRule="auto"/>
              <w:rPr>
                <w:rFonts w:ascii="Arial" w:hAnsi="Arial" w:cs="Arial"/>
                <w:b/>
                <w:bCs/>
                <w:sz w:val="20"/>
              </w:rPr>
            </w:pPr>
            <w:r w:rsidRPr="009C1612">
              <w:rPr>
                <w:rFonts w:ascii="Arial" w:hAnsi="Arial" w:cs="Arial"/>
                <w:b/>
                <w:bCs/>
                <w:color w:val="000000"/>
                <w:sz w:val="20"/>
              </w:rPr>
              <w:t>Note: Reconciliation of comprehensive income attributable to the entity</w:t>
            </w:r>
          </w:p>
        </w:tc>
      </w:tr>
      <w:tr w:rsidR="00675403" w:rsidRPr="00675403" w14:paraId="43BE3DEE" w14:textId="77777777" w:rsidTr="00E948EF">
        <w:trPr>
          <w:trHeight w:val="397"/>
          <w:jc w:val="center"/>
        </w:trPr>
        <w:tc>
          <w:tcPr>
            <w:tcW w:w="3080" w:type="dxa"/>
            <w:tcBorders>
              <w:top w:val="single" w:sz="4" w:space="0" w:color="auto"/>
              <w:left w:val="nil"/>
              <w:bottom w:val="nil"/>
              <w:right w:val="nil"/>
            </w:tcBorders>
            <w:shd w:val="clear" w:color="auto" w:fill="auto"/>
            <w:vAlign w:val="bottom"/>
            <w:hideMark/>
          </w:tcPr>
          <w:p w14:paraId="5D1493B1" w14:textId="77777777" w:rsidR="00675403" w:rsidRPr="00675403" w:rsidRDefault="00675403" w:rsidP="00675403">
            <w:pPr>
              <w:spacing w:before="24" w:after="0" w:line="240" w:lineRule="auto"/>
              <w:rPr>
                <w:rFonts w:ascii="Times New Roman" w:hAnsi="Times New Roman"/>
                <w:sz w:val="20"/>
                <w:szCs w:val="24"/>
              </w:rPr>
            </w:pPr>
          </w:p>
        </w:tc>
        <w:tc>
          <w:tcPr>
            <w:tcW w:w="960" w:type="dxa"/>
            <w:tcBorders>
              <w:top w:val="single" w:sz="4" w:space="0" w:color="auto"/>
              <w:left w:val="nil"/>
              <w:bottom w:val="single" w:sz="4" w:space="0" w:color="auto"/>
              <w:right w:val="nil"/>
            </w:tcBorders>
            <w:shd w:val="clear" w:color="auto" w:fill="auto"/>
            <w:vAlign w:val="bottom"/>
            <w:hideMark/>
          </w:tcPr>
          <w:p w14:paraId="7972E09D" w14:textId="5E583CA4" w:rsidR="00675403" w:rsidRPr="00675403" w:rsidRDefault="00675403" w:rsidP="00675403">
            <w:pPr>
              <w:spacing w:before="24" w:after="0" w:line="240" w:lineRule="auto"/>
              <w:jc w:val="right"/>
              <w:rPr>
                <w:rFonts w:ascii="Arial" w:hAnsi="Arial" w:cs="Arial"/>
                <w:b/>
                <w:bCs/>
                <w:sz w:val="16"/>
                <w:szCs w:val="16"/>
              </w:rPr>
            </w:pPr>
            <w:r w:rsidRPr="00675403">
              <w:rPr>
                <w:rFonts w:ascii="Arial" w:hAnsi="Arial" w:cs="Arial"/>
                <w:b/>
                <w:bCs/>
                <w:sz w:val="16"/>
                <w:szCs w:val="16"/>
              </w:rPr>
              <w:t>2022</w:t>
            </w:r>
            <w:r>
              <w:rPr>
                <w:rFonts w:ascii="Arial" w:hAnsi="Arial" w:cs="Arial"/>
                <w:b/>
                <w:bCs/>
                <w:sz w:val="16"/>
                <w:szCs w:val="16"/>
              </w:rPr>
              <w:t>–</w:t>
            </w:r>
            <w:r w:rsidRPr="00675403">
              <w:rPr>
                <w:rFonts w:ascii="Arial" w:hAnsi="Arial" w:cs="Arial"/>
                <w:b/>
                <w:bCs/>
                <w:sz w:val="16"/>
                <w:szCs w:val="16"/>
              </w:rPr>
              <w:t xml:space="preserve">23 </w:t>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D9D9D9"/>
            <w:vAlign w:val="bottom"/>
            <w:hideMark/>
          </w:tcPr>
          <w:p w14:paraId="471FD5C7" w14:textId="01A18397" w:rsidR="00675403" w:rsidRPr="00675403" w:rsidRDefault="00675403" w:rsidP="00675403">
            <w:pPr>
              <w:spacing w:before="24" w:after="0" w:line="240" w:lineRule="auto"/>
              <w:jc w:val="right"/>
              <w:rPr>
                <w:rFonts w:ascii="Arial" w:hAnsi="Arial" w:cs="Arial"/>
                <w:b/>
                <w:bCs/>
                <w:sz w:val="16"/>
                <w:szCs w:val="16"/>
              </w:rPr>
            </w:pPr>
            <w:r>
              <w:rPr>
                <w:rFonts w:ascii="Arial" w:hAnsi="Arial" w:cs="Arial"/>
                <w:b/>
                <w:bCs/>
                <w:sz w:val="16"/>
                <w:szCs w:val="16"/>
              </w:rPr>
              <w:t>2023–</w:t>
            </w:r>
            <w:r w:rsidRPr="00675403">
              <w:rPr>
                <w:rFonts w:ascii="Arial" w:hAnsi="Arial" w:cs="Arial"/>
                <w:b/>
                <w:bCs/>
                <w:sz w:val="16"/>
                <w:szCs w:val="16"/>
              </w:rPr>
              <w:t xml:space="preserve">24 </w:t>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2B591F1E" w14:textId="34A4FA83" w:rsidR="00675403" w:rsidRPr="00675403" w:rsidRDefault="00675403" w:rsidP="00675403">
            <w:pPr>
              <w:spacing w:before="24" w:after="0" w:line="240" w:lineRule="auto"/>
              <w:jc w:val="right"/>
              <w:rPr>
                <w:rFonts w:ascii="Arial" w:hAnsi="Arial" w:cs="Arial"/>
                <w:b/>
                <w:bCs/>
                <w:sz w:val="16"/>
                <w:szCs w:val="16"/>
              </w:rPr>
            </w:pPr>
            <w:r w:rsidRPr="00675403">
              <w:rPr>
                <w:rFonts w:ascii="Arial" w:hAnsi="Arial" w:cs="Arial"/>
                <w:b/>
                <w:bCs/>
                <w:sz w:val="16"/>
                <w:szCs w:val="16"/>
              </w:rPr>
              <w:t>2024</w:t>
            </w:r>
            <w:r>
              <w:rPr>
                <w:rFonts w:ascii="Arial" w:hAnsi="Arial" w:cs="Arial"/>
                <w:b/>
                <w:bCs/>
                <w:sz w:val="16"/>
                <w:szCs w:val="16"/>
              </w:rPr>
              <w:t>–</w:t>
            </w:r>
            <w:r w:rsidRPr="00675403">
              <w:rPr>
                <w:rFonts w:ascii="Arial" w:hAnsi="Arial" w:cs="Arial"/>
                <w:b/>
                <w:bCs/>
                <w:sz w:val="16"/>
                <w:szCs w:val="16"/>
              </w:rPr>
              <w:t xml:space="preserve">25 </w:t>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150B83FD" w14:textId="42A0421B" w:rsidR="00675403" w:rsidRPr="00675403" w:rsidRDefault="00675403" w:rsidP="00675403">
            <w:pPr>
              <w:spacing w:before="24" w:after="0" w:line="240" w:lineRule="auto"/>
              <w:jc w:val="right"/>
              <w:rPr>
                <w:rFonts w:ascii="Arial" w:hAnsi="Arial" w:cs="Arial"/>
                <w:b/>
                <w:bCs/>
                <w:sz w:val="16"/>
                <w:szCs w:val="16"/>
              </w:rPr>
            </w:pPr>
            <w:r>
              <w:rPr>
                <w:rFonts w:ascii="Arial" w:hAnsi="Arial" w:cs="Arial"/>
                <w:b/>
                <w:bCs/>
                <w:sz w:val="16"/>
                <w:szCs w:val="16"/>
              </w:rPr>
              <w:t>2025–</w:t>
            </w:r>
            <w:r w:rsidRPr="00675403">
              <w:rPr>
                <w:rFonts w:ascii="Arial" w:hAnsi="Arial" w:cs="Arial"/>
                <w:b/>
                <w:bCs/>
                <w:sz w:val="16"/>
                <w:szCs w:val="16"/>
              </w:rPr>
              <w:t xml:space="preserve">26 </w:t>
            </w:r>
            <w:r w:rsidRPr="00675403">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75D33C53" w14:textId="12EC7366" w:rsidR="00675403" w:rsidRPr="00675403" w:rsidRDefault="00675403" w:rsidP="00675403">
            <w:pPr>
              <w:spacing w:before="24" w:after="0" w:line="240" w:lineRule="auto"/>
              <w:jc w:val="right"/>
              <w:rPr>
                <w:rFonts w:ascii="Arial" w:hAnsi="Arial" w:cs="Arial"/>
                <w:b/>
                <w:bCs/>
                <w:sz w:val="16"/>
                <w:szCs w:val="16"/>
              </w:rPr>
            </w:pPr>
            <w:r>
              <w:rPr>
                <w:rFonts w:ascii="Arial" w:hAnsi="Arial" w:cs="Arial"/>
                <w:b/>
                <w:bCs/>
                <w:sz w:val="16"/>
                <w:szCs w:val="16"/>
              </w:rPr>
              <w:t>2026–</w:t>
            </w:r>
            <w:r w:rsidRPr="00675403">
              <w:rPr>
                <w:rFonts w:ascii="Arial" w:hAnsi="Arial" w:cs="Arial"/>
                <w:b/>
                <w:bCs/>
                <w:sz w:val="16"/>
                <w:szCs w:val="16"/>
              </w:rPr>
              <w:t xml:space="preserve">27 </w:t>
            </w:r>
            <w:r w:rsidRPr="00675403">
              <w:rPr>
                <w:rFonts w:ascii="Arial" w:hAnsi="Arial" w:cs="Arial"/>
                <w:sz w:val="16"/>
                <w:szCs w:val="16"/>
              </w:rPr>
              <w:t>$'000</w:t>
            </w:r>
          </w:p>
        </w:tc>
      </w:tr>
      <w:tr w:rsidR="00675403" w:rsidRPr="00675403" w14:paraId="133613FF" w14:textId="77777777" w:rsidTr="007E79D4">
        <w:trPr>
          <w:trHeight w:val="624"/>
          <w:jc w:val="center"/>
        </w:trPr>
        <w:tc>
          <w:tcPr>
            <w:tcW w:w="3080" w:type="dxa"/>
            <w:tcBorders>
              <w:top w:val="nil"/>
              <w:left w:val="nil"/>
              <w:bottom w:val="nil"/>
              <w:right w:val="nil"/>
            </w:tcBorders>
            <w:shd w:val="clear" w:color="auto" w:fill="auto"/>
            <w:vAlign w:val="bottom"/>
            <w:hideMark/>
          </w:tcPr>
          <w:p w14:paraId="745A9E03"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Total comprehensive income (loss) attributable to the Australian Government</w:t>
            </w:r>
          </w:p>
        </w:tc>
        <w:tc>
          <w:tcPr>
            <w:tcW w:w="960" w:type="dxa"/>
            <w:tcBorders>
              <w:top w:val="nil"/>
              <w:left w:val="nil"/>
              <w:bottom w:val="nil"/>
              <w:right w:val="nil"/>
            </w:tcBorders>
            <w:shd w:val="clear" w:color="auto" w:fill="auto"/>
            <w:noWrap/>
            <w:vAlign w:val="bottom"/>
            <w:hideMark/>
          </w:tcPr>
          <w:p w14:paraId="536CCF07"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(111)</w:t>
            </w:r>
          </w:p>
        </w:tc>
        <w:tc>
          <w:tcPr>
            <w:tcW w:w="960" w:type="dxa"/>
            <w:tcBorders>
              <w:top w:val="nil"/>
              <w:left w:val="nil"/>
              <w:bottom w:val="nil"/>
              <w:right w:val="nil"/>
            </w:tcBorders>
            <w:shd w:val="clear" w:color="000000" w:fill="D9D9D9"/>
            <w:noWrap/>
            <w:vAlign w:val="bottom"/>
            <w:hideMark/>
          </w:tcPr>
          <w:p w14:paraId="104F15CA"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(405)</w:t>
            </w:r>
          </w:p>
        </w:tc>
        <w:tc>
          <w:tcPr>
            <w:tcW w:w="960" w:type="dxa"/>
            <w:tcBorders>
              <w:top w:val="nil"/>
              <w:left w:val="nil"/>
              <w:bottom w:val="nil"/>
              <w:right w:val="nil"/>
            </w:tcBorders>
            <w:shd w:val="clear" w:color="auto" w:fill="auto"/>
            <w:noWrap/>
            <w:vAlign w:val="bottom"/>
            <w:hideMark/>
          </w:tcPr>
          <w:p w14:paraId="45039C7B"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(494)</w:t>
            </w:r>
          </w:p>
        </w:tc>
        <w:tc>
          <w:tcPr>
            <w:tcW w:w="960" w:type="dxa"/>
            <w:tcBorders>
              <w:top w:val="nil"/>
              <w:left w:val="nil"/>
              <w:bottom w:val="nil"/>
              <w:right w:val="nil"/>
            </w:tcBorders>
            <w:shd w:val="clear" w:color="auto" w:fill="auto"/>
            <w:noWrap/>
            <w:vAlign w:val="bottom"/>
            <w:hideMark/>
          </w:tcPr>
          <w:p w14:paraId="3696FA11"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(476)</w:t>
            </w:r>
          </w:p>
        </w:tc>
        <w:tc>
          <w:tcPr>
            <w:tcW w:w="960" w:type="dxa"/>
            <w:tcBorders>
              <w:top w:val="nil"/>
              <w:left w:val="nil"/>
              <w:bottom w:val="nil"/>
              <w:right w:val="nil"/>
            </w:tcBorders>
            <w:shd w:val="clear" w:color="auto" w:fill="auto"/>
            <w:noWrap/>
            <w:vAlign w:val="bottom"/>
            <w:hideMark/>
          </w:tcPr>
          <w:p w14:paraId="590440C8"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(455)</w:t>
            </w:r>
          </w:p>
        </w:tc>
      </w:tr>
      <w:tr w:rsidR="00675403" w:rsidRPr="00675403" w14:paraId="10CE654A" w14:textId="77777777" w:rsidTr="007E79D4">
        <w:trPr>
          <w:trHeight w:val="624"/>
          <w:jc w:val="center"/>
        </w:trPr>
        <w:tc>
          <w:tcPr>
            <w:tcW w:w="3080" w:type="dxa"/>
            <w:tcBorders>
              <w:top w:val="nil"/>
              <w:left w:val="nil"/>
              <w:bottom w:val="nil"/>
              <w:right w:val="nil"/>
            </w:tcBorders>
            <w:shd w:val="clear" w:color="auto" w:fill="auto"/>
            <w:vAlign w:val="bottom"/>
            <w:hideMark/>
          </w:tcPr>
          <w:p w14:paraId="1CA9E139" w14:textId="77777777" w:rsidR="00675403" w:rsidRPr="00675403" w:rsidRDefault="00675403" w:rsidP="008301C5">
            <w:pPr>
              <w:spacing w:before="0" w:after="0" w:line="240" w:lineRule="auto"/>
              <w:ind w:leftChars="75" w:left="143"/>
              <w:rPr>
                <w:rFonts w:ascii="Arial" w:hAnsi="Arial" w:cs="Arial"/>
                <w:color w:val="000000"/>
                <w:sz w:val="16"/>
                <w:szCs w:val="16"/>
              </w:rPr>
            </w:pPr>
            <w:proofErr w:type="gramStart"/>
            <w:r w:rsidRPr="00675403">
              <w:rPr>
                <w:rFonts w:ascii="Arial" w:hAnsi="Arial" w:cs="Arial"/>
                <w:color w:val="000000"/>
                <w:sz w:val="16"/>
                <w:szCs w:val="16"/>
              </w:rPr>
              <w:t>plus</w:t>
            </w:r>
            <w:proofErr w:type="gramEnd"/>
            <w:r w:rsidRPr="00675403">
              <w:rPr>
                <w:rFonts w:ascii="Arial" w:hAnsi="Arial" w:cs="Arial"/>
                <w:color w:val="000000"/>
                <w:sz w:val="16"/>
                <w:szCs w:val="16"/>
              </w:rPr>
              <w:t xml:space="preserve"> non-appropriated expenses depreciation and amortisation expenses</w:t>
            </w:r>
          </w:p>
        </w:tc>
        <w:tc>
          <w:tcPr>
            <w:tcW w:w="960" w:type="dxa"/>
            <w:tcBorders>
              <w:top w:val="nil"/>
              <w:left w:val="nil"/>
              <w:bottom w:val="nil"/>
              <w:right w:val="nil"/>
            </w:tcBorders>
            <w:shd w:val="clear" w:color="000000" w:fill="FFFFFF"/>
            <w:noWrap/>
            <w:vAlign w:val="bottom"/>
            <w:hideMark/>
          </w:tcPr>
          <w:p w14:paraId="3C321B67"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222</w:t>
            </w:r>
          </w:p>
        </w:tc>
        <w:tc>
          <w:tcPr>
            <w:tcW w:w="960" w:type="dxa"/>
            <w:tcBorders>
              <w:top w:val="nil"/>
              <w:left w:val="nil"/>
              <w:bottom w:val="nil"/>
              <w:right w:val="nil"/>
            </w:tcBorders>
            <w:shd w:val="clear" w:color="000000" w:fill="D9D9D9"/>
            <w:noWrap/>
            <w:vAlign w:val="bottom"/>
            <w:hideMark/>
          </w:tcPr>
          <w:p w14:paraId="6952142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351</w:t>
            </w:r>
          </w:p>
        </w:tc>
        <w:tc>
          <w:tcPr>
            <w:tcW w:w="960" w:type="dxa"/>
            <w:tcBorders>
              <w:top w:val="nil"/>
              <w:left w:val="nil"/>
              <w:bottom w:val="nil"/>
              <w:right w:val="nil"/>
            </w:tcBorders>
            <w:shd w:val="clear" w:color="auto" w:fill="auto"/>
            <w:noWrap/>
            <w:vAlign w:val="bottom"/>
            <w:hideMark/>
          </w:tcPr>
          <w:p w14:paraId="0CDB54C4"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441</w:t>
            </w:r>
          </w:p>
        </w:tc>
        <w:tc>
          <w:tcPr>
            <w:tcW w:w="960" w:type="dxa"/>
            <w:tcBorders>
              <w:top w:val="nil"/>
              <w:left w:val="nil"/>
              <w:bottom w:val="nil"/>
              <w:right w:val="nil"/>
            </w:tcBorders>
            <w:shd w:val="clear" w:color="auto" w:fill="auto"/>
            <w:noWrap/>
            <w:vAlign w:val="bottom"/>
            <w:hideMark/>
          </w:tcPr>
          <w:p w14:paraId="554F92B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443</w:t>
            </w:r>
          </w:p>
        </w:tc>
        <w:tc>
          <w:tcPr>
            <w:tcW w:w="960" w:type="dxa"/>
            <w:tcBorders>
              <w:top w:val="nil"/>
              <w:left w:val="nil"/>
              <w:bottom w:val="nil"/>
              <w:right w:val="nil"/>
            </w:tcBorders>
            <w:shd w:val="clear" w:color="auto" w:fill="auto"/>
            <w:noWrap/>
            <w:vAlign w:val="bottom"/>
            <w:hideMark/>
          </w:tcPr>
          <w:p w14:paraId="68BC09BC"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444</w:t>
            </w:r>
          </w:p>
        </w:tc>
      </w:tr>
      <w:tr w:rsidR="00675403" w:rsidRPr="00675403" w14:paraId="64EAE270" w14:textId="77777777" w:rsidTr="007E79D4">
        <w:trPr>
          <w:trHeight w:val="425"/>
          <w:jc w:val="center"/>
        </w:trPr>
        <w:tc>
          <w:tcPr>
            <w:tcW w:w="3080" w:type="dxa"/>
            <w:tcBorders>
              <w:top w:val="nil"/>
              <w:left w:val="nil"/>
              <w:bottom w:val="nil"/>
              <w:right w:val="nil"/>
            </w:tcBorders>
            <w:shd w:val="clear" w:color="auto" w:fill="auto"/>
            <w:vAlign w:val="bottom"/>
            <w:hideMark/>
          </w:tcPr>
          <w:p w14:paraId="59108240" w14:textId="77777777" w:rsidR="00675403" w:rsidRPr="00675403" w:rsidRDefault="00675403" w:rsidP="008301C5">
            <w:pPr>
              <w:spacing w:before="0" w:after="0" w:line="240" w:lineRule="auto"/>
              <w:ind w:leftChars="75" w:left="143"/>
              <w:rPr>
                <w:rFonts w:ascii="Arial" w:hAnsi="Arial" w:cs="Arial"/>
                <w:color w:val="000000"/>
                <w:sz w:val="16"/>
                <w:szCs w:val="16"/>
              </w:rPr>
            </w:pPr>
            <w:proofErr w:type="gramStart"/>
            <w:r w:rsidRPr="00675403">
              <w:rPr>
                <w:rFonts w:ascii="Arial" w:hAnsi="Arial" w:cs="Arial"/>
                <w:color w:val="000000"/>
                <w:sz w:val="16"/>
                <w:szCs w:val="16"/>
              </w:rPr>
              <w:t>plus</w:t>
            </w:r>
            <w:proofErr w:type="gramEnd"/>
            <w:r w:rsidRPr="00675403">
              <w:rPr>
                <w:rFonts w:ascii="Arial" w:hAnsi="Arial" w:cs="Arial"/>
                <w:color w:val="000000"/>
                <w:sz w:val="16"/>
                <w:szCs w:val="16"/>
              </w:rPr>
              <w:t xml:space="preserve"> depreciation and amortisation expenses for </w:t>
            </w:r>
            <w:proofErr w:type="spellStart"/>
            <w:r w:rsidRPr="00675403">
              <w:rPr>
                <w:rFonts w:ascii="Arial" w:hAnsi="Arial" w:cs="Arial"/>
                <w:color w:val="000000"/>
                <w:sz w:val="16"/>
                <w:szCs w:val="16"/>
              </w:rPr>
              <w:t>RoU</w:t>
            </w:r>
            <w:proofErr w:type="spellEnd"/>
          </w:p>
        </w:tc>
        <w:tc>
          <w:tcPr>
            <w:tcW w:w="960" w:type="dxa"/>
            <w:tcBorders>
              <w:top w:val="nil"/>
              <w:left w:val="nil"/>
              <w:bottom w:val="nil"/>
              <w:right w:val="nil"/>
            </w:tcBorders>
            <w:shd w:val="clear" w:color="auto" w:fill="auto"/>
            <w:noWrap/>
            <w:vAlign w:val="bottom"/>
            <w:hideMark/>
          </w:tcPr>
          <w:p w14:paraId="6961BE3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299</w:t>
            </w:r>
          </w:p>
        </w:tc>
        <w:tc>
          <w:tcPr>
            <w:tcW w:w="960" w:type="dxa"/>
            <w:tcBorders>
              <w:top w:val="nil"/>
              <w:left w:val="nil"/>
              <w:bottom w:val="nil"/>
              <w:right w:val="nil"/>
            </w:tcBorders>
            <w:shd w:val="clear" w:color="000000" w:fill="D9D9D9"/>
            <w:noWrap/>
            <w:vAlign w:val="bottom"/>
            <w:hideMark/>
          </w:tcPr>
          <w:p w14:paraId="65CA620C"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299</w:t>
            </w:r>
          </w:p>
        </w:tc>
        <w:tc>
          <w:tcPr>
            <w:tcW w:w="960" w:type="dxa"/>
            <w:tcBorders>
              <w:top w:val="nil"/>
              <w:left w:val="nil"/>
              <w:bottom w:val="nil"/>
              <w:right w:val="nil"/>
            </w:tcBorders>
            <w:shd w:val="clear" w:color="auto" w:fill="auto"/>
            <w:noWrap/>
            <w:vAlign w:val="bottom"/>
            <w:hideMark/>
          </w:tcPr>
          <w:p w14:paraId="2020570E"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299</w:t>
            </w:r>
          </w:p>
        </w:tc>
        <w:tc>
          <w:tcPr>
            <w:tcW w:w="960" w:type="dxa"/>
            <w:tcBorders>
              <w:top w:val="nil"/>
              <w:left w:val="nil"/>
              <w:bottom w:val="nil"/>
              <w:right w:val="nil"/>
            </w:tcBorders>
            <w:shd w:val="clear" w:color="auto" w:fill="auto"/>
            <w:noWrap/>
            <w:vAlign w:val="bottom"/>
            <w:hideMark/>
          </w:tcPr>
          <w:p w14:paraId="13B86EC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299</w:t>
            </w:r>
          </w:p>
        </w:tc>
        <w:tc>
          <w:tcPr>
            <w:tcW w:w="960" w:type="dxa"/>
            <w:tcBorders>
              <w:top w:val="nil"/>
              <w:left w:val="nil"/>
              <w:bottom w:val="nil"/>
              <w:right w:val="nil"/>
            </w:tcBorders>
            <w:shd w:val="clear" w:color="auto" w:fill="auto"/>
            <w:noWrap/>
            <w:vAlign w:val="bottom"/>
            <w:hideMark/>
          </w:tcPr>
          <w:p w14:paraId="257DC492"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299</w:t>
            </w:r>
          </w:p>
        </w:tc>
      </w:tr>
      <w:tr w:rsidR="00675403" w:rsidRPr="00675403" w14:paraId="6E4313A0" w14:textId="77777777" w:rsidTr="007E79D4">
        <w:trPr>
          <w:trHeight w:val="283"/>
          <w:jc w:val="center"/>
        </w:trPr>
        <w:tc>
          <w:tcPr>
            <w:tcW w:w="3080" w:type="dxa"/>
            <w:tcBorders>
              <w:top w:val="nil"/>
              <w:left w:val="nil"/>
              <w:bottom w:val="nil"/>
              <w:right w:val="nil"/>
            </w:tcBorders>
            <w:shd w:val="clear" w:color="auto" w:fill="auto"/>
            <w:vAlign w:val="bottom"/>
            <w:hideMark/>
          </w:tcPr>
          <w:p w14:paraId="21FDD4E1" w14:textId="77777777" w:rsidR="00675403" w:rsidRPr="00675403" w:rsidRDefault="00675403" w:rsidP="008301C5">
            <w:pPr>
              <w:spacing w:before="0" w:after="0" w:line="240" w:lineRule="auto"/>
              <w:ind w:leftChars="75" w:left="143"/>
              <w:rPr>
                <w:rFonts w:ascii="Arial" w:hAnsi="Arial" w:cs="Arial"/>
                <w:color w:val="000000"/>
                <w:sz w:val="16"/>
                <w:szCs w:val="16"/>
              </w:rPr>
            </w:pPr>
            <w:r w:rsidRPr="00675403">
              <w:rPr>
                <w:rFonts w:ascii="Arial" w:hAnsi="Arial" w:cs="Arial"/>
                <w:color w:val="000000"/>
                <w:sz w:val="16"/>
                <w:szCs w:val="16"/>
              </w:rPr>
              <w:t>less lease principal repayments</w:t>
            </w:r>
          </w:p>
        </w:tc>
        <w:tc>
          <w:tcPr>
            <w:tcW w:w="960" w:type="dxa"/>
            <w:tcBorders>
              <w:top w:val="nil"/>
              <w:left w:val="nil"/>
              <w:bottom w:val="nil"/>
              <w:right w:val="nil"/>
            </w:tcBorders>
            <w:shd w:val="clear" w:color="000000" w:fill="FFFFFF"/>
            <w:noWrap/>
            <w:vAlign w:val="bottom"/>
            <w:hideMark/>
          </w:tcPr>
          <w:p w14:paraId="21DC8EB0"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(324)</w:t>
            </w:r>
          </w:p>
        </w:tc>
        <w:tc>
          <w:tcPr>
            <w:tcW w:w="960" w:type="dxa"/>
            <w:tcBorders>
              <w:top w:val="nil"/>
              <w:left w:val="nil"/>
              <w:bottom w:val="nil"/>
              <w:right w:val="nil"/>
            </w:tcBorders>
            <w:shd w:val="clear" w:color="000000" w:fill="D9D9D9"/>
            <w:noWrap/>
            <w:vAlign w:val="bottom"/>
            <w:hideMark/>
          </w:tcPr>
          <w:p w14:paraId="255AAC56"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(245)</w:t>
            </w:r>
          </w:p>
        </w:tc>
        <w:tc>
          <w:tcPr>
            <w:tcW w:w="960" w:type="dxa"/>
            <w:tcBorders>
              <w:top w:val="nil"/>
              <w:left w:val="nil"/>
              <w:bottom w:val="nil"/>
              <w:right w:val="nil"/>
            </w:tcBorders>
            <w:shd w:val="clear" w:color="auto" w:fill="auto"/>
            <w:noWrap/>
            <w:vAlign w:val="bottom"/>
            <w:hideMark/>
          </w:tcPr>
          <w:p w14:paraId="22923423"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(246)</w:t>
            </w:r>
          </w:p>
        </w:tc>
        <w:tc>
          <w:tcPr>
            <w:tcW w:w="960" w:type="dxa"/>
            <w:tcBorders>
              <w:top w:val="nil"/>
              <w:left w:val="nil"/>
              <w:bottom w:val="nil"/>
              <w:right w:val="nil"/>
            </w:tcBorders>
            <w:shd w:val="clear" w:color="auto" w:fill="auto"/>
            <w:noWrap/>
            <w:vAlign w:val="bottom"/>
            <w:hideMark/>
          </w:tcPr>
          <w:p w14:paraId="5DE6F4D6"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(266)</w:t>
            </w:r>
          </w:p>
        </w:tc>
        <w:tc>
          <w:tcPr>
            <w:tcW w:w="960" w:type="dxa"/>
            <w:tcBorders>
              <w:top w:val="nil"/>
              <w:left w:val="nil"/>
              <w:bottom w:val="nil"/>
              <w:right w:val="nil"/>
            </w:tcBorders>
            <w:shd w:val="clear" w:color="auto" w:fill="auto"/>
            <w:noWrap/>
            <w:vAlign w:val="bottom"/>
            <w:hideMark/>
          </w:tcPr>
          <w:p w14:paraId="004B9295" w14:textId="77777777" w:rsidR="00675403" w:rsidRPr="00675403" w:rsidRDefault="00675403" w:rsidP="00675403">
            <w:pPr>
              <w:spacing w:before="0" w:after="0" w:line="240" w:lineRule="auto"/>
              <w:jc w:val="right"/>
              <w:rPr>
                <w:rFonts w:ascii="Arial" w:hAnsi="Arial" w:cs="Arial"/>
                <w:sz w:val="16"/>
                <w:szCs w:val="16"/>
              </w:rPr>
            </w:pPr>
            <w:r w:rsidRPr="00675403">
              <w:rPr>
                <w:rFonts w:ascii="Arial" w:hAnsi="Arial" w:cs="Arial"/>
                <w:sz w:val="16"/>
                <w:szCs w:val="16"/>
              </w:rPr>
              <w:t>(288)</w:t>
            </w:r>
          </w:p>
        </w:tc>
      </w:tr>
      <w:tr w:rsidR="00675403" w:rsidRPr="00675403" w14:paraId="381F2FA0" w14:textId="77777777" w:rsidTr="007E79D4">
        <w:trPr>
          <w:trHeight w:val="454"/>
          <w:jc w:val="center"/>
        </w:trPr>
        <w:tc>
          <w:tcPr>
            <w:tcW w:w="3080" w:type="dxa"/>
            <w:tcBorders>
              <w:top w:val="nil"/>
              <w:left w:val="nil"/>
              <w:bottom w:val="single" w:sz="4" w:space="0" w:color="auto"/>
              <w:right w:val="nil"/>
            </w:tcBorders>
            <w:shd w:val="clear" w:color="auto" w:fill="auto"/>
            <w:vAlign w:val="bottom"/>
            <w:hideMark/>
          </w:tcPr>
          <w:p w14:paraId="1E54D57E" w14:textId="77777777" w:rsidR="00675403" w:rsidRPr="00675403" w:rsidRDefault="00675403" w:rsidP="00675403">
            <w:pPr>
              <w:spacing w:before="0" w:after="0" w:line="240" w:lineRule="auto"/>
              <w:rPr>
                <w:rFonts w:ascii="Arial" w:hAnsi="Arial" w:cs="Arial"/>
                <w:b/>
                <w:bCs/>
                <w:sz w:val="16"/>
                <w:szCs w:val="16"/>
              </w:rPr>
            </w:pPr>
            <w:r w:rsidRPr="00675403">
              <w:rPr>
                <w:rFonts w:ascii="Arial" w:hAnsi="Arial" w:cs="Arial"/>
                <w:b/>
                <w:bCs/>
                <w:sz w:val="16"/>
                <w:szCs w:val="16"/>
              </w:rPr>
              <w:t>Total comprehensive income (loss) attributable to the agency</w:t>
            </w:r>
          </w:p>
        </w:tc>
        <w:tc>
          <w:tcPr>
            <w:tcW w:w="960" w:type="dxa"/>
            <w:tcBorders>
              <w:top w:val="nil"/>
              <w:left w:val="nil"/>
              <w:bottom w:val="single" w:sz="4" w:space="0" w:color="auto"/>
              <w:right w:val="nil"/>
            </w:tcBorders>
            <w:shd w:val="clear" w:color="auto" w:fill="auto"/>
            <w:noWrap/>
            <w:vAlign w:val="bottom"/>
            <w:hideMark/>
          </w:tcPr>
          <w:p w14:paraId="378F081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86</w:t>
            </w:r>
          </w:p>
        </w:tc>
        <w:tc>
          <w:tcPr>
            <w:tcW w:w="960" w:type="dxa"/>
            <w:tcBorders>
              <w:top w:val="nil"/>
              <w:left w:val="nil"/>
              <w:bottom w:val="single" w:sz="4" w:space="0" w:color="auto"/>
              <w:right w:val="nil"/>
            </w:tcBorders>
            <w:shd w:val="clear" w:color="000000" w:fill="D9D9D9"/>
            <w:noWrap/>
            <w:vAlign w:val="bottom"/>
            <w:hideMark/>
          </w:tcPr>
          <w:p w14:paraId="0535E825"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0017971B"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240C9B1C"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12A752C6" w14:textId="77777777" w:rsidR="00675403" w:rsidRPr="00675403" w:rsidRDefault="00675403" w:rsidP="00675403">
            <w:pPr>
              <w:spacing w:before="0" w:after="0" w:line="240" w:lineRule="auto"/>
              <w:jc w:val="right"/>
              <w:rPr>
                <w:rFonts w:ascii="Arial" w:hAnsi="Arial" w:cs="Arial"/>
                <w:b/>
                <w:bCs/>
                <w:sz w:val="16"/>
                <w:szCs w:val="16"/>
              </w:rPr>
            </w:pPr>
            <w:r w:rsidRPr="00675403">
              <w:rPr>
                <w:rFonts w:ascii="Arial" w:hAnsi="Arial" w:cs="Arial"/>
                <w:b/>
                <w:bCs/>
                <w:sz w:val="16"/>
                <w:szCs w:val="16"/>
              </w:rPr>
              <w:t>-</w:t>
            </w:r>
          </w:p>
        </w:tc>
      </w:tr>
    </w:tbl>
    <w:p w14:paraId="42D7455E" w14:textId="6507FB4E" w:rsidR="00675403" w:rsidRPr="00675403" w:rsidRDefault="008301C5" w:rsidP="008301C5">
      <w:pPr>
        <w:pStyle w:val="FootnoteText"/>
        <w:spacing w:before="120"/>
      </w:pPr>
      <w:proofErr w:type="spellStart"/>
      <w:r w:rsidRPr="008301C5">
        <w:t>RoU</w:t>
      </w:r>
      <w:proofErr w:type="spellEnd"/>
      <w:r w:rsidRPr="008301C5">
        <w:t xml:space="preserve"> = Right-of-Use asset</w:t>
      </w:r>
    </w:p>
    <w:p w14:paraId="0BF10EF8" w14:textId="2FD189A5" w:rsidR="00603F85" w:rsidRPr="003F3188" w:rsidRDefault="00603F85" w:rsidP="008301C5">
      <w:pPr>
        <w:pStyle w:val="TableHeading"/>
        <w:spacing w:before="0"/>
        <w:rPr>
          <w:snapToGrid w:val="0"/>
        </w:rPr>
      </w:pPr>
      <w:r>
        <w:br w:type="page"/>
      </w:r>
    </w:p>
    <w:p w14:paraId="39D7F2D2" w14:textId="7B304DB8" w:rsidR="00603F85" w:rsidRDefault="00603F85" w:rsidP="00603F85">
      <w:pPr>
        <w:spacing w:before="0" w:after="0" w:line="240" w:lineRule="auto"/>
        <w:rPr>
          <w:rFonts w:ascii="Arial" w:hAnsi="Arial"/>
          <w:b/>
          <w:snapToGrid w:val="0"/>
          <w:sz w:val="20"/>
        </w:rPr>
      </w:pPr>
    </w:p>
    <w:p w14:paraId="2C8B3B01" w14:textId="77777777" w:rsidR="00603F85" w:rsidRDefault="00603F85" w:rsidP="00603F85">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112797" w:rsidRPr="00112797" w14:paraId="00AADEBF" w14:textId="77777777" w:rsidTr="00112797">
        <w:trPr>
          <w:trHeight w:val="765"/>
          <w:jc w:val="center"/>
        </w:trPr>
        <w:tc>
          <w:tcPr>
            <w:tcW w:w="3080" w:type="dxa"/>
            <w:tcBorders>
              <w:top w:val="single" w:sz="4" w:space="0" w:color="auto"/>
              <w:left w:val="nil"/>
              <w:bottom w:val="nil"/>
              <w:right w:val="nil"/>
            </w:tcBorders>
            <w:shd w:val="clear" w:color="auto" w:fill="auto"/>
            <w:vAlign w:val="bottom"/>
            <w:hideMark/>
          </w:tcPr>
          <w:p w14:paraId="2B02AC6E" w14:textId="77777777" w:rsidR="00112797" w:rsidRPr="00112797" w:rsidRDefault="00112797" w:rsidP="00112797">
            <w:pPr>
              <w:spacing w:before="24" w:after="0" w:line="240" w:lineRule="auto"/>
              <w:jc w:val="right"/>
              <w:rPr>
                <w:rFonts w:ascii="Arial" w:hAnsi="Arial" w:cs="Arial"/>
                <w:color w:val="000000"/>
                <w:sz w:val="16"/>
                <w:szCs w:val="16"/>
              </w:rPr>
            </w:pPr>
            <w:r w:rsidRPr="00112797">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vAlign w:val="bottom"/>
            <w:hideMark/>
          </w:tcPr>
          <w:p w14:paraId="209DD2B4" w14:textId="3972C7C4" w:rsidR="00112797" w:rsidRPr="00112797" w:rsidRDefault="00112797" w:rsidP="00112797">
            <w:pPr>
              <w:spacing w:before="24" w:after="0" w:line="240" w:lineRule="auto"/>
              <w:jc w:val="right"/>
              <w:rPr>
                <w:rFonts w:ascii="Arial" w:hAnsi="Arial" w:cs="Arial"/>
                <w:b/>
                <w:bCs/>
                <w:sz w:val="16"/>
                <w:szCs w:val="16"/>
              </w:rPr>
            </w:pPr>
            <w:r>
              <w:rPr>
                <w:rFonts w:ascii="Arial" w:hAnsi="Arial" w:cs="Arial"/>
                <w:b/>
                <w:bCs/>
                <w:sz w:val="16"/>
                <w:szCs w:val="16"/>
              </w:rPr>
              <w:t>2022–</w:t>
            </w:r>
            <w:r w:rsidRPr="00112797">
              <w:rPr>
                <w:rFonts w:ascii="Arial" w:hAnsi="Arial" w:cs="Arial"/>
                <w:b/>
                <w:bCs/>
                <w:sz w:val="16"/>
                <w:szCs w:val="16"/>
              </w:rPr>
              <w:t>23</w:t>
            </w:r>
            <w:r w:rsidRPr="00112797">
              <w:rPr>
                <w:rFonts w:ascii="Arial" w:hAnsi="Arial" w:cs="Arial"/>
                <w:b/>
                <w:bCs/>
                <w:sz w:val="16"/>
                <w:szCs w:val="16"/>
              </w:rPr>
              <w:br/>
              <w:t>Actual</w:t>
            </w:r>
            <w:r w:rsidRPr="00112797">
              <w:rPr>
                <w:rFonts w:ascii="Arial" w:hAnsi="Arial" w:cs="Arial"/>
                <w:b/>
                <w:bCs/>
                <w:sz w:val="16"/>
                <w:szCs w:val="16"/>
              </w:rPr>
              <w:br/>
            </w:r>
            <w:r w:rsidRPr="00112797">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vAlign w:val="bottom"/>
            <w:hideMark/>
          </w:tcPr>
          <w:p w14:paraId="61A8F597" w14:textId="0970CC0C" w:rsidR="00112797" w:rsidRPr="00112797" w:rsidRDefault="00112797" w:rsidP="00112797">
            <w:pPr>
              <w:spacing w:before="24" w:after="0" w:line="240" w:lineRule="auto"/>
              <w:jc w:val="right"/>
              <w:rPr>
                <w:rFonts w:ascii="Arial" w:hAnsi="Arial" w:cs="Arial"/>
                <w:b/>
                <w:bCs/>
                <w:sz w:val="16"/>
                <w:szCs w:val="16"/>
              </w:rPr>
            </w:pPr>
            <w:r>
              <w:rPr>
                <w:rFonts w:ascii="Arial" w:hAnsi="Arial" w:cs="Arial"/>
                <w:b/>
                <w:bCs/>
                <w:sz w:val="16"/>
                <w:szCs w:val="16"/>
              </w:rPr>
              <w:t>2023–</w:t>
            </w:r>
            <w:r w:rsidRPr="00112797">
              <w:rPr>
                <w:rFonts w:ascii="Arial" w:hAnsi="Arial" w:cs="Arial"/>
                <w:b/>
                <w:bCs/>
                <w:sz w:val="16"/>
                <w:szCs w:val="16"/>
              </w:rPr>
              <w:t>24</w:t>
            </w:r>
            <w:r w:rsidRPr="00112797">
              <w:rPr>
                <w:rFonts w:ascii="Arial" w:hAnsi="Arial" w:cs="Arial"/>
                <w:b/>
                <w:bCs/>
                <w:sz w:val="16"/>
                <w:szCs w:val="16"/>
              </w:rPr>
              <w:br/>
              <w:t>Revised</w:t>
            </w:r>
            <w:r w:rsidRPr="00112797">
              <w:rPr>
                <w:rFonts w:ascii="Arial" w:hAnsi="Arial" w:cs="Arial"/>
                <w:b/>
                <w:bCs/>
                <w:sz w:val="16"/>
                <w:szCs w:val="16"/>
              </w:rPr>
              <w:br/>
              <w:t>Budget</w:t>
            </w:r>
            <w:r w:rsidRPr="00112797">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vAlign w:val="bottom"/>
            <w:hideMark/>
          </w:tcPr>
          <w:p w14:paraId="29E29685" w14:textId="214C0ACA" w:rsidR="00112797" w:rsidRPr="00112797" w:rsidRDefault="00112797" w:rsidP="00112797">
            <w:pPr>
              <w:spacing w:before="24" w:after="0" w:line="240" w:lineRule="auto"/>
              <w:jc w:val="right"/>
              <w:rPr>
                <w:rFonts w:ascii="Arial" w:hAnsi="Arial" w:cs="Arial"/>
                <w:b/>
                <w:bCs/>
                <w:sz w:val="16"/>
                <w:szCs w:val="16"/>
              </w:rPr>
            </w:pPr>
            <w:r>
              <w:rPr>
                <w:rFonts w:ascii="Arial" w:hAnsi="Arial" w:cs="Arial"/>
                <w:b/>
                <w:bCs/>
                <w:sz w:val="16"/>
                <w:szCs w:val="16"/>
              </w:rPr>
              <w:t>2024–</w:t>
            </w:r>
            <w:r w:rsidRPr="00112797">
              <w:rPr>
                <w:rFonts w:ascii="Arial" w:hAnsi="Arial" w:cs="Arial"/>
                <w:b/>
                <w:bCs/>
                <w:sz w:val="16"/>
                <w:szCs w:val="16"/>
              </w:rPr>
              <w:t>25 Forward Estimate</w:t>
            </w:r>
            <w:r w:rsidRPr="00112797">
              <w:rPr>
                <w:rFonts w:ascii="Arial" w:hAnsi="Arial" w:cs="Arial"/>
                <w:b/>
                <w:bCs/>
                <w:sz w:val="16"/>
                <w:szCs w:val="16"/>
              </w:rPr>
              <w:br/>
            </w:r>
            <w:r w:rsidRPr="00112797">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74B53F09" w14:textId="0232AE9E" w:rsidR="00112797" w:rsidRPr="00112797" w:rsidRDefault="00112797" w:rsidP="00112797">
            <w:pPr>
              <w:spacing w:before="24" w:after="0" w:line="240" w:lineRule="auto"/>
              <w:jc w:val="right"/>
              <w:rPr>
                <w:rFonts w:ascii="Arial" w:hAnsi="Arial" w:cs="Arial"/>
                <w:b/>
                <w:bCs/>
                <w:sz w:val="16"/>
                <w:szCs w:val="16"/>
              </w:rPr>
            </w:pPr>
            <w:r>
              <w:rPr>
                <w:rFonts w:ascii="Arial" w:hAnsi="Arial" w:cs="Arial"/>
                <w:b/>
                <w:bCs/>
                <w:sz w:val="16"/>
                <w:szCs w:val="16"/>
              </w:rPr>
              <w:t>2025–</w:t>
            </w:r>
            <w:r w:rsidRPr="00112797">
              <w:rPr>
                <w:rFonts w:ascii="Arial" w:hAnsi="Arial" w:cs="Arial"/>
                <w:b/>
                <w:bCs/>
                <w:sz w:val="16"/>
                <w:szCs w:val="16"/>
              </w:rPr>
              <w:t>26 Forward Estimate</w:t>
            </w:r>
            <w:r w:rsidRPr="00112797">
              <w:rPr>
                <w:rFonts w:ascii="Arial" w:hAnsi="Arial" w:cs="Arial"/>
                <w:b/>
                <w:bCs/>
                <w:sz w:val="16"/>
                <w:szCs w:val="16"/>
              </w:rPr>
              <w:br/>
            </w:r>
            <w:r w:rsidRPr="00112797">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vAlign w:val="bottom"/>
            <w:hideMark/>
          </w:tcPr>
          <w:p w14:paraId="68402A7D" w14:textId="45EB8A28" w:rsidR="00112797" w:rsidRPr="00112797" w:rsidRDefault="00112797" w:rsidP="00112797">
            <w:pPr>
              <w:spacing w:before="24" w:after="0" w:line="240" w:lineRule="auto"/>
              <w:jc w:val="right"/>
              <w:rPr>
                <w:rFonts w:ascii="Arial" w:hAnsi="Arial" w:cs="Arial"/>
                <w:b/>
                <w:bCs/>
                <w:sz w:val="16"/>
                <w:szCs w:val="16"/>
              </w:rPr>
            </w:pPr>
            <w:r w:rsidRPr="00112797">
              <w:rPr>
                <w:rFonts w:ascii="Arial" w:hAnsi="Arial" w:cs="Arial"/>
                <w:b/>
                <w:bCs/>
                <w:sz w:val="16"/>
                <w:szCs w:val="16"/>
              </w:rPr>
              <w:t>2026</w:t>
            </w:r>
            <w:r>
              <w:rPr>
                <w:rFonts w:ascii="Arial" w:hAnsi="Arial" w:cs="Arial"/>
                <w:b/>
                <w:bCs/>
                <w:sz w:val="16"/>
                <w:szCs w:val="16"/>
              </w:rPr>
              <w:t>–</w:t>
            </w:r>
            <w:r w:rsidRPr="00112797">
              <w:rPr>
                <w:rFonts w:ascii="Arial" w:hAnsi="Arial" w:cs="Arial"/>
                <w:b/>
                <w:bCs/>
                <w:sz w:val="16"/>
                <w:szCs w:val="16"/>
              </w:rPr>
              <w:t>27 Forward Estimate</w:t>
            </w:r>
            <w:r w:rsidRPr="00112797">
              <w:rPr>
                <w:rFonts w:ascii="Arial" w:hAnsi="Arial" w:cs="Arial"/>
                <w:b/>
                <w:bCs/>
                <w:sz w:val="16"/>
                <w:szCs w:val="16"/>
              </w:rPr>
              <w:br/>
            </w:r>
            <w:r w:rsidRPr="00112797">
              <w:rPr>
                <w:rFonts w:ascii="Arial" w:hAnsi="Arial" w:cs="Arial"/>
                <w:sz w:val="16"/>
                <w:szCs w:val="16"/>
              </w:rPr>
              <w:t>$'000</w:t>
            </w:r>
          </w:p>
        </w:tc>
      </w:tr>
      <w:tr w:rsidR="00112797" w:rsidRPr="00112797" w14:paraId="48A0D96C"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62FF6FD" w14:textId="77777777" w:rsidR="00112797" w:rsidRPr="00112797" w:rsidRDefault="00112797" w:rsidP="00112797">
            <w:pPr>
              <w:spacing w:before="0" w:after="0" w:line="240" w:lineRule="auto"/>
              <w:rPr>
                <w:rFonts w:ascii="Arial" w:hAnsi="Arial" w:cs="Arial"/>
                <w:b/>
                <w:bCs/>
                <w:color w:val="000000"/>
                <w:sz w:val="16"/>
                <w:szCs w:val="16"/>
              </w:rPr>
            </w:pPr>
            <w:r w:rsidRPr="00112797">
              <w:rPr>
                <w:rFonts w:ascii="Arial" w:hAnsi="Arial" w:cs="Arial"/>
                <w:b/>
                <w:bCs/>
                <w:color w:val="000000"/>
                <w:sz w:val="16"/>
                <w:szCs w:val="16"/>
              </w:rPr>
              <w:t>ASSETS</w:t>
            </w:r>
          </w:p>
        </w:tc>
        <w:tc>
          <w:tcPr>
            <w:tcW w:w="960" w:type="dxa"/>
            <w:tcBorders>
              <w:top w:val="single" w:sz="4" w:space="0" w:color="auto"/>
              <w:left w:val="nil"/>
              <w:bottom w:val="nil"/>
              <w:right w:val="nil"/>
            </w:tcBorders>
            <w:shd w:val="clear" w:color="auto" w:fill="auto"/>
            <w:noWrap/>
            <w:vAlign w:val="bottom"/>
            <w:hideMark/>
          </w:tcPr>
          <w:p w14:paraId="69232B30"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single" w:sz="4" w:space="0" w:color="auto"/>
              <w:left w:val="nil"/>
              <w:bottom w:val="nil"/>
              <w:right w:val="nil"/>
            </w:tcBorders>
            <w:shd w:val="clear" w:color="000000" w:fill="D9D9D9"/>
            <w:noWrap/>
            <w:vAlign w:val="bottom"/>
            <w:hideMark/>
          </w:tcPr>
          <w:p w14:paraId="053CCF98"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08F4B710"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2F1FA72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6C5D0BF6"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r>
      <w:tr w:rsidR="00112797" w:rsidRPr="00112797" w14:paraId="3A486EDC"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DC1E437"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725D05F7" w14:textId="77777777" w:rsidR="00112797" w:rsidRPr="00112797" w:rsidRDefault="00112797" w:rsidP="00112797">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5BADBD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C901AAD"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F5C1D69"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BE138AE"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21EC85B8"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07D1CD4F"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Cash and cash equivalents</w:t>
            </w:r>
          </w:p>
        </w:tc>
        <w:tc>
          <w:tcPr>
            <w:tcW w:w="960" w:type="dxa"/>
            <w:tcBorders>
              <w:top w:val="nil"/>
              <w:left w:val="nil"/>
              <w:bottom w:val="nil"/>
              <w:right w:val="nil"/>
            </w:tcBorders>
            <w:shd w:val="clear" w:color="auto" w:fill="auto"/>
            <w:noWrap/>
            <w:vAlign w:val="bottom"/>
            <w:hideMark/>
          </w:tcPr>
          <w:p w14:paraId="16BE0BF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121</w:t>
            </w:r>
          </w:p>
        </w:tc>
        <w:tc>
          <w:tcPr>
            <w:tcW w:w="960" w:type="dxa"/>
            <w:tcBorders>
              <w:top w:val="nil"/>
              <w:left w:val="nil"/>
              <w:bottom w:val="nil"/>
              <w:right w:val="nil"/>
            </w:tcBorders>
            <w:shd w:val="clear" w:color="000000" w:fill="D9D9D9"/>
            <w:noWrap/>
            <w:vAlign w:val="bottom"/>
            <w:hideMark/>
          </w:tcPr>
          <w:p w14:paraId="13DCF7E4"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121</w:t>
            </w:r>
          </w:p>
        </w:tc>
        <w:tc>
          <w:tcPr>
            <w:tcW w:w="960" w:type="dxa"/>
            <w:tcBorders>
              <w:top w:val="nil"/>
              <w:left w:val="nil"/>
              <w:bottom w:val="nil"/>
              <w:right w:val="nil"/>
            </w:tcBorders>
            <w:shd w:val="clear" w:color="auto" w:fill="auto"/>
            <w:noWrap/>
            <w:vAlign w:val="bottom"/>
            <w:hideMark/>
          </w:tcPr>
          <w:p w14:paraId="1F1EA96A"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121</w:t>
            </w:r>
          </w:p>
        </w:tc>
        <w:tc>
          <w:tcPr>
            <w:tcW w:w="960" w:type="dxa"/>
            <w:tcBorders>
              <w:top w:val="nil"/>
              <w:left w:val="nil"/>
              <w:bottom w:val="nil"/>
              <w:right w:val="nil"/>
            </w:tcBorders>
            <w:shd w:val="clear" w:color="auto" w:fill="auto"/>
            <w:noWrap/>
            <w:vAlign w:val="bottom"/>
            <w:hideMark/>
          </w:tcPr>
          <w:p w14:paraId="76561B3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121</w:t>
            </w:r>
          </w:p>
        </w:tc>
        <w:tc>
          <w:tcPr>
            <w:tcW w:w="960" w:type="dxa"/>
            <w:tcBorders>
              <w:top w:val="nil"/>
              <w:left w:val="nil"/>
              <w:bottom w:val="nil"/>
              <w:right w:val="nil"/>
            </w:tcBorders>
            <w:shd w:val="clear" w:color="auto" w:fill="auto"/>
            <w:noWrap/>
            <w:vAlign w:val="bottom"/>
            <w:hideMark/>
          </w:tcPr>
          <w:p w14:paraId="605E6F9B"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121</w:t>
            </w:r>
          </w:p>
        </w:tc>
      </w:tr>
      <w:tr w:rsidR="00112797" w:rsidRPr="00112797" w14:paraId="6024F626"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09D2B9B7"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Receivables</w:t>
            </w:r>
          </w:p>
        </w:tc>
        <w:tc>
          <w:tcPr>
            <w:tcW w:w="960" w:type="dxa"/>
            <w:tcBorders>
              <w:top w:val="nil"/>
              <w:left w:val="nil"/>
              <w:bottom w:val="nil"/>
              <w:right w:val="nil"/>
            </w:tcBorders>
            <w:shd w:val="clear" w:color="auto" w:fill="auto"/>
            <w:noWrap/>
            <w:vAlign w:val="bottom"/>
            <w:hideMark/>
          </w:tcPr>
          <w:p w14:paraId="742B5B19"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3,888</w:t>
            </w:r>
          </w:p>
        </w:tc>
        <w:tc>
          <w:tcPr>
            <w:tcW w:w="960" w:type="dxa"/>
            <w:tcBorders>
              <w:top w:val="nil"/>
              <w:left w:val="nil"/>
              <w:bottom w:val="nil"/>
              <w:right w:val="nil"/>
            </w:tcBorders>
            <w:shd w:val="clear" w:color="000000" w:fill="D9D9D9"/>
            <w:noWrap/>
            <w:vAlign w:val="bottom"/>
            <w:hideMark/>
          </w:tcPr>
          <w:p w14:paraId="3E52C21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1,888</w:t>
            </w:r>
          </w:p>
        </w:tc>
        <w:tc>
          <w:tcPr>
            <w:tcW w:w="960" w:type="dxa"/>
            <w:tcBorders>
              <w:top w:val="nil"/>
              <w:left w:val="nil"/>
              <w:bottom w:val="nil"/>
              <w:right w:val="nil"/>
            </w:tcBorders>
            <w:shd w:val="clear" w:color="auto" w:fill="auto"/>
            <w:noWrap/>
            <w:vAlign w:val="bottom"/>
            <w:hideMark/>
          </w:tcPr>
          <w:p w14:paraId="07EC0D46"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1,888</w:t>
            </w:r>
          </w:p>
        </w:tc>
        <w:tc>
          <w:tcPr>
            <w:tcW w:w="960" w:type="dxa"/>
            <w:tcBorders>
              <w:top w:val="nil"/>
              <w:left w:val="nil"/>
              <w:bottom w:val="nil"/>
              <w:right w:val="nil"/>
            </w:tcBorders>
            <w:shd w:val="clear" w:color="auto" w:fill="auto"/>
            <w:noWrap/>
            <w:vAlign w:val="bottom"/>
            <w:hideMark/>
          </w:tcPr>
          <w:p w14:paraId="05C5FD04"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1,888</w:t>
            </w:r>
          </w:p>
        </w:tc>
        <w:tc>
          <w:tcPr>
            <w:tcW w:w="960" w:type="dxa"/>
            <w:tcBorders>
              <w:top w:val="nil"/>
              <w:left w:val="nil"/>
              <w:bottom w:val="nil"/>
              <w:right w:val="nil"/>
            </w:tcBorders>
            <w:shd w:val="clear" w:color="auto" w:fill="auto"/>
            <w:noWrap/>
            <w:vAlign w:val="bottom"/>
            <w:hideMark/>
          </w:tcPr>
          <w:p w14:paraId="178839FA"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1,888</w:t>
            </w:r>
          </w:p>
        </w:tc>
      </w:tr>
      <w:tr w:rsidR="00112797" w:rsidRPr="00112797" w14:paraId="1BFCF49F"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0503F0D7" w14:textId="77777777" w:rsidR="00112797" w:rsidRPr="00112797" w:rsidRDefault="00112797" w:rsidP="00112797">
            <w:pPr>
              <w:spacing w:before="0" w:after="0" w:line="240" w:lineRule="auto"/>
              <w:ind w:leftChars="150" w:left="285"/>
              <w:rPr>
                <w:rFonts w:ascii="Arial" w:hAnsi="Arial" w:cs="Arial"/>
                <w:b/>
                <w:bCs/>
                <w:color w:val="000000"/>
                <w:sz w:val="16"/>
                <w:szCs w:val="16"/>
              </w:rPr>
            </w:pPr>
            <w:r w:rsidRPr="00112797">
              <w:rPr>
                <w:rFonts w:ascii="Arial" w:hAnsi="Arial"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14:paraId="033B2434"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4,009</w:t>
            </w:r>
          </w:p>
        </w:tc>
        <w:tc>
          <w:tcPr>
            <w:tcW w:w="960" w:type="dxa"/>
            <w:tcBorders>
              <w:top w:val="nil"/>
              <w:left w:val="nil"/>
              <w:bottom w:val="single" w:sz="4" w:space="0" w:color="auto"/>
              <w:right w:val="nil"/>
            </w:tcBorders>
            <w:shd w:val="clear" w:color="000000" w:fill="D9D9D9"/>
            <w:noWrap/>
            <w:vAlign w:val="bottom"/>
            <w:hideMark/>
          </w:tcPr>
          <w:p w14:paraId="0EE885EE"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2,009</w:t>
            </w:r>
          </w:p>
        </w:tc>
        <w:tc>
          <w:tcPr>
            <w:tcW w:w="960" w:type="dxa"/>
            <w:tcBorders>
              <w:top w:val="nil"/>
              <w:left w:val="nil"/>
              <w:bottom w:val="single" w:sz="4" w:space="0" w:color="auto"/>
              <w:right w:val="nil"/>
            </w:tcBorders>
            <w:shd w:val="clear" w:color="auto" w:fill="auto"/>
            <w:noWrap/>
            <w:vAlign w:val="bottom"/>
            <w:hideMark/>
          </w:tcPr>
          <w:p w14:paraId="0966C74B"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2,009</w:t>
            </w:r>
          </w:p>
        </w:tc>
        <w:tc>
          <w:tcPr>
            <w:tcW w:w="960" w:type="dxa"/>
            <w:tcBorders>
              <w:top w:val="nil"/>
              <w:left w:val="nil"/>
              <w:bottom w:val="single" w:sz="4" w:space="0" w:color="auto"/>
              <w:right w:val="nil"/>
            </w:tcBorders>
            <w:shd w:val="clear" w:color="auto" w:fill="auto"/>
            <w:noWrap/>
            <w:vAlign w:val="bottom"/>
            <w:hideMark/>
          </w:tcPr>
          <w:p w14:paraId="46F84BD5"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2,009</w:t>
            </w:r>
          </w:p>
        </w:tc>
        <w:tc>
          <w:tcPr>
            <w:tcW w:w="960" w:type="dxa"/>
            <w:tcBorders>
              <w:top w:val="nil"/>
              <w:left w:val="nil"/>
              <w:bottom w:val="single" w:sz="4" w:space="0" w:color="auto"/>
              <w:right w:val="nil"/>
            </w:tcBorders>
            <w:shd w:val="clear" w:color="auto" w:fill="auto"/>
            <w:noWrap/>
            <w:vAlign w:val="bottom"/>
            <w:hideMark/>
          </w:tcPr>
          <w:p w14:paraId="3E81FE13"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2,009</w:t>
            </w:r>
          </w:p>
        </w:tc>
      </w:tr>
      <w:tr w:rsidR="00112797" w:rsidRPr="00112797" w14:paraId="63151038" w14:textId="77777777" w:rsidTr="00FE3A64">
        <w:trPr>
          <w:trHeight w:val="283"/>
          <w:jc w:val="center"/>
        </w:trPr>
        <w:tc>
          <w:tcPr>
            <w:tcW w:w="3080" w:type="dxa"/>
            <w:tcBorders>
              <w:top w:val="nil"/>
              <w:left w:val="nil"/>
              <w:bottom w:val="nil"/>
              <w:right w:val="nil"/>
            </w:tcBorders>
            <w:shd w:val="clear" w:color="auto" w:fill="auto"/>
            <w:noWrap/>
            <w:vAlign w:val="bottom"/>
            <w:hideMark/>
          </w:tcPr>
          <w:p w14:paraId="524149CF"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14:paraId="2DB96012" w14:textId="77777777" w:rsidR="00112797" w:rsidRPr="00112797" w:rsidRDefault="00112797" w:rsidP="00112797">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BA74C29"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C218E86"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E65650C"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2E26A4F"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1A3A89F3"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A1C2509"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14:paraId="64C5AB4D"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171</w:t>
            </w:r>
          </w:p>
        </w:tc>
        <w:tc>
          <w:tcPr>
            <w:tcW w:w="960" w:type="dxa"/>
            <w:tcBorders>
              <w:top w:val="nil"/>
              <w:left w:val="nil"/>
              <w:bottom w:val="nil"/>
              <w:right w:val="nil"/>
            </w:tcBorders>
            <w:shd w:val="clear" w:color="000000" w:fill="D9D9D9"/>
            <w:noWrap/>
            <w:vAlign w:val="bottom"/>
            <w:hideMark/>
          </w:tcPr>
          <w:p w14:paraId="0E498B6F"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3,998</w:t>
            </w:r>
          </w:p>
        </w:tc>
        <w:tc>
          <w:tcPr>
            <w:tcW w:w="960" w:type="dxa"/>
            <w:tcBorders>
              <w:top w:val="nil"/>
              <w:left w:val="nil"/>
              <w:bottom w:val="nil"/>
              <w:right w:val="nil"/>
            </w:tcBorders>
            <w:shd w:val="clear" w:color="auto" w:fill="auto"/>
            <w:noWrap/>
            <w:vAlign w:val="bottom"/>
            <w:hideMark/>
          </w:tcPr>
          <w:p w14:paraId="3676C85D"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3,441</w:t>
            </w:r>
          </w:p>
        </w:tc>
        <w:tc>
          <w:tcPr>
            <w:tcW w:w="960" w:type="dxa"/>
            <w:tcBorders>
              <w:top w:val="nil"/>
              <w:left w:val="nil"/>
              <w:bottom w:val="nil"/>
              <w:right w:val="nil"/>
            </w:tcBorders>
            <w:shd w:val="clear" w:color="auto" w:fill="auto"/>
            <w:noWrap/>
            <w:vAlign w:val="bottom"/>
            <w:hideMark/>
          </w:tcPr>
          <w:p w14:paraId="05F1639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3,649</w:t>
            </w:r>
          </w:p>
        </w:tc>
        <w:tc>
          <w:tcPr>
            <w:tcW w:w="960" w:type="dxa"/>
            <w:tcBorders>
              <w:top w:val="nil"/>
              <w:left w:val="nil"/>
              <w:bottom w:val="nil"/>
              <w:right w:val="nil"/>
            </w:tcBorders>
            <w:shd w:val="clear" w:color="auto" w:fill="auto"/>
            <w:noWrap/>
            <w:vAlign w:val="bottom"/>
            <w:hideMark/>
          </w:tcPr>
          <w:p w14:paraId="188750F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3,857</w:t>
            </w:r>
          </w:p>
        </w:tc>
      </w:tr>
      <w:tr w:rsidR="00112797" w:rsidRPr="00112797" w14:paraId="78CB72E5"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2CADDCF"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 xml:space="preserve">Property, </w:t>
            </w:r>
            <w:proofErr w:type="gramStart"/>
            <w:r w:rsidRPr="00112797">
              <w:rPr>
                <w:rFonts w:ascii="Arial" w:hAnsi="Arial" w:cs="Arial"/>
                <w:color w:val="000000"/>
                <w:sz w:val="16"/>
                <w:szCs w:val="16"/>
              </w:rPr>
              <w:t>plant</w:t>
            </w:r>
            <w:proofErr w:type="gramEnd"/>
            <w:r w:rsidRPr="00112797">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4BAC205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134</w:t>
            </w:r>
          </w:p>
        </w:tc>
        <w:tc>
          <w:tcPr>
            <w:tcW w:w="960" w:type="dxa"/>
            <w:tcBorders>
              <w:top w:val="nil"/>
              <w:left w:val="nil"/>
              <w:bottom w:val="nil"/>
              <w:right w:val="nil"/>
            </w:tcBorders>
            <w:shd w:val="clear" w:color="000000" w:fill="D9D9D9"/>
            <w:noWrap/>
            <w:vAlign w:val="bottom"/>
            <w:hideMark/>
          </w:tcPr>
          <w:p w14:paraId="2560C6A1"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144</w:t>
            </w:r>
          </w:p>
        </w:tc>
        <w:tc>
          <w:tcPr>
            <w:tcW w:w="960" w:type="dxa"/>
            <w:tcBorders>
              <w:top w:val="nil"/>
              <w:left w:val="nil"/>
              <w:bottom w:val="nil"/>
              <w:right w:val="nil"/>
            </w:tcBorders>
            <w:shd w:val="clear" w:color="auto" w:fill="auto"/>
            <w:noWrap/>
            <w:vAlign w:val="bottom"/>
            <w:hideMark/>
          </w:tcPr>
          <w:p w14:paraId="0CB0C3F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147</w:t>
            </w:r>
          </w:p>
        </w:tc>
        <w:tc>
          <w:tcPr>
            <w:tcW w:w="960" w:type="dxa"/>
            <w:tcBorders>
              <w:top w:val="nil"/>
              <w:left w:val="nil"/>
              <w:bottom w:val="nil"/>
              <w:right w:val="nil"/>
            </w:tcBorders>
            <w:shd w:val="clear" w:color="auto" w:fill="auto"/>
            <w:noWrap/>
            <w:vAlign w:val="bottom"/>
            <w:hideMark/>
          </w:tcPr>
          <w:p w14:paraId="745B8EE8"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98</w:t>
            </w:r>
          </w:p>
        </w:tc>
        <w:tc>
          <w:tcPr>
            <w:tcW w:w="960" w:type="dxa"/>
            <w:tcBorders>
              <w:top w:val="nil"/>
              <w:left w:val="nil"/>
              <w:bottom w:val="nil"/>
              <w:right w:val="nil"/>
            </w:tcBorders>
            <w:shd w:val="clear" w:color="auto" w:fill="auto"/>
            <w:noWrap/>
            <w:vAlign w:val="bottom"/>
            <w:hideMark/>
          </w:tcPr>
          <w:p w14:paraId="77865DDA"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99</w:t>
            </w:r>
          </w:p>
        </w:tc>
      </w:tr>
      <w:tr w:rsidR="00112797" w:rsidRPr="00112797" w14:paraId="7ACDB45F"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003C164"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Intangibles</w:t>
            </w:r>
          </w:p>
        </w:tc>
        <w:tc>
          <w:tcPr>
            <w:tcW w:w="960" w:type="dxa"/>
            <w:tcBorders>
              <w:top w:val="nil"/>
              <w:left w:val="nil"/>
              <w:bottom w:val="nil"/>
              <w:right w:val="nil"/>
            </w:tcBorders>
            <w:shd w:val="clear" w:color="auto" w:fill="auto"/>
            <w:noWrap/>
            <w:vAlign w:val="bottom"/>
            <w:hideMark/>
          </w:tcPr>
          <w:p w14:paraId="1B1ED918"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147</w:t>
            </w:r>
          </w:p>
        </w:tc>
        <w:tc>
          <w:tcPr>
            <w:tcW w:w="960" w:type="dxa"/>
            <w:tcBorders>
              <w:top w:val="nil"/>
              <w:left w:val="nil"/>
              <w:bottom w:val="nil"/>
              <w:right w:val="nil"/>
            </w:tcBorders>
            <w:shd w:val="clear" w:color="000000" w:fill="D9D9D9"/>
            <w:noWrap/>
            <w:vAlign w:val="bottom"/>
            <w:hideMark/>
          </w:tcPr>
          <w:p w14:paraId="097B374D"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257</w:t>
            </w:r>
          </w:p>
        </w:tc>
        <w:tc>
          <w:tcPr>
            <w:tcW w:w="960" w:type="dxa"/>
            <w:tcBorders>
              <w:top w:val="nil"/>
              <w:left w:val="nil"/>
              <w:bottom w:val="nil"/>
              <w:right w:val="nil"/>
            </w:tcBorders>
            <w:shd w:val="clear" w:color="auto" w:fill="auto"/>
            <w:noWrap/>
            <w:vAlign w:val="bottom"/>
            <w:hideMark/>
          </w:tcPr>
          <w:p w14:paraId="570546AF"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351</w:t>
            </w:r>
          </w:p>
        </w:tc>
        <w:tc>
          <w:tcPr>
            <w:tcW w:w="960" w:type="dxa"/>
            <w:tcBorders>
              <w:top w:val="nil"/>
              <w:left w:val="nil"/>
              <w:bottom w:val="nil"/>
              <w:right w:val="nil"/>
            </w:tcBorders>
            <w:shd w:val="clear" w:color="auto" w:fill="auto"/>
            <w:noWrap/>
            <w:vAlign w:val="bottom"/>
            <w:hideMark/>
          </w:tcPr>
          <w:p w14:paraId="00758CE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477</w:t>
            </w:r>
          </w:p>
        </w:tc>
        <w:tc>
          <w:tcPr>
            <w:tcW w:w="960" w:type="dxa"/>
            <w:tcBorders>
              <w:top w:val="nil"/>
              <w:left w:val="nil"/>
              <w:bottom w:val="nil"/>
              <w:right w:val="nil"/>
            </w:tcBorders>
            <w:shd w:val="clear" w:color="auto" w:fill="auto"/>
            <w:noWrap/>
            <w:vAlign w:val="bottom"/>
            <w:hideMark/>
          </w:tcPr>
          <w:p w14:paraId="38AA5D6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555</w:t>
            </w:r>
          </w:p>
        </w:tc>
      </w:tr>
      <w:tr w:rsidR="00112797" w:rsidRPr="00112797" w14:paraId="73F4079D"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408D8D28"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Other</w:t>
            </w:r>
          </w:p>
        </w:tc>
        <w:tc>
          <w:tcPr>
            <w:tcW w:w="960" w:type="dxa"/>
            <w:tcBorders>
              <w:top w:val="nil"/>
              <w:left w:val="nil"/>
              <w:bottom w:val="nil"/>
              <w:right w:val="nil"/>
            </w:tcBorders>
            <w:shd w:val="clear" w:color="auto" w:fill="auto"/>
            <w:noWrap/>
            <w:vAlign w:val="bottom"/>
            <w:hideMark/>
          </w:tcPr>
          <w:p w14:paraId="116D200F"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32</w:t>
            </w:r>
          </w:p>
        </w:tc>
        <w:tc>
          <w:tcPr>
            <w:tcW w:w="960" w:type="dxa"/>
            <w:tcBorders>
              <w:top w:val="nil"/>
              <w:left w:val="nil"/>
              <w:bottom w:val="nil"/>
              <w:right w:val="nil"/>
            </w:tcBorders>
            <w:shd w:val="clear" w:color="000000" w:fill="D9D9D9"/>
            <w:noWrap/>
            <w:vAlign w:val="bottom"/>
            <w:hideMark/>
          </w:tcPr>
          <w:p w14:paraId="2273A1D6"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32</w:t>
            </w:r>
          </w:p>
        </w:tc>
        <w:tc>
          <w:tcPr>
            <w:tcW w:w="960" w:type="dxa"/>
            <w:tcBorders>
              <w:top w:val="nil"/>
              <w:left w:val="nil"/>
              <w:bottom w:val="nil"/>
              <w:right w:val="nil"/>
            </w:tcBorders>
            <w:shd w:val="clear" w:color="auto" w:fill="auto"/>
            <w:noWrap/>
            <w:vAlign w:val="bottom"/>
            <w:hideMark/>
          </w:tcPr>
          <w:p w14:paraId="49146609"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32</w:t>
            </w:r>
          </w:p>
        </w:tc>
        <w:tc>
          <w:tcPr>
            <w:tcW w:w="960" w:type="dxa"/>
            <w:tcBorders>
              <w:top w:val="nil"/>
              <w:left w:val="nil"/>
              <w:bottom w:val="nil"/>
              <w:right w:val="nil"/>
            </w:tcBorders>
            <w:shd w:val="clear" w:color="auto" w:fill="auto"/>
            <w:noWrap/>
            <w:vAlign w:val="bottom"/>
            <w:hideMark/>
          </w:tcPr>
          <w:p w14:paraId="2E9B323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32</w:t>
            </w:r>
          </w:p>
        </w:tc>
        <w:tc>
          <w:tcPr>
            <w:tcW w:w="960" w:type="dxa"/>
            <w:tcBorders>
              <w:top w:val="nil"/>
              <w:left w:val="nil"/>
              <w:bottom w:val="nil"/>
              <w:right w:val="nil"/>
            </w:tcBorders>
            <w:shd w:val="clear" w:color="auto" w:fill="auto"/>
            <w:noWrap/>
            <w:vAlign w:val="bottom"/>
            <w:hideMark/>
          </w:tcPr>
          <w:p w14:paraId="12E19A9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32</w:t>
            </w:r>
          </w:p>
        </w:tc>
      </w:tr>
      <w:tr w:rsidR="00112797" w:rsidRPr="00112797" w14:paraId="6AF4E704"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73D508CB" w14:textId="77777777" w:rsidR="00112797" w:rsidRPr="00112797" w:rsidRDefault="00112797" w:rsidP="00112797">
            <w:pPr>
              <w:spacing w:before="0" w:after="0" w:line="240" w:lineRule="auto"/>
              <w:ind w:leftChars="150" w:left="285"/>
              <w:rPr>
                <w:rFonts w:ascii="Arial" w:hAnsi="Arial" w:cs="Arial"/>
                <w:b/>
                <w:bCs/>
                <w:color w:val="000000"/>
                <w:sz w:val="16"/>
                <w:szCs w:val="16"/>
              </w:rPr>
            </w:pPr>
            <w:r w:rsidRPr="00112797">
              <w:rPr>
                <w:rFonts w:ascii="Arial" w:hAnsi="Arial"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14:paraId="4EBF5034"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484</w:t>
            </w:r>
          </w:p>
        </w:tc>
        <w:tc>
          <w:tcPr>
            <w:tcW w:w="960" w:type="dxa"/>
            <w:tcBorders>
              <w:top w:val="nil"/>
              <w:left w:val="nil"/>
              <w:bottom w:val="single" w:sz="4" w:space="0" w:color="auto"/>
              <w:right w:val="nil"/>
            </w:tcBorders>
            <w:shd w:val="clear" w:color="000000" w:fill="D9D9D9"/>
            <w:noWrap/>
            <w:vAlign w:val="bottom"/>
            <w:hideMark/>
          </w:tcPr>
          <w:p w14:paraId="1C74A97E"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4,431</w:t>
            </w:r>
          </w:p>
        </w:tc>
        <w:tc>
          <w:tcPr>
            <w:tcW w:w="960" w:type="dxa"/>
            <w:tcBorders>
              <w:top w:val="nil"/>
              <w:left w:val="nil"/>
              <w:bottom w:val="single" w:sz="4" w:space="0" w:color="auto"/>
              <w:right w:val="nil"/>
            </w:tcBorders>
            <w:shd w:val="clear" w:color="auto" w:fill="auto"/>
            <w:noWrap/>
            <w:vAlign w:val="bottom"/>
            <w:hideMark/>
          </w:tcPr>
          <w:p w14:paraId="42970F01"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3,971</w:t>
            </w:r>
          </w:p>
        </w:tc>
        <w:tc>
          <w:tcPr>
            <w:tcW w:w="960" w:type="dxa"/>
            <w:tcBorders>
              <w:top w:val="nil"/>
              <w:left w:val="nil"/>
              <w:bottom w:val="single" w:sz="4" w:space="0" w:color="auto"/>
              <w:right w:val="nil"/>
            </w:tcBorders>
            <w:shd w:val="clear" w:color="auto" w:fill="auto"/>
            <w:noWrap/>
            <w:vAlign w:val="bottom"/>
            <w:hideMark/>
          </w:tcPr>
          <w:p w14:paraId="38277719"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4,256</w:t>
            </w:r>
          </w:p>
        </w:tc>
        <w:tc>
          <w:tcPr>
            <w:tcW w:w="960" w:type="dxa"/>
            <w:tcBorders>
              <w:top w:val="nil"/>
              <w:left w:val="nil"/>
              <w:bottom w:val="single" w:sz="4" w:space="0" w:color="auto"/>
              <w:right w:val="nil"/>
            </w:tcBorders>
            <w:shd w:val="clear" w:color="auto" w:fill="auto"/>
            <w:noWrap/>
            <w:vAlign w:val="bottom"/>
            <w:hideMark/>
          </w:tcPr>
          <w:p w14:paraId="5D10DCD6"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4,543</w:t>
            </w:r>
          </w:p>
        </w:tc>
      </w:tr>
      <w:tr w:rsidR="00112797" w:rsidRPr="00112797" w14:paraId="3CA9FDCA"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04F6629"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Total assets</w:t>
            </w:r>
          </w:p>
        </w:tc>
        <w:tc>
          <w:tcPr>
            <w:tcW w:w="960" w:type="dxa"/>
            <w:tcBorders>
              <w:top w:val="nil"/>
              <w:left w:val="nil"/>
              <w:bottom w:val="single" w:sz="4" w:space="0" w:color="auto"/>
              <w:right w:val="nil"/>
            </w:tcBorders>
            <w:shd w:val="clear" w:color="auto" w:fill="auto"/>
            <w:noWrap/>
            <w:vAlign w:val="bottom"/>
            <w:hideMark/>
          </w:tcPr>
          <w:p w14:paraId="110F0758"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4,493</w:t>
            </w:r>
          </w:p>
        </w:tc>
        <w:tc>
          <w:tcPr>
            <w:tcW w:w="960" w:type="dxa"/>
            <w:tcBorders>
              <w:top w:val="nil"/>
              <w:left w:val="nil"/>
              <w:bottom w:val="single" w:sz="4" w:space="0" w:color="auto"/>
              <w:right w:val="nil"/>
            </w:tcBorders>
            <w:shd w:val="clear" w:color="000000" w:fill="D9D9D9"/>
            <w:noWrap/>
            <w:vAlign w:val="bottom"/>
            <w:hideMark/>
          </w:tcPr>
          <w:p w14:paraId="08996349"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6,440</w:t>
            </w:r>
          </w:p>
        </w:tc>
        <w:tc>
          <w:tcPr>
            <w:tcW w:w="960" w:type="dxa"/>
            <w:tcBorders>
              <w:top w:val="nil"/>
              <w:left w:val="nil"/>
              <w:bottom w:val="single" w:sz="4" w:space="0" w:color="auto"/>
              <w:right w:val="nil"/>
            </w:tcBorders>
            <w:shd w:val="clear" w:color="auto" w:fill="auto"/>
            <w:noWrap/>
            <w:vAlign w:val="bottom"/>
            <w:hideMark/>
          </w:tcPr>
          <w:p w14:paraId="7F82905A"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5,980</w:t>
            </w:r>
          </w:p>
        </w:tc>
        <w:tc>
          <w:tcPr>
            <w:tcW w:w="960" w:type="dxa"/>
            <w:tcBorders>
              <w:top w:val="nil"/>
              <w:left w:val="nil"/>
              <w:bottom w:val="single" w:sz="4" w:space="0" w:color="auto"/>
              <w:right w:val="nil"/>
            </w:tcBorders>
            <w:shd w:val="clear" w:color="auto" w:fill="auto"/>
            <w:noWrap/>
            <w:vAlign w:val="bottom"/>
            <w:hideMark/>
          </w:tcPr>
          <w:p w14:paraId="4EE8CCAC"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6,265</w:t>
            </w:r>
          </w:p>
        </w:tc>
        <w:tc>
          <w:tcPr>
            <w:tcW w:w="960" w:type="dxa"/>
            <w:tcBorders>
              <w:top w:val="nil"/>
              <w:left w:val="nil"/>
              <w:bottom w:val="single" w:sz="4" w:space="0" w:color="auto"/>
              <w:right w:val="nil"/>
            </w:tcBorders>
            <w:shd w:val="clear" w:color="auto" w:fill="auto"/>
            <w:noWrap/>
            <w:vAlign w:val="bottom"/>
            <w:hideMark/>
          </w:tcPr>
          <w:p w14:paraId="5400C59D"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6,552</w:t>
            </w:r>
          </w:p>
        </w:tc>
      </w:tr>
      <w:tr w:rsidR="00112797" w:rsidRPr="00112797" w14:paraId="34418B8E" w14:textId="77777777" w:rsidTr="00FE3A64">
        <w:trPr>
          <w:trHeight w:val="283"/>
          <w:jc w:val="center"/>
        </w:trPr>
        <w:tc>
          <w:tcPr>
            <w:tcW w:w="3080" w:type="dxa"/>
            <w:tcBorders>
              <w:top w:val="nil"/>
              <w:left w:val="nil"/>
              <w:bottom w:val="nil"/>
              <w:right w:val="nil"/>
            </w:tcBorders>
            <w:shd w:val="clear" w:color="auto" w:fill="auto"/>
            <w:noWrap/>
            <w:vAlign w:val="bottom"/>
            <w:hideMark/>
          </w:tcPr>
          <w:p w14:paraId="6079FB7B" w14:textId="77777777" w:rsidR="00112797" w:rsidRPr="00112797" w:rsidRDefault="00112797" w:rsidP="00112797">
            <w:pPr>
              <w:spacing w:before="0" w:after="0" w:line="240" w:lineRule="auto"/>
              <w:rPr>
                <w:rFonts w:ascii="Arial" w:hAnsi="Arial" w:cs="Arial"/>
                <w:b/>
                <w:bCs/>
                <w:color w:val="000000"/>
                <w:sz w:val="16"/>
                <w:szCs w:val="16"/>
              </w:rPr>
            </w:pPr>
            <w:r w:rsidRPr="00112797">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14:paraId="42B19A5D" w14:textId="77777777" w:rsidR="00112797" w:rsidRPr="00112797" w:rsidRDefault="00112797" w:rsidP="00112797">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327BC537"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5149AA3E"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214EF82"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834FFAE"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62987A16"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1939C27"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26DA6EA5" w14:textId="77777777" w:rsidR="00112797" w:rsidRPr="00112797" w:rsidRDefault="00112797" w:rsidP="00112797">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4D367B1"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5D3DAA2B"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21B62EA8"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528A03F"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3BEDCDE7"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0E9078BC"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5774767F"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52</w:t>
            </w:r>
          </w:p>
        </w:tc>
        <w:tc>
          <w:tcPr>
            <w:tcW w:w="960" w:type="dxa"/>
            <w:tcBorders>
              <w:top w:val="nil"/>
              <w:left w:val="nil"/>
              <w:bottom w:val="nil"/>
              <w:right w:val="nil"/>
            </w:tcBorders>
            <w:shd w:val="clear" w:color="000000" w:fill="D9D9D9"/>
            <w:noWrap/>
            <w:vAlign w:val="bottom"/>
            <w:hideMark/>
          </w:tcPr>
          <w:p w14:paraId="29F2DACD"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52</w:t>
            </w:r>
          </w:p>
        </w:tc>
        <w:tc>
          <w:tcPr>
            <w:tcW w:w="960" w:type="dxa"/>
            <w:tcBorders>
              <w:top w:val="nil"/>
              <w:left w:val="nil"/>
              <w:bottom w:val="nil"/>
              <w:right w:val="nil"/>
            </w:tcBorders>
            <w:shd w:val="clear" w:color="auto" w:fill="auto"/>
            <w:noWrap/>
            <w:vAlign w:val="bottom"/>
            <w:hideMark/>
          </w:tcPr>
          <w:p w14:paraId="64C0BD31"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52</w:t>
            </w:r>
          </w:p>
        </w:tc>
        <w:tc>
          <w:tcPr>
            <w:tcW w:w="960" w:type="dxa"/>
            <w:tcBorders>
              <w:top w:val="nil"/>
              <w:left w:val="nil"/>
              <w:bottom w:val="nil"/>
              <w:right w:val="nil"/>
            </w:tcBorders>
            <w:shd w:val="clear" w:color="auto" w:fill="auto"/>
            <w:noWrap/>
            <w:vAlign w:val="bottom"/>
            <w:hideMark/>
          </w:tcPr>
          <w:p w14:paraId="5126EF0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52</w:t>
            </w:r>
          </w:p>
        </w:tc>
        <w:tc>
          <w:tcPr>
            <w:tcW w:w="960" w:type="dxa"/>
            <w:tcBorders>
              <w:top w:val="nil"/>
              <w:left w:val="nil"/>
              <w:bottom w:val="nil"/>
              <w:right w:val="nil"/>
            </w:tcBorders>
            <w:shd w:val="clear" w:color="auto" w:fill="auto"/>
            <w:noWrap/>
            <w:vAlign w:val="bottom"/>
            <w:hideMark/>
          </w:tcPr>
          <w:p w14:paraId="5DAC741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52</w:t>
            </w:r>
          </w:p>
        </w:tc>
      </w:tr>
      <w:tr w:rsidR="00112797" w:rsidRPr="00112797" w14:paraId="5D7DB810"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2D00D7F5"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Other payables</w:t>
            </w:r>
          </w:p>
        </w:tc>
        <w:tc>
          <w:tcPr>
            <w:tcW w:w="960" w:type="dxa"/>
            <w:tcBorders>
              <w:top w:val="nil"/>
              <w:left w:val="nil"/>
              <w:bottom w:val="nil"/>
              <w:right w:val="nil"/>
            </w:tcBorders>
            <w:shd w:val="clear" w:color="auto" w:fill="auto"/>
            <w:noWrap/>
            <w:vAlign w:val="bottom"/>
            <w:hideMark/>
          </w:tcPr>
          <w:p w14:paraId="14699EF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265</w:t>
            </w:r>
          </w:p>
        </w:tc>
        <w:tc>
          <w:tcPr>
            <w:tcW w:w="960" w:type="dxa"/>
            <w:tcBorders>
              <w:top w:val="nil"/>
              <w:left w:val="nil"/>
              <w:bottom w:val="nil"/>
              <w:right w:val="nil"/>
            </w:tcBorders>
            <w:shd w:val="clear" w:color="000000" w:fill="D9D9D9"/>
            <w:noWrap/>
            <w:vAlign w:val="bottom"/>
            <w:hideMark/>
          </w:tcPr>
          <w:p w14:paraId="3303E56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265</w:t>
            </w:r>
          </w:p>
        </w:tc>
        <w:tc>
          <w:tcPr>
            <w:tcW w:w="960" w:type="dxa"/>
            <w:tcBorders>
              <w:top w:val="nil"/>
              <w:left w:val="nil"/>
              <w:bottom w:val="nil"/>
              <w:right w:val="nil"/>
            </w:tcBorders>
            <w:shd w:val="clear" w:color="auto" w:fill="auto"/>
            <w:noWrap/>
            <w:vAlign w:val="bottom"/>
            <w:hideMark/>
          </w:tcPr>
          <w:p w14:paraId="3783CC46"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265</w:t>
            </w:r>
          </w:p>
        </w:tc>
        <w:tc>
          <w:tcPr>
            <w:tcW w:w="960" w:type="dxa"/>
            <w:tcBorders>
              <w:top w:val="nil"/>
              <w:left w:val="nil"/>
              <w:bottom w:val="nil"/>
              <w:right w:val="nil"/>
            </w:tcBorders>
            <w:shd w:val="clear" w:color="auto" w:fill="auto"/>
            <w:noWrap/>
            <w:vAlign w:val="bottom"/>
            <w:hideMark/>
          </w:tcPr>
          <w:p w14:paraId="564073F1"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265</w:t>
            </w:r>
          </w:p>
        </w:tc>
        <w:tc>
          <w:tcPr>
            <w:tcW w:w="960" w:type="dxa"/>
            <w:tcBorders>
              <w:top w:val="nil"/>
              <w:left w:val="nil"/>
              <w:bottom w:val="nil"/>
              <w:right w:val="nil"/>
            </w:tcBorders>
            <w:shd w:val="clear" w:color="auto" w:fill="auto"/>
            <w:noWrap/>
            <w:vAlign w:val="bottom"/>
            <w:hideMark/>
          </w:tcPr>
          <w:p w14:paraId="01ACCE94"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265</w:t>
            </w:r>
          </w:p>
        </w:tc>
      </w:tr>
      <w:tr w:rsidR="00112797" w:rsidRPr="00112797" w14:paraId="58616BD0"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B0B35C7" w14:textId="77777777" w:rsidR="00112797" w:rsidRPr="00112797" w:rsidRDefault="00112797" w:rsidP="00112797">
            <w:pPr>
              <w:spacing w:before="0" w:after="0" w:line="240" w:lineRule="auto"/>
              <w:ind w:leftChars="150" w:left="285"/>
              <w:rPr>
                <w:rFonts w:ascii="Arial" w:hAnsi="Arial" w:cs="Arial"/>
                <w:b/>
                <w:bCs/>
                <w:color w:val="000000"/>
                <w:sz w:val="16"/>
                <w:szCs w:val="16"/>
              </w:rPr>
            </w:pPr>
            <w:r w:rsidRPr="00112797">
              <w:rPr>
                <w:rFonts w:ascii="Arial" w:hAnsi="Arial"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14:paraId="381AD65B"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317</w:t>
            </w:r>
          </w:p>
        </w:tc>
        <w:tc>
          <w:tcPr>
            <w:tcW w:w="960" w:type="dxa"/>
            <w:tcBorders>
              <w:top w:val="nil"/>
              <w:left w:val="nil"/>
              <w:bottom w:val="single" w:sz="4" w:space="0" w:color="auto"/>
              <w:right w:val="nil"/>
            </w:tcBorders>
            <w:shd w:val="clear" w:color="000000" w:fill="D9D9D9"/>
            <w:noWrap/>
            <w:vAlign w:val="bottom"/>
            <w:hideMark/>
          </w:tcPr>
          <w:p w14:paraId="789E2A56"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317</w:t>
            </w:r>
          </w:p>
        </w:tc>
        <w:tc>
          <w:tcPr>
            <w:tcW w:w="960" w:type="dxa"/>
            <w:tcBorders>
              <w:top w:val="nil"/>
              <w:left w:val="nil"/>
              <w:bottom w:val="single" w:sz="4" w:space="0" w:color="auto"/>
              <w:right w:val="nil"/>
            </w:tcBorders>
            <w:shd w:val="clear" w:color="auto" w:fill="auto"/>
            <w:noWrap/>
            <w:vAlign w:val="bottom"/>
            <w:hideMark/>
          </w:tcPr>
          <w:p w14:paraId="66CB17CE"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317</w:t>
            </w:r>
          </w:p>
        </w:tc>
        <w:tc>
          <w:tcPr>
            <w:tcW w:w="960" w:type="dxa"/>
            <w:tcBorders>
              <w:top w:val="nil"/>
              <w:left w:val="nil"/>
              <w:bottom w:val="single" w:sz="4" w:space="0" w:color="auto"/>
              <w:right w:val="nil"/>
            </w:tcBorders>
            <w:shd w:val="clear" w:color="auto" w:fill="auto"/>
            <w:noWrap/>
            <w:vAlign w:val="bottom"/>
            <w:hideMark/>
          </w:tcPr>
          <w:p w14:paraId="185D2FB3"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317</w:t>
            </w:r>
          </w:p>
        </w:tc>
        <w:tc>
          <w:tcPr>
            <w:tcW w:w="960" w:type="dxa"/>
            <w:tcBorders>
              <w:top w:val="nil"/>
              <w:left w:val="nil"/>
              <w:bottom w:val="single" w:sz="4" w:space="0" w:color="auto"/>
              <w:right w:val="nil"/>
            </w:tcBorders>
            <w:shd w:val="clear" w:color="auto" w:fill="auto"/>
            <w:noWrap/>
            <w:vAlign w:val="bottom"/>
            <w:hideMark/>
          </w:tcPr>
          <w:p w14:paraId="49FBB527"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317</w:t>
            </w:r>
          </w:p>
        </w:tc>
      </w:tr>
      <w:tr w:rsidR="00112797" w:rsidRPr="00112797" w14:paraId="598B61F3"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2C71F1D1"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Interest bearing liabilities</w:t>
            </w:r>
          </w:p>
        </w:tc>
        <w:tc>
          <w:tcPr>
            <w:tcW w:w="960" w:type="dxa"/>
            <w:tcBorders>
              <w:top w:val="nil"/>
              <w:left w:val="nil"/>
              <w:bottom w:val="nil"/>
              <w:right w:val="nil"/>
            </w:tcBorders>
            <w:shd w:val="clear" w:color="auto" w:fill="auto"/>
            <w:noWrap/>
            <w:vAlign w:val="bottom"/>
            <w:hideMark/>
          </w:tcPr>
          <w:p w14:paraId="2A569DF1" w14:textId="77777777" w:rsidR="00112797" w:rsidRPr="00112797" w:rsidRDefault="00112797" w:rsidP="00112797">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7F5F72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2183DE9"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70BCED6"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B0AD49D"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171D3BC8"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3399C17"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Leases</w:t>
            </w:r>
          </w:p>
        </w:tc>
        <w:tc>
          <w:tcPr>
            <w:tcW w:w="960" w:type="dxa"/>
            <w:tcBorders>
              <w:top w:val="nil"/>
              <w:left w:val="nil"/>
              <w:bottom w:val="nil"/>
              <w:right w:val="nil"/>
            </w:tcBorders>
            <w:shd w:val="clear" w:color="auto" w:fill="auto"/>
            <w:noWrap/>
            <w:vAlign w:val="bottom"/>
            <w:hideMark/>
          </w:tcPr>
          <w:p w14:paraId="6425FF0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110</w:t>
            </w:r>
          </w:p>
        </w:tc>
        <w:tc>
          <w:tcPr>
            <w:tcW w:w="960" w:type="dxa"/>
            <w:tcBorders>
              <w:top w:val="nil"/>
              <w:left w:val="nil"/>
              <w:bottom w:val="nil"/>
              <w:right w:val="nil"/>
            </w:tcBorders>
            <w:shd w:val="clear" w:color="000000" w:fill="D9D9D9"/>
            <w:noWrap/>
            <w:vAlign w:val="bottom"/>
            <w:hideMark/>
          </w:tcPr>
          <w:p w14:paraId="20B4FC1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2,190</w:t>
            </w:r>
          </w:p>
        </w:tc>
        <w:tc>
          <w:tcPr>
            <w:tcW w:w="960" w:type="dxa"/>
            <w:tcBorders>
              <w:top w:val="nil"/>
              <w:left w:val="nil"/>
              <w:bottom w:val="nil"/>
              <w:right w:val="nil"/>
            </w:tcBorders>
            <w:shd w:val="clear" w:color="auto" w:fill="auto"/>
            <w:noWrap/>
            <w:vAlign w:val="bottom"/>
            <w:hideMark/>
          </w:tcPr>
          <w:p w14:paraId="5A36FA2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1,944</w:t>
            </w:r>
          </w:p>
        </w:tc>
        <w:tc>
          <w:tcPr>
            <w:tcW w:w="960" w:type="dxa"/>
            <w:tcBorders>
              <w:top w:val="nil"/>
              <w:left w:val="nil"/>
              <w:bottom w:val="nil"/>
              <w:right w:val="nil"/>
            </w:tcBorders>
            <w:shd w:val="clear" w:color="auto" w:fill="auto"/>
            <w:noWrap/>
            <w:vAlign w:val="bottom"/>
            <w:hideMark/>
          </w:tcPr>
          <w:p w14:paraId="0A28A708"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2,423</w:t>
            </w:r>
          </w:p>
        </w:tc>
        <w:tc>
          <w:tcPr>
            <w:tcW w:w="960" w:type="dxa"/>
            <w:tcBorders>
              <w:top w:val="nil"/>
              <w:left w:val="nil"/>
              <w:bottom w:val="nil"/>
              <w:right w:val="nil"/>
            </w:tcBorders>
            <w:shd w:val="clear" w:color="auto" w:fill="auto"/>
            <w:noWrap/>
            <w:vAlign w:val="bottom"/>
            <w:hideMark/>
          </w:tcPr>
          <w:p w14:paraId="549C9C19"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2,880</w:t>
            </w:r>
          </w:p>
        </w:tc>
      </w:tr>
      <w:tr w:rsidR="00112797" w:rsidRPr="00112797" w14:paraId="3269AA0A"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578B332F" w14:textId="77777777" w:rsidR="00112797" w:rsidRPr="00112797" w:rsidRDefault="00112797" w:rsidP="00112797">
            <w:pPr>
              <w:spacing w:before="0" w:after="0" w:line="240" w:lineRule="auto"/>
              <w:ind w:leftChars="150" w:left="285"/>
              <w:rPr>
                <w:rFonts w:ascii="Arial" w:hAnsi="Arial" w:cs="Arial"/>
                <w:b/>
                <w:bCs/>
                <w:color w:val="000000"/>
                <w:sz w:val="16"/>
                <w:szCs w:val="16"/>
              </w:rPr>
            </w:pPr>
            <w:r w:rsidRPr="00112797">
              <w:rPr>
                <w:rFonts w:ascii="Arial" w:hAnsi="Arial" w:cs="Arial"/>
                <w:b/>
                <w:bCs/>
                <w:color w:val="000000"/>
                <w:sz w:val="16"/>
                <w:szCs w:val="16"/>
              </w:rPr>
              <w:t xml:space="preserve">Total </w:t>
            </w:r>
            <w:proofErr w:type="gramStart"/>
            <w:r w:rsidRPr="00112797">
              <w:rPr>
                <w:rFonts w:ascii="Arial" w:hAnsi="Arial" w:cs="Arial"/>
                <w:b/>
                <w:bCs/>
                <w:color w:val="000000"/>
                <w:sz w:val="16"/>
                <w:szCs w:val="16"/>
              </w:rPr>
              <w:t>interest bearing</w:t>
            </w:r>
            <w:proofErr w:type="gramEnd"/>
            <w:r w:rsidRPr="00112797">
              <w:rPr>
                <w:rFonts w:ascii="Arial" w:hAnsi="Arial" w:cs="Arial"/>
                <w:b/>
                <w:bCs/>
                <w:color w:val="000000"/>
                <w:sz w:val="16"/>
                <w:szCs w:val="16"/>
              </w:rPr>
              <w:t xml:space="preserve"> liabilities</w:t>
            </w:r>
          </w:p>
        </w:tc>
        <w:tc>
          <w:tcPr>
            <w:tcW w:w="960" w:type="dxa"/>
            <w:tcBorders>
              <w:top w:val="nil"/>
              <w:left w:val="nil"/>
              <w:bottom w:val="single" w:sz="4" w:space="0" w:color="auto"/>
              <w:right w:val="nil"/>
            </w:tcBorders>
            <w:shd w:val="clear" w:color="auto" w:fill="auto"/>
            <w:noWrap/>
            <w:vAlign w:val="bottom"/>
            <w:hideMark/>
          </w:tcPr>
          <w:p w14:paraId="12376F83"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110</w:t>
            </w:r>
          </w:p>
        </w:tc>
        <w:tc>
          <w:tcPr>
            <w:tcW w:w="960" w:type="dxa"/>
            <w:tcBorders>
              <w:top w:val="nil"/>
              <w:left w:val="nil"/>
              <w:bottom w:val="single" w:sz="4" w:space="0" w:color="auto"/>
              <w:right w:val="nil"/>
            </w:tcBorders>
            <w:shd w:val="clear" w:color="000000" w:fill="D9D9D9"/>
            <w:noWrap/>
            <w:vAlign w:val="bottom"/>
            <w:hideMark/>
          </w:tcPr>
          <w:p w14:paraId="73BDBB78"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2,190</w:t>
            </w:r>
          </w:p>
        </w:tc>
        <w:tc>
          <w:tcPr>
            <w:tcW w:w="960" w:type="dxa"/>
            <w:tcBorders>
              <w:top w:val="nil"/>
              <w:left w:val="nil"/>
              <w:bottom w:val="single" w:sz="4" w:space="0" w:color="auto"/>
              <w:right w:val="nil"/>
            </w:tcBorders>
            <w:shd w:val="clear" w:color="auto" w:fill="auto"/>
            <w:noWrap/>
            <w:vAlign w:val="bottom"/>
            <w:hideMark/>
          </w:tcPr>
          <w:p w14:paraId="50CDE45A"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1,944</w:t>
            </w:r>
          </w:p>
        </w:tc>
        <w:tc>
          <w:tcPr>
            <w:tcW w:w="960" w:type="dxa"/>
            <w:tcBorders>
              <w:top w:val="nil"/>
              <w:left w:val="nil"/>
              <w:bottom w:val="single" w:sz="4" w:space="0" w:color="auto"/>
              <w:right w:val="nil"/>
            </w:tcBorders>
            <w:shd w:val="clear" w:color="auto" w:fill="auto"/>
            <w:noWrap/>
            <w:vAlign w:val="bottom"/>
            <w:hideMark/>
          </w:tcPr>
          <w:p w14:paraId="05BE30FB"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2,423</w:t>
            </w:r>
          </w:p>
        </w:tc>
        <w:tc>
          <w:tcPr>
            <w:tcW w:w="960" w:type="dxa"/>
            <w:tcBorders>
              <w:top w:val="nil"/>
              <w:left w:val="nil"/>
              <w:bottom w:val="single" w:sz="4" w:space="0" w:color="auto"/>
              <w:right w:val="nil"/>
            </w:tcBorders>
            <w:shd w:val="clear" w:color="auto" w:fill="auto"/>
            <w:noWrap/>
            <w:vAlign w:val="bottom"/>
            <w:hideMark/>
          </w:tcPr>
          <w:p w14:paraId="6C69D051"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2,880</w:t>
            </w:r>
          </w:p>
        </w:tc>
      </w:tr>
      <w:tr w:rsidR="00112797" w:rsidRPr="00112797" w14:paraId="2B1532E4" w14:textId="77777777" w:rsidTr="00FE3A64">
        <w:trPr>
          <w:trHeight w:val="283"/>
          <w:jc w:val="center"/>
        </w:trPr>
        <w:tc>
          <w:tcPr>
            <w:tcW w:w="3080" w:type="dxa"/>
            <w:tcBorders>
              <w:top w:val="nil"/>
              <w:left w:val="nil"/>
              <w:bottom w:val="nil"/>
              <w:right w:val="nil"/>
            </w:tcBorders>
            <w:shd w:val="clear" w:color="auto" w:fill="auto"/>
            <w:noWrap/>
            <w:vAlign w:val="bottom"/>
            <w:hideMark/>
          </w:tcPr>
          <w:p w14:paraId="1AAD09CB"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14:paraId="7B5D6125" w14:textId="77777777" w:rsidR="00112797" w:rsidRPr="00112797" w:rsidRDefault="00112797" w:rsidP="00112797">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864D5A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5F665D2F"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511C045"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509FBFF"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75FB8D67"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674E12B8" w14:textId="77777777" w:rsidR="00112797" w:rsidRPr="00112797" w:rsidRDefault="00112797" w:rsidP="00112797">
            <w:pPr>
              <w:spacing w:before="0" w:after="0" w:line="240" w:lineRule="auto"/>
              <w:ind w:leftChars="150" w:left="285"/>
              <w:rPr>
                <w:rFonts w:ascii="Arial" w:hAnsi="Arial" w:cs="Arial"/>
                <w:color w:val="000000"/>
                <w:sz w:val="16"/>
                <w:szCs w:val="16"/>
              </w:rPr>
            </w:pPr>
            <w:r w:rsidRPr="00112797">
              <w:rPr>
                <w:rFonts w:ascii="Arial" w:hAnsi="Arial" w:cs="Arial"/>
                <w:color w:val="000000"/>
                <w:sz w:val="16"/>
                <w:szCs w:val="16"/>
              </w:rPr>
              <w:t>Employees</w:t>
            </w:r>
          </w:p>
        </w:tc>
        <w:tc>
          <w:tcPr>
            <w:tcW w:w="960" w:type="dxa"/>
            <w:tcBorders>
              <w:top w:val="nil"/>
              <w:left w:val="nil"/>
              <w:bottom w:val="nil"/>
              <w:right w:val="nil"/>
            </w:tcBorders>
            <w:shd w:val="clear" w:color="auto" w:fill="auto"/>
            <w:noWrap/>
            <w:vAlign w:val="bottom"/>
            <w:hideMark/>
          </w:tcPr>
          <w:p w14:paraId="3930F808"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1,235</w:t>
            </w:r>
          </w:p>
        </w:tc>
        <w:tc>
          <w:tcPr>
            <w:tcW w:w="960" w:type="dxa"/>
            <w:tcBorders>
              <w:top w:val="nil"/>
              <w:left w:val="nil"/>
              <w:bottom w:val="nil"/>
              <w:right w:val="nil"/>
            </w:tcBorders>
            <w:shd w:val="clear" w:color="000000" w:fill="D9D9D9"/>
            <w:noWrap/>
            <w:vAlign w:val="bottom"/>
            <w:hideMark/>
          </w:tcPr>
          <w:p w14:paraId="26A826E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1,235</w:t>
            </w:r>
          </w:p>
        </w:tc>
        <w:tc>
          <w:tcPr>
            <w:tcW w:w="960" w:type="dxa"/>
            <w:tcBorders>
              <w:top w:val="nil"/>
              <w:left w:val="nil"/>
              <w:bottom w:val="nil"/>
              <w:right w:val="nil"/>
            </w:tcBorders>
            <w:shd w:val="clear" w:color="auto" w:fill="auto"/>
            <w:noWrap/>
            <w:vAlign w:val="bottom"/>
            <w:hideMark/>
          </w:tcPr>
          <w:p w14:paraId="1BE9E150"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1,235</w:t>
            </w:r>
          </w:p>
        </w:tc>
        <w:tc>
          <w:tcPr>
            <w:tcW w:w="960" w:type="dxa"/>
            <w:tcBorders>
              <w:top w:val="nil"/>
              <w:left w:val="nil"/>
              <w:bottom w:val="nil"/>
              <w:right w:val="nil"/>
            </w:tcBorders>
            <w:shd w:val="clear" w:color="auto" w:fill="auto"/>
            <w:noWrap/>
            <w:vAlign w:val="bottom"/>
            <w:hideMark/>
          </w:tcPr>
          <w:p w14:paraId="767568AA"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1,235</w:t>
            </w:r>
          </w:p>
        </w:tc>
        <w:tc>
          <w:tcPr>
            <w:tcW w:w="960" w:type="dxa"/>
            <w:tcBorders>
              <w:top w:val="nil"/>
              <w:left w:val="nil"/>
              <w:bottom w:val="nil"/>
              <w:right w:val="nil"/>
            </w:tcBorders>
            <w:shd w:val="clear" w:color="auto" w:fill="auto"/>
            <w:noWrap/>
            <w:vAlign w:val="bottom"/>
            <w:hideMark/>
          </w:tcPr>
          <w:p w14:paraId="113D4137"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1,235</w:t>
            </w:r>
          </w:p>
        </w:tc>
      </w:tr>
      <w:tr w:rsidR="00112797" w:rsidRPr="00112797" w14:paraId="052D8315"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4E6CB1FC" w14:textId="77777777" w:rsidR="00112797" w:rsidRPr="00112797" w:rsidRDefault="00112797" w:rsidP="00112797">
            <w:pPr>
              <w:spacing w:before="0" w:after="0" w:line="240" w:lineRule="auto"/>
              <w:ind w:leftChars="150" w:left="285"/>
              <w:rPr>
                <w:rFonts w:ascii="Arial" w:hAnsi="Arial" w:cs="Arial"/>
                <w:b/>
                <w:bCs/>
                <w:color w:val="000000"/>
                <w:sz w:val="16"/>
                <w:szCs w:val="16"/>
              </w:rPr>
            </w:pPr>
            <w:r w:rsidRPr="00112797">
              <w:rPr>
                <w:rFonts w:ascii="Arial" w:hAnsi="Arial"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14:paraId="3AF4FD45"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1,235</w:t>
            </w:r>
          </w:p>
        </w:tc>
        <w:tc>
          <w:tcPr>
            <w:tcW w:w="960" w:type="dxa"/>
            <w:tcBorders>
              <w:top w:val="nil"/>
              <w:left w:val="nil"/>
              <w:bottom w:val="single" w:sz="4" w:space="0" w:color="auto"/>
              <w:right w:val="nil"/>
            </w:tcBorders>
            <w:shd w:val="clear" w:color="000000" w:fill="D9D9D9"/>
            <w:noWrap/>
            <w:vAlign w:val="bottom"/>
            <w:hideMark/>
          </w:tcPr>
          <w:p w14:paraId="63A5090B"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1,235</w:t>
            </w:r>
          </w:p>
        </w:tc>
        <w:tc>
          <w:tcPr>
            <w:tcW w:w="960" w:type="dxa"/>
            <w:tcBorders>
              <w:top w:val="nil"/>
              <w:left w:val="nil"/>
              <w:bottom w:val="single" w:sz="4" w:space="0" w:color="auto"/>
              <w:right w:val="nil"/>
            </w:tcBorders>
            <w:shd w:val="clear" w:color="auto" w:fill="auto"/>
            <w:noWrap/>
            <w:vAlign w:val="bottom"/>
            <w:hideMark/>
          </w:tcPr>
          <w:p w14:paraId="4D58E80D"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1,235</w:t>
            </w:r>
          </w:p>
        </w:tc>
        <w:tc>
          <w:tcPr>
            <w:tcW w:w="960" w:type="dxa"/>
            <w:tcBorders>
              <w:top w:val="nil"/>
              <w:left w:val="nil"/>
              <w:bottom w:val="single" w:sz="4" w:space="0" w:color="auto"/>
              <w:right w:val="nil"/>
            </w:tcBorders>
            <w:shd w:val="clear" w:color="auto" w:fill="auto"/>
            <w:noWrap/>
            <w:vAlign w:val="bottom"/>
            <w:hideMark/>
          </w:tcPr>
          <w:p w14:paraId="66CB1AA1"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1,235</w:t>
            </w:r>
          </w:p>
        </w:tc>
        <w:tc>
          <w:tcPr>
            <w:tcW w:w="960" w:type="dxa"/>
            <w:tcBorders>
              <w:top w:val="nil"/>
              <w:left w:val="nil"/>
              <w:bottom w:val="single" w:sz="4" w:space="0" w:color="auto"/>
              <w:right w:val="nil"/>
            </w:tcBorders>
            <w:shd w:val="clear" w:color="auto" w:fill="auto"/>
            <w:noWrap/>
            <w:vAlign w:val="bottom"/>
            <w:hideMark/>
          </w:tcPr>
          <w:p w14:paraId="18C97F83"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1,235</w:t>
            </w:r>
          </w:p>
        </w:tc>
      </w:tr>
      <w:tr w:rsidR="00112797" w:rsidRPr="00112797" w14:paraId="2A389180"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E0A82D6"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Total liabilities</w:t>
            </w:r>
          </w:p>
        </w:tc>
        <w:tc>
          <w:tcPr>
            <w:tcW w:w="960" w:type="dxa"/>
            <w:tcBorders>
              <w:top w:val="nil"/>
              <w:left w:val="nil"/>
              <w:bottom w:val="single" w:sz="4" w:space="0" w:color="auto"/>
              <w:right w:val="nil"/>
            </w:tcBorders>
            <w:shd w:val="clear" w:color="auto" w:fill="auto"/>
            <w:noWrap/>
            <w:vAlign w:val="bottom"/>
            <w:hideMark/>
          </w:tcPr>
          <w:p w14:paraId="344A2D26"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1,662</w:t>
            </w:r>
          </w:p>
        </w:tc>
        <w:tc>
          <w:tcPr>
            <w:tcW w:w="960" w:type="dxa"/>
            <w:tcBorders>
              <w:top w:val="nil"/>
              <w:left w:val="nil"/>
              <w:bottom w:val="single" w:sz="4" w:space="0" w:color="auto"/>
              <w:right w:val="nil"/>
            </w:tcBorders>
            <w:shd w:val="clear" w:color="000000" w:fill="D9D9D9"/>
            <w:noWrap/>
            <w:vAlign w:val="bottom"/>
            <w:hideMark/>
          </w:tcPr>
          <w:p w14:paraId="1CB2E9BE"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3,742</w:t>
            </w:r>
          </w:p>
        </w:tc>
        <w:tc>
          <w:tcPr>
            <w:tcW w:w="960" w:type="dxa"/>
            <w:tcBorders>
              <w:top w:val="nil"/>
              <w:left w:val="nil"/>
              <w:bottom w:val="single" w:sz="4" w:space="0" w:color="auto"/>
              <w:right w:val="nil"/>
            </w:tcBorders>
            <w:shd w:val="clear" w:color="auto" w:fill="auto"/>
            <w:noWrap/>
            <w:vAlign w:val="bottom"/>
            <w:hideMark/>
          </w:tcPr>
          <w:p w14:paraId="16BDD6D2"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3,496</w:t>
            </w:r>
          </w:p>
        </w:tc>
        <w:tc>
          <w:tcPr>
            <w:tcW w:w="960" w:type="dxa"/>
            <w:tcBorders>
              <w:top w:val="nil"/>
              <w:left w:val="nil"/>
              <w:bottom w:val="single" w:sz="4" w:space="0" w:color="auto"/>
              <w:right w:val="nil"/>
            </w:tcBorders>
            <w:shd w:val="clear" w:color="auto" w:fill="auto"/>
            <w:noWrap/>
            <w:vAlign w:val="bottom"/>
            <w:hideMark/>
          </w:tcPr>
          <w:p w14:paraId="0BE703FE"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3,975</w:t>
            </w:r>
          </w:p>
        </w:tc>
        <w:tc>
          <w:tcPr>
            <w:tcW w:w="960" w:type="dxa"/>
            <w:tcBorders>
              <w:top w:val="nil"/>
              <w:left w:val="nil"/>
              <w:bottom w:val="single" w:sz="4" w:space="0" w:color="auto"/>
              <w:right w:val="nil"/>
            </w:tcBorders>
            <w:shd w:val="clear" w:color="auto" w:fill="auto"/>
            <w:noWrap/>
            <w:vAlign w:val="bottom"/>
            <w:hideMark/>
          </w:tcPr>
          <w:p w14:paraId="3890E89D"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4,432</w:t>
            </w:r>
          </w:p>
        </w:tc>
      </w:tr>
      <w:tr w:rsidR="00112797" w:rsidRPr="00112797" w14:paraId="219867DA" w14:textId="77777777" w:rsidTr="00FE3A64">
        <w:trPr>
          <w:trHeight w:val="283"/>
          <w:jc w:val="center"/>
        </w:trPr>
        <w:tc>
          <w:tcPr>
            <w:tcW w:w="3080" w:type="dxa"/>
            <w:tcBorders>
              <w:top w:val="nil"/>
              <w:left w:val="nil"/>
              <w:bottom w:val="nil"/>
              <w:right w:val="nil"/>
            </w:tcBorders>
            <w:shd w:val="clear" w:color="auto" w:fill="auto"/>
            <w:noWrap/>
            <w:vAlign w:val="bottom"/>
            <w:hideMark/>
          </w:tcPr>
          <w:p w14:paraId="57329365" w14:textId="77777777" w:rsidR="00112797" w:rsidRPr="00112797" w:rsidRDefault="00112797" w:rsidP="00112797">
            <w:pPr>
              <w:spacing w:before="0" w:after="0" w:line="240" w:lineRule="auto"/>
              <w:rPr>
                <w:rFonts w:ascii="Arial" w:hAnsi="Arial" w:cs="Arial"/>
                <w:b/>
                <w:bCs/>
                <w:color w:val="000000"/>
                <w:sz w:val="16"/>
                <w:szCs w:val="16"/>
              </w:rPr>
            </w:pPr>
            <w:r w:rsidRPr="00112797">
              <w:rPr>
                <w:rFonts w:ascii="Arial" w:hAnsi="Arial" w:cs="Arial"/>
                <w:b/>
                <w:bCs/>
                <w:color w:val="000000"/>
                <w:sz w:val="16"/>
                <w:szCs w:val="16"/>
              </w:rPr>
              <w:t>Net Assets</w:t>
            </w:r>
          </w:p>
        </w:tc>
        <w:tc>
          <w:tcPr>
            <w:tcW w:w="960" w:type="dxa"/>
            <w:tcBorders>
              <w:top w:val="nil"/>
              <w:left w:val="nil"/>
              <w:bottom w:val="single" w:sz="4" w:space="0" w:color="auto"/>
              <w:right w:val="nil"/>
            </w:tcBorders>
            <w:shd w:val="clear" w:color="auto" w:fill="auto"/>
            <w:noWrap/>
            <w:vAlign w:val="bottom"/>
            <w:hideMark/>
          </w:tcPr>
          <w:p w14:paraId="4A4D76DD"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2,831</w:t>
            </w:r>
          </w:p>
        </w:tc>
        <w:tc>
          <w:tcPr>
            <w:tcW w:w="960" w:type="dxa"/>
            <w:tcBorders>
              <w:top w:val="nil"/>
              <w:left w:val="nil"/>
              <w:bottom w:val="single" w:sz="4" w:space="0" w:color="auto"/>
              <w:right w:val="nil"/>
            </w:tcBorders>
            <w:shd w:val="clear" w:color="000000" w:fill="D9D9D9"/>
            <w:noWrap/>
            <w:vAlign w:val="bottom"/>
            <w:hideMark/>
          </w:tcPr>
          <w:p w14:paraId="18D5C8B7"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2,698</w:t>
            </w:r>
          </w:p>
        </w:tc>
        <w:tc>
          <w:tcPr>
            <w:tcW w:w="960" w:type="dxa"/>
            <w:tcBorders>
              <w:top w:val="nil"/>
              <w:left w:val="nil"/>
              <w:bottom w:val="single" w:sz="4" w:space="0" w:color="auto"/>
              <w:right w:val="nil"/>
            </w:tcBorders>
            <w:shd w:val="clear" w:color="auto" w:fill="auto"/>
            <w:noWrap/>
            <w:vAlign w:val="bottom"/>
            <w:hideMark/>
          </w:tcPr>
          <w:p w14:paraId="5C81D272"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2,484</w:t>
            </w:r>
          </w:p>
        </w:tc>
        <w:tc>
          <w:tcPr>
            <w:tcW w:w="960" w:type="dxa"/>
            <w:tcBorders>
              <w:top w:val="nil"/>
              <w:left w:val="nil"/>
              <w:bottom w:val="single" w:sz="4" w:space="0" w:color="auto"/>
              <w:right w:val="nil"/>
            </w:tcBorders>
            <w:shd w:val="clear" w:color="auto" w:fill="auto"/>
            <w:noWrap/>
            <w:vAlign w:val="bottom"/>
            <w:hideMark/>
          </w:tcPr>
          <w:p w14:paraId="7B734191"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2,290</w:t>
            </w:r>
          </w:p>
        </w:tc>
        <w:tc>
          <w:tcPr>
            <w:tcW w:w="960" w:type="dxa"/>
            <w:tcBorders>
              <w:top w:val="nil"/>
              <w:left w:val="nil"/>
              <w:bottom w:val="single" w:sz="4" w:space="0" w:color="auto"/>
              <w:right w:val="nil"/>
            </w:tcBorders>
            <w:shd w:val="clear" w:color="auto" w:fill="auto"/>
            <w:noWrap/>
            <w:vAlign w:val="bottom"/>
            <w:hideMark/>
          </w:tcPr>
          <w:p w14:paraId="0FA755EF"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2,120</w:t>
            </w:r>
          </w:p>
        </w:tc>
      </w:tr>
      <w:tr w:rsidR="00112797" w:rsidRPr="00112797" w14:paraId="20355EAF" w14:textId="77777777" w:rsidTr="00FE3A64">
        <w:trPr>
          <w:trHeight w:val="283"/>
          <w:jc w:val="center"/>
        </w:trPr>
        <w:tc>
          <w:tcPr>
            <w:tcW w:w="3080" w:type="dxa"/>
            <w:tcBorders>
              <w:top w:val="nil"/>
              <w:left w:val="nil"/>
              <w:bottom w:val="nil"/>
              <w:right w:val="nil"/>
            </w:tcBorders>
            <w:shd w:val="clear" w:color="auto" w:fill="auto"/>
            <w:noWrap/>
            <w:vAlign w:val="bottom"/>
            <w:hideMark/>
          </w:tcPr>
          <w:p w14:paraId="6ED4C83F" w14:textId="77777777" w:rsidR="00112797" w:rsidRPr="00112797" w:rsidRDefault="00112797" w:rsidP="00112797">
            <w:pPr>
              <w:spacing w:before="0" w:after="0" w:line="240" w:lineRule="auto"/>
              <w:rPr>
                <w:rFonts w:ascii="Arial" w:hAnsi="Arial" w:cs="Arial"/>
                <w:b/>
                <w:bCs/>
                <w:color w:val="000000"/>
                <w:sz w:val="16"/>
                <w:szCs w:val="16"/>
              </w:rPr>
            </w:pPr>
            <w:r w:rsidRPr="00112797">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bottom"/>
            <w:hideMark/>
          </w:tcPr>
          <w:p w14:paraId="7412FF9C" w14:textId="77777777" w:rsidR="00112797" w:rsidRPr="00112797" w:rsidRDefault="00112797" w:rsidP="00112797">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7E50513"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4800780D" w14:textId="77777777" w:rsidR="00112797" w:rsidRPr="00112797" w:rsidRDefault="00112797" w:rsidP="00112797">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50A75DF" w14:textId="77777777" w:rsidR="00112797" w:rsidRPr="00112797" w:rsidRDefault="00112797" w:rsidP="00112797">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D58BC1D" w14:textId="77777777" w:rsidR="00112797" w:rsidRPr="00112797" w:rsidRDefault="00112797" w:rsidP="00112797">
            <w:pPr>
              <w:spacing w:before="0" w:after="0" w:line="240" w:lineRule="auto"/>
              <w:jc w:val="right"/>
              <w:rPr>
                <w:rFonts w:ascii="Times New Roman" w:hAnsi="Times New Roman"/>
                <w:sz w:val="20"/>
              </w:rPr>
            </w:pPr>
          </w:p>
        </w:tc>
      </w:tr>
      <w:tr w:rsidR="00112797" w:rsidRPr="00112797" w14:paraId="096F50AF"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3A7E1141" w14:textId="77777777" w:rsidR="00112797" w:rsidRPr="00112797" w:rsidRDefault="00112797" w:rsidP="00112797">
            <w:pPr>
              <w:spacing w:before="0" w:after="0" w:line="240" w:lineRule="auto"/>
              <w:ind w:leftChars="75" w:left="143"/>
              <w:rPr>
                <w:rFonts w:ascii="Arial" w:hAnsi="Arial" w:cs="Arial"/>
                <w:color w:val="000000"/>
                <w:sz w:val="16"/>
                <w:szCs w:val="16"/>
              </w:rPr>
            </w:pPr>
            <w:r w:rsidRPr="00112797">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14:paraId="1168AE80"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4,205</w:t>
            </w:r>
          </w:p>
        </w:tc>
        <w:tc>
          <w:tcPr>
            <w:tcW w:w="960" w:type="dxa"/>
            <w:tcBorders>
              <w:top w:val="nil"/>
              <w:left w:val="nil"/>
              <w:bottom w:val="nil"/>
              <w:right w:val="nil"/>
            </w:tcBorders>
            <w:shd w:val="clear" w:color="000000" w:fill="D9D9D9"/>
            <w:noWrap/>
            <w:vAlign w:val="bottom"/>
            <w:hideMark/>
          </w:tcPr>
          <w:p w14:paraId="77FB2DB4"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4,477</w:t>
            </w:r>
          </w:p>
        </w:tc>
        <w:tc>
          <w:tcPr>
            <w:tcW w:w="960" w:type="dxa"/>
            <w:tcBorders>
              <w:top w:val="nil"/>
              <w:left w:val="nil"/>
              <w:bottom w:val="nil"/>
              <w:right w:val="nil"/>
            </w:tcBorders>
            <w:shd w:val="clear" w:color="auto" w:fill="auto"/>
            <w:noWrap/>
            <w:vAlign w:val="bottom"/>
            <w:hideMark/>
          </w:tcPr>
          <w:p w14:paraId="7A153DF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4,757</w:t>
            </w:r>
          </w:p>
        </w:tc>
        <w:tc>
          <w:tcPr>
            <w:tcW w:w="960" w:type="dxa"/>
            <w:tcBorders>
              <w:top w:val="nil"/>
              <w:left w:val="nil"/>
              <w:bottom w:val="nil"/>
              <w:right w:val="nil"/>
            </w:tcBorders>
            <w:shd w:val="clear" w:color="auto" w:fill="auto"/>
            <w:noWrap/>
            <w:vAlign w:val="bottom"/>
            <w:hideMark/>
          </w:tcPr>
          <w:p w14:paraId="1BF7E67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5,039</w:t>
            </w:r>
          </w:p>
        </w:tc>
        <w:tc>
          <w:tcPr>
            <w:tcW w:w="960" w:type="dxa"/>
            <w:tcBorders>
              <w:top w:val="nil"/>
              <w:left w:val="nil"/>
              <w:bottom w:val="nil"/>
              <w:right w:val="nil"/>
            </w:tcBorders>
            <w:shd w:val="clear" w:color="auto" w:fill="auto"/>
            <w:noWrap/>
            <w:vAlign w:val="bottom"/>
            <w:hideMark/>
          </w:tcPr>
          <w:p w14:paraId="1050DE5D"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5,324</w:t>
            </w:r>
          </w:p>
        </w:tc>
      </w:tr>
      <w:tr w:rsidR="00112797" w:rsidRPr="00112797" w14:paraId="5B3CBC4A" w14:textId="77777777" w:rsidTr="00112797">
        <w:trPr>
          <w:trHeight w:val="225"/>
          <w:jc w:val="center"/>
        </w:trPr>
        <w:tc>
          <w:tcPr>
            <w:tcW w:w="3080" w:type="dxa"/>
            <w:tcBorders>
              <w:top w:val="nil"/>
              <w:left w:val="nil"/>
              <w:bottom w:val="nil"/>
              <w:right w:val="nil"/>
            </w:tcBorders>
            <w:shd w:val="clear" w:color="auto" w:fill="auto"/>
            <w:noWrap/>
            <w:vAlign w:val="bottom"/>
            <w:hideMark/>
          </w:tcPr>
          <w:p w14:paraId="0E76F436" w14:textId="77777777" w:rsidR="00112797" w:rsidRPr="00112797" w:rsidRDefault="00112797" w:rsidP="00112797">
            <w:pPr>
              <w:spacing w:before="0" w:after="0" w:line="240" w:lineRule="auto"/>
              <w:ind w:leftChars="75" w:left="143"/>
              <w:rPr>
                <w:rFonts w:ascii="Arial" w:hAnsi="Arial" w:cs="Arial"/>
                <w:color w:val="000000"/>
                <w:sz w:val="16"/>
                <w:szCs w:val="16"/>
              </w:rPr>
            </w:pPr>
            <w:r w:rsidRPr="00112797">
              <w:rPr>
                <w:rFonts w:ascii="Arial" w:hAnsi="Arial" w:cs="Arial"/>
                <w:color w:val="000000"/>
                <w:sz w:val="16"/>
                <w:szCs w:val="16"/>
              </w:rPr>
              <w:t>Reserves</w:t>
            </w:r>
          </w:p>
        </w:tc>
        <w:tc>
          <w:tcPr>
            <w:tcW w:w="960" w:type="dxa"/>
            <w:tcBorders>
              <w:top w:val="nil"/>
              <w:left w:val="nil"/>
              <w:bottom w:val="nil"/>
              <w:right w:val="nil"/>
            </w:tcBorders>
            <w:shd w:val="clear" w:color="auto" w:fill="auto"/>
            <w:noWrap/>
            <w:vAlign w:val="bottom"/>
            <w:hideMark/>
          </w:tcPr>
          <w:p w14:paraId="04837CA9"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666</w:t>
            </w:r>
          </w:p>
        </w:tc>
        <w:tc>
          <w:tcPr>
            <w:tcW w:w="960" w:type="dxa"/>
            <w:tcBorders>
              <w:top w:val="nil"/>
              <w:left w:val="nil"/>
              <w:bottom w:val="nil"/>
              <w:right w:val="nil"/>
            </w:tcBorders>
            <w:shd w:val="clear" w:color="000000" w:fill="D9D9D9"/>
            <w:noWrap/>
            <w:vAlign w:val="bottom"/>
            <w:hideMark/>
          </w:tcPr>
          <w:p w14:paraId="435205F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666</w:t>
            </w:r>
          </w:p>
        </w:tc>
        <w:tc>
          <w:tcPr>
            <w:tcW w:w="960" w:type="dxa"/>
            <w:tcBorders>
              <w:top w:val="nil"/>
              <w:left w:val="nil"/>
              <w:bottom w:val="nil"/>
              <w:right w:val="nil"/>
            </w:tcBorders>
            <w:shd w:val="clear" w:color="auto" w:fill="auto"/>
            <w:noWrap/>
            <w:vAlign w:val="bottom"/>
            <w:hideMark/>
          </w:tcPr>
          <w:p w14:paraId="3CBC5CE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666</w:t>
            </w:r>
          </w:p>
        </w:tc>
        <w:tc>
          <w:tcPr>
            <w:tcW w:w="960" w:type="dxa"/>
            <w:tcBorders>
              <w:top w:val="nil"/>
              <w:left w:val="nil"/>
              <w:bottom w:val="nil"/>
              <w:right w:val="nil"/>
            </w:tcBorders>
            <w:shd w:val="clear" w:color="auto" w:fill="auto"/>
            <w:noWrap/>
            <w:vAlign w:val="bottom"/>
            <w:hideMark/>
          </w:tcPr>
          <w:p w14:paraId="2145DBC6"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666</w:t>
            </w:r>
          </w:p>
        </w:tc>
        <w:tc>
          <w:tcPr>
            <w:tcW w:w="960" w:type="dxa"/>
            <w:tcBorders>
              <w:top w:val="nil"/>
              <w:left w:val="nil"/>
              <w:bottom w:val="nil"/>
              <w:right w:val="nil"/>
            </w:tcBorders>
            <w:shd w:val="clear" w:color="auto" w:fill="auto"/>
            <w:noWrap/>
            <w:vAlign w:val="bottom"/>
            <w:hideMark/>
          </w:tcPr>
          <w:p w14:paraId="100CEF1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666</w:t>
            </w:r>
          </w:p>
        </w:tc>
      </w:tr>
      <w:tr w:rsidR="00112797" w:rsidRPr="00112797" w14:paraId="3306F1E7" w14:textId="77777777" w:rsidTr="00FE3A64">
        <w:trPr>
          <w:trHeight w:val="425"/>
          <w:jc w:val="center"/>
        </w:trPr>
        <w:tc>
          <w:tcPr>
            <w:tcW w:w="3080" w:type="dxa"/>
            <w:tcBorders>
              <w:top w:val="nil"/>
              <w:left w:val="nil"/>
              <w:bottom w:val="nil"/>
              <w:right w:val="nil"/>
            </w:tcBorders>
            <w:shd w:val="clear" w:color="auto" w:fill="auto"/>
            <w:vAlign w:val="bottom"/>
            <w:hideMark/>
          </w:tcPr>
          <w:p w14:paraId="44103D8C" w14:textId="77777777" w:rsidR="00112797" w:rsidRPr="00112797" w:rsidRDefault="00112797" w:rsidP="00112797">
            <w:pPr>
              <w:spacing w:before="0" w:after="0" w:line="240" w:lineRule="auto"/>
              <w:ind w:leftChars="75" w:left="143"/>
              <w:rPr>
                <w:rFonts w:ascii="Arial" w:hAnsi="Arial" w:cs="Arial"/>
                <w:color w:val="000000"/>
                <w:sz w:val="16"/>
                <w:szCs w:val="16"/>
              </w:rPr>
            </w:pPr>
            <w:r w:rsidRPr="00112797">
              <w:rPr>
                <w:rFonts w:ascii="Arial" w:hAnsi="Arial" w:cs="Arial"/>
                <w:color w:val="000000"/>
                <w:sz w:val="16"/>
                <w:szCs w:val="16"/>
              </w:rPr>
              <w:t>Retained surpluses or (accumulated deficits)</w:t>
            </w:r>
          </w:p>
        </w:tc>
        <w:tc>
          <w:tcPr>
            <w:tcW w:w="960" w:type="dxa"/>
            <w:tcBorders>
              <w:top w:val="nil"/>
              <w:left w:val="nil"/>
              <w:bottom w:val="single" w:sz="4" w:space="0" w:color="auto"/>
              <w:right w:val="nil"/>
            </w:tcBorders>
            <w:shd w:val="clear" w:color="auto" w:fill="auto"/>
            <w:noWrap/>
            <w:vAlign w:val="bottom"/>
            <w:hideMark/>
          </w:tcPr>
          <w:p w14:paraId="3E15F575"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(2,040)</w:t>
            </w:r>
          </w:p>
        </w:tc>
        <w:tc>
          <w:tcPr>
            <w:tcW w:w="960" w:type="dxa"/>
            <w:tcBorders>
              <w:top w:val="nil"/>
              <w:left w:val="nil"/>
              <w:bottom w:val="single" w:sz="4" w:space="0" w:color="auto"/>
              <w:right w:val="nil"/>
            </w:tcBorders>
            <w:shd w:val="clear" w:color="000000" w:fill="D9D9D9"/>
            <w:noWrap/>
            <w:vAlign w:val="bottom"/>
            <w:hideMark/>
          </w:tcPr>
          <w:p w14:paraId="6B765BEC"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(2,445)</w:t>
            </w:r>
          </w:p>
        </w:tc>
        <w:tc>
          <w:tcPr>
            <w:tcW w:w="960" w:type="dxa"/>
            <w:tcBorders>
              <w:top w:val="nil"/>
              <w:left w:val="nil"/>
              <w:bottom w:val="single" w:sz="4" w:space="0" w:color="auto"/>
              <w:right w:val="nil"/>
            </w:tcBorders>
            <w:shd w:val="clear" w:color="auto" w:fill="auto"/>
            <w:noWrap/>
            <w:vAlign w:val="bottom"/>
            <w:hideMark/>
          </w:tcPr>
          <w:p w14:paraId="36B16572"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(2,939)</w:t>
            </w:r>
          </w:p>
        </w:tc>
        <w:tc>
          <w:tcPr>
            <w:tcW w:w="960" w:type="dxa"/>
            <w:tcBorders>
              <w:top w:val="nil"/>
              <w:left w:val="nil"/>
              <w:bottom w:val="single" w:sz="4" w:space="0" w:color="auto"/>
              <w:right w:val="nil"/>
            </w:tcBorders>
            <w:shd w:val="clear" w:color="auto" w:fill="auto"/>
            <w:noWrap/>
            <w:vAlign w:val="bottom"/>
            <w:hideMark/>
          </w:tcPr>
          <w:p w14:paraId="4E8D91D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(3,415)</w:t>
            </w:r>
          </w:p>
        </w:tc>
        <w:tc>
          <w:tcPr>
            <w:tcW w:w="960" w:type="dxa"/>
            <w:tcBorders>
              <w:top w:val="nil"/>
              <w:left w:val="nil"/>
              <w:bottom w:val="single" w:sz="4" w:space="0" w:color="auto"/>
              <w:right w:val="nil"/>
            </w:tcBorders>
            <w:shd w:val="clear" w:color="auto" w:fill="auto"/>
            <w:noWrap/>
            <w:vAlign w:val="bottom"/>
            <w:hideMark/>
          </w:tcPr>
          <w:p w14:paraId="2821C81E" w14:textId="77777777" w:rsidR="00112797" w:rsidRPr="00112797" w:rsidRDefault="00112797" w:rsidP="00112797">
            <w:pPr>
              <w:spacing w:before="0" w:after="0" w:line="240" w:lineRule="auto"/>
              <w:jc w:val="right"/>
              <w:rPr>
                <w:rFonts w:ascii="Arial" w:hAnsi="Arial" w:cs="Arial"/>
                <w:sz w:val="16"/>
                <w:szCs w:val="16"/>
              </w:rPr>
            </w:pPr>
            <w:r w:rsidRPr="00112797">
              <w:rPr>
                <w:rFonts w:ascii="Arial" w:hAnsi="Arial" w:cs="Arial"/>
                <w:sz w:val="16"/>
                <w:szCs w:val="16"/>
              </w:rPr>
              <w:t>(3,870)</w:t>
            </w:r>
          </w:p>
        </w:tc>
      </w:tr>
      <w:tr w:rsidR="00112797" w:rsidRPr="00112797" w14:paraId="481DD123" w14:textId="77777777" w:rsidTr="00112797">
        <w:trPr>
          <w:trHeight w:val="225"/>
          <w:jc w:val="center"/>
        </w:trPr>
        <w:tc>
          <w:tcPr>
            <w:tcW w:w="3080" w:type="dxa"/>
            <w:tcBorders>
              <w:top w:val="nil"/>
              <w:left w:val="nil"/>
              <w:bottom w:val="single" w:sz="4" w:space="0" w:color="auto"/>
              <w:right w:val="nil"/>
            </w:tcBorders>
            <w:shd w:val="clear" w:color="auto" w:fill="auto"/>
            <w:noWrap/>
            <w:vAlign w:val="bottom"/>
            <w:hideMark/>
          </w:tcPr>
          <w:p w14:paraId="2C7AFDF1" w14:textId="77777777" w:rsidR="00112797" w:rsidRPr="00112797" w:rsidRDefault="00112797" w:rsidP="00112797">
            <w:pPr>
              <w:spacing w:before="0" w:after="0" w:line="240" w:lineRule="auto"/>
              <w:ind w:leftChars="75" w:left="143"/>
              <w:rPr>
                <w:rFonts w:ascii="Arial" w:hAnsi="Arial" w:cs="Arial"/>
                <w:b/>
                <w:bCs/>
                <w:color w:val="000000"/>
                <w:sz w:val="16"/>
                <w:szCs w:val="16"/>
              </w:rPr>
            </w:pPr>
            <w:r w:rsidRPr="00112797">
              <w:rPr>
                <w:rFonts w:ascii="Arial" w:hAnsi="Arial" w:cs="Arial"/>
                <w:b/>
                <w:bCs/>
                <w:color w:val="000000"/>
                <w:sz w:val="16"/>
                <w:szCs w:val="16"/>
              </w:rPr>
              <w:t>Total equity</w:t>
            </w:r>
          </w:p>
        </w:tc>
        <w:tc>
          <w:tcPr>
            <w:tcW w:w="960" w:type="dxa"/>
            <w:tcBorders>
              <w:top w:val="nil"/>
              <w:left w:val="nil"/>
              <w:bottom w:val="single" w:sz="4" w:space="0" w:color="auto"/>
              <w:right w:val="nil"/>
            </w:tcBorders>
            <w:shd w:val="clear" w:color="auto" w:fill="auto"/>
            <w:noWrap/>
            <w:vAlign w:val="bottom"/>
            <w:hideMark/>
          </w:tcPr>
          <w:p w14:paraId="056CC3EC"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2,831</w:t>
            </w:r>
          </w:p>
        </w:tc>
        <w:tc>
          <w:tcPr>
            <w:tcW w:w="960" w:type="dxa"/>
            <w:tcBorders>
              <w:top w:val="nil"/>
              <w:left w:val="nil"/>
              <w:bottom w:val="single" w:sz="4" w:space="0" w:color="auto"/>
              <w:right w:val="nil"/>
            </w:tcBorders>
            <w:shd w:val="clear" w:color="000000" w:fill="D9D9D9"/>
            <w:noWrap/>
            <w:vAlign w:val="bottom"/>
            <w:hideMark/>
          </w:tcPr>
          <w:p w14:paraId="38A4DF25"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2,698</w:t>
            </w:r>
          </w:p>
        </w:tc>
        <w:tc>
          <w:tcPr>
            <w:tcW w:w="960" w:type="dxa"/>
            <w:tcBorders>
              <w:top w:val="nil"/>
              <w:left w:val="nil"/>
              <w:bottom w:val="single" w:sz="4" w:space="0" w:color="auto"/>
              <w:right w:val="nil"/>
            </w:tcBorders>
            <w:shd w:val="clear" w:color="auto" w:fill="auto"/>
            <w:noWrap/>
            <w:vAlign w:val="bottom"/>
            <w:hideMark/>
          </w:tcPr>
          <w:p w14:paraId="281160F0"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2,484</w:t>
            </w:r>
          </w:p>
        </w:tc>
        <w:tc>
          <w:tcPr>
            <w:tcW w:w="960" w:type="dxa"/>
            <w:tcBorders>
              <w:top w:val="nil"/>
              <w:left w:val="nil"/>
              <w:bottom w:val="single" w:sz="4" w:space="0" w:color="auto"/>
              <w:right w:val="nil"/>
            </w:tcBorders>
            <w:shd w:val="clear" w:color="auto" w:fill="auto"/>
            <w:noWrap/>
            <w:vAlign w:val="bottom"/>
            <w:hideMark/>
          </w:tcPr>
          <w:p w14:paraId="3DC0B081"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2,290</w:t>
            </w:r>
          </w:p>
        </w:tc>
        <w:tc>
          <w:tcPr>
            <w:tcW w:w="960" w:type="dxa"/>
            <w:tcBorders>
              <w:top w:val="nil"/>
              <w:left w:val="nil"/>
              <w:bottom w:val="single" w:sz="4" w:space="0" w:color="auto"/>
              <w:right w:val="nil"/>
            </w:tcBorders>
            <w:shd w:val="clear" w:color="auto" w:fill="auto"/>
            <w:noWrap/>
            <w:vAlign w:val="bottom"/>
            <w:hideMark/>
          </w:tcPr>
          <w:p w14:paraId="24400C1F" w14:textId="77777777" w:rsidR="00112797" w:rsidRPr="00112797" w:rsidRDefault="00112797" w:rsidP="00112797">
            <w:pPr>
              <w:spacing w:before="0" w:after="0" w:line="240" w:lineRule="auto"/>
              <w:jc w:val="right"/>
              <w:rPr>
                <w:rFonts w:ascii="Arial" w:hAnsi="Arial" w:cs="Arial"/>
                <w:b/>
                <w:bCs/>
                <w:sz w:val="16"/>
                <w:szCs w:val="16"/>
              </w:rPr>
            </w:pPr>
            <w:r w:rsidRPr="00112797">
              <w:rPr>
                <w:rFonts w:ascii="Arial" w:hAnsi="Arial" w:cs="Arial"/>
                <w:b/>
                <w:bCs/>
                <w:sz w:val="16"/>
                <w:szCs w:val="16"/>
              </w:rPr>
              <w:t>2,120</w:t>
            </w:r>
          </w:p>
        </w:tc>
      </w:tr>
    </w:tbl>
    <w:p w14:paraId="45958786" w14:textId="77777777" w:rsidR="00603F85" w:rsidRPr="00014438" w:rsidRDefault="00603F85" w:rsidP="00603F85">
      <w:pPr>
        <w:pStyle w:val="SingleParagraph"/>
        <w:rPr>
          <w:snapToGrid w:val="0"/>
        </w:rPr>
      </w:pPr>
    </w:p>
    <w:p w14:paraId="147D0330" w14:textId="77777777" w:rsidR="00603F85" w:rsidRDefault="00603F85" w:rsidP="00603F85">
      <w:pPr>
        <w:spacing w:before="0" w:after="0" w:line="240" w:lineRule="auto"/>
        <w:rPr>
          <w:rFonts w:ascii="Arial" w:hAnsi="Arial"/>
          <w:b/>
          <w:snapToGrid w:val="0"/>
          <w:sz w:val="20"/>
        </w:rPr>
      </w:pPr>
      <w:r>
        <w:rPr>
          <w:snapToGrid w:val="0"/>
        </w:rPr>
        <w:br w:type="page"/>
      </w:r>
    </w:p>
    <w:p w14:paraId="1AF0044F" w14:textId="37364009" w:rsidR="00603F85" w:rsidRDefault="00603F85" w:rsidP="00603F85">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0F5337">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711" w:type="dxa"/>
        <w:tblLook w:val="04A0" w:firstRow="1" w:lastRow="0" w:firstColumn="1" w:lastColumn="0" w:noHBand="0" w:noVBand="1"/>
      </w:tblPr>
      <w:tblGrid>
        <w:gridCol w:w="3118"/>
        <w:gridCol w:w="1134"/>
        <w:gridCol w:w="1191"/>
        <w:gridCol w:w="1191"/>
        <w:gridCol w:w="1077"/>
      </w:tblGrid>
      <w:tr w:rsidR="00B43B66" w:rsidRPr="00E51DD4" w14:paraId="7B96D38B" w14:textId="77777777" w:rsidTr="00F51890">
        <w:trPr>
          <w:trHeight w:val="765"/>
        </w:trPr>
        <w:tc>
          <w:tcPr>
            <w:tcW w:w="3118" w:type="dxa"/>
            <w:tcBorders>
              <w:top w:val="single" w:sz="4" w:space="0" w:color="auto"/>
              <w:left w:val="nil"/>
              <w:bottom w:val="nil"/>
              <w:right w:val="nil"/>
            </w:tcBorders>
            <w:shd w:val="clear" w:color="auto" w:fill="auto"/>
            <w:hideMark/>
          </w:tcPr>
          <w:p w14:paraId="04E20333" w14:textId="77777777" w:rsidR="00B43B66" w:rsidRPr="00E51DD4" w:rsidRDefault="00B43B66" w:rsidP="00F51890">
            <w:pPr>
              <w:spacing w:before="24" w:after="0" w:line="240" w:lineRule="auto"/>
              <w:jc w:val="right"/>
              <w:rPr>
                <w:rFonts w:ascii="Times New Roman" w:hAnsi="Times New Roman"/>
                <w:sz w:val="20"/>
                <w:szCs w:val="24"/>
              </w:rPr>
            </w:pPr>
          </w:p>
        </w:tc>
        <w:tc>
          <w:tcPr>
            <w:tcW w:w="1134" w:type="dxa"/>
            <w:tcBorders>
              <w:top w:val="single" w:sz="4" w:space="0" w:color="auto"/>
              <w:left w:val="nil"/>
              <w:bottom w:val="single" w:sz="4" w:space="0" w:color="auto"/>
              <w:right w:val="nil"/>
            </w:tcBorders>
            <w:shd w:val="clear" w:color="auto" w:fill="auto"/>
            <w:hideMark/>
          </w:tcPr>
          <w:p w14:paraId="6DA16D5A" w14:textId="327898AD" w:rsidR="00B43B66" w:rsidRPr="00E51DD4" w:rsidRDefault="00B43B66" w:rsidP="00F51890">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Retained earnings </w:t>
            </w:r>
            <w:r>
              <w:rPr>
                <w:rFonts w:ascii="Arial" w:hAnsi="Arial" w:cs="Arial"/>
                <w:color w:val="000000"/>
                <w:sz w:val="16"/>
                <w:szCs w:val="16"/>
              </w:rPr>
              <w:br/>
            </w:r>
            <w:r>
              <w:rPr>
                <w:rFonts w:ascii="Arial" w:hAnsi="Arial" w:cs="Arial"/>
                <w:color w:val="000000"/>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64ED0DE1" w14:textId="4749BCFC" w:rsidR="00B43B66" w:rsidRPr="00E51DD4" w:rsidRDefault="00B43B66" w:rsidP="00F51890">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Asset revaluation reserve </w:t>
            </w:r>
            <w:r>
              <w:rPr>
                <w:rFonts w:ascii="Arial" w:hAnsi="Arial" w:cs="Arial"/>
                <w:color w:val="000000"/>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753A5810" w14:textId="2CAE2A71" w:rsidR="00B43B66" w:rsidRPr="00E51DD4" w:rsidRDefault="00B43B66" w:rsidP="00F51890">
            <w:pPr>
              <w:spacing w:before="24" w:after="0" w:line="240" w:lineRule="auto"/>
              <w:jc w:val="right"/>
              <w:rPr>
                <w:rFonts w:ascii="Arial" w:hAnsi="Arial" w:cs="Arial"/>
                <w:color w:val="000000"/>
                <w:sz w:val="16"/>
                <w:szCs w:val="16"/>
              </w:rPr>
            </w:pPr>
            <w:r>
              <w:rPr>
                <w:rFonts w:ascii="Arial" w:hAnsi="Arial" w:cs="Arial"/>
                <w:b/>
                <w:bCs/>
                <w:color w:val="000000"/>
                <w:sz w:val="16"/>
                <w:szCs w:val="16"/>
              </w:rPr>
              <w:t>Contributed equity/</w:t>
            </w:r>
            <w:r>
              <w:rPr>
                <w:rFonts w:ascii="Arial" w:hAnsi="Arial" w:cs="Arial"/>
                <w:b/>
                <w:bCs/>
                <w:color w:val="000000"/>
                <w:sz w:val="16"/>
                <w:szCs w:val="16"/>
              </w:rPr>
              <w:br/>
              <w:t xml:space="preserve">capital </w:t>
            </w:r>
            <w:r>
              <w:rPr>
                <w:rFonts w:ascii="Arial" w:hAnsi="Arial" w:cs="Arial"/>
                <w:color w:val="000000"/>
                <w:sz w:val="16"/>
                <w:szCs w:val="16"/>
              </w:rPr>
              <w:br/>
              <w:t>$'000</w:t>
            </w:r>
          </w:p>
        </w:tc>
        <w:tc>
          <w:tcPr>
            <w:tcW w:w="1077" w:type="dxa"/>
            <w:tcBorders>
              <w:top w:val="single" w:sz="4" w:space="0" w:color="auto"/>
              <w:left w:val="nil"/>
              <w:bottom w:val="single" w:sz="4" w:space="0" w:color="auto"/>
              <w:right w:val="nil"/>
            </w:tcBorders>
            <w:shd w:val="clear" w:color="auto" w:fill="auto"/>
            <w:hideMark/>
          </w:tcPr>
          <w:p w14:paraId="5A514A28" w14:textId="5BA355DA" w:rsidR="00B43B66" w:rsidRPr="00E51DD4" w:rsidRDefault="00B43B66" w:rsidP="00F51890">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Total </w:t>
            </w:r>
            <w:r>
              <w:rPr>
                <w:rFonts w:ascii="Arial" w:hAnsi="Arial" w:cs="Arial"/>
                <w:b/>
                <w:bCs/>
                <w:color w:val="000000"/>
                <w:sz w:val="16"/>
                <w:szCs w:val="16"/>
              </w:rPr>
              <w:br/>
              <w:t xml:space="preserve">equity </w:t>
            </w:r>
            <w:r>
              <w:rPr>
                <w:rFonts w:ascii="Arial" w:hAnsi="Arial" w:cs="Arial"/>
                <w:color w:val="000000"/>
                <w:sz w:val="16"/>
                <w:szCs w:val="16"/>
              </w:rPr>
              <w:br/>
            </w:r>
            <w:r>
              <w:rPr>
                <w:rFonts w:ascii="Arial" w:hAnsi="Arial" w:cs="Arial"/>
                <w:color w:val="000000"/>
                <w:sz w:val="16"/>
                <w:szCs w:val="16"/>
              </w:rPr>
              <w:br/>
              <w:t>$'000</w:t>
            </w:r>
          </w:p>
        </w:tc>
      </w:tr>
      <w:tr w:rsidR="00B43B66" w:rsidRPr="00E51DD4" w14:paraId="54D14E28" w14:textId="77777777" w:rsidTr="00603F85">
        <w:trPr>
          <w:trHeight w:val="225"/>
        </w:trPr>
        <w:tc>
          <w:tcPr>
            <w:tcW w:w="3118" w:type="dxa"/>
            <w:tcBorders>
              <w:top w:val="nil"/>
              <w:left w:val="nil"/>
              <w:bottom w:val="nil"/>
              <w:right w:val="nil"/>
            </w:tcBorders>
            <w:shd w:val="clear" w:color="auto" w:fill="auto"/>
            <w:noWrap/>
            <w:vAlign w:val="bottom"/>
            <w:hideMark/>
          </w:tcPr>
          <w:p w14:paraId="643E74BA" w14:textId="30207B45" w:rsidR="00B43B66" w:rsidRPr="00E51DD4" w:rsidRDefault="00B43B66" w:rsidP="00B43B66">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Opening balance as </w:t>
            </w:r>
            <w:proofErr w:type="gramStart"/>
            <w:r>
              <w:rPr>
                <w:rFonts w:ascii="Arial" w:hAnsi="Arial" w:cs="Arial"/>
                <w:b/>
                <w:bCs/>
                <w:color w:val="000000"/>
                <w:sz w:val="16"/>
                <w:szCs w:val="16"/>
              </w:rPr>
              <w:t>at</w:t>
            </w:r>
            <w:proofErr w:type="gramEnd"/>
            <w:r>
              <w:rPr>
                <w:rFonts w:ascii="Arial" w:hAnsi="Arial" w:cs="Arial"/>
                <w:b/>
                <w:bCs/>
                <w:color w:val="000000"/>
                <w:sz w:val="16"/>
                <w:szCs w:val="16"/>
              </w:rPr>
              <w:t xml:space="preserve"> 1 July 2023</w:t>
            </w:r>
          </w:p>
        </w:tc>
        <w:tc>
          <w:tcPr>
            <w:tcW w:w="1134" w:type="dxa"/>
            <w:tcBorders>
              <w:top w:val="nil"/>
              <w:left w:val="nil"/>
              <w:bottom w:val="nil"/>
              <w:right w:val="nil"/>
            </w:tcBorders>
            <w:shd w:val="clear" w:color="auto" w:fill="auto"/>
            <w:noWrap/>
            <w:vAlign w:val="bottom"/>
            <w:hideMark/>
          </w:tcPr>
          <w:p w14:paraId="4B10FFE0" w14:textId="77777777" w:rsidR="00B43B66" w:rsidRPr="00E51DD4" w:rsidRDefault="00B43B66" w:rsidP="00B43B66">
            <w:pPr>
              <w:spacing w:before="0" w:after="0" w:line="240" w:lineRule="auto"/>
              <w:rPr>
                <w:rFonts w:ascii="Arial" w:hAnsi="Arial" w:cs="Arial"/>
                <w:b/>
                <w:bCs/>
                <w:color w:val="000000"/>
                <w:sz w:val="16"/>
                <w:szCs w:val="16"/>
              </w:rPr>
            </w:pPr>
          </w:p>
        </w:tc>
        <w:tc>
          <w:tcPr>
            <w:tcW w:w="1191" w:type="dxa"/>
            <w:tcBorders>
              <w:top w:val="nil"/>
              <w:left w:val="nil"/>
              <w:bottom w:val="nil"/>
              <w:right w:val="nil"/>
            </w:tcBorders>
            <w:shd w:val="clear" w:color="auto" w:fill="auto"/>
            <w:noWrap/>
            <w:vAlign w:val="bottom"/>
            <w:hideMark/>
          </w:tcPr>
          <w:p w14:paraId="66351B53" w14:textId="77777777" w:rsidR="00B43B66" w:rsidRPr="00E51DD4" w:rsidRDefault="00B43B66" w:rsidP="00B43B66">
            <w:pPr>
              <w:spacing w:before="0" w:after="0" w:line="240" w:lineRule="auto"/>
              <w:jc w:val="right"/>
              <w:rPr>
                <w:rFonts w:ascii="Times New Roman" w:hAnsi="Times New Roman"/>
                <w:sz w:val="20"/>
              </w:rPr>
            </w:pPr>
          </w:p>
        </w:tc>
        <w:tc>
          <w:tcPr>
            <w:tcW w:w="1191" w:type="dxa"/>
            <w:tcBorders>
              <w:top w:val="nil"/>
              <w:left w:val="nil"/>
              <w:bottom w:val="nil"/>
              <w:right w:val="nil"/>
            </w:tcBorders>
            <w:shd w:val="clear" w:color="auto" w:fill="auto"/>
            <w:noWrap/>
            <w:vAlign w:val="bottom"/>
            <w:hideMark/>
          </w:tcPr>
          <w:p w14:paraId="1E662F06" w14:textId="77777777" w:rsidR="00B43B66" w:rsidRPr="00E51DD4" w:rsidRDefault="00B43B66" w:rsidP="00B43B66">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5126B3EC" w14:textId="77777777" w:rsidR="00B43B66" w:rsidRPr="00E51DD4" w:rsidRDefault="00B43B66" w:rsidP="00B43B66">
            <w:pPr>
              <w:spacing w:before="0" w:after="0" w:line="240" w:lineRule="auto"/>
              <w:jc w:val="right"/>
              <w:rPr>
                <w:rFonts w:ascii="Times New Roman" w:hAnsi="Times New Roman"/>
                <w:sz w:val="20"/>
              </w:rPr>
            </w:pPr>
          </w:p>
        </w:tc>
      </w:tr>
      <w:tr w:rsidR="00B43B66" w:rsidRPr="00E51DD4" w14:paraId="21A104EF" w14:textId="77777777" w:rsidTr="00603F85">
        <w:trPr>
          <w:trHeight w:val="454"/>
        </w:trPr>
        <w:tc>
          <w:tcPr>
            <w:tcW w:w="3118" w:type="dxa"/>
            <w:tcBorders>
              <w:top w:val="nil"/>
              <w:left w:val="nil"/>
              <w:bottom w:val="nil"/>
              <w:right w:val="nil"/>
            </w:tcBorders>
            <w:shd w:val="clear" w:color="auto" w:fill="auto"/>
            <w:vAlign w:val="bottom"/>
            <w:hideMark/>
          </w:tcPr>
          <w:p w14:paraId="7CB0442C" w14:textId="6C989E20" w:rsidR="00B43B66" w:rsidRPr="00E51DD4" w:rsidRDefault="00B43B66" w:rsidP="00B43B66">
            <w:pPr>
              <w:spacing w:before="0" w:after="0" w:line="240" w:lineRule="auto"/>
              <w:ind w:leftChars="75" w:left="143"/>
              <w:rPr>
                <w:rFonts w:ascii="Arial" w:hAnsi="Arial" w:cs="Arial"/>
                <w:color w:val="000000"/>
                <w:sz w:val="16"/>
                <w:szCs w:val="16"/>
              </w:rPr>
            </w:pPr>
            <w:r>
              <w:rPr>
                <w:rFonts w:ascii="Arial" w:hAnsi="Arial" w:cs="Arial"/>
                <w:color w:val="000000"/>
                <w:sz w:val="16"/>
                <w:szCs w:val="16"/>
              </w:rPr>
              <w:t>Balance carried forward from previous period</w:t>
            </w:r>
          </w:p>
        </w:tc>
        <w:tc>
          <w:tcPr>
            <w:tcW w:w="1134" w:type="dxa"/>
            <w:tcBorders>
              <w:top w:val="nil"/>
              <w:left w:val="nil"/>
              <w:bottom w:val="nil"/>
              <w:right w:val="nil"/>
            </w:tcBorders>
            <w:shd w:val="clear" w:color="auto" w:fill="auto"/>
            <w:noWrap/>
            <w:vAlign w:val="bottom"/>
            <w:hideMark/>
          </w:tcPr>
          <w:p w14:paraId="11343E8E" w14:textId="63235318" w:rsidR="00B43B66" w:rsidRPr="00E51DD4" w:rsidRDefault="00B43B66" w:rsidP="00B43B66">
            <w:pPr>
              <w:spacing w:before="0" w:after="0" w:line="240" w:lineRule="auto"/>
              <w:jc w:val="right"/>
              <w:rPr>
                <w:rFonts w:ascii="Arial" w:hAnsi="Arial" w:cs="Arial"/>
                <w:color w:val="000000"/>
                <w:sz w:val="16"/>
                <w:szCs w:val="16"/>
              </w:rPr>
            </w:pPr>
            <w:r>
              <w:rPr>
                <w:rFonts w:ascii="Arial" w:hAnsi="Arial" w:cs="Arial"/>
                <w:color w:val="000000"/>
                <w:sz w:val="16"/>
                <w:szCs w:val="16"/>
              </w:rPr>
              <w:t>(2,040)</w:t>
            </w:r>
          </w:p>
        </w:tc>
        <w:tc>
          <w:tcPr>
            <w:tcW w:w="1191" w:type="dxa"/>
            <w:tcBorders>
              <w:top w:val="nil"/>
              <w:left w:val="nil"/>
              <w:bottom w:val="nil"/>
              <w:right w:val="nil"/>
            </w:tcBorders>
            <w:shd w:val="clear" w:color="auto" w:fill="auto"/>
            <w:noWrap/>
            <w:vAlign w:val="bottom"/>
            <w:hideMark/>
          </w:tcPr>
          <w:p w14:paraId="1C5076B9" w14:textId="3BD6946B" w:rsidR="00B43B66" w:rsidRPr="00E51DD4" w:rsidRDefault="00B43B66" w:rsidP="00B43B66">
            <w:pPr>
              <w:spacing w:before="0" w:after="0" w:line="240" w:lineRule="auto"/>
              <w:jc w:val="right"/>
              <w:rPr>
                <w:rFonts w:ascii="Arial" w:hAnsi="Arial" w:cs="Arial"/>
                <w:color w:val="000000"/>
                <w:sz w:val="16"/>
                <w:szCs w:val="16"/>
              </w:rPr>
            </w:pPr>
            <w:r>
              <w:rPr>
                <w:rFonts w:ascii="Arial" w:hAnsi="Arial" w:cs="Arial"/>
                <w:color w:val="000000"/>
                <w:sz w:val="16"/>
                <w:szCs w:val="16"/>
              </w:rPr>
              <w:t>666</w:t>
            </w:r>
          </w:p>
        </w:tc>
        <w:tc>
          <w:tcPr>
            <w:tcW w:w="1191" w:type="dxa"/>
            <w:tcBorders>
              <w:top w:val="nil"/>
              <w:left w:val="nil"/>
              <w:bottom w:val="nil"/>
              <w:right w:val="nil"/>
            </w:tcBorders>
            <w:shd w:val="clear" w:color="auto" w:fill="auto"/>
            <w:noWrap/>
            <w:vAlign w:val="bottom"/>
            <w:hideMark/>
          </w:tcPr>
          <w:p w14:paraId="55E76655" w14:textId="1251F5E3" w:rsidR="00B43B66" w:rsidRPr="00E51DD4" w:rsidRDefault="00B43B66" w:rsidP="00B43B66">
            <w:pPr>
              <w:spacing w:before="0" w:after="0" w:line="240" w:lineRule="auto"/>
              <w:jc w:val="right"/>
              <w:rPr>
                <w:rFonts w:ascii="Arial" w:hAnsi="Arial" w:cs="Arial"/>
                <w:color w:val="000000"/>
                <w:sz w:val="16"/>
                <w:szCs w:val="16"/>
              </w:rPr>
            </w:pPr>
            <w:r>
              <w:rPr>
                <w:rFonts w:ascii="Arial" w:hAnsi="Arial" w:cs="Arial"/>
                <w:color w:val="000000"/>
                <w:sz w:val="16"/>
                <w:szCs w:val="16"/>
              </w:rPr>
              <w:t>4,205</w:t>
            </w:r>
          </w:p>
        </w:tc>
        <w:tc>
          <w:tcPr>
            <w:tcW w:w="1077" w:type="dxa"/>
            <w:tcBorders>
              <w:top w:val="nil"/>
              <w:left w:val="nil"/>
              <w:bottom w:val="nil"/>
              <w:right w:val="nil"/>
            </w:tcBorders>
            <w:shd w:val="clear" w:color="auto" w:fill="auto"/>
            <w:noWrap/>
            <w:vAlign w:val="bottom"/>
            <w:hideMark/>
          </w:tcPr>
          <w:p w14:paraId="294D9D87" w14:textId="18433619"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2,831</w:t>
            </w:r>
          </w:p>
        </w:tc>
      </w:tr>
      <w:tr w:rsidR="00B43B66" w:rsidRPr="00E51DD4" w14:paraId="4F8909C6" w14:textId="77777777" w:rsidTr="00603F85">
        <w:trPr>
          <w:trHeight w:val="283"/>
        </w:trPr>
        <w:tc>
          <w:tcPr>
            <w:tcW w:w="3118" w:type="dxa"/>
            <w:tcBorders>
              <w:top w:val="nil"/>
              <w:left w:val="nil"/>
              <w:bottom w:val="nil"/>
              <w:right w:val="nil"/>
            </w:tcBorders>
            <w:shd w:val="clear" w:color="auto" w:fill="auto"/>
            <w:noWrap/>
            <w:vAlign w:val="bottom"/>
            <w:hideMark/>
          </w:tcPr>
          <w:p w14:paraId="394703D7" w14:textId="58A4F8DC" w:rsidR="00B43B66" w:rsidRPr="00E51DD4" w:rsidRDefault="00B43B66" w:rsidP="00B43B66">
            <w:pPr>
              <w:spacing w:before="0" w:after="0" w:line="240" w:lineRule="auto"/>
              <w:ind w:leftChars="75" w:left="143"/>
              <w:rPr>
                <w:rFonts w:ascii="Arial" w:hAnsi="Arial" w:cs="Arial"/>
                <w:sz w:val="16"/>
                <w:szCs w:val="16"/>
              </w:rPr>
            </w:pPr>
            <w:r>
              <w:rPr>
                <w:rFonts w:ascii="Arial" w:hAnsi="Arial" w:cs="Arial"/>
                <w:sz w:val="16"/>
                <w:szCs w:val="16"/>
              </w:rPr>
              <w:t>Opening balance adjustment</w:t>
            </w:r>
          </w:p>
        </w:tc>
        <w:tc>
          <w:tcPr>
            <w:tcW w:w="1134" w:type="dxa"/>
            <w:tcBorders>
              <w:top w:val="nil"/>
              <w:left w:val="nil"/>
              <w:bottom w:val="nil"/>
              <w:right w:val="nil"/>
            </w:tcBorders>
            <w:shd w:val="clear" w:color="auto" w:fill="auto"/>
            <w:noWrap/>
            <w:vAlign w:val="bottom"/>
            <w:hideMark/>
          </w:tcPr>
          <w:p w14:paraId="746B1FBA" w14:textId="34EC6A15"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4CAD0D7E" w14:textId="7AA74CEC"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25EB7C68" w14:textId="2CC54C6C"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56106F42" w14:textId="4361D057"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43B66" w:rsidRPr="00E51DD4" w14:paraId="64D8CE01" w14:textId="77777777" w:rsidTr="00603F85">
        <w:trPr>
          <w:trHeight w:val="283"/>
        </w:trPr>
        <w:tc>
          <w:tcPr>
            <w:tcW w:w="3118" w:type="dxa"/>
            <w:tcBorders>
              <w:top w:val="nil"/>
              <w:left w:val="nil"/>
              <w:bottom w:val="nil"/>
              <w:right w:val="nil"/>
            </w:tcBorders>
            <w:shd w:val="clear" w:color="auto" w:fill="auto"/>
            <w:noWrap/>
            <w:vAlign w:val="bottom"/>
            <w:hideMark/>
          </w:tcPr>
          <w:p w14:paraId="5748BFC1" w14:textId="18857A3F" w:rsidR="00B43B66" w:rsidRPr="00E51DD4" w:rsidRDefault="00B43B66" w:rsidP="00B43B66">
            <w:pPr>
              <w:spacing w:before="0" w:after="0" w:line="240" w:lineRule="auto"/>
              <w:ind w:leftChars="75" w:left="143"/>
              <w:rPr>
                <w:rFonts w:ascii="Arial" w:hAnsi="Arial" w:cs="Arial"/>
                <w:sz w:val="16"/>
                <w:szCs w:val="16"/>
              </w:rPr>
            </w:pPr>
            <w:r>
              <w:rPr>
                <w:rFonts w:ascii="Arial" w:hAnsi="Arial" w:cs="Arial"/>
                <w:sz w:val="16"/>
                <w:szCs w:val="16"/>
              </w:rPr>
              <w:t>Surplus (deficit) for the period</w:t>
            </w:r>
          </w:p>
        </w:tc>
        <w:tc>
          <w:tcPr>
            <w:tcW w:w="1134" w:type="dxa"/>
            <w:tcBorders>
              <w:top w:val="nil"/>
              <w:left w:val="nil"/>
              <w:bottom w:val="nil"/>
              <w:right w:val="nil"/>
            </w:tcBorders>
            <w:shd w:val="clear" w:color="auto" w:fill="auto"/>
            <w:noWrap/>
            <w:vAlign w:val="bottom"/>
            <w:hideMark/>
          </w:tcPr>
          <w:p w14:paraId="1CF12C40" w14:textId="0DDB19C5"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(405)</w:t>
            </w:r>
          </w:p>
        </w:tc>
        <w:tc>
          <w:tcPr>
            <w:tcW w:w="1191" w:type="dxa"/>
            <w:tcBorders>
              <w:top w:val="nil"/>
              <w:left w:val="nil"/>
              <w:bottom w:val="nil"/>
              <w:right w:val="nil"/>
            </w:tcBorders>
            <w:shd w:val="clear" w:color="auto" w:fill="auto"/>
            <w:noWrap/>
            <w:vAlign w:val="bottom"/>
            <w:hideMark/>
          </w:tcPr>
          <w:p w14:paraId="6B3B649F" w14:textId="08D7FC58"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60900BA4" w14:textId="338254FD"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077" w:type="dxa"/>
            <w:tcBorders>
              <w:top w:val="nil"/>
              <w:left w:val="nil"/>
              <w:bottom w:val="nil"/>
              <w:right w:val="nil"/>
            </w:tcBorders>
            <w:shd w:val="clear" w:color="auto" w:fill="auto"/>
            <w:noWrap/>
            <w:vAlign w:val="bottom"/>
            <w:hideMark/>
          </w:tcPr>
          <w:p w14:paraId="111B715E" w14:textId="570D4EA6"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(405)</w:t>
            </w:r>
          </w:p>
        </w:tc>
      </w:tr>
      <w:tr w:rsidR="00B43B66" w:rsidRPr="00E51DD4" w14:paraId="70C84C83" w14:textId="77777777" w:rsidTr="00603F85">
        <w:trPr>
          <w:trHeight w:val="283"/>
        </w:trPr>
        <w:tc>
          <w:tcPr>
            <w:tcW w:w="3118" w:type="dxa"/>
            <w:tcBorders>
              <w:top w:val="nil"/>
              <w:left w:val="nil"/>
              <w:bottom w:val="nil"/>
              <w:right w:val="nil"/>
            </w:tcBorders>
            <w:shd w:val="clear" w:color="000000" w:fill="FFFFFF"/>
            <w:noWrap/>
            <w:vAlign w:val="bottom"/>
            <w:hideMark/>
          </w:tcPr>
          <w:p w14:paraId="6C63F8AB" w14:textId="73987D00" w:rsidR="00B43B66" w:rsidRPr="00E51DD4" w:rsidRDefault="00B43B66" w:rsidP="00B43B66">
            <w:pPr>
              <w:spacing w:before="0" w:after="0" w:line="240" w:lineRule="auto"/>
              <w:ind w:leftChars="75" w:left="143"/>
              <w:rPr>
                <w:rFonts w:ascii="Arial" w:hAnsi="Arial" w:cs="Arial"/>
                <w:sz w:val="16"/>
                <w:szCs w:val="16"/>
              </w:rPr>
            </w:pPr>
            <w:r>
              <w:rPr>
                <w:rFonts w:ascii="Arial" w:hAnsi="Arial" w:cs="Arial"/>
                <w:sz w:val="16"/>
                <w:szCs w:val="16"/>
              </w:rPr>
              <w:t>Capital budget - Bill 1 (DCB)</w:t>
            </w:r>
          </w:p>
        </w:tc>
        <w:tc>
          <w:tcPr>
            <w:tcW w:w="1134" w:type="dxa"/>
            <w:tcBorders>
              <w:top w:val="nil"/>
              <w:left w:val="nil"/>
              <w:bottom w:val="nil"/>
              <w:right w:val="nil"/>
            </w:tcBorders>
            <w:shd w:val="clear" w:color="auto" w:fill="auto"/>
            <w:noWrap/>
            <w:vAlign w:val="bottom"/>
            <w:hideMark/>
          </w:tcPr>
          <w:p w14:paraId="52479F12" w14:textId="76F8FFD3"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20AE658F" w14:textId="16AEB659"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w:t>
            </w:r>
          </w:p>
        </w:tc>
        <w:tc>
          <w:tcPr>
            <w:tcW w:w="1191" w:type="dxa"/>
            <w:tcBorders>
              <w:top w:val="nil"/>
              <w:left w:val="nil"/>
              <w:bottom w:val="nil"/>
              <w:right w:val="nil"/>
            </w:tcBorders>
            <w:shd w:val="clear" w:color="auto" w:fill="auto"/>
            <w:noWrap/>
            <w:vAlign w:val="bottom"/>
            <w:hideMark/>
          </w:tcPr>
          <w:p w14:paraId="5D7AE7A1" w14:textId="68900A34" w:rsidR="00B43B66" w:rsidRPr="00E51DD4" w:rsidRDefault="00B43B66" w:rsidP="00B43B66">
            <w:pPr>
              <w:spacing w:before="0" w:after="0" w:line="240" w:lineRule="auto"/>
              <w:jc w:val="right"/>
              <w:rPr>
                <w:rFonts w:ascii="Arial" w:hAnsi="Arial" w:cs="Arial"/>
                <w:sz w:val="16"/>
                <w:szCs w:val="16"/>
              </w:rPr>
            </w:pPr>
            <w:r>
              <w:rPr>
                <w:rFonts w:ascii="Arial" w:hAnsi="Arial" w:cs="Arial"/>
                <w:sz w:val="16"/>
                <w:szCs w:val="16"/>
              </w:rPr>
              <w:t>272</w:t>
            </w:r>
          </w:p>
        </w:tc>
        <w:tc>
          <w:tcPr>
            <w:tcW w:w="1077" w:type="dxa"/>
            <w:tcBorders>
              <w:top w:val="nil"/>
              <w:left w:val="nil"/>
              <w:bottom w:val="nil"/>
              <w:right w:val="nil"/>
            </w:tcBorders>
            <w:shd w:val="clear" w:color="auto" w:fill="auto"/>
            <w:noWrap/>
            <w:vAlign w:val="bottom"/>
            <w:hideMark/>
          </w:tcPr>
          <w:p w14:paraId="4F14ECAB" w14:textId="6A600FBF"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272</w:t>
            </w:r>
          </w:p>
        </w:tc>
      </w:tr>
      <w:tr w:rsidR="00B43B66" w:rsidRPr="00E51DD4" w14:paraId="0699C6EA" w14:textId="77777777" w:rsidTr="00603F85">
        <w:trPr>
          <w:trHeight w:val="454"/>
        </w:trPr>
        <w:tc>
          <w:tcPr>
            <w:tcW w:w="3118" w:type="dxa"/>
            <w:tcBorders>
              <w:top w:val="nil"/>
              <w:left w:val="nil"/>
              <w:bottom w:val="single" w:sz="4" w:space="0" w:color="auto"/>
              <w:right w:val="nil"/>
            </w:tcBorders>
            <w:shd w:val="clear" w:color="auto" w:fill="auto"/>
            <w:vAlign w:val="bottom"/>
            <w:hideMark/>
          </w:tcPr>
          <w:p w14:paraId="4F2C291D" w14:textId="47698764" w:rsidR="00B43B66" w:rsidRPr="00E51DD4" w:rsidRDefault="00B43B66" w:rsidP="00B43B66">
            <w:pPr>
              <w:spacing w:before="0" w:after="0" w:line="240" w:lineRule="auto"/>
              <w:rPr>
                <w:rFonts w:ascii="Arial" w:hAnsi="Arial" w:cs="Arial"/>
                <w:b/>
                <w:bCs/>
                <w:color w:val="000000"/>
                <w:sz w:val="16"/>
                <w:szCs w:val="16"/>
              </w:rPr>
            </w:pPr>
            <w:r>
              <w:rPr>
                <w:rFonts w:ascii="Arial" w:hAnsi="Arial" w:cs="Arial"/>
                <w:b/>
                <w:bCs/>
                <w:color w:val="000000"/>
                <w:sz w:val="16"/>
                <w:szCs w:val="16"/>
              </w:rPr>
              <w:t>Estimated closing balance as at</w:t>
            </w:r>
            <w:r>
              <w:rPr>
                <w:rFonts w:ascii="Arial" w:hAnsi="Arial" w:cs="Arial"/>
                <w:b/>
                <w:bCs/>
                <w:color w:val="000000"/>
                <w:sz w:val="16"/>
                <w:szCs w:val="16"/>
              </w:rPr>
              <w:br/>
              <w:t>30 June 2024</w:t>
            </w:r>
          </w:p>
        </w:tc>
        <w:tc>
          <w:tcPr>
            <w:tcW w:w="1134" w:type="dxa"/>
            <w:tcBorders>
              <w:top w:val="single" w:sz="4" w:space="0" w:color="auto"/>
              <w:left w:val="nil"/>
              <w:bottom w:val="single" w:sz="4" w:space="0" w:color="auto"/>
              <w:right w:val="nil"/>
            </w:tcBorders>
            <w:shd w:val="clear" w:color="auto" w:fill="auto"/>
            <w:noWrap/>
            <w:vAlign w:val="bottom"/>
            <w:hideMark/>
          </w:tcPr>
          <w:p w14:paraId="6C320A2F" w14:textId="498B5685"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(2,445)</w:t>
            </w:r>
          </w:p>
        </w:tc>
        <w:tc>
          <w:tcPr>
            <w:tcW w:w="1191" w:type="dxa"/>
            <w:tcBorders>
              <w:top w:val="single" w:sz="4" w:space="0" w:color="auto"/>
              <w:left w:val="nil"/>
              <w:bottom w:val="single" w:sz="4" w:space="0" w:color="auto"/>
              <w:right w:val="nil"/>
            </w:tcBorders>
            <w:shd w:val="clear" w:color="auto" w:fill="auto"/>
            <w:noWrap/>
            <w:vAlign w:val="bottom"/>
            <w:hideMark/>
          </w:tcPr>
          <w:p w14:paraId="56BDA64F" w14:textId="1B2E1718"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666</w:t>
            </w:r>
          </w:p>
        </w:tc>
        <w:tc>
          <w:tcPr>
            <w:tcW w:w="1191" w:type="dxa"/>
            <w:tcBorders>
              <w:top w:val="single" w:sz="4" w:space="0" w:color="auto"/>
              <w:left w:val="nil"/>
              <w:bottom w:val="single" w:sz="4" w:space="0" w:color="auto"/>
              <w:right w:val="nil"/>
            </w:tcBorders>
            <w:shd w:val="clear" w:color="auto" w:fill="auto"/>
            <w:noWrap/>
            <w:vAlign w:val="bottom"/>
            <w:hideMark/>
          </w:tcPr>
          <w:p w14:paraId="44A1FAA4" w14:textId="62E8E109"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4,477</w:t>
            </w:r>
          </w:p>
        </w:tc>
        <w:tc>
          <w:tcPr>
            <w:tcW w:w="1077" w:type="dxa"/>
            <w:tcBorders>
              <w:top w:val="single" w:sz="4" w:space="0" w:color="auto"/>
              <w:left w:val="nil"/>
              <w:bottom w:val="single" w:sz="4" w:space="0" w:color="auto"/>
              <w:right w:val="nil"/>
            </w:tcBorders>
            <w:shd w:val="clear" w:color="auto" w:fill="auto"/>
            <w:noWrap/>
            <w:vAlign w:val="bottom"/>
            <w:hideMark/>
          </w:tcPr>
          <w:p w14:paraId="15194C88" w14:textId="0090560C" w:rsidR="00B43B66" w:rsidRPr="00E51DD4" w:rsidRDefault="00B43B66" w:rsidP="00B43B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2,698</w:t>
            </w:r>
          </w:p>
        </w:tc>
      </w:tr>
    </w:tbl>
    <w:p w14:paraId="5470B9C0" w14:textId="77777777" w:rsidR="00603F85" w:rsidRPr="00E51DD4" w:rsidRDefault="00603F85" w:rsidP="00673430">
      <w:pPr>
        <w:pStyle w:val="FootnoteText"/>
        <w:spacing w:before="120"/>
      </w:pPr>
      <w:r w:rsidRPr="00E51DD4">
        <w:t>DCB = Departmental Capital Budget</w:t>
      </w:r>
    </w:p>
    <w:p w14:paraId="41EA5E8E" w14:textId="77777777" w:rsidR="00673430" w:rsidRDefault="00673430" w:rsidP="00603F85">
      <w:pPr>
        <w:pStyle w:val="TableHeading"/>
        <w:spacing w:before="0"/>
        <w:rPr>
          <w:snapToGrid w:val="0"/>
        </w:rPr>
      </w:pPr>
    </w:p>
    <w:p w14:paraId="7DEB3E15" w14:textId="77777777" w:rsidR="00D317C4" w:rsidRDefault="00D317C4">
      <w:pPr>
        <w:spacing w:before="0" w:after="0" w:line="240" w:lineRule="auto"/>
        <w:rPr>
          <w:rFonts w:ascii="Arial" w:hAnsi="Arial"/>
          <w:b/>
          <w:snapToGrid w:val="0"/>
          <w:sz w:val="20"/>
        </w:rPr>
      </w:pPr>
      <w:r>
        <w:rPr>
          <w:snapToGrid w:val="0"/>
        </w:rPr>
        <w:br w:type="page"/>
      </w:r>
    </w:p>
    <w:p w14:paraId="0392E42E" w14:textId="57D0BCE3" w:rsidR="00603F85" w:rsidRDefault="00603F85" w:rsidP="00603F85">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7880" w:type="dxa"/>
        <w:jc w:val="center"/>
        <w:tblLayout w:type="fixed"/>
        <w:tblLook w:val="04A0" w:firstRow="1" w:lastRow="0" w:firstColumn="1" w:lastColumn="0" w:noHBand="0" w:noVBand="1"/>
      </w:tblPr>
      <w:tblGrid>
        <w:gridCol w:w="3203"/>
        <w:gridCol w:w="925"/>
        <w:gridCol w:w="935"/>
        <w:gridCol w:w="939"/>
        <w:gridCol w:w="939"/>
        <w:gridCol w:w="939"/>
      </w:tblGrid>
      <w:tr w:rsidR="00D317C4" w:rsidRPr="00D317C4" w14:paraId="7BC94579" w14:textId="77777777" w:rsidTr="00076707">
        <w:trPr>
          <w:trHeight w:val="737"/>
          <w:jc w:val="center"/>
        </w:trPr>
        <w:tc>
          <w:tcPr>
            <w:tcW w:w="3203" w:type="dxa"/>
            <w:tcBorders>
              <w:top w:val="single" w:sz="4" w:space="0" w:color="auto"/>
              <w:left w:val="nil"/>
              <w:bottom w:val="nil"/>
              <w:right w:val="nil"/>
            </w:tcBorders>
            <w:shd w:val="clear" w:color="auto" w:fill="auto"/>
            <w:hideMark/>
          </w:tcPr>
          <w:p w14:paraId="797CA9A9" w14:textId="77777777" w:rsidR="00D317C4" w:rsidRPr="00D317C4" w:rsidRDefault="00D317C4" w:rsidP="00076707">
            <w:pPr>
              <w:spacing w:before="24"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25" w:type="dxa"/>
            <w:tcBorders>
              <w:top w:val="single" w:sz="4" w:space="0" w:color="auto"/>
              <w:left w:val="nil"/>
              <w:bottom w:val="single" w:sz="4" w:space="0" w:color="auto"/>
              <w:right w:val="nil"/>
            </w:tcBorders>
            <w:shd w:val="clear" w:color="auto" w:fill="auto"/>
            <w:hideMark/>
          </w:tcPr>
          <w:p w14:paraId="3E85B620" w14:textId="2B95F902" w:rsidR="00D317C4" w:rsidRPr="00D317C4" w:rsidRDefault="00D317C4" w:rsidP="00076707">
            <w:pPr>
              <w:spacing w:before="24" w:after="0" w:line="240" w:lineRule="auto"/>
              <w:jc w:val="right"/>
              <w:rPr>
                <w:rFonts w:ascii="Arial" w:hAnsi="Arial" w:cs="Arial"/>
                <w:b/>
                <w:bCs/>
                <w:sz w:val="16"/>
                <w:szCs w:val="16"/>
              </w:rPr>
            </w:pPr>
            <w:r>
              <w:rPr>
                <w:rFonts w:ascii="Arial" w:hAnsi="Arial" w:cs="Arial"/>
                <w:b/>
                <w:bCs/>
                <w:sz w:val="16"/>
                <w:szCs w:val="16"/>
              </w:rPr>
              <w:t>2022–</w:t>
            </w:r>
            <w:r w:rsidRPr="00D317C4">
              <w:rPr>
                <w:rFonts w:ascii="Arial" w:hAnsi="Arial" w:cs="Arial"/>
                <w:b/>
                <w:bCs/>
                <w:sz w:val="16"/>
                <w:szCs w:val="16"/>
              </w:rPr>
              <w:t>23</w:t>
            </w:r>
            <w:r w:rsidRPr="00D317C4">
              <w:rPr>
                <w:rFonts w:ascii="Arial" w:hAnsi="Arial" w:cs="Arial"/>
                <w:b/>
                <w:bCs/>
                <w:sz w:val="16"/>
                <w:szCs w:val="16"/>
              </w:rPr>
              <w:br/>
              <w:t>Actual</w:t>
            </w:r>
            <w:r w:rsidRPr="00D317C4">
              <w:rPr>
                <w:rFonts w:ascii="Arial" w:hAnsi="Arial" w:cs="Arial"/>
                <w:b/>
                <w:bCs/>
                <w:sz w:val="16"/>
                <w:szCs w:val="16"/>
              </w:rPr>
              <w:br/>
            </w:r>
            <w:r w:rsidRPr="00D317C4">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D9D9D9"/>
            <w:hideMark/>
          </w:tcPr>
          <w:p w14:paraId="2AA8BBAC" w14:textId="0B412E4C" w:rsidR="00D317C4" w:rsidRPr="00D317C4" w:rsidRDefault="00D317C4" w:rsidP="00076707">
            <w:pPr>
              <w:spacing w:before="24" w:after="0" w:line="240" w:lineRule="auto"/>
              <w:jc w:val="right"/>
              <w:rPr>
                <w:rFonts w:ascii="Arial" w:hAnsi="Arial" w:cs="Arial"/>
                <w:b/>
                <w:bCs/>
                <w:sz w:val="16"/>
                <w:szCs w:val="16"/>
              </w:rPr>
            </w:pPr>
            <w:r w:rsidRPr="00D317C4">
              <w:rPr>
                <w:rFonts w:ascii="Arial" w:hAnsi="Arial" w:cs="Arial"/>
                <w:b/>
                <w:bCs/>
                <w:sz w:val="16"/>
                <w:szCs w:val="16"/>
              </w:rPr>
              <w:t>2023</w:t>
            </w:r>
            <w:r>
              <w:rPr>
                <w:rFonts w:ascii="Arial" w:hAnsi="Arial" w:cs="Arial"/>
                <w:b/>
                <w:bCs/>
                <w:sz w:val="16"/>
                <w:szCs w:val="16"/>
              </w:rPr>
              <w:t>–</w:t>
            </w:r>
            <w:r w:rsidRPr="00D317C4">
              <w:rPr>
                <w:rFonts w:ascii="Arial" w:hAnsi="Arial" w:cs="Arial"/>
                <w:b/>
                <w:bCs/>
                <w:sz w:val="16"/>
                <w:szCs w:val="16"/>
              </w:rPr>
              <w:t>24</w:t>
            </w:r>
            <w:r w:rsidRPr="00D317C4">
              <w:rPr>
                <w:rFonts w:ascii="Arial" w:hAnsi="Arial" w:cs="Arial"/>
                <w:b/>
                <w:bCs/>
                <w:sz w:val="16"/>
                <w:szCs w:val="16"/>
              </w:rPr>
              <w:br/>
              <w:t>Revised</w:t>
            </w:r>
            <w:r w:rsidRPr="00D317C4">
              <w:rPr>
                <w:rFonts w:ascii="Arial" w:hAnsi="Arial" w:cs="Arial"/>
                <w:b/>
                <w:bCs/>
                <w:sz w:val="16"/>
                <w:szCs w:val="16"/>
              </w:rPr>
              <w:br/>
              <w:t>Budget</w:t>
            </w:r>
            <w:r w:rsidRPr="00D317C4">
              <w:rPr>
                <w:rFonts w:ascii="Arial" w:hAnsi="Arial" w:cs="Arial"/>
                <w:sz w:val="16"/>
                <w:szCs w:val="16"/>
              </w:rPr>
              <w:br/>
              <w:t>$'000</w:t>
            </w:r>
          </w:p>
        </w:tc>
        <w:tc>
          <w:tcPr>
            <w:tcW w:w="939" w:type="dxa"/>
            <w:tcBorders>
              <w:top w:val="single" w:sz="4" w:space="0" w:color="auto"/>
              <w:left w:val="nil"/>
              <w:bottom w:val="single" w:sz="4" w:space="0" w:color="auto"/>
              <w:right w:val="nil"/>
            </w:tcBorders>
            <w:shd w:val="clear" w:color="auto" w:fill="auto"/>
            <w:hideMark/>
          </w:tcPr>
          <w:p w14:paraId="26348B5B" w14:textId="4C7FD711" w:rsidR="00D317C4" w:rsidRPr="00D317C4" w:rsidRDefault="00D317C4" w:rsidP="00076707">
            <w:pPr>
              <w:spacing w:before="24" w:after="0" w:line="240" w:lineRule="auto"/>
              <w:jc w:val="right"/>
              <w:rPr>
                <w:rFonts w:ascii="Arial" w:hAnsi="Arial" w:cs="Arial"/>
                <w:b/>
                <w:bCs/>
                <w:sz w:val="16"/>
                <w:szCs w:val="16"/>
              </w:rPr>
            </w:pPr>
            <w:r>
              <w:rPr>
                <w:rFonts w:ascii="Arial" w:hAnsi="Arial" w:cs="Arial"/>
                <w:b/>
                <w:bCs/>
                <w:sz w:val="16"/>
                <w:szCs w:val="16"/>
              </w:rPr>
              <w:t>2024–</w:t>
            </w:r>
            <w:r w:rsidRPr="00D317C4">
              <w:rPr>
                <w:rFonts w:ascii="Arial" w:hAnsi="Arial" w:cs="Arial"/>
                <w:b/>
                <w:bCs/>
                <w:sz w:val="16"/>
                <w:szCs w:val="16"/>
              </w:rPr>
              <w:t>25 Forward Estimate</w:t>
            </w:r>
            <w:r w:rsidRPr="00D317C4">
              <w:rPr>
                <w:rFonts w:ascii="Arial" w:hAnsi="Arial" w:cs="Arial"/>
                <w:b/>
                <w:bCs/>
                <w:sz w:val="16"/>
                <w:szCs w:val="16"/>
              </w:rPr>
              <w:br/>
            </w:r>
            <w:r w:rsidRPr="00D317C4">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hideMark/>
          </w:tcPr>
          <w:p w14:paraId="48D2DBAE" w14:textId="6477E7BE" w:rsidR="00D317C4" w:rsidRPr="00D317C4" w:rsidRDefault="00D317C4" w:rsidP="00076707">
            <w:pPr>
              <w:spacing w:before="24" w:after="0" w:line="240" w:lineRule="auto"/>
              <w:jc w:val="right"/>
              <w:rPr>
                <w:rFonts w:ascii="Arial" w:hAnsi="Arial" w:cs="Arial"/>
                <w:b/>
                <w:bCs/>
                <w:sz w:val="16"/>
                <w:szCs w:val="16"/>
              </w:rPr>
            </w:pPr>
            <w:r>
              <w:rPr>
                <w:rFonts w:ascii="Arial" w:hAnsi="Arial" w:cs="Arial"/>
                <w:b/>
                <w:bCs/>
                <w:sz w:val="16"/>
                <w:szCs w:val="16"/>
              </w:rPr>
              <w:t>2025–</w:t>
            </w:r>
            <w:r w:rsidRPr="00D317C4">
              <w:rPr>
                <w:rFonts w:ascii="Arial" w:hAnsi="Arial" w:cs="Arial"/>
                <w:b/>
                <w:bCs/>
                <w:sz w:val="16"/>
                <w:szCs w:val="16"/>
              </w:rPr>
              <w:t>26 Forward Estimate</w:t>
            </w:r>
            <w:r w:rsidRPr="00D317C4">
              <w:rPr>
                <w:rFonts w:ascii="Arial" w:hAnsi="Arial" w:cs="Arial"/>
                <w:b/>
                <w:bCs/>
                <w:sz w:val="16"/>
                <w:szCs w:val="16"/>
              </w:rPr>
              <w:br/>
            </w:r>
            <w:r w:rsidRPr="00D317C4">
              <w:rPr>
                <w:rFonts w:ascii="Arial" w:hAnsi="Arial" w:cs="Arial"/>
                <w:sz w:val="16"/>
                <w:szCs w:val="16"/>
              </w:rPr>
              <w:t>$'000</w:t>
            </w:r>
          </w:p>
        </w:tc>
        <w:tc>
          <w:tcPr>
            <w:tcW w:w="939" w:type="dxa"/>
            <w:tcBorders>
              <w:top w:val="single" w:sz="4" w:space="0" w:color="auto"/>
              <w:left w:val="nil"/>
              <w:bottom w:val="single" w:sz="4" w:space="0" w:color="auto"/>
              <w:right w:val="nil"/>
            </w:tcBorders>
            <w:shd w:val="clear" w:color="auto" w:fill="auto"/>
            <w:hideMark/>
          </w:tcPr>
          <w:p w14:paraId="5C426FD6" w14:textId="7232BEBE" w:rsidR="00D317C4" w:rsidRPr="00D317C4" w:rsidRDefault="00D317C4" w:rsidP="00076707">
            <w:pPr>
              <w:spacing w:before="24" w:after="0" w:line="240" w:lineRule="auto"/>
              <w:jc w:val="right"/>
              <w:rPr>
                <w:rFonts w:ascii="Arial" w:hAnsi="Arial" w:cs="Arial"/>
                <w:b/>
                <w:bCs/>
                <w:sz w:val="16"/>
                <w:szCs w:val="16"/>
              </w:rPr>
            </w:pPr>
            <w:r w:rsidRPr="00D317C4">
              <w:rPr>
                <w:rFonts w:ascii="Arial" w:hAnsi="Arial" w:cs="Arial"/>
                <w:b/>
                <w:bCs/>
                <w:sz w:val="16"/>
                <w:szCs w:val="16"/>
              </w:rPr>
              <w:t>2026</w:t>
            </w:r>
            <w:r>
              <w:rPr>
                <w:rFonts w:ascii="Arial" w:hAnsi="Arial" w:cs="Arial"/>
                <w:b/>
                <w:bCs/>
                <w:sz w:val="16"/>
                <w:szCs w:val="16"/>
              </w:rPr>
              <w:t>–</w:t>
            </w:r>
            <w:r w:rsidRPr="00D317C4">
              <w:rPr>
                <w:rFonts w:ascii="Arial" w:hAnsi="Arial" w:cs="Arial"/>
                <w:b/>
                <w:bCs/>
                <w:sz w:val="16"/>
                <w:szCs w:val="16"/>
              </w:rPr>
              <w:t>27 Forward Estimate</w:t>
            </w:r>
            <w:r w:rsidRPr="00D317C4">
              <w:rPr>
                <w:rFonts w:ascii="Arial" w:hAnsi="Arial" w:cs="Arial"/>
                <w:b/>
                <w:bCs/>
                <w:sz w:val="16"/>
                <w:szCs w:val="16"/>
              </w:rPr>
              <w:br/>
            </w:r>
            <w:r w:rsidRPr="00D317C4">
              <w:rPr>
                <w:rFonts w:ascii="Arial" w:hAnsi="Arial" w:cs="Arial"/>
                <w:sz w:val="16"/>
                <w:szCs w:val="16"/>
              </w:rPr>
              <w:t>$'000</w:t>
            </w:r>
          </w:p>
        </w:tc>
      </w:tr>
      <w:tr w:rsidR="00D317C4" w:rsidRPr="00D317C4" w14:paraId="5454AC9B"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737B1FE6" w14:textId="77777777" w:rsidR="00D317C4" w:rsidRPr="00D317C4" w:rsidRDefault="00D317C4" w:rsidP="00D317C4">
            <w:pPr>
              <w:spacing w:before="0" w:after="0" w:line="240" w:lineRule="auto"/>
              <w:rPr>
                <w:rFonts w:ascii="Arial" w:hAnsi="Arial" w:cs="Arial"/>
                <w:b/>
                <w:bCs/>
                <w:color w:val="000000"/>
                <w:sz w:val="16"/>
                <w:szCs w:val="16"/>
              </w:rPr>
            </w:pPr>
            <w:r w:rsidRPr="00D317C4">
              <w:rPr>
                <w:rFonts w:ascii="Arial" w:hAnsi="Arial" w:cs="Arial"/>
                <w:b/>
                <w:bCs/>
                <w:color w:val="000000"/>
                <w:sz w:val="16"/>
                <w:szCs w:val="16"/>
              </w:rPr>
              <w:t>OPERATING ACTIVITIES</w:t>
            </w:r>
          </w:p>
        </w:tc>
        <w:tc>
          <w:tcPr>
            <w:tcW w:w="925" w:type="dxa"/>
            <w:tcBorders>
              <w:top w:val="single" w:sz="4" w:space="0" w:color="auto"/>
              <w:left w:val="nil"/>
              <w:bottom w:val="nil"/>
              <w:right w:val="nil"/>
            </w:tcBorders>
            <w:shd w:val="clear" w:color="auto" w:fill="auto"/>
            <w:noWrap/>
            <w:vAlign w:val="bottom"/>
            <w:hideMark/>
          </w:tcPr>
          <w:p w14:paraId="5583BEF4"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35" w:type="dxa"/>
            <w:tcBorders>
              <w:top w:val="single" w:sz="4" w:space="0" w:color="auto"/>
              <w:left w:val="nil"/>
              <w:bottom w:val="nil"/>
              <w:right w:val="nil"/>
            </w:tcBorders>
            <w:shd w:val="clear" w:color="000000" w:fill="D9D9D9"/>
            <w:noWrap/>
            <w:vAlign w:val="bottom"/>
            <w:hideMark/>
          </w:tcPr>
          <w:p w14:paraId="3A416EFB"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39" w:type="dxa"/>
            <w:tcBorders>
              <w:top w:val="single" w:sz="4" w:space="0" w:color="auto"/>
              <w:left w:val="nil"/>
              <w:bottom w:val="nil"/>
              <w:right w:val="nil"/>
            </w:tcBorders>
            <w:shd w:val="clear" w:color="auto" w:fill="auto"/>
            <w:noWrap/>
            <w:vAlign w:val="bottom"/>
            <w:hideMark/>
          </w:tcPr>
          <w:p w14:paraId="7B4B72F0"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39" w:type="dxa"/>
            <w:tcBorders>
              <w:top w:val="single" w:sz="4" w:space="0" w:color="auto"/>
              <w:left w:val="nil"/>
              <w:bottom w:val="nil"/>
              <w:right w:val="nil"/>
            </w:tcBorders>
            <w:shd w:val="clear" w:color="auto" w:fill="auto"/>
            <w:noWrap/>
            <w:vAlign w:val="bottom"/>
            <w:hideMark/>
          </w:tcPr>
          <w:p w14:paraId="188566A3"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39" w:type="dxa"/>
            <w:tcBorders>
              <w:top w:val="single" w:sz="4" w:space="0" w:color="auto"/>
              <w:left w:val="nil"/>
              <w:bottom w:val="nil"/>
              <w:right w:val="nil"/>
            </w:tcBorders>
            <w:shd w:val="clear" w:color="auto" w:fill="auto"/>
            <w:noWrap/>
            <w:vAlign w:val="bottom"/>
            <w:hideMark/>
          </w:tcPr>
          <w:p w14:paraId="50BF4205"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r>
      <w:tr w:rsidR="00D317C4" w:rsidRPr="00D317C4" w14:paraId="3DD51195"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4F6E9AA3"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Cash received</w:t>
            </w:r>
          </w:p>
        </w:tc>
        <w:tc>
          <w:tcPr>
            <w:tcW w:w="925" w:type="dxa"/>
            <w:tcBorders>
              <w:top w:val="nil"/>
              <w:left w:val="nil"/>
              <w:bottom w:val="nil"/>
              <w:right w:val="nil"/>
            </w:tcBorders>
            <w:shd w:val="clear" w:color="auto" w:fill="auto"/>
            <w:noWrap/>
            <w:vAlign w:val="bottom"/>
            <w:hideMark/>
          </w:tcPr>
          <w:p w14:paraId="612F415F" w14:textId="77777777" w:rsidR="00D317C4" w:rsidRPr="00D317C4" w:rsidRDefault="00D317C4" w:rsidP="00D317C4">
            <w:pPr>
              <w:spacing w:before="0" w:after="0" w:line="240" w:lineRule="auto"/>
              <w:ind w:firstLineChars="100" w:firstLine="161"/>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6CEBB166"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w:t>
            </w:r>
          </w:p>
        </w:tc>
        <w:tc>
          <w:tcPr>
            <w:tcW w:w="939" w:type="dxa"/>
            <w:tcBorders>
              <w:top w:val="nil"/>
              <w:left w:val="nil"/>
              <w:bottom w:val="nil"/>
              <w:right w:val="nil"/>
            </w:tcBorders>
            <w:shd w:val="clear" w:color="auto" w:fill="auto"/>
            <w:noWrap/>
            <w:vAlign w:val="bottom"/>
            <w:hideMark/>
          </w:tcPr>
          <w:p w14:paraId="290198BB" w14:textId="77777777" w:rsidR="00D317C4" w:rsidRPr="00D317C4" w:rsidRDefault="00D317C4" w:rsidP="00D317C4">
            <w:pPr>
              <w:spacing w:before="0" w:after="0" w:line="240" w:lineRule="auto"/>
              <w:jc w:val="right"/>
              <w:rPr>
                <w:rFonts w:ascii="Arial" w:hAnsi="Arial" w:cs="Arial"/>
                <w:color w:val="000000"/>
                <w:sz w:val="16"/>
                <w:szCs w:val="16"/>
              </w:rPr>
            </w:pPr>
          </w:p>
        </w:tc>
        <w:tc>
          <w:tcPr>
            <w:tcW w:w="939" w:type="dxa"/>
            <w:tcBorders>
              <w:top w:val="nil"/>
              <w:left w:val="nil"/>
              <w:bottom w:val="nil"/>
              <w:right w:val="nil"/>
            </w:tcBorders>
            <w:shd w:val="clear" w:color="auto" w:fill="auto"/>
            <w:noWrap/>
            <w:vAlign w:val="bottom"/>
            <w:hideMark/>
          </w:tcPr>
          <w:p w14:paraId="3D4D0F62"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053E716"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10FF7501"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32104BC2" w14:textId="77777777" w:rsidR="00D317C4" w:rsidRPr="00D317C4" w:rsidRDefault="00D317C4" w:rsidP="00D317C4">
            <w:pPr>
              <w:spacing w:before="0" w:after="0" w:line="240" w:lineRule="auto"/>
              <w:ind w:firstLineChars="200" w:firstLine="320"/>
              <w:rPr>
                <w:rFonts w:ascii="Arial" w:hAnsi="Arial" w:cs="Arial"/>
                <w:color w:val="000000"/>
                <w:sz w:val="16"/>
                <w:szCs w:val="16"/>
              </w:rPr>
            </w:pPr>
            <w:r w:rsidRPr="00D317C4">
              <w:rPr>
                <w:rFonts w:ascii="Arial" w:hAnsi="Arial" w:cs="Arial"/>
                <w:color w:val="000000"/>
                <w:sz w:val="16"/>
                <w:szCs w:val="16"/>
              </w:rPr>
              <w:t>Appropriations</w:t>
            </w:r>
          </w:p>
        </w:tc>
        <w:tc>
          <w:tcPr>
            <w:tcW w:w="925" w:type="dxa"/>
            <w:tcBorders>
              <w:top w:val="nil"/>
              <w:left w:val="nil"/>
              <w:bottom w:val="nil"/>
              <w:right w:val="nil"/>
            </w:tcBorders>
            <w:shd w:val="clear" w:color="auto" w:fill="auto"/>
            <w:noWrap/>
            <w:vAlign w:val="bottom"/>
            <w:hideMark/>
          </w:tcPr>
          <w:p w14:paraId="36372805"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6,016</w:t>
            </w:r>
          </w:p>
        </w:tc>
        <w:tc>
          <w:tcPr>
            <w:tcW w:w="935" w:type="dxa"/>
            <w:tcBorders>
              <w:top w:val="nil"/>
              <w:left w:val="nil"/>
              <w:bottom w:val="nil"/>
              <w:right w:val="nil"/>
            </w:tcBorders>
            <w:shd w:val="clear" w:color="000000" w:fill="D9D9D9"/>
            <w:noWrap/>
            <w:vAlign w:val="bottom"/>
            <w:hideMark/>
          </w:tcPr>
          <w:p w14:paraId="7D0719C9"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8,765</w:t>
            </w:r>
          </w:p>
        </w:tc>
        <w:tc>
          <w:tcPr>
            <w:tcW w:w="939" w:type="dxa"/>
            <w:tcBorders>
              <w:top w:val="nil"/>
              <w:left w:val="nil"/>
              <w:bottom w:val="nil"/>
              <w:right w:val="nil"/>
            </w:tcBorders>
            <w:shd w:val="clear" w:color="auto" w:fill="auto"/>
            <w:noWrap/>
            <w:vAlign w:val="bottom"/>
            <w:hideMark/>
          </w:tcPr>
          <w:p w14:paraId="14752949"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6,920</w:t>
            </w:r>
          </w:p>
        </w:tc>
        <w:tc>
          <w:tcPr>
            <w:tcW w:w="939" w:type="dxa"/>
            <w:tcBorders>
              <w:top w:val="nil"/>
              <w:left w:val="nil"/>
              <w:bottom w:val="nil"/>
              <w:right w:val="nil"/>
            </w:tcBorders>
            <w:shd w:val="clear" w:color="auto" w:fill="auto"/>
            <w:noWrap/>
            <w:vAlign w:val="bottom"/>
            <w:hideMark/>
          </w:tcPr>
          <w:p w14:paraId="6DBD9355"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7,021</w:t>
            </w:r>
          </w:p>
        </w:tc>
        <w:tc>
          <w:tcPr>
            <w:tcW w:w="939" w:type="dxa"/>
            <w:tcBorders>
              <w:top w:val="nil"/>
              <w:left w:val="nil"/>
              <w:bottom w:val="nil"/>
              <w:right w:val="nil"/>
            </w:tcBorders>
            <w:shd w:val="clear" w:color="auto" w:fill="auto"/>
            <w:noWrap/>
            <w:vAlign w:val="bottom"/>
            <w:hideMark/>
          </w:tcPr>
          <w:p w14:paraId="1CCA1E77"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7,160</w:t>
            </w:r>
          </w:p>
        </w:tc>
      </w:tr>
      <w:tr w:rsidR="00D317C4" w:rsidRPr="00D317C4" w14:paraId="0AB2DACC"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33385C90" w14:textId="77777777" w:rsidR="00D317C4" w:rsidRPr="00D317C4" w:rsidRDefault="00D317C4" w:rsidP="00D317C4">
            <w:pPr>
              <w:spacing w:before="0" w:after="0" w:line="240" w:lineRule="auto"/>
              <w:ind w:firstLineChars="200" w:firstLine="320"/>
              <w:rPr>
                <w:rFonts w:ascii="Arial" w:hAnsi="Arial" w:cs="Arial"/>
                <w:color w:val="000000"/>
                <w:sz w:val="16"/>
                <w:szCs w:val="16"/>
              </w:rPr>
            </w:pPr>
            <w:r w:rsidRPr="00D317C4">
              <w:rPr>
                <w:rFonts w:ascii="Arial" w:hAnsi="Arial" w:cs="Arial"/>
                <w:color w:val="000000"/>
                <w:sz w:val="16"/>
                <w:szCs w:val="16"/>
              </w:rPr>
              <w:t>Net GST received</w:t>
            </w:r>
          </w:p>
        </w:tc>
        <w:tc>
          <w:tcPr>
            <w:tcW w:w="925" w:type="dxa"/>
            <w:tcBorders>
              <w:top w:val="nil"/>
              <w:left w:val="nil"/>
              <w:bottom w:val="nil"/>
              <w:right w:val="nil"/>
            </w:tcBorders>
            <w:shd w:val="clear" w:color="auto" w:fill="auto"/>
            <w:noWrap/>
            <w:vAlign w:val="bottom"/>
            <w:hideMark/>
          </w:tcPr>
          <w:p w14:paraId="1443D8CE"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110</w:t>
            </w:r>
          </w:p>
        </w:tc>
        <w:tc>
          <w:tcPr>
            <w:tcW w:w="935" w:type="dxa"/>
            <w:tcBorders>
              <w:top w:val="nil"/>
              <w:left w:val="nil"/>
              <w:bottom w:val="nil"/>
              <w:right w:val="nil"/>
            </w:tcBorders>
            <w:shd w:val="clear" w:color="000000" w:fill="D9D9D9"/>
            <w:noWrap/>
            <w:vAlign w:val="bottom"/>
            <w:hideMark/>
          </w:tcPr>
          <w:p w14:paraId="09E11E2C"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165</w:t>
            </w:r>
          </w:p>
        </w:tc>
        <w:tc>
          <w:tcPr>
            <w:tcW w:w="939" w:type="dxa"/>
            <w:tcBorders>
              <w:top w:val="nil"/>
              <w:left w:val="nil"/>
              <w:bottom w:val="nil"/>
              <w:right w:val="nil"/>
            </w:tcBorders>
            <w:shd w:val="clear" w:color="auto" w:fill="auto"/>
            <w:noWrap/>
            <w:vAlign w:val="bottom"/>
            <w:hideMark/>
          </w:tcPr>
          <w:p w14:paraId="1C4F2E77"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200</w:t>
            </w:r>
          </w:p>
        </w:tc>
        <w:tc>
          <w:tcPr>
            <w:tcW w:w="939" w:type="dxa"/>
            <w:tcBorders>
              <w:top w:val="nil"/>
              <w:left w:val="nil"/>
              <w:bottom w:val="nil"/>
              <w:right w:val="nil"/>
            </w:tcBorders>
            <w:shd w:val="clear" w:color="auto" w:fill="auto"/>
            <w:noWrap/>
            <w:vAlign w:val="bottom"/>
            <w:hideMark/>
          </w:tcPr>
          <w:p w14:paraId="24B652B7"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200</w:t>
            </w:r>
          </w:p>
        </w:tc>
        <w:tc>
          <w:tcPr>
            <w:tcW w:w="939" w:type="dxa"/>
            <w:tcBorders>
              <w:top w:val="nil"/>
              <w:left w:val="nil"/>
              <w:bottom w:val="nil"/>
              <w:right w:val="nil"/>
            </w:tcBorders>
            <w:shd w:val="clear" w:color="auto" w:fill="auto"/>
            <w:noWrap/>
            <w:vAlign w:val="bottom"/>
            <w:hideMark/>
          </w:tcPr>
          <w:p w14:paraId="018FF4E6"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200</w:t>
            </w:r>
          </w:p>
        </w:tc>
      </w:tr>
      <w:tr w:rsidR="00D317C4" w:rsidRPr="00D317C4" w14:paraId="6B5F4481"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0A808347" w14:textId="77777777" w:rsidR="00D317C4" w:rsidRPr="00D317C4" w:rsidRDefault="00D317C4" w:rsidP="00D317C4">
            <w:pPr>
              <w:spacing w:before="0" w:after="0" w:line="240" w:lineRule="auto"/>
              <w:ind w:firstLineChars="200" w:firstLine="320"/>
              <w:rPr>
                <w:rFonts w:ascii="Arial" w:hAnsi="Arial" w:cs="Arial"/>
                <w:color w:val="000000"/>
                <w:sz w:val="16"/>
                <w:szCs w:val="16"/>
              </w:rPr>
            </w:pPr>
            <w:r w:rsidRPr="00D317C4">
              <w:rPr>
                <w:rFonts w:ascii="Arial" w:hAnsi="Arial" w:cs="Arial"/>
                <w:color w:val="000000"/>
                <w:sz w:val="16"/>
                <w:szCs w:val="16"/>
              </w:rPr>
              <w:t>Section 74 Receipts</w:t>
            </w:r>
          </w:p>
        </w:tc>
        <w:tc>
          <w:tcPr>
            <w:tcW w:w="925" w:type="dxa"/>
            <w:tcBorders>
              <w:top w:val="nil"/>
              <w:left w:val="nil"/>
              <w:bottom w:val="nil"/>
              <w:right w:val="nil"/>
            </w:tcBorders>
            <w:shd w:val="clear" w:color="auto" w:fill="auto"/>
            <w:noWrap/>
            <w:vAlign w:val="bottom"/>
            <w:hideMark/>
          </w:tcPr>
          <w:p w14:paraId="7F38FE7D"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149</w:t>
            </w:r>
          </w:p>
        </w:tc>
        <w:tc>
          <w:tcPr>
            <w:tcW w:w="935" w:type="dxa"/>
            <w:tcBorders>
              <w:top w:val="nil"/>
              <w:left w:val="nil"/>
              <w:bottom w:val="nil"/>
              <w:right w:val="nil"/>
            </w:tcBorders>
            <w:shd w:val="clear" w:color="000000" w:fill="D9D9D9"/>
            <w:noWrap/>
            <w:vAlign w:val="bottom"/>
            <w:hideMark/>
          </w:tcPr>
          <w:p w14:paraId="4887F2BD"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22781F7E"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755CEEA6"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w:t>
            </w:r>
          </w:p>
        </w:tc>
        <w:tc>
          <w:tcPr>
            <w:tcW w:w="939" w:type="dxa"/>
            <w:tcBorders>
              <w:top w:val="nil"/>
              <w:left w:val="nil"/>
              <w:bottom w:val="nil"/>
              <w:right w:val="nil"/>
            </w:tcBorders>
            <w:shd w:val="clear" w:color="auto" w:fill="auto"/>
            <w:noWrap/>
            <w:vAlign w:val="bottom"/>
            <w:hideMark/>
          </w:tcPr>
          <w:p w14:paraId="093C5A42"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w:t>
            </w:r>
          </w:p>
        </w:tc>
      </w:tr>
      <w:tr w:rsidR="00D317C4" w:rsidRPr="00D317C4" w14:paraId="061AA743"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40D40159" w14:textId="77777777" w:rsidR="00D317C4" w:rsidRPr="00D317C4" w:rsidRDefault="00D317C4" w:rsidP="00D317C4">
            <w:pPr>
              <w:spacing w:before="0" w:after="0" w:line="240" w:lineRule="auto"/>
              <w:ind w:firstLineChars="200" w:firstLine="321"/>
              <w:rPr>
                <w:rFonts w:ascii="Arial" w:hAnsi="Arial" w:cs="Arial"/>
                <w:b/>
                <w:bCs/>
                <w:color w:val="000000"/>
                <w:sz w:val="16"/>
                <w:szCs w:val="16"/>
              </w:rPr>
            </w:pPr>
            <w:r w:rsidRPr="00D317C4">
              <w:rPr>
                <w:rFonts w:ascii="Arial" w:hAnsi="Arial" w:cs="Arial"/>
                <w:b/>
                <w:bCs/>
                <w:color w:val="000000"/>
                <w:sz w:val="16"/>
                <w:szCs w:val="16"/>
              </w:rPr>
              <w:t>Total cash received</w:t>
            </w:r>
          </w:p>
        </w:tc>
        <w:tc>
          <w:tcPr>
            <w:tcW w:w="925" w:type="dxa"/>
            <w:tcBorders>
              <w:top w:val="nil"/>
              <w:left w:val="nil"/>
              <w:bottom w:val="single" w:sz="4" w:space="0" w:color="auto"/>
              <w:right w:val="nil"/>
            </w:tcBorders>
            <w:shd w:val="clear" w:color="auto" w:fill="auto"/>
            <w:noWrap/>
            <w:vAlign w:val="bottom"/>
            <w:hideMark/>
          </w:tcPr>
          <w:p w14:paraId="2044902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6,275</w:t>
            </w:r>
          </w:p>
        </w:tc>
        <w:tc>
          <w:tcPr>
            <w:tcW w:w="935" w:type="dxa"/>
            <w:tcBorders>
              <w:top w:val="nil"/>
              <w:left w:val="nil"/>
              <w:bottom w:val="single" w:sz="4" w:space="0" w:color="auto"/>
              <w:right w:val="nil"/>
            </w:tcBorders>
            <w:shd w:val="clear" w:color="000000" w:fill="D9D9D9"/>
            <w:noWrap/>
            <w:vAlign w:val="bottom"/>
            <w:hideMark/>
          </w:tcPr>
          <w:p w14:paraId="015B9D7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8,930</w:t>
            </w:r>
          </w:p>
        </w:tc>
        <w:tc>
          <w:tcPr>
            <w:tcW w:w="939" w:type="dxa"/>
            <w:tcBorders>
              <w:top w:val="nil"/>
              <w:left w:val="nil"/>
              <w:bottom w:val="single" w:sz="4" w:space="0" w:color="auto"/>
              <w:right w:val="nil"/>
            </w:tcBorders>
            <w:shd w:val="clear" w:color="auto" w:fill="auto"/>
            <w:noWrap/>
            <w:vAlign w:val="bottom"/>
            <w:hideMark/>
          </w:tcPr>
          <w:p w14:paraId="32B56C0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7,120</w:t>
            </w:r>
          </w:p>
        </w:tc>
        <w:tc>
          <w:tcPr>
            <w:tcW w:w="939" w:type="dxa"/>
            <w:tcBorders>
              <w:top w:val="nil"/>
              <w:left w:val="nil"/>
              <w:bottom w:val="single" w:sz="4" w:space="0" w:color="auto"/>
              <w:right w:val="nil"/>
            </w:tcBorders>
            <w:shd w:val="clear" w:color="auto" w:fill="auto"/>
            <w:noWrap/>
            <w:vAlign w:val="bottom"/>
            <w:hideMark/>
          </w:tcPr>
          <w:p w14:paraId="74FEE592"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7,221</w:t>
            </w:r>
          </w:p>
        </w:tc>
        <w:tc>
          <w:tcPr>
            <w:tcW w:w="939" w:type="dxa"/>
            <w:tcBorders>
              <w:top w:val="nil"/>
              <w:left w:val="nil"/>
              <w:bottom w:val="single" w:sz="4" w:space="0" w:color="auto"/>
              <w:right w:val="nil"/>
            </w:tcBorders>
            <w:shd w:val="clear" w:color="auto" w:fill="auto"/>
            <w:noWrap/>
            <w:vAlign w:val="bottom"/>
            <w:hideMark/>
          </w:tcPr>
          <w:p w14:paraId="71B9F5E1"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7,360</w:t>
            </w:r>
          </w:p>
        </w:tc>
      </w:tr>
      <w:tr w:rsidR="00D317C4" w:rsidRPr="00D317C4" w14:paraId="7357EE58" w14:textId="77777777" w:rsidTr="00612DBE">
        <w:trPr>
          <w:trHeight w:val="283"/>
          <w:jc w:val="center"/>
        </w:trPr>
        <w:tc>
          <w:tcPr>
            <w:tcW w:w="3203" w:type="dxa"/>
            <w:tcBorders>
              <w:top w:val="nil"/>
              <w:left w:val="nil"/>
              <w:bottom w:val="nil"/>
              <w:right w:val="nil"/>
            </w:tcBorders>
            <w:shd w:val="clear" w:color="auto" w:fill="auto"/>
            <w:noWrap/>
            <w:vAlign w:val="bottom"/>
            <w:hideMark/>
          </w:tcPr>
          <w:p w14:paraId="478F65D1"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Cash used</w:t>
            </w:r>
          </w:p>
        </w:tc>
        <w:tc>
          <w:tcPr>
            <w:tcW w:w="925" w:type="dxa"/>
            <w:tcBorders>
              <w:top w:val="nil"/>
              <w:left w:val="nil"/>
              <w:bottom w:val="nil"/>
              <w:right w:val="nil"/>
            </w:tcBorders>
            <w:shd w:val="clear" w:color="auto" w:fill="auto"/>
            <w:noWrap/>
            <w:vAlign w:val="bottom"/>
            <w:hideMark/>
          </w:tcPr>
          <w:p w14:paraId="6341F0C5" w14:textId="77777777" w:rsidR="00D317C4" w:rsidRPr="00D317C4" w:rsidRDefault="00D317C4" w:rsidP="00D317C4">
            <w:pPr>
              <w:spacing w:before="0" w:after="0" w:line="240" w:lineRule="auto"/>
              <w:ind w:firstLineChars="100" w:firstLine="161"/>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73BE9A58"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72340792"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51135191"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6D2D064F"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694D4EB7"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0F5FAAAC"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Employees</w:t>
            </w:r>
          </w:p>
        </w:tc>
        <w:tc>
          <w:tcPr>
            <w:tcW w:w="925" w:type="dxa"/>
            <w:tcBorders>
              <w:top w:val="nil"/>
              <w:left w:val="nil"/>
              <w:bottom w:val="nil"/>
              <w:right w:val="nil"/>
            </w:tcBorders>
            <w:shd w:val="clear" w:color="auto" w:fill="auto"/>
            <w:noWrap/>
            <w:vAlign w:val="bottom"/>
            <w:hideMark/>
          </w:tcPr>
          <w:p w14:paraId="64232FF8"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4,715 </w:t>
            </w:r>
          </w:p>
        </w:tc>
        <w:tc>
          <w:tcPr>
            <w:tcW w:w="935" w:type="dxa"/>
            <w:tcBorders>
              <w:top w:val="nil"/>
              <w:left w:val="nil"/>
              <w:bottom w:val="nil"/>
              <w:right w:val="nil"/>
            </w:tcBorders>
            <w:shd w:val="clear" w:color="000000" w:fill="D9D9D9"/>
            <w:noWrap/>
            <w:vAlign w:val="bottom"/>
            <w:hideMark/>
          </w:tcPr>
          <w:p w14:paraId="34F432BB"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5,656 </w:t>
            </w:r>
          </w:p>
        </w:tc>
        <w:tc>
          <w:tcPr>
            <w:tcW w:w="939" w:type="dxa"/>
            <w:tcBorders>
              <w:top w:val="nil"/>
              <w:left w:val="nil"/>
              <w:bottom w:val="nil"/>
              <w:right w:val="nil"/>
            </w:tcBorders>
            <w:shd w:val="clear" w:color="auto" w:fill="auto"/>
            <w:noWrap/>
            <w:vAlign w:val="bottom"/>
            <w:hideMark/>
          </w:tcPr>
          <w:p w14:paraId="174B1085"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5,776 </w:t>
            </w:r>
          </w:p>
        </w:tc>
        <w:tc>
          <w:tcPr>
            <w:tcW w:w="939" w:type="dxa"/>
            <w:tcBorders>
              <w:top w:val="nil"/>
              <w:left w:val="nil"/>
              <w:bottom w:val="nil"/>
              <w:right w:val="nil"/>
            </w:tcBorders>
            <w:shd w:val="clear" w:color="auto" w:fill="auto"/>
            <w:noWrap/>
            <w:vAlign w:val="bottom"/>
            <w:hideMark/>
          </w:tcPr>
          <w:p w14:paraId="35C576F7"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5,835 </w:t>
            </w:r>
          </w:p>
        </w:tc>
        <w:tc>
          <w:tcPr>
            <w:tcW w:w="939" w:type="dxa"/>
            <w:tcBorders>
              <w:top w:val="nil"/>
              <w:left w:val="nil"/>
              <w:bottom w:val="nil"/>
              <w:right w:val="nil"/>
            </w:tcBorders>
            <w:shd w:val="clear" w:color="auto" w:fill="auto"/>
            <w:noWrap/>
            <w:vAlign w:val="bottom"/>
            <w:hideMark/>
          </w:tcPr>
          <w:p w14:paraId="7371A17E"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5,953 </w:t>
            </w:r>
          </w:p>
        </w:tc>
      </w:tr>
      <w:tr w:rsidR="00D317C4" w:rsidRPr="00D317C4" w14:paraId="3A7AE9C8"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55D1AAB4"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Suppliers</w:t>
            </w:r>
          </w:p>
        </w:tc>
        <w:tc>
          <w:tcPr>
            <w:tcW w:w="925" w:type="dxa"/>
            <w:tcBorders>
              <w:top w:val="nil"/>
              <w:left w:val="nil"/>
              <w:bottom w:val="nil"/>
              <w:right w:val="nil"/>
            </w:tcBorders>
            <w:shd w:val="clear" w:color="auto" w:fill="auto"/>
            <w:noWrap/>
            <w:vAlign w:val="bottom"/>
            <w:hideMark/>
          </w:tcPr>
          <w:p w14:paraId="678EAEA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964 </w:t>
            </w:r>
          </w:p>
        </w:tc>
        <w:tc>
          <w:tcPr>
            <w:tcW w:w="935" w:type="dxa"/>
            <w:tcBorders>
              <w:top w:val="nil"/>
              <w:left w:val="nil"/>
              <w:bottom w:val="nil"/>
              <w:right w:val="nil"/>
            </w:tcBorders>
            <w:shd w:val="clear" w:color="000000" w:fill="D9D9D9"/>
            <w:noWrap/>
            <w:vAlign w:val="bottom"/>
            <w:hideMark/>
          </w:tcPr>
          <w:p w14:paraId="67CE3E43"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819 </w:t>
            </w:r>
          </w:p>
        </w:tc>
        <w:tc>
          <w:tcPr>
            <w:tcW w:w="939" w:type="dxa"/>
            <w:tcBorders>
              <w:top w:val="nil"/>
              <w:left w:val="nil"/>
              <w:bottom w:val="nil"/>
              <w:right w:val="nil"/>
            </w:tcBorders>
            <w:shd w:val="clear" w:color="auto" w:fill="auto"/>
            <w:noWrap/>
            <w:vAlign w:val="bottom"/>
            <w:hideMark/>
          </w:tcPr>
          <w:p w14:paraId="6E37802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828 </w:t>
            </w:r>
          </w:p>
        </w:tc>
        <w:tc>
          <w:tcPr>
            <w:tcW w:w="939" w:type="dxa"/>
            <w:tcBorders>
              <w:top w:val="nil"/>
              <w:left w:val="nil"/>
              <w:bottom w:val="nil"/>
              <w:right w:val="nil"/>
            </w:tcBorders>
            <w:shd w:val="clear" w:color="auto" w:fill="auto"/>
            <w:noWrap/>
            <w:vAlign w:val="bottom"/>
            <w:hideMark/>
          </w:tcPr>
          <w:p w14:paraId="623B727D"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860 </w:t>
            </w:r>
          </w:p>
        </w:tc>
        <w:tc>
          <w:tcPr>
            <w:tcW w:w="939" w:type="dxa"/>
            <w:tcBorders>
              <w:top w:val="nil"/>
              <w:left w:val="nil"/>
              <w:bottom w:val="nil"/>
              <w:right w:val="nil"/>
            </w:tcBorders>
            <w:shd w:val="clear" w:color="auto" w:fill="auto"/>
            <w:noWrap/>
            <w:vAlign w:val="bottom"/>
            <w:hideMark/>
          </w:tcPr>
          <w:p w14:paraId="1DA41308"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869 </w:t>
            </w:r>
          </w:p>
        </w:tc>
      </w:tr>
      <w:tr w:rsidR="00D317C4" w:rsidRPr="00D317C4" w14:paraId="0E99464E"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18676943"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Interest payments on lease liability</w:t>
            </w:r>
          </w:p>
        </w:tc>
        <w:tc>
          <w:tcPr>
            <w:tcW w:w="925" w:type="dxa"/>
            <w:tcBorders>
              <w:top w:val="nil"/>
              <w:left w:val="nil"/>
              <w:bottom w:val="nil"/>
              <w:right w:val="nil"/>
            </w:tcBorders>
            <w:shd w:val="clear" w:color="auto" w:fill="auto"/>
            <w:noWrap/>
            <w:vAlign w:val="bottom"/>
            <w:hideMark/>
          </w:tcPr>
          <w:p w14:paraId="523DED6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3 </w:t>
            </w:r>
          </w:p>
        </w:tc>
        <w:tc>
          <w:tcPr>
            <w:tcW w:w="935" w:type="dxa"/>
            <w:tcBorders>
              <w:top w:val="nil"/>
              <w:left w:val="nil"/>
              <w:bottom w:val="nil"/>
              <w:right w:val="nil"/>
            </w:tcBorders>
            <w:shd w:val="clear" w:color="000000" w:fill="D9D9D9"/>
            <w:noWrap/>
            <w:vAlign w:val="bottom"/>
            <w:hideMark/>
          </w:tcPr>
          <w:p w14:paraId="2CC88B5D"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45 </w:t>
            </w:r>
          </w:p>
        </w:tc>
        <w:tc>
          <w:tcPr>
            <w:tcW w:w="939" w:type="dxa"/>
            <w:tcBorders>
              <w:top w:val="nil"/>
              <w:left w:val="nil"/>
              <w:bottom w:val="nil"/>
              <w:right w:val="nil"/>
            </w:tcBorders>
            <w:shd w:val="clear" w:color="auto" w:fill="auto"/>
            <w:noWrap/>
            <w:vAlign w:val="bottom"/>
            <w:hideMark/>
          </w:tcPr>
          <w:p w14:paraId="2497428F"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70 </w:t>
            </w:r>
          </w:p>
        </w:tc>
        <w:tc>
          <w:tcPr>
            <w:tcW w:w="939" w:type="dxa"/>
            <w:tcBorders>
              <w:top w:val="nil"/>
              <w:left w:val="nil"/>
              <w:bottom w:val="nil"/>
              <w:right w:val="nil"/>
            </w:tcBorders>
            <w:shd w:val="clear" w:color="auto" w:fill="auto"/>
            <w:noWrap/>
            <w:vAlign w:val="bottom"/>
            <w:hideMark/>
          </w:tcPr>
          <w:p w14:paraId="59E11E45"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60 </w:t>
            </w:r>
          </w:p>
        </w:tc>
        <w:tc>
          <w:tcPr>
            <w:tcW w:w="939" w:type="dxa"/>
            <w:tcBorders>
              <w:top w:val="nil"/>
              <w:left w:val="nil"/>
              <w:bottom w:val="nil"/>
              <w:right w:val="nil"/>
            </w:tcBorders>
            <w:shd w:val="clear" w:color="auto" w:fill="auto"/>
            <w:noWrap/>
            <w:vAlign w:val="bottom"/>
            <w:hideMark/>
          </w:tcPr>
          <w:p w14:paraId="2C53315B"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50 </w:t>
            </w:r>
          </w:p>
        </w:tc>
      </w:tr>
      <w:tr w:rsidR="00D317C4" w:rsidRPr="00D317C4" w14:paraId="7EA734DA"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292AD470"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GST paid</w:t>
            </w:r>
          </w:p>
        </w:tc>
        <w:tc>
          <w:tcPr>
            <w:tcW w:w="925" w:type="dxa"/>
            <w:tcBorders>
              <w:top w:val="nil"/>
              <w:left w:val="nil"/>
              <w:bottom w:val="nil"/>
              <w:right w:val="nil"/>
            </w:tcBorders>
            <w:shd w:val="clear" w:color="auto" w:fill="auto"/>
            <w:noWrap/>
            <w:vAlign w:val="bottom"/>
            <w:hideMark/>
          </w:tcPr>
          <w:p w14:paraId="6B2485B5"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5" w:type="dxa"/>
            <w:tcBorders>
              <w:top w:val="nil"/>
              <w:left w:val="nil"/>
              <w:bottom w:val="nil"/>
              <w:right w:val="nil"/>
            </w:tcBorders>
            <w:shd w:val="clear" w:color="000000" w:fill="D9D9D9"/>
            <w:noWrap/>
            <w:vAlign w:val="bottom"/>
            <w:hideMark/>
          </w:tcPr>
          <w:p w14:paraId="732A535B"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165 </w:t>
            </w:r>
          </w:p>
        </w:tc>
        <w:tc>
          <w:tcPr>
            <w:tcW w:w="939" w:type="dxa"/>
            <w:tcBorders>
              <w:top w:val="nil"/>
              <w:left w:val="nil"/>
              <w:bottom w:val="nil"/>
              <w:right w:val="nil"/>
            </w:tcBorders>
            <w:shd w:val="clear" w:color="auto" w:fill="auto"/>
            <w:noWrap/>
            <w:vAlign w:val="bottom"/>
            <w:hideMark/>
          </w:tcPr>
          <w:p w14:paraId="39CCCBC3"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200 </w:t>
            </w:r>
          </w:p>
        </w:tc>
        <w:tc>
          <w:tcPr>
            <w:tcW w:w="939" w:type="dxa"/>
            <w:tcBorders>
              <w:top w:val="nil"/>
              <w:left w:val="nil"/>
              <w:bottom w:val="nil"/>
              <w:right w:val="nil"/>
            </w:tcBorders>
            <w:shd w:val="clear" w:color="auto" w:fill="auto"/>
            <w:noWrap/>
            <w:vAlign w:val="bottom"/>
            <w:hideMark/>
          </w:tcPr>
          <w:p w14:paraId="00B1BB8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200 </w:t>
            </w:r>
          </w:p>
        </w:tc>
        <w:tc>
          <w:tcPr>
            <w:tcW w:w="939" w:type="dxa"/>
            <w:tcBorders>
              <w:top w:val="nil"/>
              <w:left w:val="nil"/>
              <w:bottom w:val="nil"/>
              <w:right w:val="nil"/>
            </w:tcBorders>
            <w:shd w:val="clear" w:color="auto" w:fill="auto"/>
            <w:noWrap/>
            <w:vAlign w:val="bottom"/>
            <w:hideMark/>
          </w:tcPr>
          <w:p w14:paraId="3D72F82A"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200 </w:t>
            </w:r>
          </w:p>
        </w:tc>
      </w:tr>
      <w:tr w:rsidR="00D317C4" w:rsidRPr="00D317C4" w14:paraId="764745EA"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6FA39371"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s74 receipts transferred to the OPA</w:t>
            </w:r>
          </w:p>
        </w:tc>
        <w:tc>
          <w:tcPr>
            <w:tcW w:w="925" w:type="dxa"/>
            <w:tcBorders>
              <w:top w:val="nil"/>
              <w:left w:val="nil"/>
              <w:bottom w:val="nil"/>
              <w:right w:val="nil"/>
            </w:tcBorders>
            <w:shd w:val="clear" w:color="auto" w:fill="auto"/>
            <w:noWrap/>
            <w:vAlign w:val="bottom"/>
            <w:hideMark/>
          </w:tcPr>
          <w:p w14:paraId="715C46D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149 </w:t>
            </w:r>
          </w:p>
        </w:tc>
        <w:tc>
          <w:tcPr>
            <w:tcW w:w="935" w:type="dxa"/>
            <w:tcBorders>
              <w:top w:val="nil"/>
              <w:left w:val="nil"/>
              <w:bottom w:val="nil"/>
              <w:right w:val="nil"/>
            </w:tcBorders>
            <w:shd w:val="clear" w:color="000000" w:fill="D9D9D9"/>
            <w:noWrap/>
            <w:vAlign w:val="bottom"/>
            <w:hideMark/>
          </w:tcPr>
          <w:p w14:paraId="7C15A7FF"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65DAED60"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1AD172F0"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70332CB6"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r>
      <w:tr w:rsidR="00D317C4" w:rsidRPr="00D317C4" w14:paraId="2CAB5B81"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27520F54"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Other</w:t>
            </w:r>
          </w:p>
        </w:tc>
        <w:tc>
          <w:tcPr>
            <w:tcW w:w="925" w:type="dxa"/>
            <w:tcBorders>
              <w:top w:val="nil"/>
              <w:left w:val="nil"/>
              <w:bottom w:val="nil"/>
              <w:right w:val="nil"/>
            </w:tcBorders>
            <w:shd w:val="clear" w:color="auto" w:fill="auto"/>
            <w:noWrap/>
            <w:vAlign w:val="bottom"/>
            <w:hideMark/>
          </w:tcPr>
          <w:p w14:paraId="1222E3F5"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110 </w:t>
            </w:r>
          </w:p>
        </w:tc>
        <w:tc>
          <w:tcPr>
            <w:tcW w:w="935" w:type="dxa"/>
            <w:tcBorders>
              <w:top w:val="nil"/>
              <w:left w:val="nil"/>
              <w:bottom w:val="nil"/>
              <w:right w:val="nil"/>
            </w:tcBorders>
            <w:shd w:val="clear" w:color="000000" w:fill="D9D9D9"/>
            <w:noWrap/>
            <w:vAlign w:val="bottom"/>
            <w:hideMark/>
          </w:tcPr>
          <w:p w14:paraId="5F8FEAB2"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2F2B8D73"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34DE4600"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c>
          <w:tcPr>
            <w:tcW w:w="939" w:type="dxa"/>
            <w:tcBorders>
              <w:top w:val="nil"/>
              <w:left w:val="nil"/>
              <w:bottom w:val="nil"/>
              <w:right w:val="nil"/>
            </w:tcBorders>
            <w:shd w:val="clear" w:color="auto" w:fill="auto"/>
            <w:noWrap/>
            <w:vAlign w:val="bottom"/>
            <w:hideMark/>
          </w:tcPr>
          <w:p w14:paraId="4E3043F1" w14:textId="77777777" w:rsidR="00D317C4" w:rsidRPr="00D317C4" w:rsidRDefault="00D317C4" w:rsidP="00D317C4">
            <w:pPr>
              <w:spacing w:before="0" w:after="0" w:line="240" w:lineRule="auto"/>
              <w:jc w:val="right"/>
              <w:rPr>
                <w:rFonts w:ascii="Arial" w:hAnsi="Arial" w:cs="Arial"/>
                <w:color w:val="000000"/>
                <w:sz w:val="16"/>
                <w:szCs w:val="16"/>
              </w:rPr>
            </w:pPr>
            <w:r w:rsidRPr="00D317C4">
              <w:rPr>
                <w:rFonts w:ascii="Arial" w:hAnsi="Arial" w:cs="Arial"/>
                <w:color w:val="000000"/>
                <w:sz w:val="16"/>
                <w:szCs w:val="16"/>
              </w:rPr>
              <w:t xml:space="preserve">- </w:t>
            </w:r>
          </w:p>
        </w:tc>
      </w:tr>
      <w:tr w:rsidR="00D317C4" w:rsidRPr="00D317C4" w14:paraId="66E88D05"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44E22D5E" w14:textId="77777777" w:rsidR="00D317C4" w:rsidRPr="00D317C4" w:rsidRDefault="00D317C4" w:rsidP="00D317C4">
            <w:pPr>
              <w:spacing w:before="0" w:after="0" w:line="240" w:lineRule="auto"/>
              <w:ind w:leftChars="150" w:left="285"/>
              <w:rPr>
                <w:rFonts w:ascii="Arial" w:hAnsi="Arial" w:cs="Arial"/>
                <w:b/>
                <w:bCs/>
                <w:color w:val="000000"/>
                <w:sz w:val="16"/>
                <w:szCs w:val="16"/>
              </w:rPr>
            </w:pPr>
            <w:r w:rsidRPr="00D317C4">
              <w:rPr>
                <w:rFonts w:ascii="Arial" w:hAnsi="Arial" w:cs="Arial"/>
                <w:b/>
                <w:bCs/>
                <w:color w:val="000000"/>
                <w:sz w:val="16"/>
                <w:szCs w:val="16"/>
              </w:rPr>
              <w:t>Total cash used</w:t>
            </w:r>
          </w:p>
        </w:tc>
        <w:tc>
          <w:tcPr>
            <w:tcW w:w="925" w:type="dxa"/>
            <w:tcBorders>
              <w:top w:val="nil"/>
              <w:left w:val="nil"/>
              <w:bottom w:val="single" w:sz="4" w:space="0" w:color="auto"/>
              <w:right w:val="nil"/>
            </w:tcBorders>
            <w:shd w:val="clear" w:color="auto" w:fill="auto"/>
            <w:noWrap/>
            <w:vAlign w:val="bottom"/>
            <w:hideMark/>
          </w:tcPr>
          <w:p w14:paraId="33F35042"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5,941</w:t>
            </w:r>
          </w:p>
        </w:tc>
        <w:tc>
          <w:tcPr>
            <w:tcW w:w="935" w:type="dxa"/>
            <w:tcBorders>
              <w:top w:val="nil"/>
              <w:left w:val="nil"/>
              <w:bottom w:val="single" w:sz="4" w:space="0" w:color="auto"/>
              <w:right w:val="nil"/>
            </w:tcBorders>
            <w:shd w:val="clear" w:color="000000" w:fill="D9D9D9"/>
            <w:noWrap/>
            <w:vAlign w:val="bottom"/>
            <w:hideMark/>
          </w:tcPr>
          <w:p w14:paraId="185AB70A"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6,685</w:t>
            </w:r>
          </w:p>
        </w:tc>
        <w:tc>
          <w:tcPr>
            <w:tcW w:w="939" w:type="dxa"/>
            <w:tcBorders>
              <w:top w:val="nil"/>
              <w:left w:val="nil"/>
              <w:bottom w:val="single" w:sz="4" w:space="0" w:color="auto"/>
              <w:right w:val="nil"/>
            </w:tcBorders>
            <w:shd w:val="clear" w:color="auto" w:fill="auto"/>
            <w:noWrap/>
            <w:vAlign w:val="bottom"/>
            <w:hideMark/>
          </w:tcPr>
          <w:p w14:paraId="6B2CC3E9"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6,874</w:t>
            </w:r>
          </w:p>
        </w:tc>
        <w:tc>
          <w:tcPr>
            <w:tcW w:w="939" w:type="dxa"/>
            <w:tcBorders>
              <w:top w:val="nil"/>
              <w:left w:val="nil"/>
              <w:bottom w:val="single" w:sz="4" w:space="0" w:color="auto"/>
              <w:right w:val="nil"/>
            </w:tcBorders>
            <w:shd w:val="clear" w:color="auto" w:fill="auto"/>
            <w:noWrap/>
            <w:vAlign w:val="bottom"/>
            <w:hideMark/>
          </w:tcPr>
          <w:p w14:paraId="2F64B436"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6,955</w:t>
            </w:r>
          </w:p>
        </w:tc>
        <w:tc>
          <w:tcPr>
            <w:tcW w:w="939" w:type="dxa"/>
            <w:tcBorders>
              <w:top w:val="nil"/>
              <w:left w:val="nil"/>
              <w:bottom w:val="single" w:sz="4" w:space="0" w:color="auto"/>
              <w:right w:val="nil"/>
            </w:tcBorders>
            <w:shd w:val="clear" w:color="auto" w:fill="auto"/>
            <w:noWrap/>
            <w:vAlign w:val="bottom"/>
            <w:hideMark/>
          </w:tcPr>
          <w:p w14:paraId="45624B1E"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7,072</w:t>
            </w:r>
          </w:p>
        </w:tc>
      </w:tr>
      <w:tr w:rsidR="00D317C4" w:rsidRPr="00D317C4" w14:paraId="3C1A8928" w14:textId="77777777" w:rsidTr="00612DBE">
        <w:trPr>
          <w:trHeight w:val="454"/>
          <w:jc w:val="center"/>
        </w:trPr>
        <w:tc>
          <w:tcPr>
            <w:tcW w:w="3203" w:type="dxa"/>
            <w:tcBorders>
              <w:top w:val="nil"/>
              <w:left w:val="nil"/>
              <w:bottom w:val="nil"/>
              <w:right w:val="nil"/>
            </w:tcBorders>
            <w:shd w:val="clear" w:color="auto" w:fill="auto"/>
            <w:vAlign w:val="bottom"/>
            <w:hideMark/>
          </w:tcPr>
          <w:p w14:paraId="0276F1D4"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Net cash from (or used by) operating activities</w:t>
            </w:r>
          </w:p>
        </w:tc>
        <w:tc>
          <w:tcPr>
            <w:tcW w:w="925" w:type="dxa"/>
            <w:tcBorders>
              <w:top w:val="nil"/>
              <w:left w:val="nil"/>
              <w:bottom w:val="single" w:sz="4" w:space="0" w:color="auto"/>
              <w:right w:val="nil"/>
            </w:tcBorders>
            <w:shd w:val="clear" w:color="auto" w:fill="auto"/>
            <w:noWrap/>
            <w:vAlign w:val="bottom"/>
            <w:hideMark/>
          </w:tcPr>
          <w:p w14:paraId="282812E8"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334</w:t>
            </w:r>
          </w:p>
        </w:tc>
        <w:tc>
          <w:tcPr>
            <w:tcW w:w="935" w:type="dxa"/>
            <w:tcBorders>
              <w:top w:val="nil"/>
              <w:left w:val="nil"/>
              <w:bottom w:val="single" w:sz="4" w:space="0" w:color="auto"/>
              <w:right w:val="nil"/>
            </w:tcBorders>
            <w:shd w:val="clear" w:color="000000" w:fill="D9D9D9"/>
            <w:noWrap/>
            <w:vAlign w:val="bottom"/>
            <w:hideMark/>
          </w:tcPr>
          <w:p w14:paraId="246A0D4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2,245</w:t>
            </w:r>
          </w:p>
        </w:tc>
        <w:tc>
          <w:tcPr>
            <w:tcW w:w="939" w:type="dxa"/>
            <w:tcBorders>
              <w:top w:val="nil"/>
              <w:left w:val="nil"/>
              <w:bottom w:val="single" w:sz="4" w:space="0" w:color="auto"/>
              <w:right w:val="nil"/>
            </w:tcBorders>
            <w:shd w:val="clear" w:color="auto" w:fill="auto"/>
            <w:noWrap/>
            <w:vAlign w:val="bottom"/>
            <w:hideMark/>
          </w:tcPr>
          <w:p w14:paraId="138D043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246</w:t>
            </w:r>
          </w:p>
        </w:tc>
        <w:tc>
          <w:tcPr>
            <w:tcW w:w="939" w:type="dxa"/>
            <w:tcBorders>
              <w:top w:val="nil"/>
              <w:left w:val="nil"/>
              <w:bottom w:val="single" w:sz="4" w:space="0" w:color="auto"/>
              <w:right w:val="nil"/>
            </w:tcBorders>
            <w:shd w:val="clear" w:color="auto" w:fill="auto"/>
            <w:noWrap/>
            <w:vAlign w:val="bottom"/>
            <w:hideMark/>
          </w:tcPr>
          <w:p w14:paraId="23E853A8"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266</w:t>
            </w:r>
          </w:p>
        </w:tc>
        <w:tc>
          <w:tcPr>
            <w:tcW w:w="939" w:type="dxa"/>
            <w:tcBorders>
              <w:top w:val="nil"/>
              <w:left w:val="nil"/>
              <w:bottom w:val="single" w:sz="4" w:space="0" w:color="auto"/>
              <w:right w:val="nil"/>
            </w:tcBorders>
            <w:shd w:val="clear" w:color="auto" w:fill="auto"/>
            <w:noWrap/>
            <w:vAlign w:val="bottom"/>
            <w:hideMark/>
          </w:tcPr>
          <w:p w14:paraId="22DE100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288</w:t>
            </w:r>
          </w:p>
        </w:tc>
      </w:tr>
      <w:tr w:rsidR="00D317C4" w:rsidRPr="00D317C4" w14:paraId="65938222" w14:textId="77777777" w:rsidTr="00612DBE">
        <w:trPr>
          <w:trHeight w:val="283"/>
          <w:jc w:val="center"/>
        </w:trPr>
        <w:tc>
          <w:tcPr>
            <w:tcW w:w="3203" w:type="dxa"/>
            <w:tcBorders>
              <w:top w:val="nil"/>
              <w:left w:val="nil"/>
              <w:bottom w:val="nil"/>
              <w:right w:val="nil"/>
            </w:tcBorders>
            <w:shd w:val="clear" w:color="auto" w:fill="auto"/>
            <w:noWrap/>
            <w:vAlign w:val="bottom"/>
            <w:hideMark/>
          </w:tcPr>
          <w:p w14:paraId="610C937A" w14:textId="77777777" w:rsidR="00D317C4" w:rsidRPr="00D317C4" w:rsidRDefault="00D317C4" w:rsidP="00D317C4">
            <w:pPr>
              <w:spacing w:before="0" w:after="0" w:line="240" w:lineRule="auto"/>
              <w:rPr>
                <w:rFonts w:ascii="Arial" w:hAnsi="Arial" w:cs="Arial"/>
                <w:b/>
                <w:bCs/>
                <w:color w:val="000000"/>
                <w:sz w:val="16"/>
                <w:szCs w:val="16"/>
              </w:rPr>
            </w:pPr>
            <w:r w:rsidRPr="00D317C4">
              <w:rPr>
                <w:rFonts w:ascii="Arial" w:hAnsi="Arial" w:cs="Arial"/>
                <w:b/>
                <w:bCs/>
                <w:color w:val="000000"/>
                <w:sz w:val="16"/>
                <w:szCs w:val="16"/>
              </w:rPr>
              <w:t>INVESTING ACTIVITIES</w:t>
            </w:r>
          </w:p>
        </w:tc>
        <w:tc>
          <w:tcPr>
            <w:tcW w:w="925" w:type="dxa"/>
            <w:tcBorders>
              <w:top w:val="nil"/>
              <w:left w:val="nil"/>
              <w:bottom w:val="nil"/>
              <w:right w:val="nil"/>
            </w:tcBorders>
            <w:shd w:val="clear" w:color="auto" w:fill="auto"/>
            <w:noWrap/>
            <w:vAlign w:val="bottom"/>
            <w:hideMark/>
          </w:tcPr>
          <w:p w14:paraId="3A82A841" w14:textId="77777777" w:rsidR="00D317C4" w:rsidRPr="00D317C4" w:rsidRDefault="00D317C4" w:rsidP="00D317C4">
            <w:pPr>
              <w:spacing w:before="0" w:after="0" w:line="240" w:lineRule="auto"/>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417DA5E5"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0C522BB2"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4762F58D"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A72EA4E"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3C0A84B3"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66F43D59"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Cash used</w:t>
            </w:r>
          </w:p>
        </w:tc>
        <w:tc>
          <w:tcPr>
            <w:tcW w:w="925" w:type="dxa"/>
            <w:tcBorders>
              <w:top w:val="nil"/>
              <w:left w:val="nil"/>
              <w:bottom w:val="nil"/>
              <w:right w:val="nil"/>
            </w:tcBorders>
            <w:shd w:val="clear" w:color="auto" w:fill="auto"/>
            <w:noWrap/>
            <w:vAlign w:val="bottom"/>
            <w:hideMark/>
          </w:tcPr>
          <w:p w14:paraId="42E267DB" w14:textId="77777777" w:rsidR="00D317C4" w:rsidRPr="00D317C4" w:rsidRDefault="00D317C4" w:rsidP="00D317C4">
            <w:pPr>
              <w:spacing w:before="0" w:after="0" w:line="240" w:lineRule="auto"/>
              <w:ind w:firstLineChars="100" w:firstLine="161"/>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02B72550"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471F1EFE"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0FF4C135"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BA4CAF2"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2E64A388" w14:textId="77777777" w:rsidTr="00612DBE">
        <w:trPr>
          <w:trHeight w:val="425"/>
          <w:jc w:val="center"/>
        </w:trPr>
        <w:tc>
          <w:tcPr>
            <w:tcW w:w="3203" w:type="dxa"/>
            <w:tcBorders>
              <w:top w:val="nil"/>
              <w:left w:val="nil"/>
              <w:bottom w:val="nil"/>
              <w:right w:val="nil"/>
            </w:tcBorders>
            <w:shd w:val="clear" w:color="auto" w:fill="auto"/>
            <w:vAlign w:val="bottom"/>
            <w:hideMark/>
          </w:tcPr>
          <w:p w14:paraId="7A91983F" w14:textId="77777777" w:rsidR="00D317C4" w:rsidRPr="00D317C4" w:rsidRDefault="00D317C4" w:rsidP="00D317C4">
            <w:pPr>
              <w:spacing w:before="0" w:after="0" w:line="240" w:lineRule="auto"/>
              <w:ind w:leftChars="150" w:left="285"/>
              <w:rPr>
                <w:rFonts w:ascii="Arial" w:hAnsi="Arial" w:cs="Arial"/>
                <w:color w:val="000000"/>
                <w:sz w:val="16"/>
                <w:szCs w:val="16"/>
              </w:rPr>
            </w:pPr>
            <w:r w:rsidRPr="00D317C4">
              <w:rPr>
                <w:rFonts w:ascii="Arial" w:hAnsi="Arial" w:cs="Arial"/>
                <w:color w:val="000000"/>
                <w:sz w:val="16"/>
                <w:szCs w:val="16"/>
              </w:rPr>
              <w:t xml:space="preserve">Purchase of property, </w:t>
            </w:r>
            <w:proofErr w:type="gramStart"/>
            <w:r w:rsidRPr="00D317C4">
              <w:rPr>
                <w:rFonts w:ascii="Arial" w:hAnsi="Arial" w:cs="Arial"/>
                <w:color w:val="000000"/>
                <w:sz w:val="16"/>
                <w:szCs w:val="16"/>
              </w:rPr>
              <w:t>plant</w:t>
            </w:r>
            <w:proofErr w:type="gramEnd"/>
            <w:r w:rsidRPr="00D317C4">
              <w:rPr>
                <w:rFonts w:ascii="Arial" w:hAnsi="Arial" w:cs="Arial"/>
                <w:color w:val="000000"/>
                <w:sz w:val="16"/>
                <w:szCs w:val="16"/>
              </w:rPr>
              <w:t xml:space="preserve"> and equipment</w:t>
            </w:r>
          </w:p>
        </w:tc>
        <w:tc>
          <w:tcPr>
            <w:tcW w:w="925" w:type="dxa"/>
            <w:tcBorders>
              <w:top w:val="nil"/>
              <w:left w:val="nil"/>
              <w:bottom w:val="nil"/>
              <w:right w:val="nil"/>
            </w:tcBorders>
            <w:shd w:val="clear" w:color="auto" w:fill="auto"/>
            <w:noWrap/>
            <w:vAlign w:val="bottom"/>
            <w:hideMark/>
          </w:tcPr>
          <w:p w14:paraId="3E8AA531"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74</w:t>
            </w:r>
          </w:p>
        </w:tc>
        <w:tc>
          <w:tcPr>
            <w:tcW w:w="935" w:type="dxa"/>
            <w:tcBorders>
              <w:top w:val="nil"/>
              <w:left w:val="nil"/>
              <w:bottom w:val="nil"/>
              <w:right w:val="nil"/>
            </w:tcBorders>
            <w:shd w:val="clear" w:color="000000" w:fill="D9D9D9"/>
            <w:noWrap/>
            <w:vAlign w:val="bottom"/>
            <w:hideMark/>
          </w:tcPr>
          <w:p w14:paraId="67F02FD3"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2,272</w:t>
            </w:r>
          </w:p>
        </w:tc>
        <w:tc>
          <w:tcPr>
            <w:tcW w:w="939" w:type="dxa"/>
            <w:tcBorders>
              <w:top w:val="nil"/>
              <w:left w:val="nil"/>
              <w:bottom w:val="nil"/>
              <w:right w:val="nil"/>
            </w:tcBorders>
            <w:shd w:val="clear" w:color="auto" w:fill="auto"/>
            <w:noWrap/>
            <w:vAlign w:val="bottom"/>
            <w:hideMark/>
          </w:tcPr>
          <w:p w14:paraId="0467A87E"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280</w:t>
            </w:r>
          </w:p>
        </w:tc>
        <w:tc>
          <w:tcPr>
            <w:tcW w:w="939" w:type="dxa"/>
            <w:tcBorders>
              <w:top w:val="nil"/>
              <w:left w:val="nil"/>
              <w:bottom w:val="nil"/>
              <w:right w:val="nil"/>
            </w:tcBorders>
            <w:shd w:val="clear" w:color="auto" w:fill="auto"/>
            <w:noWrap/>
            <w:vAlign w:val="bottom"/>
            <w:hideMark/>
          </w:tcPr>
          <w:p w14:paraId="17B7A066"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282</w:t>
            </w:r>
          </w:p>
        </w:tc>
        <w:tc>
          <w:tcPr>
            <w:tcW w:w="939" w:type="dxa"/>
            <w:tcBorders>
              <w:top w:val="nil"/>
              <w:left w:val="nil"/>
              <w:bottom w:val="nil"/>
              <w:right w:val="nil"/>
            </w:tcBorders>
            <w:shd w:val="clear" w:color="auto" w:fill="auto"/>
            <w:noWrap/>
            <w:vAlign w:val="bottom"/>
            <w:hideMark/>
          </w:tcPr>
          <w:p w14:paraId="7A912C7D"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285</w:t>
            </w:r>
          </w:p>
        </w:tc>
      </w:tr>
      <w:tr w:rsidR="00D317C4" w:rsidRPr="00D317C4" w14:paraId="1708690D"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65E27670" w14:textId="77777777" w:rsidR="00D317C4" w:rsidRPr="00D317C4" w:rsidRDefault="00D317C4" w:rsidP="00D317C4">
            <w:pPr>
              <w:spacing w:before="0" w:after="0" w:line="240" w:lineRule="auto"/>
              <w:ind w:leftChars="150" w:left="285"/>
              <w:rPr>
                <w:rFonts w:ascii="Arial" w:hAnsi="Arial" w:cs="Arial"/>
                <w:b/>
                <w:bCs/>
                <w:color w:val="000000"/>
                <w:sz w:val="16"/>
                <w:szCs w:val="16"/>
              </w:rPr>
            </w:pPr>
            <w:r w:rsidRPr="00D317C4">
              <w:rPr>
                <w:rFonts w:ascii="Arial" w:hAnsi="Arial" w:cs="Arial"/>
                <w:b/>
                <w:bCs/>
                <w:color w:val="000000"/>
                <w:sz w:val="16"/>
                <w:szCs w:val="16"/>
              </w:rPr>
              <w:t>Total cash used</w:t>
            </w:r>
          </w:p>
        </w:tc>
        <w:tc>
          <w:tcPr>
            <w:tcW w:w="925" w:type="dxa"/>
            <w:tcBorders>
              <w:top w:val="nil"/>
              <w:left w:val="nil"/>
              <w:bottom w:val="single" w:sz="4" w:space="0" w:color="auto"/>
              <w:right w:val="nil"/>
            </w:tcBorders>
            <w:shd w:val="clear" w:color="auto" w:fill="auto"/>
            <w:noWrap/>
            <w:vAlign w:val="bottom"/>
            <w:hideMark/>
          </w:tcPr>
          <w:p w14:paraId="3BE6A551"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74</w:t>
            </w:r>
          </w:p>
        </w:tc>
        <w:tc>
          <w:tcPr>
            <w:tcW w:w="935" w:type="dxa"/>
            <w:tcBorders>
              <w:top w:val="nil"/>
              <w:left w:val="nil"/>
              <w:bottom w:val="single" w:sz="4" w:space="0" w:color="auto"/>
              <w:right w:val="nil"/>
            </w:tcBorders>
            <w:shd w:val="clear" w:color="000000" w:fill="D9D9D9"/>
            <w:noWrap/>
            <w:vAlign w:val="bottom"/>
            <w:hideMark/>
          </w:tcPr>
          <w:p w14:paraId="1A60ED38"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2,272</w:t>
            </w:r>
          </w:p>
        </w:tc>
        <w:tc>
          <w:tcPr>
            <w:tcW w:w="939" w:type="dxa"/>
            <w:tcBorders>
              <w:top w:val="nil"/>
              <w:left w:val="nil"/>
              <w:bottom w:val="single" w:sz="4" w:space="0" w:color="auto"/>
              <w:right w:val="nil"/>
            </w:tcBorders>
            <w:shd w:val="clear" w:color="auto" w:fill="auto"/>
            <w:noWrap/>
            <w:vAlign w:val="bottom"/>
            <w:hideMark/>
          </w:tcPr>
          <w:p w14:paraId="13793A30"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280</w:t>
            </w:r>
          </w:p>
        </w:tc>
        <w:tc>
          <w:tcPr>
            <w:tcW w:w="939" w:type="dxa"/>
            <w:tcBorders>
              <w:top w:val="nil"/>
              <w:left w:val="nil"/>
              <w:bottom w:val="single" w:sz="4" w:space="0" w:color="auto"/>
              <w:right w:val="nil"/>
            </w:tcBorders>
            <w:shd w:val="clear" w:color="auto" w:fill="auto"/>
            <w:noWrap/>
            <w:vAlign w:val="bottom"/>
            <w:hideMark/>
          </w:tcPr>
          <w:p w14:paraId="2CBA09C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282</w:t>
            </w:r>
          </w:p>
        </w:tc>
        <w:tc>
          <w:tcPr>
            <w:tcW w:w="939" w:type="dxa"/>
            <w:tcBorders>
              <w:top w:val="nil"/>
              <w:left w:val="nil"/>
              <w:bottom w:val="single" w:sz="4" w:space="0" w:color="auto"/>
              <w:right w:val="nil"/>
            </w:tcBorders>
            <w:shd w:val="clear" w:color="auto" w:fill="auto"/>
            <w:noWrap/>
            <w:vAlign w:val="bottom"/>
            <w:hideMark/>
          </w:tcPr>
          <w:p w14:paraId="7816A016"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285</w:t>
            </w:r>
          </w:p>
        </w:tc>
      </w:tr>
      <w:tr w:rsidR="00D317C4" w:rsidRPr="00D317C4" w14:paraId="1C86DCE5" w14:textId="77777777" w:rsidTr="00612DBE">
        <w:trPr>
          <w:trHeight w:val="454"/>
          <w:jc w:val="center"/>
        </w:trPr>
        <w:tc>
          <w:tcPr>
            <w:tcW w:w="3203" w:type="dxa"/>
            <w:tcBorders>
              <w:top w:val="nil"/>
              <w:left w:val="nil"/>
              <w:bottom w:val="nil"/>
              <w:right w:val="nil"/>
            </w:tcBorders>
            <w:shd w:val="clear" w:color="auto" w:fill="auto"/>
            <w:vAlign w:val="bottom"/>
            <w:hideMark/>
          </w:tcPr>
          <w:p w14:paraId="38B2D158"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Net cash from (or used by) investing activities</w:t>
            </w:r>
          </w:p>
        </w:tc>
        <w:tc>
          <w:tcPr>
            <w:tcW w:w="925" w:type="dxa"/>
            <w:tcBorders>
              <w:top w:val="nil"/>
              <w:left w:val="nil"/>
              <w:bottom w:val="single" w:sz="4" w:space="0" w:color="auto"/>
              <w:right w:val="nil"/>
            </w:tcBorders>
            <w:shd w:val="clear" w:color="auto" w:fill="auto"/>
            <w:noWrap/>
            <w:vAlign w:val="bottom"/>
            <w:hideMark/>
          </w:tcPr>
          <w:p w14:paraId="3F15EA98"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(74)</w:t>
            </w:r>
          </w:p>
        </w:tc>
        <w:tc>
          <w:tcPr>
            <w:tcW w:w="935" w:type="dxa"/>
            <w:tcBorders>
              <w:top w:val="nil"/>
              <w:left w:val="nil"/>
              <w:bottom w:val="single" w:sz="4" w:space="0" w:color="auto"/>
              <w:right w:val="nil"/>
            </w:tcBorders>
            <w:shd w:val="clear" w:color="000000" w:fill="D9D9D9"/>
            <w:noWrap/>
            <w:vAlign w:val="bottom"/>
            <w:hideMark/>
          </w:tcPr>
          <w:p w14:paraId="46D5A9F3"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(2,272)</w:t>
            </w:r>
          </w:p>
        </w:tc>
        <w:tc>
          <w:tcPr>
            <w:tcW w:w="939" w:type="dxa"/>
            <w:tcBorders>
              <w:top w:val="nil"/>
              <w:left w:val="nil"/>
              <w:bottom w:val="single" w:sz="4" w:space="0" w:color="auto"/>
              <w:right w:val="nil"/>
            </w:tcBorders>
            <w:shd w:val="clear" w:color="auto" w:fill="auto"/>
            <w:noWrap/>
            <w:vAlign w:val="bottom"/>
            <w:hideMark/>
          </w:tcPr>
          <w:p w14:paraId="0DE5BC3A"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(280)</w:t>
            </w:r>
          </w:p>
        </w:tc>
        <w:tc>
          <w:tcPr>
            <w:tcW w:w="939" w:type="dxa"/>
            <w:tcBorders>
              <w:top w:val="nil"/>
              <w:left w:val="nil"/>
              <w:bottom w:val="single" w:sz="4" w:space="0" w:color="auto"/>
              <w:right w:val="nil"/>
            </w:tcBorders>
            <w:shd w:val="clear" w:color="auto" w:fill="auto"/>
            <w:noWrap/>
            <w:vAlign w:val="bottom"/>
            <w:hideMark/>
          </w:tcPr>
          <w:p w14:paraId="4172B498"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(282)</w:t>
            </w:r>
          </w:p>
        </w:tc>
        <w:tc>
          <w:tcPr>
            <w:tcW w:w="939" w:type="dxa"/>
            <w:tcBorders>
              <w:top w:val="nil"/>
              <w:left w:val="nil"/>
              <w:bottom w:val="single" w:sz="4" w:space="0" w:color="auto"/>
              <w:right w:val="nil"/>
            </w:tcBorders>
            <w:shd w:val="clear" w:color="auto" w:fill="auto"/>
            <w:noWrap/>
            <w:vAlign w:val="bottom"/>
            <w:hideMark/>
          </w:tcPr>
          <w:p w14:paraId="6886F58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(285)</w:t>
            </w:r>
          </w:p>
        </w:tc>
      </w:tr>
      <w:tr w:rsidR="00D317C4" w:rsidRPr="00D317C4" w14:paraId="7DF681F2" w14:textId="77777777" w:rsidTr="00612DBE">
        <w:trPr>
          <w:trHeight w:val="283"/>
          <w:jc w:val="center"/>
        </w:trPr>
        <w:tc>
          <w:tcPr>
            <w:tcW w:w="3203" w:type="dxa"/>
            <w:tcBorders>
              <w:top w:val="nil"/>
              <w:left w:val="nil"/>
              <w:bottom w:val="nil"/>
              <w:right w:val="nil"/>
            </w:tcBorders>
            <w:shd w:val="clear" w:color="auto" w:fill="auto"/>
            <w:noWrap/>
            <w:vAlign w:val="bottom"/>
            <w:hideMark/>
          </w:tcPr>
          <w:p w14:paraId="7CD4F948" w14:textId="77777777" w:rsidR="00D317C4" w:rsidRPr="00D317C4" w:rsidRDefault="00D317C4" w:rsidP="00D317C4">
            <w:pPr>
              <w:spacing w:before="0" w:after="0" w:line="240" w:lineRule="auto"/>
              <w:rPr>
                <w:rFonts w:ascii="Arial" w:hAnsi="Arial" w:cs="Arial"/>
                <w:b/>
                <w:bCs/>
                <w:color w:val="000000"/>
                <w:sz w:val="16"/>
                <w:szCs w:val="16"/>
              </w:rPr>
            </w:pPr>
            <w:r w:rsidRPr="00D317C4">
              <w:rPr>
                <w:rFonts w:ascii="Arial" w:hAnsi="Arial" w:cs="Arial"/>
                <w:b/>
                <w:bCs/>
                <w:color w:val="000000"/>
                <w:sz w:val="16"/>
                <w:szCs w:val="16"/>
              </w:rPr>
              <w:t>FINANCING ACTIVITIES</w:t>
            </w:r>
          </w:p>
        </w:tc>
        <w:tc>
          <w:tcPr>
            <w:tcW w:w="925" w:type="dxa"/>
            <w:tcBorders>
              <w:top w:val="nil"/>
              <w:left w:val="nil"/>
              <w:bottom w:val="nil"/>
              <w:right w:val="nil"/>
            </w:tcBorders>
            <w:shd w:val="clear" w:color="auto" w:fill="auto"/>
            <w:noWrap/>
            <w:vAlign w:val="bottom"/>
            <w:hideMark/>
          </w:tcPr>
          <w:p w14:paraId="116C32EC" w14:textId="77777777" w:rsidR="00D317C4" w:rsidRPr="00D317C4" w:rsidRDefault="00D317C4" w:rsidP="00D317C4">
            <w:pPr>
              <w:spacing w:before="0" w:after="0" w:line="240" w:lineRule="auto"/>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7EEA53A2"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7E976E20"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1268C0A2"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57B2B5D5"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726A61DC"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74E40B62"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Cash received</w:t>
            </w:r>
          </w:p>
        </w:tc>
        <w:tc>
          <w:tcPr>
            <w:tcW w:w="925" w:type="dxa"/>
            <w:tcBorders>
              <w:top w:val="nil"/>
              <w:left w:val="nil"/>
              <w:bottom w:val="nil"/>
              <w:right w:val="nil"/>
            </w:tcBorders>
            <w:shd w:val="clear" w:color="auto" w:fill="auto"/>
            <w:noWrap/>
            <w:vAlign w:val="bottom"/>
            <w:hideMark/>
          </w:tcPr>
          <w:p w14:paraId="6B95B326" w14:textId="77777777" w:rsidR="00D317C4" w:rsidRPr="00D317C4" w:rsidRDefault="00D317C4" w:rsidP="00D317C4">
            <w:pPr>
              <w:spacing w:before="0" w:after="0" w:line="240" w:lineRule="auto"/>
              <w:ind w:firstLineChars="100" w:firstLine="161"/>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69069F14"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3E11C038"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4A080B25"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1A06C60"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23C6B927"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76391D98" w14:textId="77777777" w:rsidR="00D317C4" w:rsidRPr="00D317C4" w:rsidRDefault="00D317C4" w:rsidP="00D317C4">
            <w:pPr>
              <w:spacing w:before="0" w:after="0" w:line="240" w:lineRule="auto"/>
              <w:ind w:leftChars="150" w:left="285"/>
              <w:rPr>
                <w:rFonts w:ascii="Arial" w:hAnsi="Arial" w:cs="Arial"/>
                <w:sz w:val="16"/>
                <w:szCs w:val="16"/>
              </w:rPr>
            </w:pPr>
            <w:r w:rsidRPr="00D317C4">
              <w:rPr>
                <w:rFonts w:ascii="Arial" w:hAnsi="Arial" w:cs="Arial"/>
                <w:sz w:val="16"/>
                <w:szCs w:val="16"/>
              </w:rPr>
              <w:t>Capital budget - Bill 1 (DCB)</w:t>
            </w:r>
          </w:p>
        </w:tc>
        <w:tc>
          <w:tcPr>
            <w:tcW w:w="925" w:type="dxa"/>
            <w:tcBorders>
              <w:top w:val="nil"/>
              <w:left w:val="nil"/>
              <w:bottom w:val="nil"/>
              <w:right w:val="nil"/>
            </w:tcBorders>
            <w:shd w:val="clear" w:color="auto" w:fill="auto"/>
            <w:noWrap/>
            <w:vAlign w:val="bottom"/>
            <w:hideMark/>
          </w:tcPr>
          <w:p w14:paraId="083146FC"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74</w:t>
            </w:r>
          </w:p>
        </w:tc>
        <w:tc>
          <w:tcPr>
            <w:tcW w:w="935" w:type="dxa"/>
            <w:tcBorders>
              <w:top w:val="nil"/>
              <w:left w:val="nil"/>
              <w:bottom w:val="nil"/>
              <w:right w:val="nil"/>
            </w:tcBorders>
            <w:shd w:val="clear" w:color="000000" w:fill="D9D9D9"/>
            <w:noWrap/>
            <w:vAlign w:val="bottom"/>
            <w:hideMark/>
          </w:tcPr>
          <w:p w14:paraId="657CE146"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272</w:t>
            </w:r>
          </w:p>
        </w:tc>
        <w:tc>
          <w:tcPr>
            <w:tcW w:w="939" w:type="dxa"/>
            <w:tcBorders>
              <w:top w:val="nil"/>
              <w:left w:val="nil"/>
              <w:bottom w:val="nil"/>
              <w:right w:val="nil"/>
            </w:tcBorders>
            <w:shd w:val="clear" w:color="auto" w:fill="auto"/>
            <w:noWrap/>
            <w:vAlign w:val="bottom"/>
            <w:hideMark/>
          </w:tcPr>
          <w:p w14:paraId="02DB2F52"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280</w:t>
            </w:r>
          </w:p>
        </w:tc>
        <w:tc>
          <w:tcPr>
            <w:tcW w:w="939" w:type="dxa"/>
            <w:tcBorders>
              <w:top w:val="nil"/>
              <w:left w:val="nil"/>
              <w:bottom w:val="nil"/>
              <w:right w:val="nil"/>
            </w:tcBorders>
            <w:shd w:val="clear" w:color="auto" w:fill="auto"/>
            <w:noWrap/>
            <w:vAlign w:val="bottom"/>
            <w:hideMark/>
          </w:tcPr>
          <w:p w14:paraId="2DB31E0E"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282</w:t>
            </w:r>
          </w:p>
        </w:tc>
        <w:tc>
          <w:tcPr>
            <w:tcW w:w="939" w:type="dxa"/>
            <w:tcBorders>
              <w:top w:val="nil"/>
              <w:left w:val="nil"/>
              <w:bottom w:val="nil"/>
              <w:right w:val="nil"/>
            </w:tcBorders>
            <w:shd w:val="clear" w:color="auto" w:fill="auto"/>
            <w:noWrap/>
            <w:vAlign w:val="bottom"/>
            <w:hideMark/>
          </w:tcPr>
          <w:p w14:paraId="4B94BA95"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285</w:t>
            </w:r>
          </w:p>
        </w:tc>
      </w:tr>
      <w:tr w:rsidR="00D317C4" w:rsidRPr="00D317C4" w14:paraId="23E8FCC0"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19B9CA89" w14:textId="77777777" w:rsidR="00D317C4" w:rsidRPr="00D317C4" w:rsidRDefault="00D317C4" w:rsidP="00D317C4">
            <w:pPr>
              <w:spacing w:before="0" w:after="0" w:line="240" w:lineRule="auto"/>
              <w:ind w:leftChars="150" w:left="285"/>
              <w:rPr>
                <w:rFonts w:ascii="Arial" w:hAnsi="Arial" w:cs="Arial"/>
                <w:b/>
                <w:bCs/>
                <w:color w:val="000000"/>
                <w:sz w:val="16"/>
                <w:szCs w:val="16"/>
              </w:rPr>
            </w:pPr>
            <w:r w:rsidRPr="00D317C4">
              <w:rPr>
                <w:rFonts w:ascii="Arial" w:hAnsi="Arial" w:cs="Arial"/>
                <w:b/>
                <w:bCs/>
                <w:color w:val="000000"/>
                <w:sz w:val="16"/>
                <w:szCs w:val="16"/>
              </w:rPr>
              <w:t>Total cash received</w:t>
            </w:r>
          </w:p>
        </w:tc>
        <w:tc>
          <w:tcPr>
            <w:tcW w:w="925" w:type="dxa"/>
            <w:tcBorders>
              <w:top w:val="nil"/>
              <w:left w:val="nil"/>
              <w:bottom w:val="single" w:sz="4" w:space="0" w:color="auto"/>
              <w:right w:val="nil"/>
            </w:tcBorders>
            <w:shd w:val="clear" w:color="auto" w:fill="auto"/>
            <w:noWrap/>
            <w:vAlign w:val="bottom"/>
            <w:hideMark/>
          </w:tcPr>
          <w:p w14:paraId="079BBA8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74</w:t>
            </w:r>
          </w:p>
        </w:tc>
        <w:tc>
          <w:tcPr>
            <w:tcW w:w="935" w:type="dxa"/>
            <w:tcBorders>
              <w:top w:val="nil"/>
              <w:left w:val="nil"/>
              <w:bottom w:val="single" w:sz="4" w:space="0" w:color="auto"/>
              <w:right w:val="nil"/>
            </w:tcBorders>
            <w:shd w:val="clear" w:color="000000" w:fill="D9D9D9"/>
            <w:noWrap/>
            <w:vAlign w:val="bottom"/>
            <w:hideMark/>
          </w:tcPr>
          <w:p w14:paraId="7C5038F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272</w:t>
            </w:r>
          </w:p>
        </w:tc>
        <w:tc>
          <w:tcPr>
            <w:tcW w:w="939" w:type="dxa"/>
            <w:tcBorders>
              <w:top w:val="nil"/>
              <w:left w:val="nil"/>
              <w:bottom w:val="single" w:sz="4" w:space="0" w:color="auto"/>
              <w:right w:val="nil"/>
            </w:tcBorders>
            <w:shd w:val="clear" w:color="auto" w:fill="auto"/>
            <w:noWrap/>
            <w:vAlign w:val="bottom"/>
            <w:hideMark/>
          </w:tcPr>
          <w:p w14:paraId="2CA74197"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280</w:t>
            </w:r>
          </w:p>
        </w:tc>
        <w:tc>
          <w:tcPr>
            <w:tcW w:w="939" w:type="dxa"/>
            <w:tcBorders>
              <w:top w:val="nil"/>
              <w:left w:val="nil"/>
              <w:bottom w:val="single" w:sz="4" w:space="0" w:color="auto"/>
              <w:right w:val="nil"/>
            </w:tcBorders>
            <w:shd w:val="clear" w:color="auto" w:fill="auto"/>
            <w:noWrap/>
            <w:vAlign w:val="bottom"/>
            <w:hideMark/>
          </w:tcPr>
          <w:p w14:paraId="278C051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282</w:t>
            </w:r>
          </w:p>
        </w:tc>
        <w:tc>
          <w:tcPr>
            <w:tcW w:w="939" w:type="dxa"/>
            <w:tcBorders>
              <w:top w:val="nil"/>
              <w:left w:val="nil"/>
              <w:bottom w:val="single" w:sz="4" w:space="0" w:color="auto"/>
              <w:right w:val="nil"/>
            </w:tcBorders>
            <w:shd w:val="clear" w:color="auto" w:fill="auto"/>
            <w:noWrap/>
            <w:vAlign w:val="bottom"/>
            <w:hideMark/>
          </w:tcPr>
          <w:p w14:paraId="41ACF969"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285</w:t>
            </w:r>
          </w:p>
        </w:tc>
      </w:tr>
      <w:tr w:rsidR="00D317C4" w:rsidRPr="00D317C4" w14:paraId="5ACF80C3" w14:textId="77777777" w:rsidTr="00612DBE">
        <w:trPr>
          <w:trHeight w:val="283"/>
          <w:jc w:val="center"/>
        </w:trPr>
        <w:tc>
          <w:tcPr>
            <w:tcW w:w="3203" w:type="dxa"/>
            <w:tcBorders>
              <w:top w:val="nil"/>
              <w:left w:val="nil"/>
              <w:bottom w:val="nil"/>
              <w:right w:val="nil"/>
            </w:tcBorders>
            <w:shd w:val="clear" w:color="auto" w:fill="auto"/>
            <w:noWrap/>
            <w:vAlign w:val="bottom"/>
            <w:hideMark/>
          </w:tcPr>
          <w:p w14:paraId="3C350FCB"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Cash used</w:t>
            </w:r>
          </w:p>
        </w:tc>
        <w:tc>
          <w:tcPr>
            <w:tcW w:w="925" w:type="dxa"/>
            <w:tcBorders>
              <w:top w:val="nil"/>
              <w:left w:val="nil"/>
              <w:bottom w:val="nil"/>
              <w:right w:val="nil"/>
            </w:tcBorders>
            <w:shd w:val="clear" w:color="auto" w:fill="auto"/>
            <w:noWrap/>
            <w:vAlign w:val="bottom"/>
            <w:hideMark/>
          </w:tcPr>
          <w:p w14:paraId="5AABA182" w14:textId="77777777" w:rsidR="00D317C4" w:rsidRPr="00D317C4" w:rsidRDefault="00D317C4" w:rsidP="00D317C4">
            <w:pPr>
              <w:spacing w:before="0" w:after="0" w:line="240" w:lineRule="auto"/>
              <w:ind w:firstLineChars="100" w:firstLine="161"/>
              <w:rPr>
                <w:rFonts w:ascii="Arial" w:hAnsi="Arial" w:cs="Arial"/>
                <w:b/>
                <w:bCs/>
                <w:color w:val="000000"/>
                <w:sz w:val="16"/>
                <w:szCs w:val="16"/>
              </w:rPr>
            </w:pPr>
          </w:p>
        </w:tc>
        <w:tc>
          <w:tcPr>
            <w:tcW w:w="935" w:type="dxa"/>
            <w:tcBorders>
              <w:top w:val="nil"/>
              <w:left w:val="nil"/>
              <w:bottom w:val="nil"/>
              <w:right w:val="nil"/>
            </w:tcBorders>
            <w:shd w:val="clear" w:color="000000" w:fill="D9D9D9"/>
            <w:noWrap/>
            <w:vAlign w:val="bottom"/>
            <w:hideMark/>
          </w:tcPr>
          <w:p w14:paraId="055FCC00"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 </w:t>
            </w:r>
          </w:p>
        </w:tc>
        <w:tc>
          <w:tcPr>
            <w:tcW w:w="939" w:type="dxa"/>
            <w:tcBorders>
              <w:top w:val="nil"/>
              <w:left w:val="nil"/>
              <w:bottom w:val="nil"/>
              <w:right w:val="nil"/>
            </w:tcBorders>
            <w:shd w:val="clear" w:color="auto" w:fill="auto"/>
            <w:noWrap/>
            <w:vAlign w:val="bottom"/>
            <w:hideMark/>
          </w:tcPr>
          <w:p w14:paraId="4721D253" w14:textId="77777777" w:rsidR="00D317C4" w:rsidRPr="00D317C4" w:rsidRDefault="00D317C4" w:rsidP="00D317C4">
            <w:pPr>
              <w:spacing w:before="0" w:after="0" w:line="240" w:lineRule="auto"/>
              <w:jc w:val="right"/>
              <w:rPr>
                <w:rFonts w:ascii="Arial" w:hAnsi="Arial" w:cs="Arial"/>
                <w:sz w:val="16"/>
                <w:szCs w:val="16"/>
              </w:rPr>
            </w:pPr>
          </w:p>
        </w:tc>
        <w:tc>
          <w:tcPr>
            <w:tcW w:w="939" w:type="dxa"/>
            <w:tcBorders>
              <w:top w:val="nil"/>
              <w:left w:val="nil"/>
              <w:bottom w:val="nil"/>
              <w:right w:val="nil"/>
            </w:tcBorders>
            <w:shd w:val="clear" w:color="auto" w:fill="auto"/>
            <w:noWrap/>
            <w:vAlign w:val="bottom"/>
            <w:hideMark/>
          </w:tcPr>
          <w:p w14:paraId="778E8813" w14:textId="77777777" w:rsidR="00D317C4" w:rsidRPr="00D317C4" w:rsidRDefault="00D317C4" w:rsidP="00D317C4">
            <w:pPr>
              <w:spacing w:before="0" w:after="0" w:line="240" w:lineRule="auto"/>
              <w:jc w:val="right"/>
              <w:rPr>
                <w:rFonts w:ascii="Times New Roman" w:hAnsi="Times New Roman"/>
                <w:sz w:val="20"/>
              </w:rPr>
            </w:pPr>
          </w:p>
        </w:tc>
        <w:tc>
          <w:tcPr>
            <w:tcW w:w="939" w:type="dxa"/>
            <w:tcBorders>
              <w:top w:val="nil"/>
              <w:left w:val="nil"/>
              <w:bottom w:val="nil"/>
              <w:right w:val="nil"/>
            </w:tcBorders>
            <w:shd w:val="clear" w:color="auto" w:fill="auto"/>
            <w:noWrap/>
            <w:vAlign w:val="bottom"/>
            <w:hideMark/>
          </w:tcPr>
          <w:p w14:paraId="32073D82" w14:textId="77777777" w:rsidR="00D317C4" w:rsidRPr="00D317C4" w:rsidRDefault="00D317C4" w:rsidP="00D317C4">
            <w:pPr>
              <w:spacing w:before="0" w:after="0" w:line="240" w:lineRule="auto"/>
              <w:jc w:val="right"/>
              <w:rPr>
                <w:rFonts w:ascii="Times New Roman" w:hAnsi="Times New Roman"/>
                <w:sz w:val="20"/>
              </w:rPr>
            </w:pPr>
          </w:p>
        </w:tc>
      </w:tr>
      <w:tr w:rsidR="00D317C4" w:rsidRPr="00D317C4" w14:paraId="2491151C" w14:textId="77777777" w:rsidTr="00D317C4">
        <w:trPr>
          <w:trHeight w:val="225"/>
          <w:jc w:val="center"/>
        </w:trPr>
        <w:tc>
          <w:tcPr>
            <w:tcW w:w="3203" w:type="dxa"/>
            <w:tcBorders>
              <w:top w:val="nil"/>
              <w:left w:val="nil"/>
              <w:bottom w:val="nil"/>
              <w:right w:val="nil"/>
            </w:tcBorders>
            <w:shd w:val="clear" w:color="000000" w:fill="FFFFFF"/>
            <w:noWrap/>
            <w:vAlign w:val="bottom"/>
            <w:hideMark/>
          </w:tcPr>
          <w:p w14:paraId="658B9F31" w14:textId="77777777" w:rsidR="00D317C4" w:rsidRPr="00D317C4" w:rsidRDefault="00D317C4" w:rsidP="00D317C4">
            <w:pPr>
              <w:spacing w:before="0" w:after="0" w:line="240" w:lineRule="auto"/>
              <w:ind w:leftChars="150" w:left="285"/>
              <w:rPr>
                <w:rFonts w:ascii="Arial" w:hAnsi="Arial" w:cs="Arial"/>
                <w:sz w:val="16"/>
                <w:szCs w:val="16"/>
              </w:rPr>
            </w:pPr>
            <w:r w:rsidRPr="00D317C4">
              <w:rPr>
                <w:rFonts w:ascii="Arial" w:hAnsi="Arial" w:cs="Arial"/>
                <w:sz w:val="16"/>
                <w:szCs w:val="16"/>
              </w:rPr>
              <w:t>Lease principal repayments</w:t>
            </w:r>
          </w:p>
        </w:tc>
        <w:tc>
          <w:tcPr>
            <w:tcW w:w="925" w:type="dxa"/>
            <w:tcBorders>
              <w:top w:val="nil"/>
              <w:left w:val="nil"/>
              <w:bottom w:val="nil"/>
              <w:right w:val="nil"/>
            </w:tcBorders>
            <w:shd w:val="clear" w:color="auto" w:fill="auto"/>
            <w:noWrap/>
            <w:vAlign w:val="bottom"/>
            <w:hideMark/>
          </w:tcPr>
          <w:p w14:paraId="3866F949"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326</w:t>
            </w:r>
          </w:p>
        </w:tc>
        <w:tc>
          <w:tcPr>
            <w:tcW w:w="935" w:type="dxa"/>
            <w:tcBorders>
              <w:top w:val="nil"/>
              <w:left w:val="nil"/>
              <w:bottom w:val="nil"/>
              <w:right w:val="nil"/>
            </w:tcBorders>
            <w:shd w:val="clear" w:color="000000" w:fill="D9D9D9"/>
            <w:noWrap/>
            <w:vAlign w:val="bottom"/>
            <w:hideMark/>
          </w:tcPr>
          <w:p w14:paraId="6176413B"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245</w:t>
            </w:r>
          </w:p>
        </w:tc>
        <w:tc>
          <w:tcPr>
            <w:tcW w:w="939" w:type="dxa"/>
            <w:tcBorders>
              <w:top w:val="nil"/>
              <w:left w:val="nil"/>
              <w:bottom w:val="nil"/>
              <w:right w:val="nil"/>
            </w:tcBorders>
            <w:shd w:val="clear" w:color="auto" w:fill="auto"/>
            <w:noWrap/>
            <w:vAlign w:val="bottom"/>
            <w:hideMark/>
          </w:tcPr>
          <w:p w14:paraId="10B15ADD"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246</w:t>
            </w:r>
          </w:p>
        </w:tc>
        <w:tc>
          <w:tcPr>
            <w:tcW w:w="939" w:type="dxa"/>
            <w:tcBorders>
              <w:top w:val="nil"/>
              <w:left w:val="nil"/>
              <w:bottom w:val="nil"/>
              <w:right w:val="nil"/>
            </w:tcBorders>
            <w:shd w:val="clear" w:color="auto" w:fill="auto"/>
            <w:noWrap/>
            <w:vAlign w:val="bottom"/>
            <w:hideMark/>
          </w:tcPr>
          <w:p w14:paraId="7EF78F5F"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266</w:t>
            </w:r>
          </w:p>
        </w:tc>
        <w:tc>
          <w:tcPr>
            <w:tcW w:w="939" w:type="dxa"/>
            <w:tcBorders>
              <w:top w:val="nil"/>
              <w:left w:val="nil"/>
              <w:bottom w:val="nil"/>
              <w:right w:val="nil"/>
            </w:tcBorders>
            <w:shd w:val="clear" w:color="auto" w:fill="auto"/>
            <w:noWrap/>
            <w:vAlign w:val="bottom"/>
            <w:hideMark/>
          </w:tcPr>
          <w:p w14:paraId="7A442D77"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288</w:t>
            </w:r>
          </w:p>
        </w:tc>
      </w:tr>
      <w:tr w:rsidR="00D317C4" w:rsidRPr="00D317C4" w14:paraId="095BFDDD" w14:textId="77777777" w:rsidTr="00D317C4">
        <w:trPr>
          <w:trHeight w:val="225"/>
          <w:jc w:val="center"/>
        </w:trPr>
        <w:tc>
          <w:tcPr>
            <w:tcW w:w="3203" w:type="dxa"/>
            <w:tcBorders>
              <w:top w:val="nil"/>
              <w:left w:val="nil"/>
              <w:bottom w:val="nil"/>
              <w:right w:val="nil"/>
            </w:tcBorders>
            <w:shd w:val="clear" w:color="auto" w:fill="auto"/>
            <w:noWrap/>
            <w:vAlign w:val="bottom"/>
            <w:hideMark/>
          </w:tcPr>
          <w:p w14:paraId="6CE395C8" w14:textId="77777777" w:rsidR="00D317C4" w:rsidRPr="00D317C4" w:rsidRDefault="00D317C4" w:rsidP="00D317C4">
            <w:pPr>
              <w:spacing w:before="0" w:after="0" w:line="240" w:lineRule="auto"/>
              <w:ind w:leftChars="150" w:left="285"/>
              <w:rPr>
                <w:rFonts w:ascii="Arial" w:hAnsi="Arial" w:cs="Arial"/>
                <w:b/>
                <w:bCs/>
                <w:color w:val="000000"/>
                <w:sz w:val="16"/>
                <w:szCs w:val="16"/>
              </w:rPr>
            </w:pPr>
            <w:r w:rsidRPr="00D317C4">
              <w:rPr>
                <w:rFonts w:ascii="Arial" w:hAnsi="Arial" w:cs="Arial"/>
                <w:b/>
                <w:bCs/>
                <w:color w:val="000000"/>
                <w:sz w:val="16"/>
                <w:szCs w:val="16"/>
              </w:rPr>
              <w:t>Total cash used</w:t>
            </w:r>
          </w:p>
        </w:tc>
        <w:tc>
          <w:tcPr>
            <w:tcW w:w="925" w:type="dxa"/>
            <w:tcBorders>
              <w:top w:val="nil"/>
              <w:left w:val="nil"/>
              <w:bottom w:val="single" w:sz="4" w:space="0" w:color="auto"/>
              <w:right w:val="nil"/>
            </w:tcBorders>
            <w:shd w:val="clear" w:color="auto" w:fill="auto"/>
            <w:noWrap/>
            <w:vAlign w:val="bottom"/>
            <w:hideMark/>
          </w:tcPr>
          <w:p w14:paraId="71F605DA"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326</w:t>
            </w:r>
          </w:p>
        </w:tc>
        <w:tc>
          <w:tcPr>
            <w:tcW w:w="935" w:type="dxa"/>
            <w:tcBorders>
              <w:top w:val="nil"/>
              <w:left w:val="nil"/>
              <w:bottom w:val="single" w:sz="4" w:space="0" w:color="auto"/>
              <w:right w:val="nil"/>
            </w:tcBorders>
            <w:shd w:val="clear" w:color="000000" w:fill="D9D9D9"/>
            <w:noWrap/>
            <w:vAlign w:val="bottom"/>
            <w:hideMark/>
          </w:tcPr>
          <w:p w14:paraId="064B6121"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245</w:t>
            </w:r>
          </w:p>
        </w:tc>
        <w:tc>
          <w:tcPr>
            <w:tcW w:w="939" w:type="dxa"/>
            <w:tcBorders>
              <w:top w:val="nil"/>
              <w:left w:val="nil"/>
              <w:bottom w:val="single" w:sz="4" w:space="0" w:color="auto"/>
              <w:right w:val="nil"/>
            </w:tcBorders>
            <w:shd w:val="clear" w:color="auto" w:fill="auto"/>
            <w:noWrap/>
            <w:vAlign w:val="bottom"/>
            <w:hideMark/>
          </w:tcPr>
          <w:p w14:paraId="14D9D5E1"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246</w:t>
            </w:r>
          </w:p>
        </w:tc>
        <w:tc>
          <w:tcPr>
            <w:tcW w:w="939" w:type="dxa"/>
            <w:tcBorders>
              <w:top w:val="nil"/>
              <w:left w:val="nil"/>
              <w:bottom w:val="single" w:sz="4" w:space="0" w:color="auto"/>
              <w:right w:val="nil"/>
            </w:tcBorders>
            <w:shd w:val="clear" w:color="auto" w:fill="auto"/>
            <w:noWrap/>
            <w:vAlign w:val="bottom"/>
            <w:hideMark/>
          </w:tcPr>
          <w:p w14:paraId="03EED6A2"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266</w:t>
            </w:r>
          </w:p>
        </w:tc>
        <w:tc>
          <w:tcPr>
            <w:tcW w:w="939" w:type="dxa"/>
            <w:tcBorders>
              <w:top w:val="nil"/>
              <w:left w:val="nil"/>
              <w:bottom w:val="single" w:sz="4" w:space="0" w:color="auto"/>
              <w:right w:val="nil"/>
            </w:tcBorders>
            <w:shd w:val="clear" w:color="auto" w:fill="auto"/>
            <w:noWrap/>
            <w:vAlign w:val="bottom"/>
            <w:hideMark/>
          </w:tcPr>
          <w:p w14:paraId="7CACB9A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288</w:t>
            </w:r>
          </w:p>
        </w:tc>
      </w:tr>
      <w:tr w:rsidR="00D317C4" w:rsidRPr="00D317C4" w14:paraId="09EDB99E" w14:textId="77777777" w:rsidTr="00612DBE">
        <w:trPr>
          <w:trHeight w:val="454"/>
          <w:jc w:val="center"/>
        </w:trPr>
        <w:tc>
          <w:tcPr>
            <w:tcW w:w="3203" w:type="dxa"/>
            <w:tcBorders>
              <w:top w:val="nil"/>
              <w:left w:val="nil"/>
              <w:bottom w:val="nil"/>
              <w:right w:val="nil"/>
            </w:tcBorders>
            <w:shd w:val="clear" w:color="auto" w:fill="auto"/>
            <w:vAlign w:val="bottom"/>
            <w:hideMark/>
          </w:tcPr>
          <w:p w14:paraId="2926BCDC" w14:textId="77777777" w:rsidR="00D317C4" w:rsidRPr="00D317C4" w:rsidRDefault="00D317C4" w:rsidP="00D317C4">
            <w:pPr>
              <w:spacing w:before="0" w:after="0" w:line="240" w:lineRule="auto"/>
              <w:ind w:leftChars="75" w:left="143"/>
              <w:rPr>
                <w:rFonts w:ascii="Arial" w:hAnsi="Arial" w:cs="Arial"/>
                <w:b/>
                <w:bCs/>
                <w:color w:val="000000"/>
                <w:sz w:val="16"/>
                <w:szCs w:val="16"/>
              </w:rPr>
            </w:pPr>
            <w:r w:rsidRPr="00D317C4">
              <w:rPr>
                <w:rFonts w:ascii="Arial" w:hAnsi="Arial" w:cs="Arial"/>
                <w:b/>
                <w:bCs/>
                <w:color w:val="000000"/>
                <w:sz w:val="16"/>
                <w:szCs w:val="16"/>
              </w:rPr>
              <w:t>Net cash from (or used by) financing activities</w:t>
            </w:r>
          </w:p>
        </w:tc>
        <w:tc>
          <w:tcPr>
            <w:tcW w:w="925" w:type="dxa"/>
            <w:tcBorders>
              <w:top w:val="nil"/>
              <w:left w:val="nil"/>
              <w:bottom w:val="single" w:sz="4" w:space="0" w:color="auto"/>
              <w:right w:val="nil"/>
            </w:tcBorders>
            <w:shd w:val="clear" w:color="auto" w:fill="auto"/>
            <w:noWrap/>
            <w:vAlign w:val="bottom"/>
            <w:hideMark/>
          </w:tcPr>
          <w:p w14:paraId="4E2818E4"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(252)</w:t>
            </w:r>
          </w:p>
        </w:tc>
        <w:tc>
          <w:tcPr>
            <w:tcW w:w="935" w:type="dxa"/>
            <w:tcBorders>
              <w:top w:val="nil"/>
              <w:left w:val="nil"/>
              <w:bottom w:val="single" w:sz="4" w:space="0" w:color="auto"/>
              <w:right w:val="nil"/>
            </w:tcBorders>
            <w:shd w:val="clear" w:color="000000" w:fill="D9D9D9"/>
            <w:noWrap/>
            <w:vAlign w:val="bottom"/>
            <w:hideMark/>
          </w:tcPr>
          <w:p w14:paraId="734FBBEA"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27</w:t>
            </w:r>
          </w:p>
        </w:tc>
        <w:tc>
          <w:tcPr>
            <w:tcW w:w="939" w:type="dxa"/>
            <w:tcBorders>
              <w:top w:val="nil"/>
              <w:left w:val="nil"/>
              <w:bottom w:val="single" w:sz="4" w:space="0" w:color="auto"/>
              <w:right w:val="nil"/>
            </w:tcBorders>
            <w:shd w:val="clear" w:color="auto" w:fill="auto"/>
            <w:noWrap/>
            <w:vAlign w:val="bottom"/>
            <w:hideMark/>
          </w:tcPr>
          <w:p w14:paraId="54E8FF16"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34</w:t>
            </w:r>
          </w:p>
        </w:tc>
        <w:tc>
          <w:tcPr>
            <w:tcW w:w="939" w:type="dxa"/>
            <w:tcBorders>
              <w:top w:val="nil"/>
              <w:left w:val="nil"/>
              <w:bottom w:val="single" w:sz="4" w:space="0" w:color="auto"/>
              <w:right w:val="nil"/>
            </w:tcBorders>
            <w:shd w:val="clear" w:color="auto" w:fill="auto"/>
            <w:noWrap/>
            <w:vAlign w:val="bottom"/>
            <w:hideMark/>
          </w:tcPr>
          <w:p w14:paraId="098ECB3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16</w:t>
            </w:r>
          </w:p>
        </w:tc>
        <w:tc>
          <w:tcPr>
            <w:tcW w:w="939" w:type="dxa"/>
            <w:tcBorders>
              <w:top w:val="nil"/>
              <w:left w:val="nil"/>
              <w:bottom w:val="single" w:sz="4" w:space="0" w:color="auto"/>
              <w:right w:val="nil"/>
            </w:tcBorders>
            <w:shd w:val="clear" w:color="auto" w:fill="auto"/>
            <w:noWrap/>
            <w:vAlign w:val="bottom"/>
            <w:hideMark/>
          </w:tcPr>
          <w:p w14:paraId="461760EA"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(3)</w:t>
            </w:r>
          </w:p>
        </w:tc>
      </w:tr>
      <w:tr w:rsidR="00D317C4" w:rsidRPr="00D317C4" w14:paraId="50164343" w14:textId="77777777" w:rsidTr="00612DBE">
        <w:trPr>
          <w:trHeight w:val="425"/>
          <w:jc w:val="center"/>
        </w:trPr>
        <w:tc>
          <w:tcPr>
            <w:tcW w:w="3203" w:type="dxa"/>
            <w:tcBorders>
              <w:top w:val="nil"/>
              <w:left w:val="nil"/>
              <w:bottom w:val="nil"/>
              <w:right w:val="nil"/>
            </w:tcBorders>
            <w:shd w:val="clear" w:color="auto" w:fill="auto"/>
            <w:vAlign w:val="bottom"/>
            <w:hideMark/>
          </w:tcPr>
          <w:p w14:paraId="7FF6963F" w14:textId="77777777" w:rsidR="00D317C4" w:rsidRPr="00D317C4" w:rsidRDefault="00D317C4" w:rsidP="00D317C4">
            <w:pPr>
              <w:spacing w:before="0" w:after="0" w:line="240" w:lineRule="auto"/>
              <w:rPr>
                <w:rFonts w:ascii="Arial" w:hAnsi="Arial" w:cs="Arial"/>
                <w:b/>
                <w:bCs/>
                <w:color w:val="000000"/>
                <w:sz w:val="16"/>
                <w:szCs w:val="16"/>
              </w:rPr>
            </w:pPr>
            <w:r w:rsidRPr="00D317C4">
              <w:rPr>
                <w:rFonts w:ascii="Arial" w:hAnsi="Arial" w:cs="Arial"/>
                <w:b/>
                <w:bCs/>
                <w:color w:val="000000"/>
                <w:sz w:val="16"/>
                <w:szCs w:val="16"/>
              </w:rPr>
              <w:t>Net increase (or decrease) in cash held</w:t>
            </w:r>
          </w:p>
        </w:tc>
        <w:tc>
          <w:tcPr>
            <w:tcW w:w="925" w:type="dxa"/>
            <w:tcBorders>
              <w:top w:val="nil"/>
              <w:left w:val="nil"/>
              <w:bottom w:val="single" w:sz="4" w:space="0" w:color="auto"/>
              <w:right w:val="nil"/>
            </w:tcBorders>
            <w:shd w:val="clear" w:color="auto" w:fill="auto"/>
            <w:noWrap/>
            <w:vAlign w:val="bottom"/>
            <w:hideMark/>
          </w:tcPr>
          <w:p w14:paraId="31EEE367"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8</w:t>
            </w:r>
          </w:p>
        </w:tc>
        <w:tc>
          <w:tcPr>
            <w:tcW w:w="935" w:type="dxa"/>
            <w:tcBorders>
              <w:top w:val="nil"/>
              <w:left w:val="nil"/>
              <w:bottom w:val="single" w:sz="4" w:space="0" w:color="auto"/>
              <w:right w:val="nil"/>
            </w:tcBorders>
            <w:shd w:val="clear" w:color="000000" w:fill="D9D9D9"/>
            <w:noWrap/>
            <w:vAlign w:val="bottom"/>
            <w:hideMark/>
          </w:tcPr>
          <w:p w14:paraId="3496AB47"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w:t>
            </w:r>
          </w:p>
        </w:tc>
        <w:tc>
          <w:tcPr>
            <w:tcW w:w="939" w:type="dxa"/>
            <w:tcBorders>
              <w:top w:val="nil"/>
              <w:left w:val="nil"/>
              <w:bottom w:val="single" w:sz="4" w:space="0" w:color="auto"/>
              <w:right w:val="nil"/>
            </w:tcBorders>
            <w:shd w:val="clear" w:color="auto" w:fill="auto"/>
            <w:noWrap/>
            <w:vAlign w:val="bottom"/>
            <w:hideMark/>
          </w:tcPr>
          <w:p w14:paraId="133599D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w:t>
            </w:r>
          </w:p>
        </w:tc>
        <w:tc>
          <w:tcPr>
            <w:tcW w:w="939" w:type="dxa"/>
            <w:tcBorders>
              <w:top w:val="nil"/>
              <w:left w:val="nil"/>
              <w:bottom w:val="single" w:sz="4" w:space="0" w:color="auto"/>
              <w:right w:val="nil"/>
            </w:tcBorders>
            <w:shd w:val="clear" w:color="auto" w:fill="auto"/>
            <w:noWrap/>
            <w:vAlign w:val="bottom"/>
            <w:hideMark/>
          </w:tcPr>
          <w:p w14:paraId="0A5C6950"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w:t>
            </w:r>
          </w:p>
        </w:tc>
        <w:tc>
          <w:tcPr>
            <w:tcW w:w="939" w:type="dxa"/>
            <w:tcBorders>
              <w:top w:val="nil"/>
              <w:left w:val="nil"/>
              <w:bottom w:val="single" w:sz="4" w:space="0" w:color="auto"/>
              <w:right w:val="nil"/>
            </w:tcBorders>
            <w:shd w:val="clear" w:color="auto" w:fill="auto"/>
            <w:noWrap/>
            <w:vAlign w:val="bottom"/>
            <w:hideMark/>
          </w:tcPr>
          <w:p w14:paraId="1640D41E"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w:t>
            </w:r>
          </w:p>
        </w:tc>
      </w:tr>
      <w:tr w:rsidR="00D317C4" w:rsidRPr="00D317C4" w14:paraId="3677BE20" w14:textId="77777777" w:rsidTr="00612DBE">
        <w:trPr>
          <w:trHeight w:val="425"/>
          <w:jc w:val="center"/>
        </w:trPr>
        <w:tc>
          <w:tcPr>
            <w:tcW w:w="3203" w:type="dxa"/>
            <w:tcBorders>
              <w:top w:val="nil"/>
              <w:left w:val="nil"/>
              <w:bottom w:val="nil"/>
              <w:right w:val="nil"/>
            </w:tcBorders>
            <w:shd w:val="clear" w:color="auto" w:fill="auto"/>
            <w:vAlign w:val="bottom"/>
            <w:hideMark/>
          </w:tcPr>
          <w:p w14:paraId="011F3C4F" w14:textId="77777777" w:rsidR="00D317C4" w:rsidRPr="00D317C4" w:rsidRDefault="00D317C4" w:rsidP="00D317C4">
            <w:pPr>
              <w:spacing w:before="0" w:after="0" w:line="240" w:lineRule="auto"/>
              <w:ind w:leftChars="75" w:left="143"/>
              <w:rPr>
                <w:rFonts w:ascii="Arial" w:hAnsi="Arial" w:cs="Arial"/>
                <w:color w:val="000000"/>
                <w:sz w:val="16"/>
                <w:szCs w:val="16"/>
              </w:rPr>
            </w:pPr>
            <w:r w:rsidRPr="00D317C4">
              <w:rPr>
                <w:rFonts w:ascii="Arial" w:hAnsi="Arial" w:cs="Arial"/>
                <w:color w:val="000000"/>
                <w:sz w:val="16"/>
                <w:szCs w:val="16"/>
              </w:rPr>
              <w:t>Cash and cash equivalents at the beginning of the reporting period</w:t>
            </w:r>
          </w:p>
        </w:tc>
        <w:tc>
          <w:tcPr>
            <w:tcW w:w="925" w:type="dxa"/>
            <w:tcBorders>
              <w:top w:val="nil"/>
              <w:left w:val="nil"/>
              <w:bottom w:val="nil"/>
              <w:right w:val="nil"/>
            </w:tcBorders>
            <w:shd w:val="clear" w:color="auto" w:fill="auto"/>
            <w:noWrap/>
            <w:vAlign w:val="bottom"/>
            <w:hideMark/>
          </w:tcPr>
          <w:p w14:paraId="26594372"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113</w:t>
            </w:r>
          </w:p>
        </w:tc>
        <w:tc>
          <w:tcPr>
            <w:tcW w:w="935" w:type="dxa"/>
            <w:tcBorders>
              <w:top w:val="nil"/>
              <w:left w:val="nil"/>
              <w:bottom w:val="nil"/>
              <w:right w:val="nil"/>
            </w:tcBorders>
            <w:shd w:val="clear" w:color="000000" w:fill="D9D9D9"/>
            <w:noWrap/>
            <w:vAlign w:val="bottom"/>
            <w:hideMark/>
          </w:tcPr>
          <w:p w14:paraId="497D2E5A"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121</w:t>
            </w:r>
          </w:p>
        </w:tc>
        <w:tc>
          <w:tcPr>
            <w:tcW w:w="939" w:type="dxa"/>
            <w:tcBorders>
              <w:top w:val="nil"/>
              <w:left w:val="nil"/>
              <w:bottom w:val="nil"/>
              <w:right w:val="nil"/>
            </w:tcBorders>
            <w:shd w:val="clear" w:color="auto" w:fill="auto"/>
            <w:noWrap/>
            <w:vAlign w:val="bottom"/>
            <w:hideMark/>
          </w:tcPr>
          <w:p w14:paraId="6268120A"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121</w:t>
            </w:r>
          </w:p>
        </w:tc>
        <w:tc>
          <w:tcPr>
            <w:tcW w:w="939" w:type="dxa"/>
            <w:tcBorders>
              <w:top w:val="nil"/>
              <w:left w:val="nil"/>
              <w:bottom w:val="nil"/>
              <w:right w:val="nil"/>
            </w:tcBorders>
            <w:shd w:val="clear" w:color="auto" w:fill="auto"/>
            <w:noWrap/>
            <w:vAlign w:val="bottom"/>
            <w:hideMark/>
          </w:tcPr>
          <w:p w14:paraId="4D88FBF9"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121</w:t>
            </w:r>
          </w:p>
        </w:tc>
        <w:tc>
          <w:tcPr>
            <w:tcW w:w="939" w:type="dxa"/>
            <w:tcBorders>
              <w:top w:val="nil"/>
              <w:left w:val="nil"/>
              <w:bottom w:val="nil"/>
              <w:right w:val="nil"/>
            </w:tcBorders>
            <w:shd w:val="clear" w:color="auto" w:fill="auto"/>
            <w:noWrap/>
            <w:vAlign w:val="bottom"/>
            <w:hideMark/>
          </w:tcPr>
          <w:p w14:paraId="1B376058" w14:textId="77777777" w:rsidR="00D317C4" w:rsidRPr="00D317C4" w:rsidRDefault="00D317C4" w:rsidP="00D317C4">
            <w:pPr>
              <w:spacing w:before="0" w:after="0" w:line="240" w:lineRule="auto"/>
              <w:jc w:val="right"/>
              <w:rPr>
                <w:rFonts w:ascii="Arial" w:hAnsi="Arial" w:cs="Arial"/>
                <w:sz w:val="16"/>
                <w:szCs w:val="16"/>
              </w:rPr>
            </w:pPr>
            <w:r w:rsidRPr="00D317C4">
              <w:rPr>
                <w:rFonts w:ascii="Arial" w:hAnsi="Arial" w:cs="Arial"/>
                <w:sz w:val="16"/>
                <w:szCs w:val="16"/>
              </w:rPr>
              <w:t>121</w:t>
            </w:r>
          </w:p>
        </w:tc>
      </w:tr>
      <w:tr w:rsidR="00D317C4" w:rsidRPr="00D317C4" w14:paraId="624D284F" w14:textId="77777777" w:rsidTr="00612DBE">
        <w:trPr>
          <w:trHeight w:val="454"/>
          <w:jc w:val="center"/>
        </w:trPr>
        <w:tc>
          <w:tcPr>
            <w:tcW w:w="3203" w:type="dxa"/>
            <w:tcBorders>
              <w:top w:val="nil"/>
              <w:left w:val="nil"/>
              <w:bottom w:val="single" w:sz="4" w:space="0" w:color="auto"/>
              <w:right w:val="nil"/>
            </w:tcBorders>
            <w:shd w:val="clear" w:color="auto" w:fill="auto"/>
            <w:vAlign w:val="bottom"/>
            <w:hideMark/>
          </w:tcPr>
          <w:p w14:paraId="2AC5A745" w14:textId="77777777" w:rsidR="00D317C4" w:rsidRPr="00D317C4" w:rsidRDefault="00D317C4" w:rsidP="00D317C4">
            <w:pPr>
              <w:spacing w:before="0" w:after="0" w:line="240" w:lineRule="auto"/>
              <w:rPr>
                <w:rFonts w:ascii="Arial" w:hAnsi="Arial" w:cs="Arial"/>
                <w:b/>
                <w:bCs/>
                <w:color w:val="000000"/>
                <w:sz w:val="16"/>
                <w:szCs w:val="16"/>
              </w:rPr>
            </w:pPr>
            <w:r w:rsidRPr="00D317C4">
              <w:rPr>
                <w:rFonts w:ascii="Arial" w:hAnsi="Arial" w:cs="Arial"/>
                <w:b/>
                <w:bCs/>
                <w:color w:val="000000"/>
                <w:sz w:val="16"/>
                <w:szCs w:val="16"/>
              </w:rPr>
              <w:t>Cash and cash equivalents at the end of the reporting period</w:t>
            </w:r>
          </w:p>
        </w:tc>
        <w:tc>
          <w:tcPr>
            <w:tcW w:w="925" w:type="dxa"/>
            <w:tcBorders>
              <w:top w:val="nil"/>
              <w:left w:val="nil"/>
              <w:bottom w:val="single" w:sz="4" w:space="0" w:color="auto"/>
              <w:right w:val="nil"/>
            </w:tcBorders>
            <w:shd w:val="clear" w:color="auto" w:fill="auto"/>
            <w:noWrap/>
            <w:vAlign w:val="bottom"/>
            <w:hideMark/>
          </w:tcPr>
          <w:p w14:paraId="7BAECD24"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121</w:t>
            </w:r>
          </w:p>
        </w:tc>
        <w:tc>
          <w:tcPr>
            <w:tcW w:w="935" w:type="dxa"/>
            <w:tcBorders>
              <w:top w:val="nil"/>
              <w:left w:val="nil"/>
              <w:bottom w:val="single" w:sz="4" w:space="0" w:color="auto"/>
              <w:right w:val="nil"/>
            </w:tcBorders>
            <w:shd w:val="clear" w:color="000000" w:fill="D9D9D9"/>
            <w:noWrap/>
            <w:vAlign w:val="bottom"/>
            <w:hideMark/>
          </w:tcPr>
          <w:p w14:paraId="7C00DE6D"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121</w:t>
            </w:r>
          </w:p>
        </w:tc>
        <w:tc>
          <w:tcPr>
            <w:tcW w:w="939" w:type="dxa"/>
            <w:tcBorders>
              <w:top w:val="nil"/>
              <w:left w:val="nil"/>
              <w:bottom w:val="single" w:sz="4" w:space="0" w:color="auto"/>
              <w:right w:val="nil"/>
            </w:tcBorders>
            <w:shd w:val="clear" w:color="auto" w:fill="auto"/>
            <w:noWrap/>
            <w:vAlign w:val="bottom"/>
            <w:hideMark/>
          </w:tcPr>
          <w:p w14:paraId="486201A5"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121</w:t>
            </w:r>
          </w:p>
        </w:tc>
        <w:tc>
          <w:tcPr>
            <w:tcW w:w="939" w:type="dxa"/>
            <w:tcBorders>
              <w:top w:val="nil"/>
              <w:left w:val="nil"/>
              <w:bottom w:val="single" w:sz="4" w:space="0" w:color="auto"/>
              <w:right w:val="nil"/>
            </w:tcBorders>
            <w:shd w:val="clear" w:color="auto" w:fill="auto"/>
            <w:noWrap/>
            <w:vAlign w:val="bottom"/>
            <w:hideMark/>
          </w:tcPr>
          <w:p w14:paraId="72E5EF21"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121</w:t>
            </w:r>
          </w:p>
        </w:tc>
        <w:tc>
          <w:tcPr>
            <w:tcW w:w="939" w:type="dxa"/>
            <w:tcBorders>
              <w:top w:val="nil"/>
              <w:left w:val="nil"/>
              <w:bottom w:val="single" w:sz="4" w:space="0" w:color="auto"/>
              <w:right w:val="nil"/>
            </w:tcBorders>
            <w:shd w:val="clear" w:color="auto" w:fill="auto"/>
            <w:noWrap/>
            <w:vAlign w:val="bottom"/>
            <w:hideMark/>
          </w:tcPr>
          <w:p w14:paraId="7A13BD2C" w14:textId="77777777" w:rsidR="00D317C4" w:rsidRPr="00D317C4" w:rsidRDefault="00D317C4" w:rsidP="00D317C4">
            <w:pPr>
              <w:spacing w:before="0" w:after="0" w:line="240" w:lineRule="auto"/>
              <w:jc w:val="right"/>
              <w:rPr>
                <w:rFonts w:ascii="Arial" w:hAnsi="Arial" w:cs="Arial"/>
                <w:b/>
                <w:bCs/>
                <w:sz w:val="16"/>
                <w:szCs w:val="16"/>
              </w:rPr>
            </w:pPr>
            <w:r w:rsidRPr="00D317C4">
              <w:rPr>
                <w:rFonts w:ascii="Arial" w:hAnsi="Arial" w:cs="Arial"/>
                <w:b/>
                <w:bCs/>
                <w:sz w:val="16"/>
                <w:szCs w:val="16"/>
              </w:rPr>
              <w:t>121</w:t>
            </w:r>
          </w:p>
        </w:tc>
      </w:tr>
    </w:tbl>
    <w:p w14:paraId="3D17D7F7" w14:textId="3AAE2F89" w:rsidR="00673430" w:rsidRDefault="00603F85" w:rsidP="00673430">
      <w:pPr>
        <w:pStyle w:val="FootnoteText"/>
        <w:spacing w:before="120"/>
        <w:rPr>
          <w:snapToGrid w:val="0"/>
        </w:rPr>
      </w:pPr>
      <w:r w:rsidRPr="00F807F2">
        <w:rPr>
          <w:snapToGrid w:val="0"/>
        </w:rPr>
        <w:t>DC</w:t>
      </w:r>
      <w:r w:rsidR="00673430">
        <w:rPr>
          <w:snapToGrid w:val="0"/>
        </w:rPr>
        <w:t>B = Departmental Capital Budget</w:t>
      </w:r>
    </w:p>
    <w:p w14:paraId="573FEAFC" w14:textId="44063479" w:rsidR="00603F85" w:rsidRPr="00F807F2" w:rsidRDefault="00603F85" w:rsidP="00673430">
      <w:pPr>
        <w:pStyle w:val="FootnoteText"/>
        <w:rPr>
          <w:snapToGrid w:val="0"/>
        </w:rPr>
      </w:pPr>
      <w:r w:rsidRPr="00F807F2">
        <w:rPr>
          <w:snapToGrid w:val="0"/>
        </w:rPr>
        <w:t>OPA = Official Public Account</w:t>
      </w:r>
      <w:r w:rsidRPr="00F807F2">
        <w:rPr>
          <w:snapToGrid w:val="0"/>
        </w:rPr>
        <w:tab/>
      </w:r>
    </w:p>
    <w:p w14:paraId="4A269917" w14:textId="18C4084B" w:rsidR="00603F85" w:rsidRDefault="00603F85" w:rsidP="00603F85">
      <w:pPr>
        <w:spacing w:before="0" w:after="0" w:line="240" w:lineRule="auto"/>
        <w:rPr>
          <w:rFonts w:ascii="Arial" w:hAnsi="Arial"/>
          <w:b/>
          <w:snapToGrid w:val="0"/>
          <w:sz w:val="20"/>
        </w:rPr>
      </w:pPr>
      <w:r>
        <w:rPr>
          <w:snapToGrid w:val="0"/>
        </w:rPr>
        <w:br w:type="page"/>
      </w:r>
      <w:r w:rsidR="00C95FB5">
        <w:rPr>
          <w:snapToGrid w:val="0"/>
        </w:rPr>
        <w:t xml:space="preserve"> </w:t>
      </w:r>
    </w:p>
    <w:p w14:paraId="45CBF580" w14:textId="77777777" w:rsidR="00603F85" w:rsidRDefault="00603F85" w:rsidP="00603F85">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768" w:type="dxa"/>
        <w:jc w:val="center"/>
        <w:tblLayout w:type="fixed"/>
        <w:tblLook w:val="04A0" w:firstRow="1" w:lastRow="0" w:firstColumn="1" w:lastColumn="0" w:noHBand="0" w:noVBand="1"/>
      </w:tblPr>
      <w:tblGrid>
        <w:gridCol w:w="3118"/>
        <w:gridCol w:w="930"/>
        <w:gridCol w:w="930"/>
        <w:gridCol w:w="930"/>
        <w:gridCol w:w="930"/>
        <w:gridCol w:w="930"/>
      </w:tblGrid>
      <w:tr w:rsidR="00C95FB5" w:rsidRPr="00F807F2" w14:paraId="6B4CF673" w14:textId="77777777" w:rsidTr="00C95FB5">
        <w:trPr>
          <w:trHeight w:val="737"/>
          <w:jc w:val="center"/>
        </w:trPr>
        <w:tc>
          <w:tcPr>
            <w:tcW w:w="3118" w:type="dxa"/>
            <w:tcBorders>
              <w:top w:val="single" w:sz="4" w:space="0" w:color="auto"/>
              <w:left w:val="nil"/>
              <w:bottom w:val="nil"/>
              <w:right w:val="nil"/>
            </w:tcBorders>
            <w:shd w:val="clear" w:color="000000" w:fill="FFFFFF"/>
            <w:hideMark/>
          </w:tcPr>
          <w:p w14:paraId="3C9609CA" w14:textId="6061C6FC" w:rsidR="00C95FB5" w:rsidRPr="00F807F2" w:rsidRDefault="00C95FB5" w:rsidP="00C95FB5">
            <w:pPr>
              <w:spacing w:before="24" w:after="0" w:line="240" w:lineRule="auto"/>
              <w:jc w:val="right"/>
              <w:rPr>
                <w:rFonts w:ascii="Arial" w:hAnsi="Arial" w:cs="Arial"/>
                <w:sz w:val="16"/>
                <w:szCs w:val="16"/>
              </w:rPr>
            </w:pPr>
            <w:r>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hideMark/>
          </w:tcPr>
          <w:p w14:paraId="63025F80" w14:textId="200E0B9E" w:rsidR="00C95FB5" w:rsidRPr="00F807F2" w:rsidRDefault="00C95FB5" w:rsidP="00C95FB5">
            <w:pPr>
              <w:spacing w:before="24"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Actual</w:t>
            </w:r>
            <w:r>
              <w:rPr>
                <w:rFonts w:ascii="Arial" w:hAnsi="Arial" w:cs="Arial"/>
                <w:b/>
                <w:bCs/>
                <w:sz w:val="16"/>
                <w:szCs w:val="16"/>
              </w:rPr>
              <w:br/>
            </w:r>
            <w:r>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D9D9D9"/>
            <w:hideMark/>
          </w:tcPr>
          <w:p w14:paraId="6D169886" w14:textId="3531FC97" w:rsidR="00C95FB5" w:rsidRPr="00F807F2" w:rsidRDefault="00C95FB5" w:rsidP="00C95FB5">
            <w:pPr>
              <w:spacing w:before="24" w:after="0" w:line="240" w:lineRule="auto"/>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Revised</w:t>
            </w:r>
            <w:r>
              <w:rPr>
                <w:rFonts w:ascii="Arial" w:hAnsi="Arial" w:cs="Arial"/>
                <w:b/>
                <w:bCs/>
                <w:sz w:val="16"/>
                <w:szCs w:val="16"/>
              </w:rPr>
              <w:br/>
              <w:t>Budget</w:t>
            </w:r>
            <w:r>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hideMark/>
          </w:tcPr>
          <w:p w14:paraId="16E64385" w14:textId="2E62F932" w:rsidR="00C95FB5" w:rsidRPr="00F807F2" w:rsidRDefault="00C95FB5" w:rsidP="00C95FB5">
            <w:pPr>
              <w:spacing w:before="24" w:after="0" w:line="240" w:lineRule="auto"/>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30" w:type="dxa"/>
            <w:tcBorders>
              <w:top w:val="single" w:sz="4" w:space="0" w:color="auto"/>
              <w:left w:val="nil"/>
              <w:bottom w:val="single" w:sz="4" w:space="0" w:color="auto"/>
              <w:right w:val="nil"/>
            </w:tcBorders>
            <w:shd w:val="clear" w:color="auto" w:fill="auto"/>
            <w:hideMark/>
          </w:tcPr>
          <w:p w14:paraId="1AB8FC17" w14:textId="5E4BA152" w:rsidR="00C95FB5" w:rsidRPr="00F807F2" w:rsidRDefault="00C95FB5" w:rsidP="00C95FB5">
            <w:pPr>
              <w:spacing w:before="24" w:after="0" w:line="240" w:lineRule="auto"/>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c>
          <w:tcPr>
            <w:tcW w:w="930" w:type="dxa"/>
            <w:tcBorders>
              <w:top w:val="single" w:sz="4" w:space="0" w:color="auto"/>
              <w:left w:val="nil"/>
              <w:bottom w:val="single" w:sz="4" w:space="0" w:color="auto"/>
              <w:right w:val="nil"/>
            </w:tcBorders>
            <w:shd w:val="clear" w:color="auto" w:fill="auto"/>
            <w:hideMark/>
          </w:tcPr>
          <w:p w14:paraId="45ABCFBA" w14:textId="3D60509B" w:rsidR="00C95FB5" w:rsidRPr="00F807F2" w:rsidRDefault="00C95FB5" w:rsidP="00C95FB5">
            <w:pPr>
              <w:spacing w:before="24" w:after="0" w:line="240" w:lineRule="auto"/>
              <w:jc w:val="right"/>
              <w:rPr>
                <w:rFonts w:ascii="Arial" w:hAnsi="Arial" w:cs="Arial"/>
                <w:b/>
                <w:bCs/>
                <w:sz w:val="16"/>
                <w:szCs w:val="16"/>
              </w:rPr>
            </w:pPr>
            <w:r>
              <w:rPr>
                <w:rFonts w:ascii="Arial" w:hAnsi="Arial" w:cs="Arial"/>
                <w:b/>
                <w:bCs/>
                <w:sz w:val="16"/>
                <w:szCs w:val="16"/>
              </w:rPr>
              <w:t>2026–27 Forward Estimate</w:t>
            </w:r>
            <w:r>
              <w:rPr>
                <w:rFonts w:ascii="Arial" w:hAnsi="Arial" w:cs="Arial"/>
                <w:b/>
                <w:bCs/>
                <w:sz w:val="16"/>
                <w:szCs w:val="16"/>
              </w:rPr>
              <w:br/>
            </w:r>
            <w:r>
              <w:rPr>
                <w:rFonts w:ascii="Arial" w:hAnsi="Arial" w:cs="Arial"/>
                <w:sz w:val="16"/>
                <w:szCs w:val="16"/>
              </w:rPr>
              <w:t>$'000</w:t>
            </w:r>
          </w:p>
        </w:tc>
      </w:tr>
      <w:tr w:rsidR="00C95FB5" w:rsidRPr="00F807F2" w14:paraId="58037CFF"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0297787E" w14:textId="38F27580" w:rsidR="00C95FB5" w:rsidRPr="00F807F2" w:rsidRDefault="00C95FB5" w:rsidP="00C95FB5">
            <w:pPr>
              <w:spacing w:before="0" w:after="0" w:line="240" w:lineRule="auto"/>
              <w:rPr>
                <w:rFonts w:ascii="Arial" w:hAnsi="Arial" w:cs="Arial"/>
                <w:b/>
                <w:bCs/>
                <w:sz w:val="16"/>
                <w:szCs w:val="16"/>
              </w:rPr>
            </w:pPr>
            <w:r>
              <w:rPr>
                <w:rFonts w:ascii="Arial" w:hAnsi="Arial" w:cs="Arial"/>
                <w:b/>
                <w:bCs/>
                <w:sz w:val="16"/>
                <w:szCs w:val="16"/>
              </w:rPr>
              <w:t>CAPITAL APPROPRIATIONS</w:t>
            </w:r>
          </w:p>
        </w:tc>
        <w:tc>
          <w:tcPr>
            <w:tcW w:w="930" w:type="dxa"/>
            <w:tcBorders>
              <w:top w:val="single" w:sz="4" w:space="0" w:color="auto"/>
              <w:left w:val="nil"/>
              <w:bottom w:val="nil"/>
              <w:right w:val="nil"/>
            </w:tcBorders>
            <w:shd w:val="clear" w:color="000000" w:fill="FFFFFF"/>
            <w:noWrap/>
            <w:vAlign w:val="bottom"/>
            <w:hideMark/>
          </w:tcPr>
          <w:p w14:paraId="07F61DAB" w14:textId="3536481C"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30" w:type="dxa"/>
            <w:tcBorders>
              <w:top w:val="single" w:sz="4" w:space="0" w:color="auto"/>
              <w:left w:val="nil"/>
              <w:bottom w:val="nil"/>
              <w:right w:val="nil"/>
            </w:tcBorders>
            <w:shd w:val="clear" w:color="000000" w:fill="D9D9D9"/>
            <w:noWrap/>
            <w:vAlign w:val="bottom"/>
            <w:hideMark/>
          </w:tcPr>
          <w:p w14:paraId="07DCDCD4" w14:textId="0B3A63DA"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w:t>
            </w:r>
          </w:p>
        </w:tc>
        <w:tc>
          <w:tcPr>
            <w:tcW w:w="930" w:type="dxa"/>
            <w:tcBorders>
              <w:top w:val="single" w:sz="4" w:space="0" w:color="auto"/>
              <w:left w:val="nil"/>
              <w:bottom w:val="nil"/>
              <w:right w:val="nil"/>
            </w:tcBorders>
            <w:shd w:val="clear" w:color="auto" w:fill="auto"/>
            <w:noWrap/>
            <w:vAlign w:val="bottom"/>
            <w:hideMark/>
          </w:tcPr>
          <w:p w14:paraId="3F1061DC" w14:textId="7EFA7F5C"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w:t>
            </w:r>
          </w:p>
        </w:tc>
        <w:tc>
          <w:tcPr>
            <w:tcW w:w="930" w:type="dxa"/>
            <w:tcBorders>
              <w:top w:val="single" w:sz="4" w:space="0" w:color="auto"/>
              <w:left w:val="nil"/>
              <w:bottom w:val="nil"/>
              <w:right w:val="nil"/>
            </w:tcBorders>
            <w:shd w:val="clear" w:color="auto" w:fill="auto"/>
            <w:noWrap/>
            <w:vAlign w:val="bottom"/>
            <w:hideMark/>
          </w:tcPr>
          <w:p w14:paraId="72870FFC" w14:textId="51FB3E4D"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30" w:type="dxa"/>
            <w:tcBorders>
              <w:top w:val="single" w:sz="4" w:space="0" w:color="auto"/>
              <w:left w:val="nil"/>
              <w:bottom w:val="nil"/>
              <w:right w:val="nil"/>
            </w:tcBorders>
            <w:shd w:val="clear" w:color="auto" w:fill="auto"/>
            <w:noWrap/>
            <w:vAlign w:val="bottom"/>
            <w:hideMark/>
          </w:tcPr>
          <w:p w14:paraId="427D3267" w14:textId="300B537E"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r>
      <w:tr w:rsidR="00C95FB5" w:rsidRPr="00F807F2" w14:paraId="73BFCFD2"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18DF2BD7" w14:textId="2C1D03C8"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Capital budget - Bill 1 (DCB)</w:t>
            </w:r>
          </w:p>
        </w:tc>
        <w:tc>
          <w:tcPr>
            <w:tcW w:w="930" w:type="dxa"/>
            <w:tcBorders>
              <w:top w:val="nil"/>
              <w:left w:val="nil"/>
              <w:bottom w:val="nil"/>
              <w:right w:val="nil"/>
            </w:tcBorders>
            <w:shd w:val="clear" w:color="auto" w:fill="auto"/>
            <w:noWrap/>
            <w:vAlign w:val="bottom"/>
            <w:hideMark/>
          </w:tcPr>
          <w:p w14:paraId="44A18B7B" w14:textId="1B0FF5E7"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264</w:t>
            </w:r>
          </w:p>
        </w:tc>
        <w:tc>
          <w:tcPr>
            <w:tcW w:w="930" w:type="dxa"/>
            <w:tcBorders>
              <w:top w:val="nil"/>
              <w:left w:val="nil"/>
              <w:bottom w:val="nil"/>
              <w:right w:val="nil"/>
            </w:tcBorders>
            <w:shd w:val="clear" w:color="000000" w:fill="D9D9D9"/>
            <w:noWrap/>
            <w:vAlign w:val="bottom"/>
            <w:hideMark/>
          </w:tcPr>
          <w:p w14:paraId="0470C641" w14:textId="580A8CB3"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272</w:t>
            </w:r>
          </w:p>
        </w:tc>
        <w:tc>
          <w:tcPr>
            <w:tcW w:w="930" w:type="dxa"/>
            <w:tcBorders>
              <w:top w:val="nil"/>
              <w:left w:val="nil"/>
              <w:bottom w:val="nil"/>
              <w:right w:val="nil"/>
            </w:tcBorders>
            <w:shd w:val="clear" w:color="auto" w:fill="auto"/>
            <w:noWrap/>
            <w:vAlign w:val="bottom"/>
            <w:hideMark/>
          </w:tcPr>
          <w:p w14:paraId="7572538C" w14:textId="3E020D6F"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280</w:t>
            </w:r>
          </w:p>
        </w:tc>
        <w:tc>
          <w:tcPr>
            <w:tcW w:w="930" w:type="dxa"/>
            <w:tcBorders>
              <w:top w:val="nil"/>
              <w:left w:val="nil"/>
              <w:bottom w:val="nil"/>
              <w:right w:val="nil"/>
            </w:tcBorders>
            <w:shd w:val="clear" w:color="auto" w:fill="auto"/>
            <w:noWrap/>
            <w:vAlign w:val="bottom"/>
            <w:hideMark/>
          </w:tcPr>
          <w:p w14:paraId="3DFC1AF2" w14:textId="3D99C495"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282</w:t>
            </w:r>
          </w:p>
        </w:tc>
        <w:tc>
          <w:tcPr>
            <w:tcW w:w="930" w:type="dxa"/>
            <w:tcBorders>
              <w:top w:val="nil"/>
              <w:left w:val="nil"/>
              <w:bottom w:val="nil"/>
              <w:right w:val="nil"/>
            </w:tcBorders>
            <w:shd w:val="clear" w:color="auto" w:fill="auto"/>
            <w:noWrap/>
            <w:vAlign w:val="bottom"/>
            <w:hideMark/>
          </w:tcPr>
          <w:p w14:paraId="0BA27DC6" w14:textId="4EBA3CE7"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285</w:t>
            </w:r>
          </w:p>
        </w:tc>
      </w:tr>
      <w:tr w:rsidR="00C95FB5" w:rsidRPr="00F807F2" w14:paraId="1B0F21A8" w14:textId="77777777" w:rsidTr="00603F85">
        <w:trPr>
          <w:trHeight w:val="227"/>
          <w:jc w:val="center"/>
        </w:trPr>
        <w:tc>
          <w:tcPr>
            <w:tcW w:w="3118" w:type="dxa"/>
            <w:tcBorders>
              <w:top w:val="nil"/>
              <w:left w:val="nil"/>
              <w:bottom w:val="nil"/>
              <w:right w:val="nil"/>
            </w:tcBorders>
            <w:shd w:val="clear" w:color="000000" w:fill="FFFFFF"/>
            <w:noWrap/>
            <w:vAlign w:val="bottom"/>
            <w:hideMark/>
          </w:tcPr>
          <w:p w14:paraId="2094A2A7" w14:textId="1C09DEF5"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Equity injections - Bill 2</w:t>
            </w:r>
          </w:p>
        </w:tc>
        <w:tc>
          <w:tcPr>
            <w:tcW w:w="930" w:type="dxa"/>
            <w:tcBorders>
              <w:top w:val="nil"/>
              <w:left w:val="nil"/>
              <w:bottom w:val="nil"/>
              <w:right w:val="nil"/>
            </w:tcBorders>
            <w:shd w:val="clear" w:color="auto" w:fill="auto"/>
            <w:noWrap/>
            <w:vAlign w:val="bottom"/>
            <w:hideMark/>
          </w:tcPr>
          <w:p w14:paraId="0130A1C9" w14:textId="43BB6A98"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000000" w:fill="D9D9D9"/>
            <w:noWrap/>
            <w:vAlign w:val="bottom"/>
            <w:hideMark/>
          </w:tcPr>
          <w:p w14:paraId="41BB4993" w14:textId="60212135"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9027707" w14:textId="1AE2DB8F"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7E9D18B0" w14:textId="06C579C9"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6BC90D46" w14:textId="3A1543F6"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C95FB5" w:rsidRPr="00F807F2" w14:paraId="68FE2440"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2E8ADAD0" w14:textId="25C1EC96" w:rsidR="00C95FB5" w:rsidRPr="00F807F2" w:rsidRDefault="00C95FB5" w:rsidP="00C95FB5">
            <w:pPr>
              <w:spacing w:before="0" w:after="0" w:line="240" w:lineRule="auto"/>
              <w:ind w:leftChars="75" w:left="143"/>
              <w:rPr>
                <w:rFonts w:ascii="Arial" w:hAnsi="Arial" w:cs="Arial"/>
                <w:b/>
                <w:bCs/>
                <w:sz w:val="16"/>
                <w:szCs w:val="16"/>
              </w:rPr>
            </w:pPr>
            <w:r>
              <w:rPr>
                <w:rFonts w:ascii="Arial" w:hAnsi="Arial" w:cs="Arial"/>
                <w:b/>
                <w:bCs/>
                <w:sz w:val="16"/>
                <w:szCs w:val="16"/>
              </w:rPr>
              <w:t>Total capital appropriations</w:t>
            </w:r>
          </w:p>
        </w:tc>
        <w:tc>
          <w:tcPr>
            <w:tcW w:w="930" w:type="dxa"/>
            <w:tcBorders>
              <w:top w:val="nil"/>
              <w:left w:val="nil"/>
              <w:bottom w:val="single" w:sz="4" w:space="0" w:color="auto"/>
              <w:right w:val="nil"/>
            </w:tcBorders>
            <w:shd w:val="clear" w:color="auto" w:fill="auto"/>
            <w:noWrap/>
            <w:vAlign w:val="bottom"/>
            <w:hideMark/>
          </w:tcPr>
          <w:p w14:paraId="1FF91A8E" w14:textId="15F74BD1"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264</w:t>
            </w:r>
          </w:p>
        </w:tc>
        <w:tc>
          <w:tcPr>
            <w:tcW w:w="930" w:type="dxa"/>
            <w:tcBorders>
              <w:top w:val="nil"/>
              <w:left w:val="nil"/>
              <w:bottom w:val="single" w:sz="4" w:space="0" w:color="auto"/>
              <w:right w:val="nil"/>
            </w:tcBorders>
            <w:shd w:val="clear" w:color="000000" w:fill="D9D9D9"/>
            <w:noWrap/>
            <w:vAlign w:val="bottom"/>
            <w:hideMark/>
          </w:tcPr>
          <w:p w14:paraId="327C8DE2" w14:textId="4CBF4E4B"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272</w:t>
            </w:r>
          </w:p>
        </w:tc>
        <w:tc>
          <w:tcPr>
            <w:tcW w:w="930" w:type="dxa"/>
            <w:tcBorders>
              <w:top w:val="nil"/>
              <w:left w:val="nil"/>
              <w:bottom w:val="single" w:sz="4" w:space="0" w:color="auto"/>
              <w:right w:val="nil"/>
            </w:tcBorders>
            <w:shd w:val="clear" w:color="auto" w:fill="auto"/>
            <w:noWrap/>
            <w:vAlign w:val="bottom"/>
            <w:hideMark/>
          </w:tcPr>
          <w:p w14:paraId="6F5BD7D6" w14:textId="35A60671"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280</w:t>
            </w:r>
          </w:p>
        </w:tc>
        <w:tc>
          <w:tcPr>
            <w:tcW w:w="930" w:type="dxa"/>
            <w:tcBorders>
              <w:top w:val="nil"/>
              <w:left w:val="nil"/>
              <w:bottom w:val="single" w:sz="4" w:space="0" w:color="auto"/>
              <w:right w:val="nil"/>
            </w:tcBorders>
            <w:shd w:val="clear" w:color="auto" w:fill="auto"/>
            <w:noWrap/>
            <w:vAlign w:val="bottom"/>
            <w:hideMark/>
          </w:tcPr>
          <w:p w14:paraId="31742A8C" w14:textId="0D03544C"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282</w:t>
            </w:r>
          </w:p>
        </w:tc>
        <w:tc>
          <w:tcPr>
            <w:tcW w:w="930" w:type="dxa"/>
            <w:tcBorders>
              <w:top w:val="nil"/>
              <w:left w:val="nil"/>
              <w:bottom w:val="single" w:sz="4" w:space="0" w:color="auto"/>
              <w:right w:val="nil"/>
            </w:tcBorders>
            <w:shd w:val="clear" w:color="auto" w:fill="auto"/>
            <w:noWrap/>
            <w:vAlign w:val="bottom"/>
            <w:hideMark/>
          </w:tcPr>
          <w:p w14:paraId="509115CC" w14:textId="5DE437C9"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285</w:t>
            </w:r>
          </w:p>
        </w:tc>
      </w:tr>
      <w:tr w:rsidR="00C95FB5" w:rsidRPr="00F807F2" w14:paraId="4DE10113" w14:textId="77777777" w:rsidTr="00603F85">
        <w:trPr>
          <w:trHeight w:val="454"/>
          <w:jc w:val="center"/>
        </w:trPr>
        <w:tc>
          <w:tcPr>
            <w:tcW w:w="3118" w:type="dxa"/>
            <w:tcBorders>
              <w:top w:val="nil"/>
              <w:left w:val="nil"/>
              <w:bottom w:val="nil"/>
              <w:right w:val="nil"/>
            </w:tcBorders>
            <w:shd w:val="clear" w:color="000000" w:fill="FFFFFF"/>
            <w:vAlign w:val="bottom"/>
            <w:hideMark/>
          </w:tcPr>
          <w:p w14:paraId="78C18FBA" w14:textId="19B18198" w:rsidR="00C95FB5" w:rsidRPr="00F807F2" w:rsidRDefault="00C95FB5" w:rsidP="00C95FB5">
            <w:pPr>
              <w:spacing w:before="0" w:after="0" w:line="240" w:lineRule="auto"/>
              <w:rPr>
                <w:rFonts w:ascii="Arial" w:hAnsi="Arial" w:cs="Arial"/>
                <w:b/>
                <w:bCs/>
                <w:sz w:val="16"/>
                <w:szCs w:val="16"/>
              </w:rPr>
            </w:pPr>
            <w:r>
              <w:rPr>
                <w:rFonts w:ascii="Arial" w:hAnsi="Arial" w:cs="Arial"/>
                <w:b/>
                <w:bCs/>
                <w:sz w:val="16"/>
                <w:szCs w:val="16"/>
              </w:rPr>
              <w:t>Total new capital appropriations represented by:</w:t>
            </w:r>
          </w:p>
        </w:tc>
        <w:tc>
          <w:tcPr>
            <w:tcW w:w="930" w:type="dxa"/>
            <w:tcBorders>
              <w:top w:val="nil"/>
              <w:left w:val="nil"/>
              <w:bottom w:val="nil"/>
              <w:right w:val="nil"/>
            </w:tcBorders>
            <w:shd w:val="clear" w:color="000000" w:fill="FFFFFF"/>
            <w:noWrap/>
            <w:vAlign w:val="bottom"/>
            <w:hideMark/>
          </w:tcPr>
          <w:p w14:paraId="34B3C2AA" w14:textId="35CA366B"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30" w:type="dxa"/>
            <w:tcBorders>
              <w:top w:val="nil"/>
              <w:left w:val="nil"/>
              <w:bottom w:val="nil"/>
              <w:right w:val="nil"/>
            </w:tcBorders>
            <w:shd w:val="clear" w:color="000000" w:fill="D9D9D9"/>
            <w:noWrap/>
            <w:vAlign w:val="bottom"/>
            <w:hideMark/>
          </w:tcPr>
          <w:p w14:paraId="6F3FC367" w14:textId="0DBD98D4"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30" w:type="dxa"/>
            <w:tcBorders>
              <w:top w:val="nil"/>
              <w:left w:val="nil"/>
              <w:bottom w:val="nil"/>
              <w:right w:val="nil"/>
            </w:tcBorders>
            <w:shd w:val="clear" w:color="auto" w:fill="auto"/>
            <w:noWrap/>
            <w:vAlign w:val="bottom"/>
            <w:hideMark/>
          </w:tcPr>
          <w:p w14:paraId="7C3849D7" w14:textId="77777777" w:rsidR="00C95FB5" w:rsidRPr="00F807F2" w:rsidRDefault="00C95FB5" w:rsidP="00C95FB5">
            <w:pPr>
              <w:spacing w:before="0" w:after="0" w:line="240" w:lineRule="auto"/>
              <w:jc w:val="right"/>
              <w:rPr>
                <w:rFonts w:ascii="Arial" w:hAnsi="Arial" w:cs="Arial"/>
                <w:color w:val="000000"/>
                <w:sz w:val="16"/>
                <w:szCs w:val="16"/>
              </w:rPr>
            </w:pPr>
          </w:p>
        </w:tc>
        <w:tc>
          <w:tcPr>
            <w:tcW w:w="930" w:type="dxa"/>
            <w:tcBorders>
              <w:top w:val="nil"/>
              <w:left w:val="nil"/>
              <w:bottom w:val="nil"/>
              <w:right w:val="nil"/>
            </w:tcBorders>
            <w:shd w:val="clear" w:color="auto" w:fill="auto"/>
            <w:noWrap/>
            <w:vAlign w:val="bottom"/>
            <w:hideMark/>
          </w:tcPr>
          <w:p w14:paraId="1675AE06" w14:textId="77777777" w:rsidR="00C95FB5" w:rsidRPr="00F807F2" w:rsidRDefault="00C95FB5" w:rsidP="00C95FB5">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BA1EBD4" w14:textId="77777777" w:rsidR="00C95FB5" w:rsidRPr="00F807F2" w:rsidRDefault="00C95FB5" w:rsidP="00C95FB5">
            <w:pPr>
              <w:spacing w:before="0" w:after="0" w:line="240" w:lineRule="auto"/>
              <w:jc w:val="right"/>
              <w:rPr>
                <w:rFonts w:ascii="Times New Roman" w:hAnsi="Times New Roman"/>
                <w:sz w:val="20"/>
              </w:rPr>
            </w:pPr>
          </w:p>
        </w:tc>
      </w:tr>
      <w:tr w:rsidR="00C95FB5" w:rsidRPr="00F807F2" w14:paraId="47DDA111"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4BF326AB" w14:textId="3E4B6D88"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Purchase of non-financial assets</w:t>
            </w:r>
          </w:p>
        </w:tc>
        <w:tc>
          <w:tcPr>
            <w:tcW w:w="930" w:type="dxa"/>
            <w:tcBorders>
              <w:top w:val="nil"/>
              <w:left w:val="nil"/>
              <w:bottom w:val="nil"/>
              <w:right w:val="nil"/>
            </w:tcBorders>
            <w:shd w:val="clear" w:color="auto" w:fill="auto"/>
            <w:noWrap/>
            <w:vAlign w:val="bottom"/>
            <w:hideMark/>
          </w:tcPr>
          <w:p w14:paraId="4A1F561F" w14:textId="52B8AE3F"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264</w:t>
            </w:r>
          </w:p>
        </w:tc>
        <w:tc>
          <w:tcPr>
            <w:tcW w:w="930" w:type="dxa"/>
            <w:tcBorders>
              <w:top w:val="nil"/>
              <w:left w:val="nil"/>
              <w:bottom w:val="nil"/>
              <w:right w:val="nil"/>
            </w:tcBorders>
            <w:shd w:val="clear" w:color="000000" w:fill="D9D9D9"/>
            <w:noWrap/>
            <w:vAlign w:val="bottom"/>
            <w:hideMark/>
          </w:tcPr>
          <w:p w14:paraId="2F37C199" w14:textId="5D893EB1"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272</w:t>
            </w:r>
          </w:p>
        </w:tc>
        <w:tc>
          <w:tcPr>
            <w:tcW w:w="930" w:type="dxa"/>
            <w:tcBorders>
              <w:top w:val="nil"/>
              <w:left w:val="nil"/>
              <w:bottom w:val="nil"/>
              <w:right w:val="nil"/>
            </w:tcBorders>
            <w:shd w:val="clear" w:color="auto" w:fill="auto"/>
            <w:noWrap/>
            <w:vAlign w:val="bottom"/>
            <w:hideMark/>
          </w:tcPr>
          <w:p w14:paraId="090AD85C" w14:textId="57137A25"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280</w:t>
            </w:r>
          </w:p>
        </w:tc>
        <w:tc>
          <w:tcPr>
            <w:tcW w:w="930" w:type="dxa"/>
            <w:tcBorders>
              <w:top w:val="nil"/>
              <w:left w:val="nil"/>
              <w:bottom w:val="nil"/>
              <w:right w:val="nil"/>
            </w:tcBorders>
            <w:shd w:val="clear" w:color="auto" w:fill="auto"/>
            <w:noWrap/>
            <w:vAlign w:val="bottom"/>
            <w:hideMark/>
          </w:tcPr>
          <w:p w14:paraId="001B09BB" w14:textId="72298AED"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282</w:t>
            </w:r>
          </w:p>
        </w:tc>
        <w:tc>
          <w:tcPr>
            <w:tcW w:w="930" w:type="dxa"/>
            <w:tcBorders>
              <w:top w:val="nil"/>
              <w:left w:val="nil"/>
              <w:bottom w:val="nil"/>
              <w:right w:val="nil"/>
            </w:tcBorders>
            <w:shd w:val="clear" w:color="auto" w:fill="auto"/>
            <w:noWrap/>
            <w:vAlign w:val="bottom"/>
            <w:hideMark/>
          </w:tcPr>
          <w:p w14:paraId="28510947" w14:textId="736AE2BC"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285</w:t>
            </w:r>
          </w:p>
        </w:tc>
      </w:tr>
      <w:tr w:rsidR="00C95FB5" w:rsidRPr="00F807F2" w14:paraId="53990CD7"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1C78DADA" w14:textId="37C1F7F2" w:rsidR="00C95FB5" w:rsidRPr="00F807F2" w:rsidRDefault="00C95FB5" w:rsidP="00C95FB5">
            <w:pPr>
              <w:spacing w:before="0" w:after="0" w:line="240" w:lineRule="auto"/>
              <w:ind w:leftChars="75" w:left="143"/>
              <w:rPr>
                <w:rFonts w:ascii="Arial" w:hAnsi="Arial" w:cs="Arial"/>
                <w:b/>
                <w:bCs/>
                <w:sz w:val="16"/>
                <w:szCs w:val="16"/>
              </w:rPr>
            </w:pPr>
            <w:r>
              <w:rPr>
                <w:rFonts w:ascii="Arial" w:hAnsi="Arial" w:cs="Arial"/>
                <w:b/>
                <w:bCs/>
                <w:sz w:val="16"/>
                <w:szCs w:val="16"/>
              </w:rPr>
              <w:t>Total items</w:t>
            </w:r>
          </w:p>
        </w:tc>
        <w:tc>
          <w:tcPr>
            <w:tcW w:w="930" w:type="dxa"/>
            <w:tcBorders>
              <w:top w:val="nil"/>
              <w:left w:val="nil"/>
              <w:bottom w:val="single" w:sz="4" w:space="0" w:color="auto"/>
              <w:right w:val="nil"/>
            </w:tcBorders>
            <w:shd w:val="clear" w:color="auto" w:fill="auto"/>
            <w:noWrap/>
            <w:vAlign w:val="bottom"/>
            <w:hideMark/>
          </w:tcPr>
          <w:p w14:paraId="63709038" w14:textId="08266A9C"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264</w:t>
            </w:r>
          </w:p>
        </w:tc>
        <w:tc>
          <w:tcPr>
            <w:tcW w:w="930" w:type="dxa"/>
            <w:tcBorders>
              <w:top w:val="nil"/>
              <w:left w:val="nil"/>
              <w:bottom w:val="single" w:sz="4" w:space="0" w:color="auto"/>
              <w:right w:val="nil"/>
            </w:tcBorders>
            <w:shd w:val="clear" w:color="000000" w:fill="D9D9D9"/>
            <w:noWrap/>
            <w:vAlign w:val="bottom"/>
            <w:hideMark/>
          </w:tcPr>
          <w:p w14:paraId="7059A8EE" w14:textId="2C31CEBA"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272</w:t>
            </w:r>
          </w:p>
        </w:tc>
        <w:tc>
          <w:tcPr>
            <w:tcW w:w="930" w:type="dxa"/>
            <w:tcBorders>
              <w:top w:val="nil"/>
              <w:left w:val="nil"/>
              <w:bottom w:val="single" w:sz="4" w:space="0" w:color="auto"/>
              <w:right w:val="nil"/>
            </w:tcBorders>
            <w:shd w:val="clear" w:color="auto" w:fill="auto"/>
            <w:noWrap/>
            <w:vAlign w:val="bottom"/>
            <w:hideMark/>
          </w:tcPr>
          <w:p w14:paraId="3AB2A494" w14:textId="2B2D47BF"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280</w:t>
            </w:r>
          </w:p>
        </w:tc>
        <w:tc>
          <w:tcPr>
            <w:tcW w:w="930" w:type="dxa"/>
            <w:tcBorders>
              <w:top w:val="nil"/>
              <w:left w:val="nil"/>
              <w:bottom w:val="single" w:sz="4" w:space="0" w:color="auto"/>
              <w:right w:val="nil"/>
            </w:tcBorders>
            <w:shd w:val="clear" w:color="auto" w:fill="auto"/>
            <w:noWrap/>
            <w:vAlign w:val="bottom"/>
            <w:hideMark/>
          </w:tcPr>
          <w:p w14:paraId="72608DD1" w14:textId="6A2EC39E"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282</w:t>
            </w:r>
          </w:p>
        </w:tc>
        <w:tc>
          <w:tcPr>
            <w:tcW w:w="930" w:type="dxa"/>
            <w:tcBorders>
              <w:top w:val="nil"/>
              <w:left w:val="nil"/>
              <w:bottom w:val="single" w:sz="4" w:space="0" w:color="auto"/>
              <w:right w:val="nil"/>
            </w:tcBorders>
            <w:shd w:val="clear" w:color="auto" w:fill="auto"/>
            <w:noWrap/>
            <w:vAlign w:val="bottom"/>
            <w:hideMark/>
          </w:tcPr>
          <w:p w14:paraId="7D2D72C6" w14:textId="46974160"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285</w:t>
            </w:r>
          </w:p>
        </w:tc>
      </w:tr>
      <w:tr w:rsidR="00C95FB5" w:rsidRPr="00F807F2" w14:paraId="15D079E3" w14:textId="77777777" w:rsidTr="00603F85">
        <w:trPr>
          <w:trHeight w:val="454"/>
          <w:jc w:val="center"/>
        </w:trPr>
        <w:tc>
          <w:tcPr>
            <w:tcW w:w="3118" w:type="dxa"/>
            <w:tcBorders>
              <w:top w:val="nil"/>
              <w:left w:val="nil"/>
              <w:bottom w:val="nil"/>
              <w:right w:val="nil"/>
            </w:tcBorders>
            <w:shd w:val="clear" w:color="000000" w:fill="FFFFFF"/>
            <w:vAlign w:val="bottom"/>
            <w:hideMark/>
          </w:tcPr>
          <w:p w14:paraId="318E7823" w14:textId="1724029A" w:rsidR="00C95FB5" w:rsidRPr="00F807F2" w:rsidRDefault="00C95FB5" w:rsidP="00C95FB5">
            <w:pPr>
              <w:spacing w:before="0" w:after="0" w:line="240" w:lineRule="auto"/>
              <w:rPr>
                <w:rFonts w:ascii="Arial" w:hAnsi="Arial" w:cs="Arial"/>
                <w:b/>
                <w:bCs/>
                <w:sz w:val="16"/>
                <w:szCs w:val="16"/>
              </w:rPr>
            </w:pPr>
            <w:r>
              <w:rPr>
                <w:rFonts w:ascii="Arial" w:hAnsi="Arial" w:cs="Arial"/>
                <w:b/>
                <w:bCs/>
                <w:sz w:val="16"/>
                <w:szCs w:val="16"/>
              </w:rPr>
              <w:t>PURCHASE OF NON-FINANCIAL ASSETS</w:t>
            </w:r>
          </w:p>
        </w:tc>
        <w:tc>
          <w:tcPr>
            <w:tcW w:w="930" w:type="dxa"/>
            <w:tcBorders>
              <w:top w:val="nil"/>
              <w:left w:val="nil"/>
              <w:bottom w:val="nil"/>
              <w:right w:val="nil"/>
            </w:tcBorders>
            <w:shd w:val="clear" w:color="000000" w:fill="FFFFFF"/>
            <w:noWrap/>
            <w:vAlign w:val="bottom"/>
            <w:hideMark/>
          </w:tcPr>
          <w:p w14:paraId="41A39CFF" w14:textId="06C48E22"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30" w:type="dxa"/>
            <w:tcBorders>
              <w:top w:val="nil"/>
              <w:left w:val="nil"/>
              <w:bottom w:val="nil"/>
              <w:right w:val="nil"/>
            </w:tcBorders>
            <w:shd w:val="clear" w:color="000000" w:fill="D9D9D9"/>
            <w:noWrap/>
            <w:vAlign w:val="bottom"/>
            <w:hideMark/>
          </w:tcPr>
          <w:p w14:paraId="3CCACB03" w14:textId="73425B72"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w:t>
            </w:r>
          </w:p>
        </w:tc>
        <w:tc>
          <w:tcPr>
            <w:tcW w:w="930" w:type="dxa"/>
            <w:tcBorders>
              <w:top w:val="nil"/>
              <w:left w:val="nil"/>
              <w:bottom w:val="nil"/>
              <w:right w:val="nil"/>
            </w:tcBorders>
            <w:shd w:val="clear" w:color="auto" w:fill="auto"/>
            <w:noWrap/>
            <w:vAlign w:val="bottom"/>
            <w:hideMark/>
          </w:tcPr>
          <w:p w14:paraId="4ADB0CE7" w14:textId="77777777" w:rsidR="00C95FB5" w:rsidRPr="00F807F2" w:rsidRDefault="00C95FB5" w:rsidP="00C95FB5">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bottom"/>
            <w:hideMark/>
          </w:tcPr>
          <w:p w14:paraId="508AD973" w14:textId="77777777" w:rsidR="00C95FB5" w:rsidRPr="00F807F2" w:rsidRDefault="00C95FB5" w:rsidP="00C95FB5">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9C50151" w14:textId="77777777" w:rsidR="00C95FB5" w:rsidRPr="00F807F2" w:rsidRDefault="00C95FB5" w:rsidP="00C95FB5">
            <w:pPr>
              <w:spacing w:before="0" w:after="0" w:line="240" w:lineRule="auto"/>
              <w:jc w:val="right"/>
              <w:rPr>
                <w:rFonts w:ascii="Times New Roman" w:hAnsi="Times New Roman"/>
                <w:sz w:val="20"/>
              </w:rPr>
            </w:pPr>
          </w:p>
        </w:tc>
      </w:tr>
      <w:tr w:rsidR="00C95FB5" w:rsidRPr="00F807F2" w14:paraId="095E1258" w14:textId="77777777" w:rsidTr="00240BAA">
        <w:trPr>
          <w:trHeight w:val="425"/>
          <w:jc w:val="center"/>
        </w:trPr>
        <w:tc>
          <w:tcPr>
            <w:tcW w:w="3118" w:type="dxa"/>
            <w:tcBorders>
              <w:top w:val="nil"/>
              <w:left w:val="nil"/>
              <w:bottom w:val="nil"/>
              <w:right w:val="nil"/>
            </w:tcBorders>
            <w:shd w:val="clear" w:color="000000" w:fill="FFFFFF"/>
            <w:vAlign w:val="bottom"/>
            <w:hideMark/>
          </w:tcPr>
          <w:p w14:paraId="79E0BDDF" w14:textId="4A36F8A6"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Funded by capital appropriations - equity injection</w:t>
            </w:r>
            <w:r>
              <w:rPr>
                <w:rFonts w:ascii="Arial" w:hAnsi="Arial" w:cs="Arial"/>
                <w:sz w:val="16"/>
                <w:szCs w:val="16"/>
                <w:vertAlign w:val="superscript"/>
              </w:rPr>
              <w:t xml:space="preserve"> (a)</w:t>
            </w:r>
          </w:p>
        </w:tc>
        <w:tc>
          <w:tcPr>
            <w:tcW w:w="930" w:type="dxa"/>
            <w:tcBorders>
              <w:top w:val="nil"/>
              <w:left w:val="nil"/>
              <w:bottom w:val="nil"/>
              <w:right w:val="nil"/>
            </w:tcBorders>
            <w:shd w:val="clear" w:color="auto" w:fill="auto"/>
            <w:noWrap/>
            <w:vAlign w:val="bottom"/>
            <w:hideMark/>
          </w:tcPr>
          <w:p w14:paraId="3DE10DFF" w14:textId="757DF1C6"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000000" w:fill="D9D9D9"/>
            <w:noWrap/>
            <w:vAlign w:val="bottom"/>
            <w:hideMark/>
          </w:tcPr>
          <w:p w14:paraId="7DE2BE62" w14:textId="54ADEFEE"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7EAEB221" w14:textId="65798079"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0EF497FF" w14:textId="6F7448B1"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877DCCA" w14:textId="67958203"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C95FB5" w:rsidRPr="00F807F2" w14:paraId="3C71BBA6" w14:textId="77777777" w:rsidTr="00240BAA">
        <w:trPr>
          <w:trHeight w:val="283"/>
          <w:jc w:val="center"/>
        </w:trPr>
        <w:tc>
          <w:tcPr>
            <w:tcW w:w="3118" w:type="dxa"/>
            <w:tcBorders>
              <w:top w:val="nil"/>
              <w:left w:val="nil"/>
              <w:bottom w:val="nil"/>
              <w:right w:val="nil"/>
            </w:tcBorders>
            <w:shd w:val="clear" w:color="000000" w:fill="FFFFFF"/>
            <w:vAlign w:val="bottom"/>
            <w:hideMark/>
          </w:tcPr>
          <w:p w14:paraId="78F26F17" w14:textId="5D01B1AC"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Funded by capital appropriation - DCB</w:t>
            </w:r>
            <w:r>
              <w:rPr>
                <w:rFonts w:ascii="Arial" w:hAnsi="Arial" w:cs="Arial"/>
                <w:sz w:val="16"/>
                <w:szCs w:val="16"/>
                <w:vertAlign w:val="superscript"/>
              </w:rPr>
              <w:t>(b)</w:t>
            </w:r>
          </w:p>
        </w:tc>
        <w:tc>
          <w:tcPr>
            <w:tcW w:w="930" w:type="dxa"/>
            <w:tcBorders>
              <w:top w:val="nil"/>
              <w:left w:val="nil"/>
              <w:bottom w:val="nil"/>
              <w:right w:val="nil"/>
            </w:tcBorders>
            <w:shd w:val="clear" w:color="auto" w:fill="auto"/>
            <w:noWrap/>
            <w:vAlign w:val="bottom"/>
            <w:hideMark/>
          </w:tcPr>
          <w:p w14:paraId="079CBD3F" w14:textId="6CC43F34"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74</w:t>
            </w:r>
          </w:p>
        </w:tc>
        <w:tc>
          <w:tcPr>
            <w:tcW w:w="930" w:type="dxa"/>
            <w:tcBorders>
              <w:top w:val="nil"/>
              <w:left w:val="nil"/>
              <w:bottom w:val="nil"/>
              <w:right w:val="nil"/>
            </w:tcBorders>
            <w:shd w:val="clear" w:color="000000" w:fill="D9D9D9"/>
            <w:noWrap/>
            <w:vAlign w:val="bottom"/>
            <w:hideMark/>
          </w:tcPr>
          <w:p w14:paraId="2314BEFA" w14:textId="51AEDC96"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272</w:t>
            </w:r>
          </w:p>
        </w:tc>
        <w:tc>
          <w:tcPr>
            <w:tcW w:w="930" w:type="dxa"/>
            <w:tcBorders>
              <w:top w:val="nil"/>
              <w:left w:val="nil"/>
              <w:bottom w:val="nil"/>
              <w:right w:val="nil"/>
            </w:tcBorders>
            <w:shd w:val="clear" w:color="auto" w:fill="auto"/>
            <w:noWrap/>
            <w:vAlign w:val="bottom"/>
            <w:hideMark/>
          </w:tcPr>
          <w:p w14:paraId="6DEF5349" w14:textId="13D0320C"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280</w:t>
            </w:r>
          </w:p>
        </w:tc>
        <w:tc>
          <w:tcPr>
            <w:tcW w:w="930" w:type="dxa"/>
            <w:tcBorders>
              <w:top w:val="nil"/>
              <w:left w:val="nil"/>
              <w:bottom w:val="nil"/>
              <w:right w:val="nil"/>
            </w:tcBorders>
            <w:shd w:val="clear" w:color="auto" w:fill="auto"/>
            <w:noWrap/>
            <w:vAlign w:val="bottom"/>
            <w:hideMark/>
          </w:tcPr>
          <w:p w14:paraId="115B08E4" w14:textId="27086FCA"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282</w:t>
            </w:r>
          </w:p>
        </w:tc>
        <w:tc>
          <w:tcPr>
            <w:tcW w:w="930" w:type="dxa"/>
            <w:tcBorders>
              <w:top w:val="nil"/>
              <w:left w:val="nil"/>
              <w:bottom w:val="nil"/>
              <w:right w:val="nil"/>
            </w:tcBorders>
            <w:shd w:val="clear" w:color="auto" w:fill="auto"/>
            <w:noWrap/>
            <w:vAlign w:val="bottom"/>
            <w:hideMark/>
          </w:tcPr>
          <w:p w14:paraId="6C70BF8F" w14:textId="0BCFE13A"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285</w:t>
            </w:r>
          </w:p>
        </w:tc>
      </w:tr>
      <w:tr w:rsidR="00C95FB5" w:rsidRPr="00F807F2" w14:paraId="7E5BE392" w14:textId="77777777" w:rsidTr="00240BAA">
        <w:trPr>
          <w:trHeight w:val="425"/>
          <w:jc w:val="center"/>
        </w:trPr>
        <w:tc>
          <w:tcPr>
            <w:tcW w:w="3118" w:type="dxa"/>
            <w:tcBorders>
              <w:top w:val="nil"/>
              <w:left w:val="nil"/>
              <w:bottom w:val="nil"/>
              <w:right w:val="nil"/>
            </w:tcBorders>
            <w:shd w:val="clear" w:color="000000" w:fill="FFFFFF"/>
            <w:vAlign w:val="bottom"/>
            <w:hideMark/>
          </w:tcPr>
          <w:p w14:paraId="72389BF4" w14:textId="3C4D7275"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Funded internally from departmental resources</w:t>
            </w:r>
          </w:p>
        </w:tc>
        <w:tc>
          <w:tcPr>
            <w:tcW w:w="930" w:type="dxa"/>
            <w:tcBorders>
              <w:top w:val="nil"/>
              <w:left w:val="nil"/>
              <w:bottom w:val="nil"/>
              <w:right w:val="nil"/>
            </w:tcBorders>
            <w:shd w:val="clear" w:color="auto" w:fill="auto"/>
            <w:noWrap/>
            <w:vAlign w:val="bottom"/>
            <w:hideMark/>
          </w:tcPr>
          <w:p w14:paraId="00C3D8E1" w14:textId="0835A559"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000000" w:fill="D9D9D9"/>
            <w:noWrap/>
            <w:vAlign w:val="bottom"/>
            <w:hideMark/>
          </w:tcPr>
          <w:p w14:paraId="7463DF51" w14:textId="78B5E20F"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2,000</w:t>
            </w:r>
          </w:p>
        </w:tc>
        <w:tc>
          <w:tcPr>
            <w:tcW w:w="930" w:type="dxa"/>
            <w:tcBorders>
              <w:top w:val="nil"/>
              <w:left w:val="nil"/>
              <w:bottom w:val="nil"/>
              <w:right w:val="nil"/>
            </w:tcBorders>
            <w:shd w:val="clear" w:color="auto" w:fill="auto"/>
            <w:noWrap/>
            <w:vAlign w:val="bottom"/>
            <w:hideMark/>
          </w:tcPr>
          <w:p w14:paraId="367B0D61" w14:textId="60BBB567"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29BD1749" w14:textId="3AB991B3"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6330537" w14:textId="27246838"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C95FB5" w:rsidRPr="00F807F2" w14:paraId="075035E9" w14:textId="77777777" w:rsidTr="00603F85">
        <w:trPr>
          <w:trHeight w:val="425"/>
          <w:jc w:val="center"/>
        </w:trPr>
        <w:tc>
          <w:tcPr>
            <w:tcW w:w="3118" w:type="dxa"/>
            <w:tcBorders>
              <w:top w:val="nil"/>
              <w:left w:val="nil"/>
              <w:bottom w:val="nil"/>
              <w:right w:val="nil"/>
            </w:tcBorders>
            <w:shd w:val="clear" w:color="000000" w:fill="FFFFFF"/>
            <w:vAlign w:val="bottom"/>
            <w:hideMark/>
          </w:tcPr>
          <w:p w14:paraId="26365B04" w14:textId="49FEB18B" w:rsidR="00C95FB5" w:rsidRPr="00F807F2" w:rsidRDefault="00C95FB5" w:rsidP="00C95FB5">
            <w:pPr>
              <w:spacing w:before="0" w:after="0" w:line="240" w:lineRule="auto"/>
              <w:ind w:leftChars="75" w:left="143"/>
              <w:rPr>
                <w:rFonts w:ascii="Arial" w:hAnsi="Arial" w:cs="Arial"/>
                <w:b/>
                <w:bCs/>
                <w:sz w:val="16"/>
                <w:szCs w:val="16"/>
              </w:rPr>
            </w:pPr>
            <w:r>
              <w:rPr>
                <w:rFonts w:ascii="Arial" w:hAnsi="Arial" w:cs="Arial"/>
                <w:b/>
                <w:bCs/>
                <w:sz w:val="16"/>
                <w:szCs w:val="16"/>
              </w:rPr>
              <w:t>Total acquisitions of non-financial assets</w:t>
            </w:r>
          </w:p>
        </w:tc>
        <w:tc>
          <w:tcPr>
            <w:tcW w:w="930" w:type="dxa"/>
            <w:tcBorders>
              <w:top w:val="nil"/>
              <w:left w:val="nil"/>
              <w:bottom w:val="single" w:sz="4" w:space="0" w:color="auto"/>
              <w:right w:val="nil"/>
            </w:tcBorders>
            <w:shd w:val="clear" w:color="auto" w:fill="auto"/>
            <w:noWrap/>
            <w:vAlign w:val="bottom"/>
            <w:hideMark/>
          </w:tcPr>
          <w:p w14:paraId="0E4E6F6A" w14:textId="280C15B1"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74</w:t>
            </w:r>
          </w:p>
        </w:tc>
        <w:tc>
          <w:tcPr>
            <w:tcW w:w="930" w:type="dxa"/>
            <w:tcBorders>
              <w:top w:val="nil"/>
              <w:left w:val="nil"/>
              <w:bottom w:val="single" w:sz="4" w:space="0" w:color="auto"/>
              <w:right w:val="nil"/>
            </w:tcBorders>
            <w:shd w:val="clear" w:color="000000" w:fill="D9D9D9"/>
            <w:noWrap/>
            <w:vAlign w:val="bottom"/>
            <w:hideMark/>
          </w:tcPr>
          <w:p w14:paraId="7214E981" w14:textId="53DACA95"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2,272</w:t>
            </w:r>
          </w:p>
        </w:tc>
        <w:tc>
          <w:tcPr>
            <w:tcW w:w="930" w:type="dxa"/>
            <w:tcBorders>
              <w:top w:val="nil"/>
              <w:left w:val="nil"/>
              <w:bottom w:val="single" w:sz="4" w:space="0" w:color="auto"/>
              <w:right w:val="nil"/>
            </w:tcBorders>
            <w:shd w:val="clear" w:color="auto" w:fill="auto"/>
            <w:noWrap/>
            <w:vAlign w:val="bottom"/>
            <w:hideMark/>
          </w:tcPr>
          <w:p w14:paraId="274EFC51" w14:textId="46AB4B12"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280</w:t>
            </w:r>
          </w:p>
        </w:tc>
        <w:tc>
          <w:tcPr>
            <w:tcW w:w="930" w:type="dxa"/>
            <w:tcBorders>
              <w:top w:val="nil"/>
              <w:left w:val="nil"/>
              <w:bottom w:val="single" w:sz="4" w:space="0" w:color="auto"/>
              <w:right w:val="nil"/>
            </w:tcBorders>
            <w:shd w:val="clear" w:color="auto" w:fill="auto"/>
            <w:noWrap/>
            <w:vAlign w:val="bottom"/>
            <w:hideMark/>
          </w:tcPr>
          <w:p w14:paraId="1C326C0C" w14:textId="285A4369"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282</w:t>
            </w:r>
          </w:p>
        </w:tc>
        <w:tc>
          <w:tcPr>
            <w:tcW w:w="930" w:type="dxa"/>
            <w:tcBorders>
              <w:top w:val="nil"/>
              <w:left w:val="nil"/>
              <w:bottom w:val="single" w:sz="4" w:space="0" w:color="auto"/>
              <w:right w:val="nil"/>
            </w:tcBorders>
            <w:shd w:val="clear" w:color="auto" w:fill="auto"/>
            <w:noWrap/>
            <w:vAlign w:val="bottom"/>
            <w:hideMark/>
          </w:tcPr>
          <w:p w14:paraId="5567B9D0" w14:textId="7DFD7FC6"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285</w:t>
            </w:r>
          </w:p>
        </w:tc>
      </w:tr>
      <w:tr w:rsidR="00C95FB5" w:rsidRPr="00F807F2" w14:paraId="5063F949" w14:textId="77777777" w:rsidTr="00603F85">
        <w:trPr>
          <w:trHeight w:val="624"/>
          <w:jc w:val="center"/>
        </w:trPr>
        <w:tc>
          <w:tcPr>
            <w:tcW w:w="3118" w:type="dxa"/>
            <w:tcBorders>
              <w:top w:val="nil"/>
              <w:left w:val="nil"/>
              <w:bottom w:val="nil"/>
              <w:right w:val="nil"/>
            </w:tcBorders>
            <w:shd w:val="clear" w:color="000000" w:fill="FFFFFF"/>
            <w:vAlign w:val="bottom"/>
            <w:hideMark/>
          </w:tcPr>
          <w:p w14:paraId="2B30DADA" w14:textId="20F1F39A" w:rsidR="00C95FB5" w:rsidRPr="00F807F2" w:rsidRDefault="00C95FB5" w:rsidP="00C95FB5">
            <w:pPr>
              <w:spacing w:before="0" w:after="0" w:line="240" w:lineRule="auto"/>
              <w:rPr>
                <w:rFonts w:ascii="Arial" w:hAnsi="Arial" w:cs="Arial"/>
                <w:b/>
                <w:bCs/>
                <w:sz w:val="16"/>
                <w:szCs w:val="16"/>
              </w:rPr>
            </w:pPr>
            <w:r>
              <w:rPr>
                <w:rFonts w:ascii="Arial" w:hAnsi="Arial" w:cs="Arial"/>
                <w:b/>
                <w:bCs/>
                <w:sz w:val="16"/>
                <w:szCs w:val="16"/>
              </w:rPr>
              <w:t>RECONCILIATION OF CASH USED TO ACQUIRE ASSETS TO ASSET MOVEMENT TABLE</w:t>
            </w:r>
          </w:p>
        </w:tc>
        <w:tc>
          <w:tcPr>
            <w:tcW w:w="930" w:type="dxa"/>
            <w:tcBorders>
              <w:top w:val="nil"/>
              <w:left w:val="nil"/>
              <w:bottom w:val="nil"/>
              <w:right w:val="nil"/>
            </w:tcBorders>
            <w:shd w:val="clear" w:color="auto" w:fill="auto"/>
            <w:noWrap/>
            <w:vAlign w:val="bottom"/>
            <w:hideMark/>
          </w:tcPr>
          <w:p w14:paraId="0C48A14F" w14:textId="77777777" w:rsidR="00C95FB5" w:rsidRPr="00F807F2" w:rsidRDefault="00C95FB5" w:rsidP="00C95FB5">
            <w:pPr>
              <w:spacing w:before="0" w:after="0" w:line="240" w:lineRule="auto"/>
              <w:rPr>
                <w:rFonts w:ascii="Arial" w:hAnsi="Arial" w:cs="Arial"/>
                <w:b/>
                <w:bCs/>
                <w:sz w:val="16"/>
                <w:szCs w:val="16"/>
              </w:rPr>
            </w:pPr>
          </w:p>
        </w:tc>
        <w:tc>
          <w:tcPr>
            <w:tcW w:w="930" w:type="dxa"/>
            <w:tcBorders>
              <w:top w:val="nil"/>
              <w:left w:val="nil"/>
              <w:bottom w:val="nil"/>
              <w:right w:val="nil"/>
            </w:tcBorders>
            <w:shd w:val="clear" w:color="000000" w:fill="D9D9D9"/>
            <w:noWrap/>
            <w:vAlign w:val="bottom"/>
            <w:hideMark/>
          </w:tcPr>
          <w:p w14:paraId="59610B72" w14:textId="16F8C961" w:rsidR="00C95FB5" w:rsidRPr="00F807F2" w:rsidRDefault="00C95FB5" w:rsidP="00C95FB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w:t>
            </w:r>
          </w:p>
        </w:tc>
        <w:tc>
          <w:tcPr>
            <w:tcW w:w="930" w:type="dxa"/>
            <w:tcBorders>
              <w:top w:val="nil"/>
              <w:left w:val="nil"/>
              <w:bottom w:val="nil"/>
              <w:right w:val="nil"/>
            </w:tcBorders>
            <w:shd w:val="clear" w:color="auto" w:fill="auto"/>
            <w:noWrap/>
            <w:vAlign w:val="bottom"/>
            <w:hideMark/>
          </w:tcPr>
          <w:p w14:paraId="7B00F3A5" w14:textId="77777777" w:rsidR="00C95FB5" w:rsidRPr="00F807F2" w:rsidRDefault="00C95FB5" w:rsidP="00C95FB5">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bottom"/>
            <w:hideMark/>
          </w:tcPr>
          <w:p w14:paraId="6E8FFBF9" w14:textId="77777777" w:rsidR="00C95FB5" w:rsidRPr="00F807F2" w:rsidRDefault="00C95FB5" w:rsidP="00C95FB5">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4C26330" w14:textId="77777777" w:rsidR="00C95FB5" w:rsidRPr="00F807F2" w:rsidRDefault="00C95FB5" w:rsidP="00C95FB5">
            <w:pPr>
              <w:spacing w:before="0" w:after="0" w:line="240" w:lineRule="auto"/>
              <w:jc w:val="right"/>
              <w:rPr>
                <w:rFonts w:ascii="Times New Roman" w:hAnsi="Times New Roman"/>
                <w:sz w:val="20"/>
              </w:rPr>
            </w:pPr>
          </w:p>
        </w:tc>
      </w:tr>
      <w:tr w:rsidR="00C95FB5" w:rsidRPr="00F807F2" w14:paraId="2204F733" w14:textId="77777777" w:rsidTr="00603F85">
        <w:trPr>
          <w:trHeight w:val="225"/>
          <w:jc w:val="center"/>
        </w:trPr>
        <w:tc>
          <w:tcPr>
            <w:tcW w:w="3118" w:type="dxa"/>
            <w:tcBorders>
              <w:top w:val="nil"/>
              <w:left w:val="nil"/>
              <w:bottom w:val="nil"/>
              <w:right w:val="nil"/>
            </w:tcBorders>
            <w:shd w:val="clear" w:color="000000" w:fill="FFFFFF"/>
            <w:noWrap/>
            <w:vAlign w:val="bottom"/>
            <w:hideMark/>
          </w:tcPr>
          <w:p w14:paraId="265F3EFC" w14:textId="2BAFDB27" w:rsidR="00C95FB5" w:rsidRPr="00F807F2" w:rsidRDefault="00C95FB5" w:rsidP="00C95FB5">
            <w:pPr>
              <w:spacing w:before="0" w:after="0" w:line="240" w:lineRule="auto"/>
              <w:ind w:leftChars="75" w:left="143"/>
              <w:rPr>
                <w:rFonts w:ascii="Arial" w:hAnsi="Arial" w:cs="Arial"/>
                <w:sz w:val="16"/>
                <w:szCs w:val="16"/>
              </w:rPr>
            </w:pPr>
            <w:r>
              <w:rPr>
                <w:rFonts w:ascii="Arial" w:hAnsi="Arial" w:cs="Arial"/>
                <w:sz w:val="16"/>
                <w:szCs w:val="16"/>
              </w:rPr>
              <w:t>Total purchases</w:t>
            </w:r>
          </w:p>
        </w:tc>
        <w:tc>
          <w:tcPr>
            <w:tcW w:w="930" w:type="dxa"/>
            <w:tcBorders>
              <w:top w:val="nil"/>
              <w:left w:val="nil"/>
              <w:bottom w:val="nil"/>
              <w:right w:val="nil"/>
            </w:tcBorders>
            <w:shd w:val="clear" w:color="auto" w:fill="auto"/>
            <w:noWrap/>
            <w:vAlign w:val="bottom"/>
            <w:hideMark/>
          </w:tcPr>
          <w:p w14:paraId="2F001EBE" w14:textId="3DF47C2D"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74</w:t>
            </w:r>
          </w:p>
        </w:tc>
        <w:tc>
          <w:tcPr>
            <w:tcW w:w="930" w:type="dxa"/>
            <w:tcBorders>
              <w:top w:val="nil"/>
              <w:left w:val="nil"/>
              <w:bottom w:val="nil"/>
              <w:right w:val="nil"/>
            </w:tcBorders>
            <w:shd w:val="clear" w:color="000000" w:fill="D9D9D9"/>
            <w:noWrap/>
            <w:vAlign w:val="bottom"/>
            <w:hideMark/>
          </w:tcPr>
          <w:p w14:paraId="32A826A8" w14:textId="00272F6D"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2,272</w:t>
            </w:r>
          </w:p>
        </w:tc>
        <w:tc>
          <w:tcPr>
            <w:tcW w:w="930" w:type="dxa"/>
            <w:tcBorders>
              <w:top w:val="nil"/>
              <w:left w:val="nil"/>
              <w:bottom w:val="nil"/>
              <w:right w:val="nil"/>
            </w:tcBorders>
            <w:shd w:val="clear" w:color="auto" w:fill="auto"/>
            <w:noWrap/>
            <w:vAlign w:val="bottom"/>
            <w:hideMark/>
          </w:tcPr>
          <w:p w14:paraId="77DFC761" w14:textId="62770A6B"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280</w:t>
            </w:r>
          </w:p>
        </w:tc>
        <w:tc>
          <w:tcPr>
            <w:tcW w:w="930" w:type="dxa"/>
            <w:tcBorders>
              <w:top w:val="nil"/>
              <w:left w:val="nil"/>
              <w:bottom w:val="nil"/>
              <w:right w:val="nil"/>
            </w:tcBorders>
            <w:shd w:val="clear" w:color="auto" w:fill="auto"/>
            <w:noWrap/>
            <w:vAlign w:val="bottom"/>
            <w:hideMark/>
          </w:tcPr>
          <w:p w14:paraId="5EF0D7F6" w14:textId="6791FA33"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282</w:t>
            </w:r>
          </w:p>
        </w:tc>
        <w:tc>
          <w:tcPr>
            <w:tcW w:w="930" w:type="dxa"/>
            <w:tcBorders>
              <w:top w:val="nil"/>
              <w:left w:val="nil"/>
              <w:bottom w:val="nil"/>
              <w:right w:val="nil"/>
            </w:tcBorders>
            <w:shd w:val="clear" w:color="auto" w:fill="auto"/>
            <w:noWrap/>
            <w:vAlign w:val="bottom"/>
            <w:hideMark/>
          </w:tcPr>
          <w:p w14:paraId="5899DECB" w14:textId="1B9D9EBC" w:rsidR="00C95FB5" w:rsidRPr="00F807F2" w:rsidRDefault="00C95FB5" w:rsidP="00C95FB5">
            <w:pPr>
              <w:spacing w:before="0" w:after="0" w:line="240" w:lineRule="auto"/>
              <w:jc w:val="right"/>
              <w:rPr>
                <w:rFonts w:ascii="Arial" w:hAnsi="Arial" w:cs="Arial"/>
                <w:color w:val="000000"/>
                <w:sz w:val="16"/>
                <w:szCs w:val="16"/>
              </w:rPr>
            </w:pPr>
            <w:r>
              <w:rPr>
                <w:rFonts w:ascii="Arial" w:hAnsi="Arial" w:cs="Arial"/>
                <w:color w:val="000000"/>
                <w:sz w:val="16"/>
                <w:szCs w:val="16"/>
              </w:rPr>
              <w:t>285</w:t>
            </w:r>
          </w:p>
        </w:tc>
      </w:tr>
      <w:tr w:rsidR="00C95FB5" w:rsidRPr="00F807F2" w14:paraId="6C887DCA" w14:textId="77777777" w:rsidTr="00603F85">
        <w:trPr>
          <w:trHeight w:val="283"/>
          <w:jc w:val="center"/>
        </w:trPr>
        <w:tc>
          <w:tcPr>
            <w:tcW w:w="3118" w:type="dxa"/>
            <w:tcBorders>
              <w:top w:val="nil"/>
              <w:left w:val="nil"/>
              <w:bottom w:val="single" w:sz="4" w:space="0" w:color="auto"/>
              <w:right w:val="nil"/>
            </w:tcBorders>
            <w:shd w:val="clear" w:color="000000" w:fill="FFFFFF"/>
            <w:vAlign w:val="bottom"/>
            <w:hideMark/>
          </w:tcPr>
          <w:p w14:paraId="338C371F" w14:textId="795F04C5" w:rsidR="00C95FB5" w:rsidRPr="00F807F2" w:rsidRDefault="00C95FB5" w:rsidP="00C95FB5">
            <w:pPr>
              <w:spacing w:before="0" w:after="0" w:line="240" w:lineRule="auto"/>
              <w:ind w:leftChars="75" w:left="143"/>
              <w:rPr>
                <w:rFonts w:ascii="Arial" w:hAnsi="Arial" w:cs="Arial"/>
                <w:b/>
                <w:bCs/>
                <w:sz w:val="16"/>
                <w:szCs w:val="16"/>
              </w:rPr>
            </w:pPr>
            <w:r>
              <w:rPr>
                <w:rFonts w:ascii="Arial" w:hAnsi="Arial" w:cs="Arial"/>
                <w:b/>
                <w:bCs/>
                <w:sz w:val="16"/>
                <w:szCs w:val="16"/>
              </w:rPr>
              <w:t>Total cash used to acquire assets</w:t>
            </w:r>
          </w:p>
        </w:tc>
        <w:tc>
          <w:tcPr>
            <w:tcW w:w="930" w:type="dxa"/>
            <w:tcBorders>
              <w:top w:val="nil"/>
              <w:left w:val="nil"/>
              <w:bottom w:val="single" w:sz="4" w:space="0" w:color="auto"/>
              <w:right w:val="nil"/>
            </w:tcBorders>
            <w:shd w:val="clear" w:color="auto" w:fill="auto"/>
            <w:noWrap/>
            <w:vAlign w:val="bottom"/>
            <w:hideMark/>
          </w:tcPr>
          <w:p w14:paraId="252B60B4" w14:textId="35E617F4" w:rsidR="00C95FB5" w:rsidRPr="00F807F2" w:rsidRDefault="00C95FB5" w:rsidP="00C95FB5">
            <w:pPr>
              <w:spacing w:before="0" w:after="0" w:line="240" w:lineRule="auto"/>
              <w:jc w:val="right"/>
              <w:rPr>
                <w:rFonts w:ascii="Arial" w:hAnsi="Arial" w:cs="Arial"/>
                <w:b/>
                <w:bCs/>
                <w:sz w:val="16"/>
                <w:szCs w:val="16"/>
              </w:rPr>
            </w:pPr>
            <w:r>
              <w:rPr>
                <w:rFonts w:ascii="Arial" w:hAnsi="Arial" w:cs="Arial"/>
                <w:b/>
                <w:bCs/>
                <w:sz w:val="16"/>
                <w:szCs w:val="16"/>
              </w:rPr>
              <w:t>74</w:t>
            </w:r>
          </w:p>
        </w:tc>
        <w:tc>
          <w:tcPr>
            <w:tcW w:w="930" w:type="dxa"/>
            <w:tcBorders>
              <w:top w:val="nil"/>
              <w:left w:val="nil"/>
              <w:bottom w:val="single" w:sz="4" w:space="0" w:color="auto"/>
              <w:right w:val="nil"/>
            </w:tcBorders>
            <w:shd w:val="clear" w:color="000000" w:fill="D9D9D9"/>
            <w:noWrap/>
            <w:vAlign w:val="bottom"/>
            <w:hideMark/>
          </w:tcPr>
          <w:p w14:paraId="0C2994F6" w14:textId="2A833C17" w:rsidR="00C95FB5" w:rsidRPr="00F807F2" w:rsidRDefault="00C95FB5" w:rsidP="00C95FB5">
            <w:pPr>
              <w:spacing w:before="0" w:after="0" w:line="240" w:lineRule="auto"/>
              <w:jc w:val="right"/>
              <w:rPr>
                <w:rFonts w:ascii="Arial" w:hAnsi="Arial" w:cs="Arial"/>
                <w:b/>
                <w:bCs/>
                <w:sz w:val="16"/>
                <w:szCs w:val="16"/>
              </w:rPr>
            </w:pPr>
            <w:r>
              <w:rPr>
                <w:rFonts w:ascii="Arial" w:hAnsi="Arial" w:cs="Arial"/>
                <w:b/>
                <w:bCs/>
                <w:sz w:val="16"/>
                <w:szCs w:val="16"/>
              </w:rPr>
              <w:t>2,272</w:t>
            </w:r>
          </w:p>
        </w:tc>
        <w:tc>
          <w:tcPr>
            <w:tcW w:w="930" w:type="dxa"/>
            <w:tcBorders>
              <w:top w:val="nil"/>
              <w:left w:val="nil"/>
              <w:bottom w:val="single" w:sz="4" w:space="0" w:color="auto"/>
              <w:right w:val="nil"/>
            </w:tcBorders>
            <w:shd w:val="clear" w:color="auto" w:fill="auto"/>
            <w:noWrap/>
            <w:vAlign w:val="bottom"/>
            <w:hideMark/>
          </w:tcPr>
          <w:p w14:paraId="3244645B" w14:textId="63112E2C" w:rsidR="00C95FB5" w:rsidRPr="00F807F2" w:rsidRDefault="00C95FB5" w:rsidP="00C95FB5">
            <w:pPr>
              <w:spacing w:before="0" w:after="0" w:line="240" w:lineRule="auto"/>
              <w:jc w:val="right"/>
              <w:rPr>
                <w:rFonts w:ascii="Arial" w:hAnsi="Arial" w:cs="Arial"/>
                <w:b/>
                <w:bCs/>
                <w:sz w:val="16"/>
                <w:szCs w:val="16"/>
              </w:rPr>
            </w:pPr>
            <w:r>
              <w:rPr>
                <w:rFonts w:ascii="Arial" w:hAnsi="Arial" w:cs="Arial"/>
                <w:b/>
                <w:bCs/>
                <w:sz w:val="16"/>
                <w:szCs w:val="16"/>
              </w:rPr>
              <w:t>280</w:t>
            </w:r>
          </w:p>
        </w:tc>
        <w:tc>
          <w:tcPr>
            <w:tcW w:w="930" w:type="dxa"/>
            <w:tcBorders>
              <w:top w:val="nil"/>
              <w:left w:val="nil"/>
              <w:bottom w:val="single" w:sz="4" w:space="0" w:color="auto"/>
              <w:right w:val="nil"/>
            </w:tcBorders>
            <w:shd w:val="clear" w:color="auto" w:fill="auto"/>
            <w:noWrap/>
            <w:vAlign w:val="bottom"/>
            <w:hideMark/>
          </w:tcPr>
          <w:p w14:paraId="04CAB960" w14:textId="1EE86AA5" w:rsidR="00C95FB5" w:rsidRPr="00F807F2" w:rsidRDefault="00C95FB5" w:rsidP="00C95FB5">
            <w:pPr>
              <w:spacing w:before="0" w:after="0" w:line="240" w:lineRule="auto"/>
              <w:jc w:val="right"/>
              <w:rPr>
                <w:rFonts w:ascii="Arial" w:hAnsi="Arial" w:cs="Arial"/>
                <w:b/>
                <w:bCs/>
                <w:sz w:val="16"/>
                <w:szCs w:val="16"/>
              </w:rPr>
            </w:pPr>
            <w:r>
              <w:rPr>
                <w:rFonts w:ascii="Arial" w:hAnsi="Arial" w:cs="Arial"/>
                <w:b/>
                <w:bCs/>
                <w:sz w:val="16"/>
                <w:szCs w:val="16"/>
              </w:rPr>
              <w:t>282</w:t>
            </w:r>
          </w:p>
        </w:tc>
        <w:tc>
          <w:tcPr>
            <w:tcW w:w="930" w:type="dxa"/>
            <w:tcBorders>
              <w:top w:val="nil"/>
              <w:left w:val="nil"/>
              <w:bottom w:val="single" w:sz="4" w:space="0" w:color="auto"/>
              <w:right w:val="nil"/>
            </w:tcBorders>
            <w:shd w:val="clear" w:color="auto" w:fill="auto"/>
            <w:noWrap/>
            <w:vAlign w:val="bottom"/>
            <w:hideMark/>
          </w:tcPr>
          <w:p w14:paraId="703641D5" w14:textId="776144E0" w:rsidR="00C95FB5" w:rsidRPr="00F807F2" w:rsidRDefault="00C95FB5" w:rsidP="00C95FB5">
            <w:pPr>
              <w:spacing w:before="0" w:after="0" w:line="240" w:lineRule="auto"/>
              <w:jc w:val="right"/>
              <w:rPr>
                <w:rFonts w:ascii="Arial" w:hAnsi="Arial" w:cs="Arial"/>
                <w:b/>
                <w:bCs/>
                <w:sz w:val="16"/>
                <w:szCs w:val="16"/>
              </w:rPr>
            </w:pPr>
            <w:r>
              <w:rPr>
                <w:rFonts w:ascii="Arial" w:hAnsi="Arial" w:cs="Arial"/>
                <w:b/>
                <w:bCs/>
                <w:sz w:val="16"/>
                <w:szCs w:val="16"/>
              </w:rPr>
              <w:t>285</w:t>
            </w:r>
          </w:p>
        </w:tc>
      </w:tr>
    </w:tbl>
    <w:p w14:paraId="57C2CDB6" w14:textId="77777777" w:rsidR="00673430" w:rsidRPr="00CA641C" w:rsidRDefault="00603F85" w:rsidP="00673430">
      <w:pPr>
        <w:pStyle w:val="FootnoteText"/>
        <w:rPr>
          <w:szCs w:val="16"/>
        </w:rPr>
      </w:pPr>
      <w:r w:rsidRPr="00CA641C">
        <w:rPr>
          <w:szCs w:val="16"/>
        </w:rPr>
        <w:t>DCB = Departmental Capital Budget</w:t>
      </w:r>
    </w:p>
    <w:p w14:paraId="10641183" w14:textId="77777777" w:rsidR="00673430" w:rsidRPr="00CA641C" w:rsidRDefault="00603F85" w:rsidP="00673430">
      <w:pPr>
        <w:pStyle w:val="FootnoteText"/>
        <w:rPr>
          <w:szCs w:val="16"/>
        </w:rPr>
      </w:pPr>
      <w:r w:rsidRPr="00CA641C">
        <w:rPr>
          <w:szCs w:val="16"/>
          <w:vertAlign w:val="superscript"/>
        </w:rPr>
        <w:t>(a)</w:t>
      </w:r>
      <w:r w:rsidRPr="00CA641C">
        <w:rPr>
          <w:szCs w:val="16"/>
        </w:rPr>
        <w:tab/>
        <w:t>Includes both current Appropriation Bill (No. 2), prior Act 2, 4, 6 app</w:t>
      </w:r>
      <w:r w:rsidR="00673430" w:rsidRPr="00CA641C">
        <w:rPr>
          <w:szCs w:val="16"/>
        </w:rPr>
        <w:t xml:space="preserve">ropriations and special capital </w:t>
      </w:r>
      <w:r w:rsidRPr="00CA641C">
        <w:rPr>
          <w:szCs w:val="16"/>
        </w:rPr>
        <w:t>appropriations.</w:t>
      </w:r>
    </w:p>
    <w:p w14:paraId="4B4EA080" w14:textId="37A00171" w:rsidR="00603F85" w:rsidRPr="00CA641C" w:rsidRDefault="00603F85" w:rsidP="00673430">
      <w:pPr>
        <w:pStyle w:val="FootnoteText"/>
        <w:rPr>
          <w:szCs w:val="16"/>
        </w:rPr>
      </w:pPr>
      <w:r w:rsidRPr="00CA641C">
        <w:rPr>
          <w:szCs w:val="16"/>
          <w:vertAlign w:val="superscript"/>
        </w:rPr>
        <w:t>(b)</w:t>
      </w:r>
      <w:r w:rsidRPr="00CA641C">
        <w:rPr>
          <w:szCs w:val="16"/>
        </w:rPr>
        <w:tab/>
        <w:t>Does not include annual finance lease costs. Includes purchases from current and previous years' DCB.</w:t>
      </w:r>
    </w:p>
    <w:p w14:paraId="22701A8E" w14:textId="77777777" w:rsidR="00603F85" w:rsidRDefault="00603F85" w:rsidP="00603F85">
      <w:pPr>
        <w:spacing w:before="0" w:after="0" w:line="240" w:lineRule="auto"/>
        <w:rPr>
          <w:rFonts w:ascii="Arial" w:hAnsi="Arial"/>
          <w:b/>
          <w:snapToGrid w:val="0"/>
          <w:sz w:val="20"/>
        </w:rPr>
      </w:pPr>
      <w:r>
        <w:rPr>
          <w:snapToGrid w:val="0"/>
        </w:rPr>
        <w:br w:type="page"/>
      </w:r>
    </w:p>
    <w:p w14:paraId="41B77B13" w14:textId="77777777" w:rsidR="00603F85" w:rsidRDefault="00603F85" w:rsidP="00C36246">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7805" w:type="dxa"/>
        <w:jc w:val="center"/>
        <w:tblLayout w:type="fixed"/>
        <w:tblLook w:val="04A0" w:firstRow="1" w:lastRow="0" w:firstColumn="1" w:lastColumn="0" w:noHBand="0" w:noVBand="1"/>
      </w:tblPr>
      <w:tblGrid>
        <w:gridCol w:w="3326"/>
        <w:gridCol w:w="1134"/>
        <w:gridCol w:w="1134"/>
        <w:gridCol w:w="1134"/>
        <w:gridCol w:w="1077"/>
      </w:tblGrid>
      <w:tr w:rsidR="0074258E" w:rsidRPr="00973C3E" w14:paraId="70D7CB6E" w14:textId="77777777" w:rsidTr="0074258E">
        <w:trPr>
          <w:trHeight w:val="765"/>
          <w:jc w:val="center"/>
        </w:trPr>
        <w:tc>
          <w:tcPr>
            <w:tcW w:w="3326" w:type="dxa"/>
            <w:tcBorders>
              <w:top w:val="single" w:sz="4" w:space="0" w:color="auto"/>
              <w:left w:val="nil"/>
              <w:bottom w:val="nil"/>
              <w:right w:val="nil"/>
            </w:tcBorders>
            <w:shd w:val="clear" w:color="auto" w:fill="auto"/>
            <w:hideMark/>
          </w:tcPr>
          <w:p w14:paraId="36F9584D" w14:textId="77777777" w:rsidR="0074258E" w:rsidRPr="00973C3E" w:rsidRDefault="0074258E" w:rsidP="0074258E">
            <w:pPr>
              <w:spacing w:before="24" w:after="0" w:line="240" w:lineRule="auto"/>
              <w:jc w:val="right"/>
              <w:rPr>
                <w:rFonts w:ascii="Times New Roman" w:hAnsi="Times New Roman"/>
                <w:sz w:val="20"/>
                <w:szCs w:val="24"/>
              </w:rPr>
            </w:pPr>
          </w:p>
        </w:tc>
        <w:tc>
          <w:tcPr>
            <w:tcW w:w="1134" w:type="dxa"/>
            <w:tcBorders>
              <w:top w:val="single" w:sz="4" w:space="0" w:color="auto"/>
              <w:left w:val="nil"/>
              <w:bottom w:val="single" w:sz="4" w:space="0" w:color="auto"/>
              <w:right w:val="nil"/>
            </w:tcBorders>
            <w:shd w:val="clear" w:color="auto" w:fill="auto"/>
            <w:hideMark/>
          </w:tcPr>
          <w:p w14:paraId="16BD57FE" w14:textId="21700272" w:rsidR="0074258E" w:rsidRPr="00973C3E" w:rsidRDefault="0074258E" w:rsidP="0074258E">
            <w:pPr>
              <w:spacing w:before="24" w:after="0" w:line="240" w:lineRule="auto"/>
              <w:jc w:val="right"/>
              <w:rPr>
                <w:rFonts w:ascii="Arial" w:hAnsi="Arial" w:cs="Arial"/>
                <w:b/>
                <w:bCs/>
                <w:sz w:val="16"/>
                <w:szCs w:val="16"/>
              </w:rPr>
            </w:pPr>
            <w:r>
              <w:rPr>
                <w:rFonts w:ascii="Arial" w:hAnsi="Arial" w:cs="Arial"/>
                <w:b/>
                <w:bCs/>
                <w:sz w:val="16"/>
                <w:szCs w:val="16"/>
              </w:rPr>
              <w:t>Buildings</w:t>
            </w:r>
            <w:r>
              <w:rPr>
                <w:rFonts w:ascii="Arial" w:hAnsi="Arial" w:cs="Arial"/>
                <w:sz w:val="16"/>
                <w:szCs w:val="16"/>
              </w:rPr>
              <w:t xml:space="preserve"> </w:t>
            </w:r>
            <w:r>
              <w:rPr>
                <w:rFonts w:ascii="Arial" w:hAnsi="Arial" w:cs="Arial"/>
                <w:sz w:val="16"/>
                <w:szCs w:val="16"/>
              </w:rPr>
              <w:br/>
            </w:r>
            <w:r>
              <w:rPr>
                <w:rFonts w:ascii="Arial" w:hAnsi="Arial" w:cs="Arial"/>
                <w:sz w:val="16"/>
                <w:szCs w:val="16"/>
              </w:rPr>
              <w:br/>
            </w:r>
            <w:r>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hideMark/>
          </w:tcPr>
          <w:p w14:paraId="78E572D4" w14:textId="510DD725" w:rsidR="0074258E" w:rsidRPr="00973C3E" w:rsidRDefault="0074258E" w:rsidP="0074258E">
            <w:pPr>
              <w:spacing w:before="24" w:after="0" w:line="240" w:lineRule="auto"/>
              <w:jc w:val="right"/>
              <w:rPr>
                <w:rFonts w:ascii="Arial" w:hAnsi="Arial" w:cs="Arial"/>
                <w:b/>
                <w:bCs/>
                <w:sz w:val="16"/>
                <w:szCs w:val="16"/>
              </w:rPr>
            </w:pPr>
            <w:r>
              <w:rPr>
                <w:rFonts w:ascii="Arial" w:hAnsi="Arial" w:cs="Arial"/>
                <w:b/>
                <w:bCs/>
                <w:sz w:val="16"/>
                <w:szCs w:val="16"/>
              </w:rPr>
              <w:t xml:space="preserve">Property, </w:t>
            </w:r>
            <w:proofErr w:type="gramStart"/>
            <w:r>
              <w:rPr>
                <w:rFonts w:ascii="Arial" w:hAnsi="Arial" w:cs="Arial"/>
                <w:b/>
                <w:bCs/>
                <w:sz w:val="16"/>
                <w:szCs w:val="16"/>
              </w:rPr>
              <w:t>plant</w:t>
            </w:r>
            <w:proofErr w:type="gramEnd"/>
            <w:r>
              <w:rPr>
                <w:rFonts w:ascii="Arial" w:hAnsi="Arial" w:cs="Arial"/>
                <w:b/>
                <w:bCs/>
                <w:sz w:val="16"/>
                <w:szCs w:val="16"/>
              </w:rPr>
              <w:t xml:space="preserve"> and equipment </w:t>
            </w:r>
            <w:r>
              <w:rPr>
                <w:rFonts w:ascii="Arial" w:hAnsi="Arial" w:cs="Arial"/>
                <w:b/>
                <w:bCs/>
                <w:sz w:val="16"/>
                <w:szCs w:val="16"/>
              </w:rPr>
              <w:br/>
            </w:r>
            <w:r>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14:paraId="15731AC4" w14:textId="73625909" w:rsidR="0074258E" w:rsidRPr="00973C3E" w:rsidRDefault="0074258E" w:rsidP="0074258E">
            <w:pPr>
              <w:spacing w:before="24" w:after="0" w:line="240" w:lineRule="auto"/>
              <w:jc w:val="right"/>
              <w:rPr>
                <w:rFonts w:ascii="Arial" w:hAnsi="Arial" w:cs="Arial"/>
                <w:b/>
                <w:bCs/>
                <w:sz w:val="16"/>
                <w:szCs w:val="16"/>
              </w:rPr>
            </w:pPr>
            <w:r>
              <w:rPr>
                <w:rFonts w:ascii="Arial" w:hAnsi="Arial" w:cs="Arial"/>
                <w:b/>
                <w:bCs/>
                <w:sz w:val="16"/>
                <w:szCs w:val="16"/>
              </w:rPr>
              <w:t xml:space="preserve">Intangibles </w:t>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1077" w:type="dxa"/>
            <w:tcBorders>
              <w:top w:val="single" w:sz="4" w:space="0" w:color="auto"/>
              <w:left w:val="nil"/>
              <w:bottom w:val="single" w:sz="4" w:space="0" w:color="auto"/>
              <w:right w:val="nil"/>
            </w:tcBorders>
            <w:shd w:val="clear" w:color="auto" w:fill="auto"/>
            <w:hideMark/>
          </w:tcPr>
          <w:p w14:paraId="7BD68C78" w14:textId="2BFF43B4" w:rsidR="0074258E" w:rsidRPr="00973C3E" w:rsidRDefault="0074258E" w:rsidP="0074258E">
            <w:pPr>
              <w:spacing w:before="24" w:after="0" w:line="240" w:lineRule="auto"/>
              <w:jc w:val="right"/>
              <w:rPr>
                <w:rFonts w:ascii="Arial" w:hAnsi="Arial" w:cs="Arial"/>
                <w:b/>
                <w:bCs/>
                <w:sz w:val="16"/>
                <w:szCs w:val="16"/>
              </w:rPr>
            </w:pPr>
            <w:r>
              <w:rPr>
                <w:rFonts w:ascii="Arial" w:hAnsi="Arial" w:cs="Arial"/>
                <w:b/>
                <w:bCs/>
                <w:sz w:val="16"/>
                <w:szCs w:val="16"/>
              </w:rPr>
              <w:t xml:space="preserve">Total </w:t>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r>
      <w:tr w:rsidR="0074258E" w:rsidRPr="00973C3E" w14:paraId="00465EDE"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21A43446" w14:textId="5ABFB946" w:rsidR="0074258E" w:rsidRPr="00973C3E" w:rsidRDefault="0074258E" w:rsidP="0074258E">
            <w:pPr>
              <w:spacing w:before="0" w:after="0" w:line="240" w:lineRule="auto"/>
              <w:rPr>
                <w:rFonts w:ascii="Arial" w:hAnsi="Arial" w:cs="Arial"/>
                <w:b/>
                <w:bCs/>
                <w:sz w:val="16"/>
                <w:szCs w:val="16"/>
              </w:rPr>
            </w:pPr>
            <w:r>
              <w:rPr>
                <w:rFonts w:ascii="Arial" w:hAnsi="Arial" w:cs="Arial"/>
                <w:b/>
                <w:bCs/>
                <w:sz w:val="16"/>
                <w:szCs w:val="16"/>
              </w:rPr>
              <w:t xml:space="preserve">As </w:t>
            </w:r>
            <w:proofErr w:type="gramStart"/>
            <w:r>
              <w:rPr>
                <w:rFonts w:ascii="Arial" w:hAnsi="Arial" w:cs="Arial"/>
                <w:b/>
                <w:bCs/>
                <w:sz w:val="16"/>
                <w:szCs w:val="16"/>
              </w:rPr>
              <w:t>at</w:t>
            </w:r>
            <w:proofErr w:type="gramEnd"/>
            <w:r>
              <w:rPr>
                <w:rFonts w:ascii="Arial" w:hAnsi="Arial" w:cs="Arial"/>
                <w:b/>
                <w:bCs/>
                <w:sz w:val="16"/>
                <w:szCs w:val="16"/>
              </w:rPr>
              <w:t xml:space="preserve"> 1 July 2023</w:t>
            </w:r>
          </w:p>
        </w:tc>
        <w:tc>
          <w:tcPr>
            <w:tcW w:w="1134" w:type="dxa"/>
            <w:tcBorders>
              <w:top w:val="nil"/>
              <w:left w:val="nil"/>
              <w:bottom w:val="nil"/>
              <w:right w:val="nil"/>
            </w:tcBorders>
            <w:shd w:val="clear" w:color="auto" w:fill="auto"/>
            <w:noWrap/>
            <w:vAlign w:val="bottom"/>
            <w:hideMark/>
          </w:tcPr>
          <w:p w14:paraId="337617E7" w14:textId="77777777" w:rsidR="0074258E" w:rsidRPr="00973C3E" w:rsidRDefault="0074258E" w:rsidP="0074258E">
            <w:pPr>
              <w:spacing w:before="0" w:after="0" w:line="240" w:lineRule="auto"/>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547FD4C7" w14:textId="77777777" w:rsidR="0074258E" w:rsidRPr="00973C3E" w:rsidRDefault="0074258E" w:rsidP="0074258E">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4712CAA8" w14:textId="77777777" w:rsidR="0074258E" w:rsidRPr="00973C3E" w:rsidRDefault="0074258E" w:rsidP="0074258E">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36F56C3E" w14:textId="77777777" w:rsidR="0074258E" w:rsidRPr="00973C3E" w:rsidRDefault="0074258E" w:rsidP="0074258E">
            <w:pPr>
              <w:spacing w:before="0" w:after="0" w:line="240" w:lineRule="auto"/>
              <w:jc w:val="right"/>
              <w:rPr>
                <w:rFonts w:ascii="Times New Roman" w:hAnsi="Times New Roman"/>
                <w:sz w:val="20"/>
              </w:rPr>
            </w:pPr>
          </w:p>
        </w:tc>
      </w:tr>
      <w:tr w:rsidR="0074258E" w:rsidRPr="00973C3E" w14:paraId="68EC252B"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26B2240C" w14:textId="3E8D2E3C"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Gross book value </w:t>
            </w:r>
          </w:p>
        </w:tc>
        <w:tc>
          <w:tcPr>
            <w:tcW w:w="1134" w:type="dxa"/>
            <w:tcBorders>
              <w:top w:val="nil"/>
              <w:left w:val="nil"/>
              <w:bottom w:val="nil"/>
              <w:right w:val="nil"/>
            </w:tcBorders>
            <w:shd w:val="clear" w:color="auto" w:fill="auto"/>
            <w:noWrap/>
            <w:vAlign w:val="bottom"/>
            <w:hideMark/>
          </w:tcPr>
          <w:p w14:paraId="1B1D9916" w14:textId="5B82643A"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15</w:t>
            </w:r>
          </w:p>
        </w:tc>
        <w:tc>
          <w:tcPr>
            <w:tcW w:w="1134" w:type="dxa"/>
            <w:tcBorders>
              <w:top w:val="nil"/>
              <w:left w:val="nil"/>
              <w:bottom w:val="nil"/>
              <w:right w:val="nil"/>
            </w:tcBorders>
            <w:shd w:val="clear" w:color="auto" w:fill="auto"/>
            <w:noWrap/>
            <w:vAlign w:val="bottom"/>
            <w:hideMark/>
          </w:tcPr>
          <w:p w14:paraId="59868FBF" w14:textId="617EF69A"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207</w:t>
            </w:r>
          </w:p>
        </w:tc>
        <w:tc>
          <w:tcPr>
            <w:tcW w:w="1134" w:type="dxa"/>
            <w:tcBorders>
              <w:top w:val="nil"/>
              <w:left w:val="nil"/>
              <w:bottom w:val="nil"/>
              <w:right w:val="nil"/>
            </w:tcBorders>
            <w:shd w:val="clear" w:color="auto" w:fill="auto"/>
            <w:noWrap/>
            <w:vAlign w:val="bottom"/>
            <w:hideMark/>
          </w:tcPr>
          <w:p w14:paraId="1A45796A" w14:textId="229B82B0"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557</w:t>
            </w:r>
          </w:p>
        </w:tc>
        <w:tc>
          <w:tcPr>
            <w:tcW w:w="1077" w:type="dxa"/>
            <w:tcBorders>
              <w:top w:val="nil"/>
              <w:left w:val="nil"/>
              <w:bottom w:val="nil"/>
              <w:right w:val="nil"/>
            </w:tcBorders>
            <w:shd w:val="clear" w:color="auto" w:fill="auto"/>
            <w:noWrap/>
            <w:vAlign w:val="bottom"/>
            <w:hideMark/>
          </w:tcPr>
          <w:p w14:paraId="764FA7FA" w14:textId="41AEC517"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779</w:t>
            </w:r>
          </w:p>
        </w:tc>
      </w:tr>
      <w:tr w:rsidR="0074258E" w:rsidRPr="00973C3E" w14:paraId="3573043A"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465ACC7F" w14:textId="6E25AD87"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Gross book value - </w:t>
            </w:r>
            <w:proofErr w:type="spellStart"/>
            <w:r>
              <w:rPr>
                <w:rFonts w:ascii="Arial" w:hAnsi="Arial" w:cs="Arial"/>
                <w:sz w:val="16"/>
                <w:szCs w:val="16"/>
              </w:rPr>
              <w:t>RoU</w:t>
            </w:r>
            <w:proofErr w:type="spellEnd"/>
          </w:p>
        </w:tc>
        <w:tc>
          <w:tcPr>
            <w:tcW w:w="1134" w:type="dxa"/>
            <w:tcBorders>
              <w:top w:val="nil"/>
              <w:left w:val="nil"/>
              <w:bottom w:val="nil"/>
              <w:right w:val="nil"/>
            </w:tcBorders>
            <w:shd w:val="clear" w:color="auto" w:fill="auto"/>
            <w:noWrap/>
            <w:vAlign w:val="bottom"/>
            <w:hideMark/>
          </w:tcPr>
          <w:p w14:paraId="2463F0DE" w14:textId="3F7B7D36"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1,501</w:t>
            </w:r>
          </w:p>
        </w:tc>
        <w:tc>
          <w:tcPr>
            <w:tcW w:w="1134" w:type="dxa"/>
            <w:tcBorders>
              <w:top w:val="nil"/>
              <w:left w:val="nil"/>
              <w:bottom w:val="nil"/>
              <w:right w:val="nil"/>
            </w:tcBorders>
            <w:shd w:val="clear" w:color="auto" w:fill="auto"/>
            <w:noWrap/>
            <w:vAlign w:val="bottom"/>
            <w:hideMark/>
          </w:tcPr>
          <w:p w14:paraId="291C2820" w14:textId="50E10D27"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383C254C" w14:textId="13C3640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766FADFF" w14:textId="02A64A63"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1,501</w:t>
            </w:r>
          </w:p>
        </w:tc>
      </w:tr>
      <w:tr w:rsidR="0074258E" w:rsidRPr="00973C3E" w14:paraId="58575631" w14:textId="77777777" w:rsidTr="004D538B">
        <w:trPr>
          <w:trHeight w:val="425"/>
          <w:jc w:val="center"/>
        </w:trPr>
        <w:tc>
          <w:tcPr>
            <w:tcW w:w="3326" w:type="dxa"/>
            <w:tcBorders>
              <w:top w:val="nil"/>
              <w:left w:val="nil"/>
              <w:bottom w:val="nil"/>
              <w:right w:val="nil"/>
            </w:tcBorders>
            <w:shd w:val="clear" w:color="auto" w:fill="auto"/>
            <w:vAlign w:val="bottom"/>
            <w:hideMark/>
          </w:tcPr>
          <w:p w14:paraId="1875F0D3" w14:textId="1795B786"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bottom"/>
            <w:hideMark/>
          </w:tcPr>
          <w:p w14:paraId="7FA49AA0" w14:textId="6B5B6FCB"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(148)</w:t>
            </w:r>
          </w:p>
        </w:tc>
        <w:tc>
          <w:tcPr>
            <w:tcW w:w="1134" w:type="dxa"/>
            <w:tcBorders>
              <w:top w:val="nil"/>
              <w:left w:val="nil"/>
              <w:bottom w:val="nil"/>
              <w:right w:val="nil"/>
            </w:tcBorders>
            <w:shd w:val="clear" w:color="auto" w:fill="auto"/>
            <w:noWrap/>
            <w:vAlign w:val="bottom"/>
            <w:hideMark/>
          </w:tcPr>
          <w:p w14:paraId="68CCF35E" w14:textId="05F8803C"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(73)</w:t>
            </w:r>
          </w:p>
        </w:tc>
        <w:tc>
          <w:tcPr>
            <w:tcW w:w="1134" w:type="dxa"/>
            <w:tcBorders>
              <w:top w:val="nil"/>
              <w:left w:val="nil"/>
              <w:bottom w:val="nil"/>
              <w:right w:val="nil"/>
            </w:tcBorders>
            <w:shd w:val="clear" w:color="auto" w:fill="auto"/>
            <w:noWrap/>
            <w:vAlign w:val="bottom"/>
            <w:hideMark/>
          </w:tcPr>
          <w:p w14:paraId="19A1581C" w14:textId="530BA2E2"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(410)</w:t>
            </w:r>
          </w:p>
        </w:tc>
        <w:tc>
          <w:tcPr>
            <w:tcW w:w="1077" w:type="dxa"/>
            <w:tcBorders>
              <w:top w:val="nil"/>
              <w:left w:val="nil"/>
              <w:bottom w:val="nil"/>
              <w:right w:val="nil"/>
            </w:tcBorders>
            <w:shd w:val="clear" w:color="auto" w:fill="auto"/>
            <w:noWrap/>
            <w:vAlign w:val="bottom"/>
            <w:hideMark/>
          </w:tcPr>
          <w:p w14:paraId="5DBDE06B" w14:textId="134BF983"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(631)</w:t>
            </w:r>
          </w:p>
        </w:tc>
      </w:tr>
      <w:tr w:rsidR="0074258E" w:rsidRPr="00973C3E" w14:paraId="642D942D" w14:textId="77777777" w:rsidTr="004D538B">
        <w:trPr>
          <w:trHeight w:val="425"/>
          <w:jc w:val="center"/>
        </w:trPr>
        <w:tc>
          <w:tcPr>
            <w:tcW w:w="3326" w:type="dxa"/>
            <w:tcBorders>
              <w:top w:val="nil"/>
              <w:left w:val="nil"/>
              <w:bottom w:val="nil"/>
              <w:right w:val="nil"/>
            </w:tcBorders>
            <w:shd w:val="clear" w:color="auto" w:fill="auto"/>
            <w:vAlign w:val="bottom"/>
            <w:hideMark/>
          </w:tcPr>
          <w:p w14:paraId="2992702A" w14:textId="455DFD11"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Accumulated depreciation/amortisation and impairment - </w:t>
            </w:r>
            <w:proofErr w:type="spellStart"/>
            <w:r>
              <w:rPr>
                <w:rFonts w:ascii="Arial" w:hAnsi="Arial" w:cs="Arial"/>
                <w:sz w:val="16"/>
                <w:szCs w:val="16"/>
              </w:rPr>
              <w:t>RoU</w:t>
            </w:r>
            <w:proofErr w:type="spellEnd"/>
          </w:p>
        </w:tc>
        <w:tc>
          <w:tcPr>
            <w:tcW w:w="1134" w:type="dxa"/>
            <w:tcBorders>
              <w:top w:val="nil"/>
              <w:left w:val="nil"/>
              <w:bottom w:val="single" w:sz="4" w:space="0" w:color="auto"/>
              <w:right w:val="nil"/>
            </w:tcBorders>
            <w:shd w:val="clear" w:color="auto" w:fill="auto"/>
            <w:noWrap/>
            <w:vAlign w:val="bottom"/>
            <w:hideMark/>
          </w:tcPr>
          <w:p w14:paraId="71E5D758" w14:textId="56DF784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(1,197)</w:t>
            </w:r>
          </w:p>
        </w:tc>
        <w:tc>
          <w:tcPr>
            <w:tcW w:w="1134" w:type="dxa"/>
            <w:tcBorders>
              <w:top w:val="nil"/>
              <w:left w:val="nil"/>
              <w:bottom w:val="single" w:sz="4" w:space="0" w:color="auto"/>
              <w:right w:val="nil"/>
            </w:tcBorders>
            <w:shd w:val="clear" w:color="auto" w:fill="auto"/>
            <w:noWrap/>
            <w:vAlign w:val="bottom"/>
            <w:hideMark/>
          </w:tcPr>
          <w:p w14:paraId="19832DE0" w14:textId="5169FFCD"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single" w:sz="4" w:space="0" w:color="auto"/>
              <w:right w:val="nil"/>
            </w:tcBorders>
            <w:shd w:val="clear" w:color="auto" w:fill="auto"/>
            <w:noWrap/>
            <w:vAlign w:val="bottom"/>
            <w:hideMark/>
          </w:tcPr>
          <w:p w14:paraId="5883BB39" w14:textId="62F7CE7F"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77" w:type="dxa"/>
            <w:tcBorders>
              <w:top w:val="nil"/>
              <w:left w:val="nil"/>
              <w:bottom w:val="single" w:sz="4" w:space="0" w:color="auto"/>
              <w:right w:val="nil"/>
            </w:tcBorders>
            <w:shd w:val="clear" w:color="auto" w:fill="auto"/>
            <w:noWrap/>
            <w:vAlign w:val="bottom"/>
            <w:hideMark/>
          </w:tcPr>
          <w:p w14:paraId="50B2532C" w14:textId="0D044A47"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(1,197)</w:t>
            </w:r>
          </w:p>
        </w:tc>
      </w:tr>
      <w:tr w:rsidR="0074258E" w:rsidRPr="00973C3E" w14:paraId="3B0DBB39"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439A7058" w14:textId="02B83B07" w:rsidR="0074258E" w:rsidRPr="00973C3E" w:rsidRDefault="0074258E" w:rsidP="0074258E">
            <w:pPr>
              <w:spacing w:before="0" w:after="0" w:line="240" w:lineRule="auto"/>
              <w:ind w:leftChars="75" w:left="143"/>
              <w:rPr>
                <w:rFonts w:ascii="Arial" w:hAnsi="Arial" w:cs="Arial"/>
                <w:b/>
                <w:bCs/>
                <w:sz w:val="16"/>
                <w:szCs w:val="16"/>
              </w:rPr>
            </w:pPr>
            <w:r>
              <w:rPr>
                <w:rFonts w:ascii="Arial" w:hAnsi="Arial" w:cs="Arial"/>
                <w:b/>
                <w:bCs/>
                <w:sz w:val="16"/>
                <w:szCs w:val="16"/>
              </w:rPr>
              <w:t>Opening net book balance</w:t>
            </w:r>
          </w:p>
        </w:tc>
        <w:tc>
          <w:tcPr>
            <w:tcW w:w="1134" w:type="dxa"/>
            <w:tcBorders>
              <w:top w:val="nil"/>
              <w:left w:val="nil"/>
              <w:bottom w:val="single" w:sz="4" w:space="0" w:color="auto"/>
              <w:right w:val="nil"/>
            </w:tcBorders>
            <w:shd w:val="clear" w:color="auto" w:fill="auto"/>
            <w:noWrap/>
            <w:vAlign w:val="bottom"/>
            <w:hideMark/>
          </w:tcPr>
          <w:p w14:paraId="16D4AC53" w14:textId="233AB615"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171</w:t>
            </w:r>
          </w:p>
        </w:tc>
        <w:tc>
          <w:tcPr>
            <w:tcW w:w="1134" w:type="dxa"/>
            <w:tcBorders>
              <w:top w:val="nil"/>
              <w:left w:val="nil"/>
              <w:bottom w:val="single" w:sz="4" w:space="0" w:color="auto"/>
              <w:right w:val="nil"/>
            </w:tcBorders>
            <w:shd w:val="clear" w:color="auto" w:fill="auto"/>
            <w:noWrap/>
            <w:vAlign w:val="bottom"/>
            <w:hideMark/>
          </w:tcPr>
          <w:p w14:paraId="77E3A326" w14:textId="16A4CB4B"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134</w:t>
            </w:r>
          </w:p>
        </w:tc>
        <w:tc>
          <w:tcPr>
            <w:tcW w:w="1134" w:type="dxa"/>
            <w:tcBorders>
              <w:top w:val="nil"/>
              <w:left w:val="nil"/>
              <w:bottom w:val="single" w:sz="4" w:space="0" w:color="auto"/>
              <w:right w:val="nil"/>
            </w:tcBorders>
            <w:shd w:val="clear" w:color="auto" w:fill="auto"/>
            <w:noWrap/>
            <w:vAlign w:val="bottom"/>
            <w:hideMark/>
          </w:tcPr>
          <w:p w14:paraId="72F6CF14" w14:textId="66EB1BCF"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147</w:t>
            </w:r>
          </w:p>
        </w:tc>
        <w:tc>
          <w:tcPr>
            <w:tcW w:w="1077" w:type="dxa"/>
            <w:tcBorders>
              <w:top w:val="nil"/>
              <w:left w:val="nil"/>
              <w:bottom w:val="single" w:sz="4" w:space="0" w:color="auto"/>
              <w:right w:val="nil"/>
            </w:tcBorders>
            <w:shd w:val="clear" w:color="auto" w:fill="auto"/>
            <w:noWrap/>
            <w:vAlign w:val="bottom"/>
            <w:hideMark/>
          </w:tcPr>
          <w:p w14:paraId="01733039" w14:textId="052C3576"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452</w:t>
            </w:r>
          </w:p>
        </w:tc>
      </w:tr>
      <w:tr w:rsidR="0074258E" w:rsidRPr="00973C3E" w14:paraId="1E558D2B" w14:textId="77777777" w:rsidTr="00603F85">
        <w:trPr>
          <w:trHeight w:val="283"/>
          <w:jc w:val="center"/>
        </w:trPr>
        <w:tc>
          <w:tcPr>
            <w:tcW w:w="3326" w:type="dxa"/>
            <w:tcBorders>
              <w:top w:val="nil"/>
              <w:left w:val="nil"/>
              <w:bottom w:val="nil"/>
              <w:right w:val="nil"/>
            </w:tcBorders>
            <w:shd w:val="clear" w:color="auto" w:fill="auto"/>
            <w:noWrap/>
            <w:vAlign w:val="bottom"/>
            <w:hideMark/>
          </w:tcPr>
          <w:p w14:paraId="18D43C3F" w14:textId="3677ADC7" w:rsidR="0074258E" w:rsidRPr="00973C3E" w:rsidRDefault="0074258E" w:rsidP="0074258E">
            <w:pPr>
              <w:spacing w:before="0" w:after="0" w:line="240" w:lineRule="auto"/>
              <w:rPr>
                <w:rFonts w:ascii="Arial" w:hAnsi="Arial" w:cs="Arial"/>
                <w:b/>
                <w:bCs/>
                <w:sz w:val="16"/>
                <w:szCs w:val="16"/>
              </w:rPr>
            </w:pPr>
            <w:r>
              <w:rPr>
                <w:rFonts w:ascii="Arial" w:hAnsi="Arial" w:cs="Arial"/>
                <w:b/>
                <w:bCs/>
                <w:sz w:val="16"/>
                <w:szCs w:val="16"/>
              </w:rPr>
              <w:t>CAPITAL ASSET ADDITIONS</w:t>
            </w:r>
          </w:p>
        </w:tc>
        <w:tc>
          <w:tcPr>
            <w:tcW w:w="1134" w:type="dxa"/>
            <w:tcBorders>
              <w:top w:val="nil"/>
              <w:left w:val="nil"/>
              <w:bottom w:val="nil"/>
              <w:right w:val="nil"/>
            </w:tcBorders>
            <w:shd w:val="clear" w:color="auto" w:fill="auto"/>
            <w:noWrap/>
            <w:vAlign w:val="bottom"/>
            <w:hideMark/>
          </w:tcPr>
          <w:p w14:paraId="21180738" w14:textId="77777777" w:rsidR="0074258E" w:rsidRPr="00973C3E" w:rsidRDefault="0074258E" w:rsidP="0074258E">
            <w:pPr>
              <w:spacing w:before="0" w:after="0" w:line="240" w:lineRule="auto"/>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31D9AA04" w14:textId="77777777" w:rsidR="0074258E" w:rsidRPr="00973C3E" w:rsidRDefault="0074258E" w:rsidP="0074258E">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065C178D" w14:textId="77777777" w:rsidR="0074258E" w:rsidRPr="00973C3E" w:rsidRDefault="0074258E" w:rsidP="0074258E">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16002343" w14:textId="77777777" w:rsidR="0074258E" w:rsidRPr="00973C3E" w:rsidRDefault="0074258E" w:rsidP="0074258E">
            <w:pPr>
              <w:spacing w:before="0" w:after="0" w:line="240" w:lineRule="auto"/>
              <w:jc w:val="right"/>
              <w:rPr>
                <w:rFonts w:ascii="Times New Roman" w:hAnsi="Times New Roman"/>
                <w:sz w:val="20"/>
              </w:rPr>
            </w:pPr>
          </w:p>
        </w:tc>
      </w:tr>
      <w:tr w:rsidR="0074258E" w:rsidRPr="00973C3E" w14:paraId="7D4B7C9D" w14:textId="77777777" w:rsidTr="00603F85">
        <w:trPr>
          <w:trHeight w:val="425"/>
          <w:jc w:val="center"/>
        </w:trPr>
        <w:tc>
          <w:tcPr>
            <w:tcW w:w="3326" w:type="dxa"/>
            <w:tcBorders>
              <w:top w:val="nil"/>
              <w:left w:val="nil"/>
              <w:bottom w:val="nil"/>
              <w:right w:val="nil"/>
            </w:tcBorders>
            <w:shd w:val="clear" w:color="auto" w:fill="auto"/>
            <w:vAlign w:val="bottom"/>
            <w:hideMark/>
          </w:tcPr>
          <w:p w14:paraId="53157D91" w14:textId="00967D5B" w:rsidR="0074258E" w:rsidRPr="00973C3E" w:rsidRDefault="0074258E" w:rsidP="0074258E">
            <w:pPr>
              <w:spacing w:before="0" w:after="0" w:line="240" w:lineRule="auto"/>
              <w:ind w:leftChars="75" w:left="143"/>
              <w:rPr>
                <w:rFonts w:ascii="Arial" w:hAnsi="Arial" w:cs="Arial"/>
                <w:b/>
                <w:bCs/>
                <w:sz w:val="16"/>
                <w:szCs w:val="16"/>
              </w:rPr>
            </w:pPr>
            <w:r>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noWrap/>
            <w:vAlign w:val="bottom"/>
            <w:hideMark/>
          </w:tcPr>
          <w:p w14:paraId="7A7F006F" w14:textId="77777777" w:rsidR="0074258E" w:rsidRPr="00973C3E" w:rsidRDefault="0074258E" w:rsidP="0074258E">
            <w:pPr>
              <w:spacing w:before="0" w:after="0" w:line="240" w:lineRule="auto"/>
              <w:ind w:firstLineChars="100" w:firstLine="161"/>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75409D94" w14:textId="77777777" w:rsidR="0074258E" w:rsidRPr="00973C3E" w:rsidRDefault="0074258E" w:rsidP="0074258E">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4AEA2F53" w14:textId="77777777" w:rsidR="0074258E" w:rsidRPr="00973C3E" w:rsidRDefault="0074258E" w:rsidP="0074258E">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15266709" w14:textId="77777777" w:rsidR="0074258E" w:rsidRPr="00973C3E" w:rsidRDefault="0074258E" w:rsidP="0074258E">
            <w:pPr>
              <w:spacing w:before="0" w:after="0" w:line="240" w:lineRule="auto"/>
              <w:jc w:val="right"/>
              <w:rPr>
                <w:rFonts w:ascii="Times New Roman" w:hAnsi="Times New Roman"/>
                <w:sz w:val="20"/>
              </w:rPr>
            </w:pPr>
          </w:p>
        </w:tc>
      </w:tr>
      <w:tr w:rsidR="0074258E" w:rsidRPr="00973C3E" w14:paraId="472A5F16" w14:textId="77777777" w:rsidTr="00603F85">
        <w:trPr>
          <w:trHeight w:val="425"/>
          <w:jc w:val="center"/>
        </w:trPr>
        <w:tc>
          <w:tcPr>
            <w:tcW w:w="3326" w:type="dxa"/>
            <w:tcBorders>
              <w:top w:val="nil"/>
              <w:left w:val="nil"/>
              <w:bottom w:val="nil"/>
              <w:right w:val="nil"/>
            </w:tcBorders>
            <w:shd w:val="clear" w:color="auto" w:fill="auto"/>
            <w:vAlign w:val="bottom"/>
            <w:hideMark/>
          </w:tcPr>
          <w:p w14:paraId="53F883A7" w14:textId="2F74C19E" w:rsidR="0074258E" w:rsidRPr="00973C3E" w:rsidRDefault="0074258E" w:rsidP="0074258E">
            <w:pPr>
              <w:spacing w:before="0" w:after="0" w:line="240" w:lineRule="auto"/>
              <w:ind w:leftChars="75" w:left="143"/>
              <w:rPr>
                <w:rFonts w:ascii="Arial" w:hAnsi="Arial" w:cs="Arial"/>
                <w:color w:val="000000"/>
                <w:sz w:val="16"/>
                <w:szCs w:val="16"/>
              </w:rPr>
            </w:pPr>
            <w:r>
              <w:rPr>
                <w:rFonts w:ascii="Arial" w:hAnsi="Arial" w:cs="Arial"/>
                <w:color w:val="000000"/>
                <w:sz w:val="16"/>
                <w:szCs w:val="16"/>
              </w:rPr>
              <w:t>By purchase - appropriation ordinary annual services</w:t>
            </w:r>
          </w:p>
        </w:tc>
        <w:tc>
          <w:tcPr>
            <w:tcW w:w="1134" w:type="dxa"/>
            <w:tcBorders>
              <w:top w:val="nil"/>
              <w:left w:val="nil"/>
              <w:bottom w:val="nil"/>
              <w:right w:val="nil"/>
            </w:tcBorders>
            <w:shd w:val="clear" w:color="auto" w:fill="auto"/>
            <w:noWrap/>
            <w:vAlign w:val="bottom"/>
            <w:hideMark/>
          </w:tcPr>
          <w:p w14:paraId="7FDF77CE" w14:textId="552AB550"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2,000</w:t>
            </w:r>
          </w:p>
        </w:tc>
        <w:tc>
          <w:tcPr>
            <w:tcW w:w="1134" w:type="dxa"/>
            <w:tcBorders>
              <w:top w:val="nil"/>
              <w:left w:val="nil"/>
              <w:bottom w:val="nil"/>
              <w:right w:val="nil"/>
            </w:tcBorders>
            <w:shd w:val="clear" w:color="auto" w:fill="auto"/>
            <w:noWrap/>
            <w:vAlign w:val="bottom"/>
            <w:hideMark/>
          </w:tcPr>
          <w:p w14:paraId="3B040762" w14:textId="15F285B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58</w:t>
            </w:r>
          </w:p>
        </w:tc>
        <w:tc>
          <w:tcPr>
            <w:tcW w:w="1134" w:type="dxa"/>
            <w:tcBorders>
              <w:top w:val="nil"/>
              <w:left w:val="nil"/>
              <w:bottom w:val="nil"/>
              <w:right w:val="nil"/>
            </w:tcBorders>
            <w:shd w:val="clear" w:color="auto" w:fill="auto"/>
            <w:noWrap/>
            <w:vAlign w:val="bottom"/>
            <w:hideMark/>
          </w:tcPr>
          <w:p w14:paraId="249C03A9" w14:textId="1C6B78C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214</w:t>
            </w:r>
          </w:p>
        </w:tc>
        <w:tc>
          <w:tcPr>
            <w:tcW w:w="1077" w:type="dxa"/>
            <w:tcBorders>
              <w:top w:val="nil"/>
              <w:left w:val="nil"/>
              <w:bottom w:val="nil"/>
              <w:right w:val="nil"/>
            </w:tcBorders>
            <w:shd w:val="clear" w:color="auto" w:fill="auto"/>
            <w:noWrap/>
            <w:vAlign w:val="bottom"/>
            <w:hideMark/>
          </w:tcPr>
          <w:p w14:paraId="104521B2" w14:textId="263DDAF0"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2,272</w:t>
            </w:r>
          </w:p>
        </w:tc>
      </w:tr>
      <w:tr w:rsidR="0074258E" w:rsidRPr="00973C3E" w14:paraId="1E72E4C8"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3F8EBC63" w14:textId="0D4CE384"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By purchase - </w:t>
            </w:r>
            <w:proofErr w:type="spellStart"/>
            <w:r>
              <w:rPr>
                <w:rFonts w:ascii="Arial" w:hAnsi="Arial" w:cs="Arial"/>
                <w:sz w:val="16"/>
                <w:szCs w:val="16"/>
              </w:rPr>
              <w:t>RoU</w:t>
            </w:r>
            <w:proofErr w:type="spellEnd"/>
          </w:p>
        </w:tc>
        <w:tc>
          <w:tcPr>
            <w:tcW w:w="1134" w:type="dxa"/>
            <w:tcBorders>
              <w:top w:val="nil"/>
              <w:left w:val="nil"/>
              <w:bottom w:val="nil"/>
              <w:right w:val="nil"/>
            </w:tcBorders>
            <w:shd w:val="clear" w:color="auto" w:fill="auto"/>
            <w:noWrap/>
            <w:vAlign w:val="bottom"/>
            <w:hideMark/>
          </w:tcPr>
          <w:p w14:paraId="61DE034C" w14:textId="5CB09A25"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2,325</w:t>
            </w:r>
          </w:p>
        </w:tc>
        <w:tc>
          <w:tcPr>
            <w:tcW w:w="1134" w:type="dxa"/>
            <w:tcBorders>
              <w:top w:val="nil"/>
              <w:left w:val="nil"/>
              <w:bottom w:val="nil"/>
              <w:right w:val="nil"/>
            </w:tcBorders>
            <w:shd w:val="clear" w:color="auto" w:fill="auto"/>
            <w:noWrap/>
            <w:vAlign w:val="bottom"/>
            <w:hideMark/>
          </w:tcPr>
          <w:p w14:paraId="1D315294" w14:textId="3CF955FB"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0839B4B0" w14:textId="56DCC382"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28D56AE7" w14:textId="708A04E5"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2,325</w:t>
            </w:r>
          </w:p>
        </w:tc>
      </w:tr>
      <w:tr w:rsidR="0074258E" w:rsidRPr="00973C3E" w14:paraId="4B12E0F1"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38BF7D5C" w14:textId="3C4220DB"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Other movements</w:t>
            </w:r>
          </w:p>
        </w:tc>
        <w:tc>
          <w:tcPr>
            <w:tcW w:w="1134" w:type="dxa"/>
            <w:tcBorders>
              <w:top w:val="nil"/>
              <w:left w:val="nil"/>
              <w:bottom w:val="nil"/>
              <w:right w:val="nil"/>
            </w:tcBorders>
            <w:shd w:val="clear" w:color="auto" w:fill="auto"/>
            <w:noWrap/>
            <w:vAlign w:val="bottom"/>
            <w:hideMark/>
          </w:tcPr>
          <w:p w14:paraId="25390ECF" w14:textId="434FDD59"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18F9F39E" w14:textId="098E9EEB"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4803B4C3" w14:textId="471C590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513A77CD" w14:textId="5072ECED"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4258E" w:rsidRPr="00973C3E" w14:paraId="2946BD87"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2E4C65DA" w14:textId="4086582B" w:rsidR="0074258E" w:rsidRPr="00973C3E" w:rsidRDefault="0074258E" w:rsidP="0074258E">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additions</w:t>
            </w:r>
          </w:p>
        </w:tc>
        <w:tc>
          <w:tcPr>
            <w:tcW w:w="1134" w:type="dxa"/>
            <w:tcBorders>
              <w:top w:val="nil"/>
              <w:left w:val="nil"/>
              <w:bottom w:val="single" w:sz="4" w:space="0" w:color="auto"/>
              <w:right w:val="nil"/>
            </w:tcBorders>
            <w:shd w:val="clear" w:color="auto" w:fill="auto"/>
            <w:noWrap/>
            <w:vAlign w:val="bottom"/>
            <w:hideMark/>
          </w:tcPr>
          <w:p w14:paraId="43EC300A" w14:textId="50370635"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4,325</w:t>
            </w:r>
          </w:p>
        </w:tc>
        <w:tc>
          <w:tcPr>
            <w:tcW w:w="1134" w:type="dxa"/>
            <w:tcBorders>
              <w:top w:val="nil"/>
              <w:left w:val="nil"/>
              <w:bottom w:val="single" w:sz="4" w:space="0" w:color="auto"/>
              <w:right w:val="nil"/>
            </w:tcBorders>
            <w:shd w:val="clear" w:color="auto" w:fill="auto"/>
            <w:noWrap/>
            <w:vAlign w:val="bottom"/>
            <w:hideMark/>
          </w:tcPr>
          <w:p w14:paraId="56FBD349" w14:textId="1FCBB814"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58</w:t>
            </w:r>
          </w:p>
        </w:tc>
        <w:tc>
          <w:tcPr>
            <w:tcW w:w="1134" w:type="dxa"/>
            <w:tcBorders>
              <w:top w:val="nil"/>
              <w:left w:val="nil"/>
              <w:bottom w:val="single" w:sz="4" w:space="0" w:color="auto"/>
              <w:right w:val="nil"/>
            </w:tcBorders>
            <w:shd w:val="clear" w:color="auto" w:fill="auto"/>
            <w:noWrap/>
            <w:vAlign w:val="bottom"/>
            <w:hideMark/>
          </w:tcPr>
          <w:p w14:paraId="15E587B1" w14:textId="6BFD16B5"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214</w:t>
            </w:r>
          </w:p>
        </w:tc>
        <w:tc>
          <w:tcPr>
            <w:tcW w:w="1077" w:type="dxa"/>
            <w:tcBorders>
              <w:top w:val="nil"/>
              <w:left w:val="nil"/>
              <w:bottom w:val="single" w:sz="4" w:space="0" w:color="auto"/>
              <w:right w:val="nil"/>
            </w:tcBorders>
            <w:shd w:val="clear" w:color="auto" w:fill="auto"/>
            <w:noWrap/>
            <w:vAlign w:val="bottom"/>
            <w:hideMark/>
          </w:tcPr>
          <w:p w14:paraId="2193418F" w14:textId="78C0A3DA"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4,597</w:t>
            </w:r>
          </w:p>
        </w:tc>
      </w:tr>
      <w:tr w:rsidR="0074258E" w:rsidRPr="00973C3E" w14:paraId="378EA756" w14:textId="77777777" w:rsidTr="00603F85">
        <w:trPr>
          <w:trHeight w:val="283"/>
          <w:jc w:val="center"/>
        </w:trPr>
        <w:tc>
          <w:tcPr>
            <w:tcW w:w="3326" w:type="dxa"/>
            <w:tcBorders>
              <w:top w:val="nil"/>
              <w:left w:val="nil"/>
              <w:bottom w:val="nil"/>
              <w:right w:val="nil"/>
            </w:tcBorders>
            <w:shd w:val="clear" w:color="auto" w:fill="auto"/>
            <w:noWrap/>
            <w:vAlign w:val="bottom"/>
            <w:hideMark/>
          </w:tcPr>
          <w:p w14:paraId="19E1AED3" w14:textId="67DFC709" w:rsidR="0074258E" w:rsidRPr="00973C3E" w:rsidRDefault="0074258E" w:rsidP="0074258E">
            <w:pPr>
              <w:spacing w:before="0" w:after="0" w:line="240" w:lineRule="auto"/>
              <w:rPr>
                <w:rFonts w:ascii="Arial" w:hAnsi="Arial" w:cs="Arial"/>
                <w:b/>
                <w:bCs/>
                <w:sz w:val="16"/>
                <w:szCs w:val="16"/>
              </w:rPr>
            </w:pPr>
            <w:r>
              <w:rPr>
                <w:rFonts w:ascii="Arial" w:hAnsi="Arial" w:cs="Arial"/>
                <w:b/>
                <w:bCs/>
                <w:sz w:val="16"/>
                <w:szCs w:val="16"/>
              </w:rPr>
              <w:t>Other movements</w:t>
            </w:r>
          </w:p>
        </w:tc>
        <w:tc>
          <w:tcPr>
            <w:tcW w:w="1134" w:type="dxa"/>
            <w:tcBorders>
              <w:top w:val="nil"/>
              <w:left w:val="nil"/>
              <w:bottom w:val="nil"/>
              <w:right w:val="nil"/>
            </w:tcBorders>
            <w:shd w:val="clear" w:color="auto" w:fill="auto"/>
            <w:noWrap/>
            <w:vAlign w:val="bottom"/>
            <w:hideMark/>
          </w:tcPr>
          <w:p w14:paraId="01FC92C6" w14:textId="77777777" w:rsidR="0074258E" w:rsidRPr="00973C3E" w:rsidRDefault="0074258E" w:rsidP="0074258E">
            <w:pPr>
              <w:spacing w:before="0" w:after="0" w:line="240" w:lineRule="auto"/>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5197594C" w14:textId="77777777" w:rsidR="0074258E" w:rsidRPr="00973C3E" w:rsidRDefault="0074258E" w:rsidP="0074258E">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36498843" w14:textId="77777777" w:rsidR="0074258E" w:rsidRPr="00973C3E" w:rsidRDefault="0074258E" w:rsidP="0074258E">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3DFD400A" w14:textId="77777777" w:rsidR="0074258E" w:rsidRPr="00973C3E" w:rsidRDefault="0074258E" w:rsidP="0074258E">
            <w:pPr>
              <w:spacing w:before="0" w:after="0" w:line="240" w:lineRule="auto"/>
              <w:jc w:val="right"/>
              <w:rPr>
                <w:rFonts w:ascii="Times New Roman" w:hAnsi="Times New Roman"/>
                <w:sz w:val="20"/>
              </w:rPr>
            </w:pPr>
          </w:p>
        </w:tc>
      </w:tr>
      <w:tr w:rsidR="0074258E" w:rsidRPr="00973C3E" w14:paraId="15E6D20C"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76B650B3" w14:textId="4D57B112"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Depreciation/amortisation expense</w:t>
            </w:r>
          </w:p>
        </w:tc>
        <w:tc>
          <w:tcPr>
            <w:tcW w:w="1134" w:type="dxa"/>
            <w:tcBorders>
              <w:top w:val="nil"/>
              <w:left w:val="nil"/>
              <w:bottom w:val="nil"/>
              <w:right w:val="nil"/>
            </w:tcBorders>
            <w:shd w:val="clear" w:color="auto" w:fill="auto"/>
            <w:noWrap/>
            <w:vAlign w:val="bottom"/>
            <w:hideMark/>
          </w:tcPr>
          <w:p w14:paraId="4B42E7A6" w14:textId="44161B29"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(199)</w:t>
            </w:r>
          </w:p>
        </w:tc>
        <w:tc>
          <w:tcPr>
            <w:tcW w:w="1134" w:type="dxa"/>
            <w:tcBorders>
              <w:top w:val="nil"/>
              <w:left w:val="nil"/>
              <w:bottom w:val="nil"/>
              <w:right w:val="nil"/>
            </w:tcBorders>
            <w:shd w:val="clear" w:color="auto" w:fill="auto"/>
            <w:noWrap/>
            <w:vAlign w:val="bottom"/>
            <w:hideMark/>
          </w:tcPr>
          <w:p w14:paraId="60BDB8A0" w14:textId="30F900DB"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(48)</w:t>
            </w:r>
          </w:p>
        </w:tc>
        <w:tc>
          <w:tcPr>
            <w:tcW w:w="1134" w:type="dxa"/>
            <w:tcBorders>
              <w:top w:val="nil"/>
              <w:left w:val="nil"/>
              <w:bottom w:val="nil"/>
              <w:right w:val="nil"/>
            </w:tcBorders>
            <w:shd w:val="clear" w:color="auto" w:fill="auto"/>
            <w:noWrap/>
            <w:vAlign w:val="bottom"/>
            <w:hideMark/>
          </w:tcPr>
          <w:p w14:paraId="6960AC7C" w14:textId="0865B2F3"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(104)</w:t>
            </w:r>
          </w:p>
        </w:tc>
        <w:tc>
          <w:tcPr>
            <w:tcW w:w="1077" w:type="dxa"/>
            <w:tcBorders>
              <w:top w:val="nil"/>
              <w:left w:val="nil"/>
              <w:bottom w:val="nil"/>
              <w:right w:val="nil"/>
            </w:tcBorders>
            <w:shd w:val="clear" w:color="auto" w:fill="auto"/>
            <w:noWrap/>
            <w:vAlign w:val="bottom"/>
            <w:hideMark/>
          </w:tcPr>
          <w:p w14:paraId="3CC6137F" w14:textId="40332D0E"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(351)</w:t>
            </w:r>
          </w:p>
        </w:tc>
      </w:tr>
      <w:tr w:rsidR="0074258E" w:rsidRPr="00973C3E" w14:paraId="21589B5A"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5314C0D8" w14:textId="684293AD"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Depreciation/amortisation expense - </w:t>
            </w:r>
            <w:proofErr w:type="spellStart"/>
            <w:r>
              <w:rPr>
                <w:rFonts w:ascii="Arial" w:hAnsi="Arial" w:cs="Arial"/>
                <w:sz w:val="16"/>
                <w:szCs w:val="16"/>
              </w:rPr>
              <w:t>RoU</w:t>
            </w:r>
            <w:proofErr w:type="spellEnd"/>
          </w:p>
        </w:tc>
        <w:tc>
          <w:tcPr>
            <w:tcW w:w="1134" w:type="dxa"/>
            <w:tcBorders>
              <w:top w:val="nil"/>
              <w:left w:val="nil"/>
              <w:bottom w:val="nil"/>
              <w:right w:val="nil"/>
            </w:tcBorders>
            <w:shd w:val="clear" w:color="auto" w:fill="auto"/>
            <w:noWrap/>
            <w:vAlign w:val="bottom"/>
            <w:hideMark/>
          </w:tcPr>
          <w:p w14:paraId="5E36F7EE" w14:textId="6D3BFEC4"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(299)</w:t>
            </w:r>
          </w:p>
        </w:tc>
        <w:tc>
          <w:tcPr>
            <w:tcW w:w="1134" w:type="dxa"/>
            <w:tcBorders>
              <w:top w:val="nil"/>
              <w:left w:val="nil"/>
              <w:bottom w:val="nil"/>
              <w:right w:val="nil"/>
            </w:tcBorders>
            <w:shd w:val="clear" w:color="auto" w:fill="auto"/>
            <w:noWrap/>
            <w:vAlign w:val="bottom"/>
            <w:hideMark/>
          </w:tcPr>
          <w:p w14:paraId="7DD26104" w14:textId="51C5D4C6"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0AE0C474" w14:textId="3A261A3A"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6BDD3C20" w14:textId="521739C6"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(299)</w:t>
            </w:r>
          </w:p>
        </w:tc>
      </w:tr>
      <w:tr w:rsidR="0074258E" w:rsidRPr="00973C3E" w14:paraId="6395E905"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5F4C8BC2" w14:textId="6C7CE8C6" w:rsidR="0074258E" w:rsidRPr="00973C3E" w:rsidRDefault="0074258E" w:rsidP="0074258E">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other movements</w:t>
            </w:r>
          </w:p>
        </w:tc>
        <w:tc>
          <w:tcPr>
            <w:tcW w:w="1134" w:type="dxa"/>
            <w:tcBorders>
              <w:top w:val="nil"/>
              <w:left w:val="nil"/>
              <w:bottom w:val="single" w:sz="4" w:space="0" w:color="auto"/>
              <w:right w:val="nil"/>
            </w:tcBorders>
            <w:shd w:val="clear" w:color="auto" w:fill="auto"/>
            <w:noWrap/>
            <w:vAlign w:val="bottom"/>
            <w:hideMark/>
          </w:tcPr>
          <w:p w14:paraId="169A76EF" w14:textId="4C99EC57"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(498)</w:t>
            </w:r>
          </w:p>
        </w:tc>
        <w:tc>
          <w:tcPr>
            <w:tcW w:w="1134" w:type="dxa"/>
            <w:tcBorders>
              <w:top w:val="nil"/>
              <w:left w:val="nil"/>
              <w:bottom w:val="single" w:sz="4" w:space="0" w:color="auto"/>
              <w:right w:val="nil"/>
            </w:tcBorders>
            <w:shd w:val="clear" w:color="auto" w:fill="auto"/>
            <w:noWrap/>
            <w:vAlign w:val="bottom"/>
            <w:hideMark/>
          </w:tcPr>
          <w:p w14:paraId="3ED1600D" w14:textId="2AB4A2E7"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(48)</w:t>
            </w:r>
          </w:p>
        </w:tc>
        <w:tc>
          <w:tcPr>
            <w:tcW w:w="1134" w:type="dxa"/>
            <w:tcBorders>
              <w:top w:val="nil"/>
              <w:left w:val="nil"/>
              <w:bottom w:val="single" w:sz="4" w:space="0" w:color="auto"/>
              <w:right w:val="nil"/>
            </w:tcBorders>
            <w:shd w:val="clear" w:color="auto" w:fill="auto"/>
            <w:noWrap/>
            <w:vAlign w:val="bottom"/>
            <w:hideMark/>
          </w:tcPr>
          <w:p w14:paraId="015EB987" w14:textId="45465644"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(104)</w:t>
            </w:r>
          </w:p>
        </w:tc>
        <w:tc>
          <w:tcPr>
            <w:tcW w:w="1077" w:type="dxa"/>
            <w:tcBorders>
              <w:top w:val="nil"/>
              <w:left w:val="nil"/>
              <w:bottom w:val="single" w:sz="4" w:space="0" w:color="auto"/>
              <w:right w:val="nil"/>
            </w:tcBorders>
            <w:shd w:val="clear" w:color="auto" w:fill="auto"/>
            <w:noWrap/>
            <w:vAlign w:val="bottom"/>
            <w:hideMark/>
          </w:tcPr>
          <w:p w14:paraId="2A002B9D" w14:textId="58AB5A11"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(650)</w:t>
            </w:r>
          </w:p>
        </w:tc>
      </w:tr>
      <w:tr w:rsidR="0074258E" w:rsidRPr="00973C3E" w14:paraId="7DA79FD5" w14:textId="77777777" w:rsidTr="004D538B">
        <w:trPr>
          <w:trHeight w:val="283"/>
          <w:jc w:val="center"/>
        </w:trPr>
        <w:tc>
          <w:tcPr>
            <w:tcW w:w="3326" w:type="dxa"/>
            <w:tcBorders>
              <w:top w:val="nil"/>
              <w:left w:val="nil"/>
              <w:bottom w:val="nil"/>
              <w:right w:val="nil"/>
            </w:tcBorders>
            <w:shd w:val="clear" w:color="auto" w:fill="auto"/>
            <w:noWrap/>
            <w:vAlign w:val="bottom"/>
            <w:hideMark/>
          </w:tcPr>
          <w:p w14:paraId="091958FF" w14:textId="7E076BA8" w:rsidR="0074258E" w:rsidRPr="00973C3E" w:rsidRDefault="0074258E" w:rsidP="0074258E">
            <w:pPr>
              <w:spacing w:before="0" w:after="0" w:line="240" w:lineRule="auto"/>
              <w:rPr>
                <w:rFonts w:ascii="Arial" w:hAnsi="Arial" w:cs="Arial"/>
                <w:b/>
                <w:bCs/>
                <w:sz w:val="16"/>
                <w:szCs w:val="16"/>
              </w:rPr>
            </w:pPr>
            <w:r>
              <w:rPr>
                <w:rFonts w:ascii="Arial" w:hAnsi="Arial" w:cs="Arial"/>
                <w:b/>
                <w:bCs/>
                <w:sz w:val="16"/>
                <w:szCs w:val="16"/>
              </w:rPr>
              <w:t xml:space="preserve">As </w:t>
            </w:r>
            <w:proofErr w:type="gramStart"/>
            <w:r>
              <w:rPr>
                <w:rFonts w:ascii="Arial" w:hAnsi="Arial" w:cs="Arial"/>
                <w:b/>
                <w:bCs/>
                <w:sz w:val="16"/>
                <w:szCs w:val="16"/>
              </w:rPr>
              <w:t>at</w:t>
            </w:r>
            <w:proofErr w:type="gramEnd"/>
            <w:r>
              <w:rPr>
                <w:rFonts w:ascii="Arial" w:hAnsi="Arial" w:cs="Arial"/>
                <w:b/>
                <w:bCs/>
                <w:sz w:val="16"/>
                <w:szCs w:val="16"/>
              </w:rPr>
              <w:t xml:space="preserve"> 30 June 2024</w:t>
            </w:r>
          </w:p>
        </w:tc>
        <w:tc>
          <w:tcPr>
            <w:tcW w:w="1134" w:type="dxa"/>
            <w:tcBorders>
              <w:top w:val="nil"/>
              <w:left w:val="nil"/>
              <w:bottom w:val="nil"/>
              <w:right w:val="nil"/>
            </w:tcBorders>
            <w:shd w:val="clear" w:color="auto" w:fill="auto"/>
            <w:noWrap/>
            <w:vAlign w:val="bottom"/>
            <w:hideMark/>
          </w:tcPr>
          <w:p w14:paraId="2C77E749" w14:textId="77777777" w:rsidR="0074258E" w:rsidRPr="00973C3E" w:rsidRDefault="0074258E" w:rsidP="0074258E">
            <w:pPr>
              <w:spacing w:before="0" w:after="0" w:line="240" w:lineRule="auto"/>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14:paraId="0EF09B49" w14:textId="77777777" w:rsidR="0074258E" w:rsidRPr="00973C3E" w:rsidRDefault="0074258E" w:rsidP="0074258E">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3F820919" w14:textId="77777777" w:rsidR="0074258E" w:rsidRPr="00973C3E" w:rsidRDefault="0074258E" w:rsidP="0074258E">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7AA3EC27" w14:textId="77777777" w:rsidR="0074258E" w:rsidRPr="00973C3E" w:rsidRDefault="0074258E" w:rsidP="0074258E">
            <w:pPr>
              <w:spacing w:before="0" w:after="0" w:line="240" w:lineRule="auto"/>
              <w:jc w:val="right"/>
              <w:rPr>
                <w:rFonts w:ascii="Times New Roman" w:hAnsi="Times New Roman"/>
                <w:sz w:val="20"/>
              </w:rPr>
            </w:pPr>
          </w:p>
        </w:tc>
      </w:tr>
      <w:tr w:rsidR="0074258E" w:rsidRPr="00973C3E" w14:paraId="79234464"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22AB9E66" w14:textId="65E7265E"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Gross book value</w:t>
            </w:r>
          </w:p>
        </w:tc>
        <w:tc>
          <w:tcPr>
            <w:tcW w:w="1134" w:type="dxa"/>
            <w:tcBorders>
              <w:top w:val="nil"/>
              <w:left w:val="nil"/>
              <w:bottom w:val="nil"/>
              <w:right w:val="nil"/>
            </w:tcBorders>
            <w:shd w:val="clear" w:color="auto" w:fill="auto"/>
            <w:noWrap/>
            <w:vAlign w:val="bottom"/>
            <w:hideMark/>
          </w:tcPr>
          <w:p w14:paraId="2CE877D0" w14:textId="7C082AA4"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2,015</w:t>
            </w:r>
          </w:p>
        </w:tc>
        <w:tc>
          <w:tcPr>
            <w:tcW w:w="1134" w:type="dxa"/>
            <w:tcBorders>
              <w:top w:val="nil"/>
              <w:left w:val="nil"/>
              <w:bottom w:val="nil"/>
              <w:right w:val="nil"/>
            </w:tcBorders>
            <w:shd w:val="clear" w:color="auto" w:fill="auto"/>
            <w:noWrap/>
            <w:vAlign w:val="bottom"/>
            <w:hideMark/>
          </w:tcPr>
          <w:p w14:paraId="6D492859" w14:textId="4A4AB432"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265</w:t>
            </w:r>
          </w:p>
        </w:tc>
        <w:tc>
          <w:tcPr>
            <w:tcW w:w="1134" w:type="dxa"/>
            <w:tcBorders>
              <w:top w:val="nil"/>
              <w:left w:val="nil"/>
              <w:bottom w:val="nil"/>
              <w:right w:val="nil"/>
            </w:tcBorders>
            <w:shd w:val="clear" w:color="auto" w:fill="auto"/>
            <w:noWrap/>
            <w:vAlign w:val="bottom"/>
            <w:hideMark/>
          </w:tcPr>
          <w:p w14:paraId="2A9DCA9B" w14:textId="40C6C49C"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771</w:t>
            </w:r>
          </w:p>
        </w:tc>
        <w:tc>
          <w:tcPr>
            <w:tcW w:w="1077" w:type="dxa"/>
            <w:tcBorders>
              <w:top w:val="nil"/>
              <w:left w:val="nil"/>
              <w:bottom w:val="nil"/>
              <w:right w:val="nil"/>
            </w:tcBorders>
            <w:shd w:val="clear" w:color="auto" w:fill="auto"/>
            <w:noWrap/>
            <w:vAlign w:val="bottom"/>
            <w:hideMark/>
          </w:tcPr>
          <w:p w14:paraId="027261EC" w14:textId="2DFFD0E5"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3,051</w:t>
            </w:r>
          </w:p>
        </w:tc>
      </w:tr>
      <w:tr w:rsidR="0074258E" w:rsidRPr="00973C3E" w14:paraId="51237D91" w14:textId="77777777" w:rsidTr="00603F85">
        <w:trPr>
          <w:trHeight w:val="225"/>
          <w:jc w:val="center"/>
        </w:trPr>
        <w:tc>
          <w:tcPr>
            <w:tcW w:w="3326" w:type="dxa"/>
            <w:tcBorders>
              <w:top w:val="nil"/>
              <w:left w:val="nil"/>
              <w:bottom w:val="nil"/>
              <w:right w:val="nil"/>
            </w:tcBorders>
            <w:shd w:val="clear" w:color="auto" w:fill="auto"/>
            <w:noWrap/>
            <w:vAlign w:val="bottom"/>
            <w:hideMark/>
          </w:tcPr>
          <w:p w14:paraId="5903B03B" w14:textId="221D4033"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Gross book value - </w:t>
            </w:r>
            <w:proofErr w:type="spellStart"/>
            <w:r>
              <w:rPr>
                <w:rFonts w:ascii="Arial" w:hAnsi="Arial" w:cs="Arial"/>
                <w:sz w:val="16"/>
                <w:szCs w:val="16"/>
              </w:rPr>
              <w:t>RoU</w:t>
            </w:r>
            <w:proofErr w:type="spellEnd"/>
          </w:p>
        </w:tc>
        <w:tc>
          <w:tcPr>
            <w:tcW w:w="1134" w:type="dxa"/>
            <w:tcBorders>
              <w:top w:val="nil"/>
              <w:left w:val="nil"/>
              <w:bottom w:val="nil"/>
              <w:right w:val="nil"/>
            </w:tcBorders>
            <w:shd w:val="clear" w:color="auto" w:fill="auto"/>
            <w:noWrap/>
            <w:vAlign w:val="bottom"/>
            <w:hideMark/>
          </w:tcPr>
          <w:p w14:paraId="7D8CBA98" w14:textId="18000CCE"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3,826</w:t>
            </w:r>
          </w:p>
        </w:tc>
        <w:tc>
          <w:tcPr>
            <w:tcW w:w="1134" w:type="dxa"/>
            <w:tcBorders>
              <w:top w:val="nil"/>
              <w:left w:val="nil"/>
              <w:bottom w:val="nil"/>
              <w:right w:val="nil"/>
            </w:tcBorders>
            <w:shd w:val="clear" w:color="auto" w:fill="auto"/>
            <w:noWrap/>
            <w:vAlign w:val="bottom"/>
            <w:hideMark/>
          </w:tcPr>
          <w:p w14:paraId="1ADF6064" w14:textId="483BD0B0"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14:paraId="0681A9E2" w14:textId="5C57F297"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375EF681" w14:textId="3A30D791"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3,826</w:t>
            </w:r>
          </w:p>
        </w:tc>
      </w:tr>
      <w:tr w:rsidR="0074258E" w:rsidRPr="00973C3E" w14:paraId="65C5467E" w14:textId="77777777" w:rsidTr="004D538B">
        <w:trPr>
          <w:trHeight w:val="425"/>
          <w:jc w:val="center"/>
        </w:trPr>
        <w:tc>
          <w:tcPr>
            <w:tcW w:w="3326" w:type="dxa"/>
            <w:tcBorders>
              <w:top w:val="nil"/>
              <w:left w:val="nil"/>
              <w:bottom w:val="nil"/>
              <w:right w:val="nil"/>
            </w:tcBorders>
            <w:shd w:val="clear" w:color="auto" w:fill="auto"/>
            <w:vAlign w:val="bottom"/>
            <w:hideMark/>
          </w:tcPr>
          <w:p w14:paraId="5995012F" w14:textId="3F4F1D0D"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bottom"/>
            <w:hideMark/>
          </w:tcPr>
          <w:p w14:paraId="445B5C4A" w14:textId="6034DF4C"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(347)</w:t>
            </w:r>
          </w:p>
        </w:tc>
        <w:tc>
          <w:tcPr>
            <w:tcW w:w="1134" w:type="dxa"/>
            <w:tcBorders>
              <w:top w:val="nil"/>
              <w:left w:val="nil"/>
              <w:bottom w:val="nil"/>
              <w:right w:val="nil"/>
            </w:tcBorders>
            <w:shd w:val="clear" w:color="auto" w:fill="auto"/>
            <w:noWrap/>
            <w:vAlign w:val="bottom"/>
            <w:hideMark/>
          </w:tcPr>
          <w:p w14:paraId="7FF05227" w14:textId="002E814C"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(121)</w:t>
            </w:r>
          </w:p>
        </w:tc>
        <w:tc>
          <w:tcPr>
            <w:tcW w:w="1134" w:type="dxa"/>
            <w:tcBorders>
              <w:top w:val="nil"/>
              <w:left w:val="nil"/>
              <w:bottom w:val="nil"/>
              <w:right w:val="nil"/>
            </w:tcBorders>
            <w:shd w:val="clear" w:color="auto" w:fill="auto"/>
            <w:noWrap/>
            <w:vAlign w:val="bottom"/>
            <w:hideMark/>
          </w:tcPr>
          <w:p w14:paraId="418CA91D" w14:textId="3E59C8E8"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(514)</w:t>
            </w:r>
          </w:p>
        </w:tc>
        <w:tc>
          <w:tcPr>
            <w:tcW w:w="1077" w:type="dxa"/>
            <w:tcBorders>
              <w:top w:val="nil"/>
              <w:left w:val="nil"/>
              <w:bottom w:val="nil"/>
              <w:right w:val="nil"/>
            </w:tcBorders>
            <w:shd w:val="clear" w:color="auto" w:fill="auto"/>
            <w:noWrap/>
            <w:vAlign w:val="bottom"/>
            <w:hideMark/>
          </w:tcPr>
          <w:p w14:paraId="4C409C9E" w14:textId="0424D3E6"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(982)</w:t>
            </w:r>
          </w:p>
        </w:tc>
      </w:tr>
      <w:tr w:rsidR="0074258E" w:rsidRPr="00973C3E" w14:paraId="0E82EACB" w14:textId="77777777" w:rsidTr="004D538B">
        <w:trPr>
          <w:trHeight w:val="425"/>
          <w:jc w:val="center"/>
        </w:trPr>
        <w:tc>
          <w:tcPr>
            <w:tcW w:w="3326" w:type="dxa"/>
            <w:tcBorders>
              <w:top w:val="nil"/>
              <w:left w:val="nil"/>
              <w:bottom w:val="nil"/>
              <w:right w:val="nil"/>
            </w:tcBorders>
            <w:shd w:val="clear" w:color="auto" w:fill="auto"/>
            <w:vAlign w:val="bottom"/>
            <w:hideMark/>
          </w:tcPr>
          <w:p w14:paraId="5C2E3B98" w14:textId="5A881FF7" w:rsidR="0074258E" w:rsidRPr="00973C3E" w:rsidRDefault="0074258E" w:rsidP="0074258E">
            <w:pPr>
              <w:spacing w:before="0" w:after="0" w:line="240" w:lineRule="auto"/>
              <w:ind w:leftChars="75" w:left="143"/>
              <w:rPr>
                <w:rFonts w:ascii="Arial" w:hAnsi="Arial" w:cs="Arial"/>
                <w:sz w:val="16"/>
                <w:szCs w:val="16"/>
              </w:rPr>
            </w:pPr>
            <w:r>
              <w:rPr>
                <w:rFonts w:ascii="Arial" w:hAnsi="Arial" w:cs="Arial"/>
                <w:sz w:val="16"/>
                <w:szCs w:val="16"/>
              </w:rPr>
              <w:t xml:space="preserve">Accumulated depreciation/amortisation and impairment - </w:t>
            </w:r>
            <w:proofErr w:type="spellStart"/>
            <w:r>
              <w:rPr>
                <w:rFonts w:ascii="Arial" w:hAnsi="Arial" w:cs="Arial"/>
                <w:sz w:val="16"/>
                <w:szCs w:val="16"/>
              </w:rPr>
              <w:t>RoU</w:t>
            </w:r>
            <w:proofErr w:type="spellEnd"/>
          </w:p>
        </w:tc>
        <w:tc>
          <w:tcPr>
            <w:tcW w:w="1134" w:type="dxa"/>
            <w:tcBorders>
              <w:top w:val="nil"/>
              <w:left w:val="nil"/>
              <w:bottom w:val="single" w:sz="4" w:space="0" w:color="auto"/>
              <w:right w:val="nil"/>
            </w:tcBorders>
            <w:shd w:val="clear" w:color="auto" w:fill="auto"/>
            <w:noWrap/>
            <w:vAlign w:val="bottom"/>
            <w:hideMark/>
          </w:tcPr>
          <w:p w14:paraId="74B11EAA" w14:textId="16F3FCAC"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(1,496)</w:t>
            </w:r>
          </w:p>
        </w:tc>
        <w:tc>
          <w:tcPr>
            <w:tcW w:w="1134" w:type="dxa"/>
            <w:tcBorders>
              <w:top w:val="nil"/>
              <w:left w:val="nil"/>
              <w:bottom w:val="single" w:sz="4" w:space="0" w:color="auto"/>
              <w:right w:val="nil"/>
            </w:tcBorders>
            <w:shd w:val="clear" w:color="auto" w:fill="auto"/>
            <w:noWrap/>
            <w:vAlign w:val="bottom"/>
            <w:hideMark/>
          </w:tcPr>
          <w:p w14:paraId="49F267E7" w14:textId="5A3CCED6"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4" w:space="0" w:color="auto"/>
              <w:right w:val="nil"/>
            </w:tcBorders>
            <w:shd w:val="clear" w:color="auto" w:fill="auto"/>
            <w:noWrap/>
            <w:vAlign w:val="bottom"/>
            <w:hideMark/>
          </w:tcPr>
          <w:p w14:paraId="7388E467" w14:textId="19323460" w:rsidR="0074258E" w:rsidRPr="00973C3E" w:rsidRDefault="0074258E" w:rsidP="0074258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single" w:sz="4" w:space="0" w:color="auto"/>
              <w:right w:val="nil"/>
            </w:tcBorders>
            <w:shd w:val="clear" w:color="auto" w:fill="auto"/>
            <w:noWrap/>
            <w:vAlign w:val="bottom"/>
            <w:hideMark/>
          </w:tcPr>
          <w:p w14:paraId="65AF3B4D" w14:textId="2073E44E"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(1,496)</w:t>
            </w:r>
          </w:p>
        </w:tc>
      </w:tr>
      <w:tr w:rsidR="0074258E" w:rsidRPr="00973C3E" w14:paraId="03A05BF1" w14:textId="77777777" w:rsidTr="00822CA7">
        <w:trPr>
          <w:trHeight w:val="225"/>
          <w:jc w:val="center"/>
        </w:trPr>
        <w:tc>
          <w:tcPr>
            <w:tcW w:w="3326" w:type="dxa"/>
            <w:tcBorders>
              <w:top w:val="nil"/>
              <w:left w:val="nil"/>
              <w:bottom w:val="single" w:sz="4" w:space="0" w:color="auto"/>
              <w:right w:val="nil"/>
            </w:tcBorders>
            <w:shd w:val="clear" w:color="auto" w:fill="auto"/>
            <w:noWrap/>
            <w:vAlign w:val="bottom"/>
            <w:hideMark/>
          </w:tcPr>
          <w:p w14:paraId="4F761DD9" w14:textId="3BF16B5C" w:rsidR="0074258E" w:rsidRPr="00973C3E" w:rsidRDefault="0074258E" w:rsidP="0074258E">
            <w:pPr>
              <w:spacing w:before="0" w:after="0" w:line="240" w:lineRule="auto"/>
              <w:ind w:leftChars="75" w:left="143"/>
              <w:rPr>
                <w:rFonts w:ascii="Arial" w:hAnsi="Arial" w:cs="Arial"/>
                <w:b/>
                <w:bCs/>
                <w:sz w:val="16"/>
                <w:szCs w:val="16"/>
              </w:rPr>
            </w:pPr>
            <w:r>
              <w:rPr>
                <w:rFonts w:ascii="Arial" w:hAnsi="Arial" w:cs="Arial"/>
                <w:b/>
                <w:bCs/>
                <w:sz w:val="16"/>
                <w:szCs w:val="16"/>
              </w:rPr>
              <w:t>Closing net book balance</w:t>
            </w:r>
          </w:p>
        </w:tc>
        <w:tc>
          <w:tcPr>
            <w:tcW w:w="1134" w:type="dxa"/>
            <w:tcBorders>
              <w:top w:val="nil"/>
              <w:left w:val="nil"/>
              <w:bottom w:val="single" w:sz="4" w:space="0" w:color="auto"/>
              <w:right w:val="nil"/>
            </w:tcBorders>
            <w:shd w:val="clear" w:color="auto" w:fill="auto"/>
            <w:noWrap/>
            <w:vAlign w:val="bottom"/>
            <w:hideMark/>
          </w:tcPr>
          <w:p w14:paraId="0163FF34" w14:textId="07DB8907"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3,998</w:t>
            </w:r>
          </w:p>
        </w:tc>
        <w:tc>
          <w:tcPr>
            <w:tcW w:w="1134" w:type="dxa"/>
            <w:tcBorders>
              <w:top w:val="nil"/>
              <w:left w:val="nil"/>
              <w:bottom w:val="single" w:sz="4" w:space="0" w:color="auto"/>
              <w:right w:val="nil"/>
            </w:tcBorders>
            <w:shd w:val="clear" w:color="auto" w:fill="auto"/>
            <w:noWrap/>
            <w:vAlign w:val="bottom"/>
            <w:hideMark/>
          </w:tcPr>
          <w:p w14:paraId="74421A8C" w14:textId="6ECB1119"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144</w:t>
            </w:r>
          </w:p>
        </w:tc>
        <w:tc>
          <w:tcPr>
            <w:tcW w:w="1134" w:type="dxa"/>
            <w:tcBorders>
              <w:top w:val="nil"/>
              <w:left w:val="nil"/>
              <w:bottom w:val="single" w:sz="4" w:space="0" w:color="auto"/>
              <w:right w:val="nil"/>
            </w:tcBorders>
            <w:shd w:val="clear" w:color="auto" w:fill="auto"/>
            <w:noWrap/>
            <w:vAlign w:val="bottom"/>
            <w:hideMark/>
          </w:tcPr>
          <w:p w14:paraId="27015098" w14:textId="053F55CA"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257</w:t>
            </w:r>
          </w:p>
        </w:tc>
        <w:tc>
          <w:tcPr>
            <w:tcW w:w="1077" w:type="dxa"/>
            <w:tcBorders>
              <w:top w:val="nil"/>
              <w:left w:val="nil"/>
              <w:bottom w:val="single" w:sz="4" w:space="0" w:color="auto"/>
              <w:right w:val="nil"/>
            </w:tcBorders>
            <w:shd w:val="clear" w:color="auto" w:fill="auto"/>
            <w:noWrap/>
            <w:vAlign w:val="bottom"/>
            <w:hideMark/>
          </w:tcPr>
          <w:p w14:paraId="787D8D3D" w14:textId="26201E14" w:rsidR="0074258E" w:rsidRPr="00973C3E" w:rsidRDefault="0074258E" w:rsidP="0074258E">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4,399</w:t>
            </w:r>
          </w:p>
        </w:tc>
      </w:tr>
    </w:tbl>
    <w:p w14:paraId="016C07FE" w14:textId="6A2DD252" w:rsidR="00EA082D" w:rsidRDefault="00EA082D" w:rsidP="00EA082D">
      <w:pPr>
        <w:pStyle w:val="FootnoteText"/>
        <w:spacing w:before="120"/>
      </w:pPr>
      <w:proofErr w:type="spellStart"/>
      <w:r w:rsidRPr="00EA082D">
        <w:t>RoU</w:t>
      </w:r>
      <w:proofErr w:type="spellEnd"/>
      <w:r w:rsidRPr="00EA082D">
        <w:t xml:space="preserve"> = Right-of-Use asset</w:t>
      </w:r>
    </w:p>
    <w:p w14:paraId="423CC290" w14:textId="11CD0601" w:rsidR="00603F85" w:rsidRDefault="00603F85" w:rsidP="00603F85">
      <w:pPr>
        <w:pStyle w:val="TableHeadingcontinued"/>
        <w:rPr>
          <w:b w:val="0"/>
          <w:bCs/>
          <w:color w:val="0000FF"/>
        </w:rPr>
      </w:pPr>
      <w:r>
        <w:br w:type="page"/>
      </w:r>
    </w:p>
    <w:p w14:paraId="3000F69D" w14:textId="77777777" w:rsidR="00603F85" w:rsidRDefault="00603F85" w:rsidP="00603F85">
      <w:pPr>
        <w:pStyle w:val="TableHeading"/>
        <w:spacing w:before="0"/>
        <w:rPr>
          <w:b w:val="0"/>
          <w:snapToGrid w:val="0"/>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771" w:type="dxa"/>
        <w:jc w:val="center"/>
        <w:tblLayout w:type="fixed"/>
        <w:tblLook w:val="04A0" w:firstRow="1" w:lastRow="0" w:firstColumn="1" w:lastColumn="0" w:noHBand="0" w:noVBand="1"/>
      </w:tblPr>
      <w:tblGrid>
        <w:gridCol w:w="3203"/>
        <w:gridCol w:w="907"/>
        <w:gridCol w:w="918"/>
        <w:gridCol w:w="918"/>
        <w:gridCol w:w="918"/>
        <w:gridCol w:w="907"/>
      </w:tblGrid>
      <w:tr w:rsidR="00403994" w:rsidRPr="00973C3E" w14:paraId="7AFB7FA2" w14:textId="77777777" w:rsidTr="00403994">
        <w:trPr>
          <w:trHeight w:val="765"/>
          <w:jc w:val="center"/>
        </w:trPr>
        <w:tc>
          <w:tcPr>
            <w:tcW w:w="3203" w:type="dxa"/>
            <w:tcBorders>
              <w:top w:val="single" w:sz="4" w:space="0" w:color="auto"/>
              <w:left w:val="nil"/>
              <w:bottom w:val="nil"/>
              <w:right w:val="nil"/>
            </w:tcBorders>
            <w:shd w:val="clear" w:color="auto" w:fill="auto"/>
            <w:hideMark/>
          </w:tcPr>
          <w:p w14:paraId="3001B8E2" w14:textId="244E1C4C" w:rsidR="00403994" w:rsidRPr="00973C3E" w:rsidRDefault="00403994" w:rsidP="00403994">
            <w:pPr>
              <w:spacing w:before="24" w:after="0" w:line="240" w:lineRule="auto"/>
              <w:jc w:val="right"/>
              <w:rPr>
                <w:rFonts w:ascii="Arial" w:hAnsi="Arial" w:cs="Arial"/>
                <w:color w:val="000000"/>
                <w:sz w:val="16"/>
                <w:szCs w:val="16"/>
              </w:rPr>
            </w:pPr>
            <w:r>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hideMark/>
          </w:tcPr>
          <w:p w14:paraId="4D1E7364" w14:textId="4872990F" w:rsidR="00403994" w:rsidRPr="00973C3E" w:rsidRDefault="00403994" w:rsidP="00403994">
            <w:pPr>
              <w:spacing w:before="24"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Actual</w:t>
            </w:r>
            <w:r>
              <w:rPr>
                <w:rFonts w:ascii="Arial" w:hAnsi="Arial" w:cs="Arial"/>
                <w:b/>
                <w:bCs/>
                <w:sz w:val="16"/>
                <w:szCs w:val="16"/>
              </w:rPr>
              <w:br/>
            </w:r>
            <w:r>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000000" w:fill="D9D9D9"/>
            <w:hideMark/>
          </w:tcPr>
          <w:p w14:paraId="243DB37F" w14:textId="04C669E6" w:rsidR="00403994" w:rsidRPr="00973C3E" w:rsidRDefault="00403994" w:rsidP="00403994">
            <w:pPr>
              <w:spacing w:before="24" w:after="0" w:line="240" w:lineRule="auto"/>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Revised</w:t>
            </w:r>
            <w:r>
              <w:rPr>
                <w:rFonts w:ascii="Arial" w:hAnsi="Arial" w:cs="Arial"/>
                <w:b/>
                <w:bCs/>
                <w:sz w:val="16"/>
                <w:szCs w:val="16"/>
              </w:rPr>
              <w:br/>
              <w:t>Budget</w:t>
            </w:r>
            <w:r>
              <w:rPr>
                <w:rFonts w:ascii="Arial" w:hAnsi="Arial" w:cs="Arial"/>
                <w:sz w:val="16"/>
                <w:szCs w:val="16"/>
              </w:rPr>
              <w:br/>
              <w:t>$'000</w:t>
            </w:r>
          </w:p>
        </w:tc>
        <w:tc>
          <w:tcPr>
            <w:tcW w:w="918" w:type="dxa"/>
            <w:tcBorders>
              <w:top w:val="single" w:sz="4" w:space="0" w:color="auto"/>
              <w:left w:val="nil"/>
              <w:bottom w:val="single" w:sz="4" w:space="0" w:color="auto"/>
              <w:right w:val="nil"/>
            </w:tcBorders>
            <w:shd w:val="clear" w:color="auto" w:fill="auto"/>
            <w:hideMark/>
          </w:tcPr>
          <w:p w14:paraId="6E1BE5C0" w14:textId="28AFBA30" w:rsidR="00403994" w:rsidRPr="00973C3E" w:rsidRDefault="00403994" w:rsidP="00403994">
            <w:pPr>
              <w:spacing w:before="24" w:after="0" w:line="240" w:lineRule="auto"/>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18" w:type="dxa"/>
            <w:tcBorders>
              <w:top w:val="single" w:sz="4" w:space="0" w:color="auto"/>
              <w:left w:val="nil"/>
              <w:bottom w:val="single" w:sz="4" w:space="0" w:color="auto"/>
              <w:right w:val="nil"/>
            </w:tcBorders>
            <w:shd w:val="clear" w:color="auto" w:fill="auto"/>
            <w:hideMark/>
          </w:tcPr>
          <w:p w14:paraId="3F49F60E" w14:textId="76724EAD" w:rsidR="00403994" w:rsidRPr="00973C3E" w:rsidRDefault="00403994" w:rsidP="00403994">
            <w:pPr>
              <w:spacing w:before="24" w:after="0" w:line="240" w:lineRule="auto"/>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137141F1" w14:textId="48418D39" w:rsidR="00403994" w:rsidRPr="00973C3E" w:rsidRDefault="00403994" w:rsidP="00403994">
            <w:pPr>
              <w:spacing w:before="24" w:after="0" w:line="240" w:lineRule="auto"/>
              <w:jc w:val="right"/>
              <w:rPr>
                <w:rFonts w:ascii="Arial" w:hAnsi="Arial" w:cs="Arial"/>
                <w:b/>
                <w:bCs/>
                <w:sz w:val="16"/>
                <w:szCs w:val="16"/>
              </w:rPr>
            </w:pPr>
            <w:r>
              <w:rPr>
                <w:rFonts w:ascii="Arial" w:hAnsi="Arial" w:cs="Arial"/>
                <w:b/>
                <w:bCs/>
                <w:sz w:val="16"/>
                <w:szCs w:val="16"/>
              </w:rPr>
              <w:t>2026–27 Forward Estimate</w:t>
            </w:r>
            <w:r>
              <w:rPr>
                <w:rFonts w:ascii="Arial" w:hAnsi="Arial" w:cs="Arial"/>
                <w:b/>
                <w:bCs/>
                <w:sz w:val="16"/>
                <w:szCs w:val="16"/>
              </w:rPr>
              <w:br/>
            </w:r>
            <w:r>
              <w:rPr>
                <w:rFonts w:ascii="Arial" w:hAnsi="Arial" w:cs="Arial"/>
                <w:sz w:val="16"/>
                <w:szCs w:val="16"/>
              </w:rPr>
              <w:t>$'000</w:t>
            </w:r>
          </w:p>
        </w:tc>
      </w:tr>
      <w:tr w:rsidR="00403994" w:rsidRPr="00973C3E" w14:paraId="59CE5CD1" w14:textId="77777777" w:rsidTr="00603F85">
        <w:trPr>
          <w:trHeight w:val="454"/>
          <w:jc w:val="center"/>
        </w:trPr>
        <w:tc>
          <w:tcPr>
            <w:tcW w:w="3203" w:type="dxa"/>
            <w:tcBorders>
              <w:top w:val="nil"/>
              <w:left w:val="nil"/>
              <w:bottom w:val="nil"/>
              <w:right w:val="nil"/>
            </w:tcBorders>
            <w:shd w:val="clear" w:color="auto" w:fill="auto"/>
            <w:vAlign w:val="bottom"/>
            <w:hideMark/>
          </w:tcPr>
          <w:p w14:paraId="1D5C55D3" w14:textId="7C9AB5D9" w:rsidR="00403994" w:rsidRPr="00973C3E" w:rsidRDefault="00403994" w:rsidP="00403994">
            <w:pPr>
              <w:spacing w:before="0" w:after="0" w:line="240" w:lineRule="auto"/>
              <w:rPr>
                <w:rFonts w:ascii="Arial" w:hAnsi="Arial" w:cs="Arial"/>
                <w:b/>
                <w:bCs/>
                <w:sz w:val="16"/>
                <w:szCs w:val="16"/>
              </w:rPr>
            </w:pPr>
            <w:r>
              <w:rPr>
                <w:rFonts w:ascii="Arial" w:hAnsi="Arial" w:cs="Arial"/>
                <w:b/>
                <w:bCs/>
                <w:sz w:val="16"/>
                <w:szCs w:val="16"/>
              </w:rPr>
              <w:t>EXPENSES ADMINISTERED ON BEHALF OF GOVERNMENT</w:t>
            </w:r>
          </w:p>
        </w:tc>
        <w:tc>
          <w:tcPr>
            <w:tcW w:w="907" w:type="dxa"/>
            <w:tcBorders>
              <w:top w:val="nil"/>
              <w:left w:val="nil"/>
              <w:bottom w:val="nil"/>
              <w:right w:val="nil"/>
            </w:tcBorders>
            <w:shd w:val="clear" w:color="auto" w:fill="auto"/>
            <w:noWrap/>
            <w:vAlign w:val="bottom"/>
            <w:hideMark/>
          </w:tcPr>
          <w:p w14:paraId="7A554FBF" w14:textId="77777777" w:rsidR="00403994" w:rsidRPr="00973C3E" w:rsidRDefault="00403994" w:rsidP="00403994">
            <w:pPr>
              <w:spacing w:before="0" w:after="0" w:line="240" w:lineRule="auto"/>
              <w:rPr>
                <w:rFonts w:ascii="Arial" w:hAnsi="Arial" w:cs="Arial"/>
                <w:b/>
                <w:bCs/>
                <w:sz w:val="16"/>
                <w:szCs w:val="16"/>
              </w:rPr>
            </w:pPr>
          </w:p>
        </w:tc>
        <w:tc>
          <w:tcPr>
            <w:tcW w:w="918" w:type="dxa"/>
            <w:tcBorders>
              <w:top w:val="nil"/>
              <w:left w:val="nil"/>
              <w:bottom w:val="nil"/>
              <w:right w:val="nil"/>
            </w:tcBorders>
            <w:shd w:val="clear" w:color="000000" w:fill="D9D9D9"/>
            <w:noWrap/>
            <w:vAlign w:val="bottom"/>
            <w:hideMark/>
          </w:tcPr>
          <w:p w14:paraId="35E15942" w14:textId="5461A9A3"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18" w:type="dxa"/>
            <w:tcBorders>
              <w:top w:val="nil"/>
              <w:left w:val="nil"/>
              <w:bottom w:val="nil"/>
              <w:right w:val="nil"/>
            </w:tcBorders>
            <w:shd w:val="clear" w:color="auto" w:fill="auto"/>
            <w:noWrap/>
            <w:vAlign w:val="bottom"/>
            <w:hideMark/>
          </w:tcPr>
          <w:p w14:paraId="212A1105" w14:textId="77777777" w:rsidR="00403994" w:rsidRPr="00973C3E" w:rsidRDefault="00403994" w:rsidP="00403994">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65DBB0B3" w14:textId="77777777" w:rsidR="00403994" w:rsidRPr="00973C3E" w:rsidRDefault="00403994" w:rsidP="00403994">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3816B299" w14:textId="77777777" w:rsidR="00403994" w:rsidRPr="00973C3E" w:rsidRDefault="00403994" w:rsidP="00403994">
            <w:pPr>
              <w:spacing w:before="0" w:after="0" w:line="240" w:lineRule="auto"/>
              <w:jc w:val="right"/>
              <w:rPr>
                <w:rFonts w:ascii="Times New Roman" w:hAnsi="Times New Roman"/>
                <w:sz w:val="20"/>
              </w:rPr>
            </w:pPr>
          </w:p>
        </w:tc>
      </w:tr>
      <w:tr w:rsidR="00403994" w:rsidRPr="00973C3E" w14:paraId="4D090D69" w14:textId="77777777" w:rsidTr="00603F85">
        <w:trPr>
          <w:trHeight w:val="225"/>
          <w:jc w:val="center"/>
        </w:trPr>
        <w:tc>
          <w:tcPr>
            <w:tcW w:w="3203" w:type="dxa"/>
            <w:tcBorders>
              <w:top w:val="nil"/>
              <w:left w:val="nil"/>
              <w:bottom w:val="nil"/>
              <w:right w:val="nil"/>
            </w:tcBorders>
            <w:shd w:val="clear" w:color="auto" w:fill="auto"/>
            <w:noWrap/>
            <w:vAlign w:val="bottom"/>
            <w:hideMark/>
          </w:tcPr>
          <w:p w14:paraId="5CCB9178" w14:textId="701DD7B2" w:rsidR="00403994" w:rsidRPr="00973C3E" w:rsidRDefault="00403994" w:rsidP="00403994">
            <w:pPr>
              <w:spacing w:before="0" w:after="0" w:line="240" w:lineRule="auto"/>
              <w:ind w:leftChars="75" w:left="143"/>
              <w:rPr>
                <w:rFonts w:ascii="Arial" w:hAnsi="Arial" w:cs="Arial"/>
                <w:sz w:val="16"/>
                <w:szCs w:val="16"/>
              </w:rPr>
            </w:pPr>
            <w:r>
              <w:rPr>
                <w:rFonts w:ascii="Arial" w:hAnsi="Arial" w:cs="Arial"/>
                <w:sz w:val="16"/>
                <w:szCs w:val="16"/>
              </w:rPr>
              <w:t>Suppliers</w:t>
            </w:r>
          </w:p>
        </w:tc>
        <w:tc>
          <w:tcPr>
            <w:tcW w:w="907" w:type="dxa"/>
            <w:tcBorders>
              <w:top w:val="nil"/>
              <w:left w:val="nil"/>
              <w:bottom w:val="nil"/>
              <w:right w:val="nil"/>
            </w:tcBorders>
            <w:shd w:val="clear" w:color="auto" w:fill="auto"/>
            <w:noWrap/>
            <w:vAlign w:val="bottom"/>
            <w:hideMark/>
          </w:tcPr>
          <w:p w14:paraId="089896BE" w14:textId="54A17D76"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2,611</w:t>
            </w:r>
          </w:p>
        </w:tc>
        <w:tc>
          <w:tcPr>
            <w:tcW w:w="918" w:type="dxa"/>
            <w:tcBorders>
              <w:top w:val="nil"/>
              <w:left w:val="nil"/>
              <w:bottom w:val="nil"/>
              <w:right w:val="nil"/>
            </w:tcBorders>
            <w:shd w:val="clear" w:color="000000" w:fill="D9D9D9"/>
            <w:noWrap/>
            <w:vAlign w:val="bottom"/>
            <w:hideMark/>
          </w:tcPr>
          <w:p w14:paraId="60DBAAF2" w14:textId="6CA31D00"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4,988</w:t>
            </w:r>
          </w:p>
        </w:tc>
        <w:tc>
          <w:tcPr>
            <w:tcW w:w="918" w:type="dxa"/>
            <w:tcBorders>
              <w:top w:val="nil"/>
              <w:left w:val="nil"/>
              <w:bottom w:val="nil"/>
              <w:right w:val="nil"/>
            </w:tcBorders>
            <w:shd w:val="clear" w:color="auto" w:fill="auto"/>
            <w:noWrap/>
            <w:vAlign w:val="bottom"/>
            <w:hideMark/>
          </w:tcPr>
          <w:p w14:paraId="663A0165" w14:textId="372BCE5E"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4,816</w:t>
            </w:r>
          </w:p>
        </w:tc>
        <w:tc>
          <w:tcPr>
            <w:tcW w:w="918" w:type="dxa"/>
            <w:tcBorders>
              <w:top w:val="nil"/>
              <w:left w:val="nil"/>
              <w:bottom w:val="nil"/>
              <w:right w:val="nil"/>
            </w:tcBorders>
            <w:shd w:val="clear" w:color="auto" w:fill="auto"/>
            <w:noWrap/>
            <w:vAlign w:val="bottom"/>
            <w:hideMark/>
          </w:tcPr>
          <w:p w14:paraId="5A5466B7" w14:textId="4BC5858B"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4,857</w:t>
            </w:r>
          </w:p>
        </w:tc>
        <w:tc>
          <w:tcPr>
            <w:tcW w:w="907" w:type="dxa"/>
            <w:tcBorders>
              <w:top w:val="nil"/>
              <w:left w:val="nil"/>
              <w:bottom w:val="nil"/>
              <w:right w:val="nil"/>
            </w:tcBorders>
            <w:shd w:val="clear" w:color="auto" w:fill="auto"/>
            <w:noWrap/>
            <w:vAlign w:val="bottom"/>
            <w:hideMark/>
          </w:tcPr>
          <w:p w14:paraId="72F57150" w14:textId="00D54A69"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4,660</w:t>
            </w:r>
          </w:p>
        </w:tc>
      </w:tr>
      <w:tr w:rsidR="00403994" w:rsidRPr="00973C3E" w14:paraId="47801FE9" w14:textId="77777777" w:rsidTr="00603F85">
        <w:trPr>
          <w:trHeight w:val="225"/>
          <w:jc w:val="center"/>
        </w:trPr>
        <w:tc>
          <w:tcPr>
            <w:tcW w:w="3203" w:type="dxa"/>
            <w:tcBorders>
              <w:top w:val="nil"/>
              <w:left w:val="nil"/>
              <w:bottom w:val="nil"/>
              <w:right w:val="nil"/>
            </w:tcBorders>
            <w:shd w:val="clear" w:color="auto" w:fill="auto"/>
            <w:noWrap/>
            <w:vAlign w:val="bottom"/>
            <w:hideMark/>
          </w:tcPr>
          <w:p w14:paraId="6F545F04" w14:textId="04117B29" w:rsidR="00403994" w:rsidRPr="00973C3E" w:rsidRDefault="00403994" w:rsidP="00403994">
            <w:pPr>
              <w:spacing w:before="0" w:after="0" w:line="240" w:lineRule="auto"/>
              <w:ind w:leftChars="75" w:left="143"/>
              <w:rPr>
                <w:rFonts w:ascii="Arial" w:hAnsi="Arial" w:cs="Arial"/>
                <w:sz w:val="16"/>
                <w:szCs w:val="16"/>
              </w:rPr>
            </w:pPr>
            <w:r>
              <w:rPr>
                <w:rFonts w:ascii="Arial" w:hAnsi="Arial" w:cs="Arial"/>
                <w:sz w:val="16"/>
                <w:szCs w:val="16"/>
              </w:rPr>
              <w:t>Grants</w:t>
            </w:r>
          </w:p>
        </w:tc>
        <w:tc>
          <w:tcPr>
            <w:tcW w:w="907" w:type="dxa"/>
            <w:tcBorders>
              <w:top w:val="nil"/>
              <w:left w:val="nil"/>
              <w:bottom w:val="nil"/>
              <w:right w:val="nil"/>
            </w:tcBorders>
            <w:shd w:val="clear" w:color="auto" w:fill="auto"/>
            <w:noWrap/>
            <w:vAlign w:val="bottom"/>
            <w:hideMark/>
          </w:tcPr>
          <w:p w14:paraId="12CE0F8C" w14:textId="1B45AC5B"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46,510</w:t>
            </w:r>
          </w:p>
        </w:tc>
        <w:tc>
          <w:tcPr>
            <w:tcW w:w="918" w:type="dxa"/>
            <w:tcBorders>
              <w:top w:val="nil"/>
              <w:left w:val="nil"/>
              <w:bottom w:val="nil"/>
              <w:right w:val="nil"/>
            </w:tcBorders>
            <w:shd w:val="clear" w:color="000000" w:fill="D9D9D9"/>
            <w:noWrap/>
            <w:vAlign w:val="bottom"/>
            <w:hideMark/>
          </w:tcPr>
          <w:p w14:paraId="06372157" w14:textId="0AD76B7E"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46,078</w:t>
            </w:r>
          </w:p>
        </w:tc>
        <w:tc>
          <w:tcPr>
            <w:tcW w:w="918" w:type="dxa"/>
            <w:tcBorders>
              <w:top w:val="nil"/>
              <w:left w:val="nil"/>
              <w:bottom w:val="nil"/>
              <w:right w:val="nil"/>
            </w:tcBorders>
            <w:shd w:val="clear" w:color="auto" w:fill="auto"/>
            <w:noWrap/>
            <w:vAlign w:val="bottom"/>
            <w:hideMark/>
          </w:tcPr>
          <w:p w14:paraId="0C06B1EB" w14:textId="072034D1"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47,140</w:t>
            </w:r>
          </w:p>
        </w:tc>
        <w:tc>
          <w:tcPr>
            <w:tcW w:w="918" w:type="dxa"/>
            <w:tcBorders>
              <w:top w:val="nil"/>
              <w:left w:val="nil"/>
              <w:bottom w:val="nil"/>
              <w:right w:val="nil"/>
            </w:tcBorders>
            <w:shd w:val="clear" w:color="auto" w:fill="auto"/>
            <w:noWrap/>
            <w:vAlign w:val="bottom"/>
            <w:hideMark/>
          </w:tcPr>
          <w:p w14:paraId="77E43765" w14:textId="2AE1647C"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48,286</w:t>
            </w:r>
          </w:p>
        </w:tc>
        <w:tc>
          <w:tcPr>
            <w:tcW w:w="907" w:type="dxa"/>
            <w:tcBorders>
              <w:top w:val="nil"/>
              <w:left w:val="nil"/>
              <w:bottom w:val="nil"/>
              <w:right w:val="nil"/>
            </w:tcBorders>
            <w:shd w:val="clear" w:color="auto" w:fill="auto"/>
            <w:noWrap/>
            <w:vAlign w:val="bottom"/>
            <w:hideMark/>
          </w:tcPr>
          <w:p w14:paraId="092E1249" w14:textId="495282D5"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49,632</w:t>
            </w:r>
          </w:p>
        </w:tc>
      </w:tr>
      <w:tr w:rsidR="00403994" w:rsidRPr="00973C3E" w14:paraId="7CA2A6C7" w14:textId="77777777" w:rsidTr="00603F85">
        <w:trPr>
          <w:trHeight w:val="454"/>
          <w:jc w:val="center"/>
        </w:trPr>
        <w:tc>
          <w:tcPr>
            <w:tcW w:w="3203" w:type="dxa"/>
            <w:tcBorders>
              <w:top w:val="nil"/>
              <w:left w:val="nil"/>
              <w:bottom w:val="nil"/>
              <w:right w:val="nil"/>
            </w:tcBorders>
            <w:shd w:val="clear" w:color="auto" w:fill="auto"/>
            <w:vAlign w:val="bottom"/>
            <w:hideMark/>
          </w:tcPr>
          <w:p w14:paraId="1954F9A0" w14:textId="19E8928D" w:rsidR="00403994" w:rsidRPr="00973C3E" w:rsidRDefault="00403994" w:rsidP="00403994">
            <w:pPr>
              <w:spacing w:before="0" w:after="0" w:line="240" w:lineRule="auto"/>
              <w:ind w:leftChars="75" w:left="143"/>
              <w:rPr>
                <w:rFonts w:ascii="Arial" w:hAnsi="Arial" w:cs="Arial"/>
                <w:b/>
                <w:bCs/>
                <w:sz w:val="16"/>
                <w:szCs w:val="16"/>
              </w:rPr>
            </w:pPr>
            <w:r>
              <w:rPr>
                <w:rFonts w:ascii="Arial" w:hAnsi="Arial" w:cs="Arial"/>
                <w:b/>
                <w:bCs/>
                <w:sz w:val="16"/>
                <w:szCs w:val="16"/>
              </w:rPr>
              <w:t>Total expenses administered on behalf of Government</w:t>
            </w:r>
          </w:p>
        </w:tc>
        <w:tc>
          <w:tcPr>
            <w:tcW w:w="907" w:type="dxa"/>
            <w:tcBorders>
              <w:top w:val="nil"/>
              <w:left w:val="nil"/>
              <w:bottom w:val="single" w:sz="4" w:space="0" w:color="auto"/>
              <w:right w:val="nil"/>
            </w:tcBorders>
            <w:shd w:val="clear" w:color="auto" w:fill="auto"/>
            <w:noWrap/>
            <w:vAlign w:val="bottom"/>
            <w:hideMark/>
          </w:tcPr>
          <w:p w14:paraId="6BF929A4" w14:textId="78DAA1D4"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49,121</w:t>
            </w:r>
          </w:p>
        </w:tc>
        <w:tc>
          <w:tcPr>
            <w:tcW w:w="918" w:type="dxa"/>
            <w:tcBorders>
              <w:top w:val="nil"/>
              <w:left w:val="nil"/>
              <w:bottom w:val="single" w:sz="4" w:space="0" w:color="auto"/>
              <w:right w:val="nil"/>
            </w:tcBorders>
            <w:shd w:val="clear" w:color="000000" w:fill="D9D9D9"/>
            <w:noWrap/>
            <w:vAlign w:val="bottom"/>
            <w:hideMark/>
          </w:tcPr>
          <w:p w14:paraId="50BF7376" w14:textId="0B5B6D40"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51,066</w:t>
            </w:r>
          </w:p>
        </w:tc>
        <w:tc>
          <w:tcPr>
            <w:tcW w:w="918" w:type="dxa"/>
            <w:tcBorders>
              <w:top w:val="nil"/>
              <w:left w:val="nil"/>
              <w:bottom w:val="single" w:sz="4" w:space="0" w:color="auto"/>
              <w:right w:val="nil"/>
            </w:tcBorders>
            <w:shd w:val="clear" w:color="auto" w:fill="auto"/>
            <w:noWrap/>
            <w:vAlign w:val="bottom"/>
            <w:hideMark/>
          </w:tcPr>
          <w:p w14:paraId="5BBD4B82" w14:textId="7D6574EA"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51,956</w:t>
            </w:r>
          </w:p>
        </w:tc>
        <w:tc>
          <w:tcPr>
            <w:tcW w:w="918" w:type="dxa"/>
            <w:tcBorders>
              <w:top w:val="nil"/>
              <w:left w:val="nil"/>
              <w:bottom w:val="single" w:sz="4" w:space="0" w:color="auto"/>
              <w:right w:val="nil"/>
            </w:tcBorders>
            <w:shd w:val="clear" w:color="auto" w:fill="auto"/>
            <w:noWrap/>
            <w:vAlign w:val="bottom"/>
            <w:hideMark/>
          </w:tcPr>
          <w:p w14:paraId="0806ABAC" w14:textId="02944A71"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53,143</w:t>
            </w:r>
          </w:p>
        </w:tc>
        <w:tc>
          <w:tcPr>
            <w:tcW w:w="907" w:type="dxa"/>
            <w:tcBorders>
              <w:top w:val="nil"/>
              <w:left w:val="nil"/>
              <w:bottom w:val="single" w:sz="4" w:space="0" w:color="auto"/>
              <w:right w:val="nil"/>
            </w:tcBorders>
            <w:shd w:val="clear" w:color="auto" w:fill="auto"/>
            <w:noWrap/>
            <w:vAlign w:val="bottom"/>
            <w:hideMark/>
          </w:tcPr>
          <w:p w14:paraId="02F4991D" w14:textId="10EA2D44"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54,292</w:t>
            </w:r>
          </w:p>
        </w:tc>
      </w:tr>
      <w:tr w:rsidR="00403994" w:rsidRPr="00973C3E" w14:paraId="25D64EC0" w14:textId="77777777" w:rsidTr="00403994">
        <w:trPr>
          <w:trHeight w:val="454"/>
          <w:jc w:val="center"/>
        </w:trPr>
        <w:tc>
          <w:tcPr>
            <w:tcW w:w="3203" w:type="dxa"/>
            <w:tcBorders>
              <w:top w:val="nil"/>
              <w:left w:val="nil"/>
              <w:bottom w:val="nil"/>
              <w:right w:val="nil"/>
            </w:tcBorders>
            <w:shd w:val="clear" w:color="auto" w:fill="auto"/>
            <w:vAlign w:val="bottom"/>
            <w:hideMark/>
          </w:tcPr>
          <w:p w14:paraId="06E517CF" w14:textId="165E5EDE" w:rsidR="00403994" w:rsidRPr="00973C3E" w:rsidRDefault="00403994" w:rsidP="00403994">
            <w:pPr>
              <w:spacing w:before="0" w:after="0" w:line="240" w:lineRule="auto"/>
              <w:rPr>
                <w:rFonts w:ascii="Arial" w:hAnsi="Arial" w:cs="Arial"/>
                <w:b/>
                <w:bCs/>
                <w:sz w:val="16"/>
                <w:szCs w:val="16"/>
              </w:rPr>
            </w:pPr>
            <w:r>
              <w:rPr>
                <w:rFonts w:ascii="Arial" w:hAnsi="Arial" w:cs="Arial"/>
                <w:b/>
                <w:bCs/>
                <w:sz w:val="16"/>
                <w:szCs w:val="16"/>
              </w:rPr>
              <w:t>INCOME ADMINISTERED ON BEHALF OF GOVERNMENT</w:t>
            </w:r>
          </w:p>
        </w:tc>
        <w:tc>
          <w:tcPr>
            <w:tcW w:w="907" w:type="dxa"/>
            <w:tcBorders>
              <w:top w:val="nil"/>
              <w:left w:val="nil"/>
              <w:bottom w:val="nil"/>
              <w:right w:val="nil"/>
            </w:tcBorders>
            <w:shd w:val="clear" w:color="auto" w:fill="auto"/>
            <w:noWrap/>
            <w:vAlign w:val="bottom"/>
            <w:hideMark/>
          </w:tcPr>
          <w:p w14:paraId="1DCF1FD1" w14:textId="77777777" w:rsidR="00403994" w:rsidRPr="00973C3E" w:rsidRDefault="00403994" w:rsidP="00403994">
            <w:pPr>
              <w:spacing w:before="0" w:after="0" w:line="240" w:lineRule="auto"/>
              <w:rPr>
                <w:rFonts w:ascii="Arial" w:hAnsi="Arial" w:cs="Arial"/>
                <w:b/>
                <w:bCs/>
                <w:sz w:val="16"/>
                <w:szCs w:val="16"/>
              </w:rPr>
            </w:pPr>
          </w:p>
        </w:tc>
        <w:tc>
          <w:tcPr>
            <w:tcW w:w="918" w:type="dxa"/>
            <w:tcBorders>
              <w:top w:val="nil"/>
              <w:left w:val="nil"/>
              <w:bottom w:val="nil"/>
              <w:right w:val="nil"/>
            </w:tcBorders>
            <w:shd w:val="clear" w:color="000000" w:fill="D9D9D9"/>
            <w:noWrap/>
            <w:vAlign w:val="bottom"/>
            <w:hideMark/>
          </w:tcPr>
          <w:p w14:paraId="2E045092" w14:textId="2E48B550"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18" w:type="dxa"/>
            <w:tcBorders>
              <w:top w:val="nil"/>
              <w:left w:val="nil"/>
              <w:bottom w:val="nil"/>
              <w:right w:val="nil"/>
            </w:tcBorders>
            <w:shd w:val="clear" w:color="auto" w:fill="auto"/>
            <w:noWrap/>
            <w:vAlign w:val="bottom"/>
            <w:hideMark/>
          </w:tcPr>
          <w:p w14:paraId="7693BAFE" w14:textId="77777777" w:rsidR="00403994" w:rsidRPr="00973C3E" w:rsidRDefault="00403994" w:rsidP="00403994">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1C7986D4" w14:textId="77777777" w:rsidR="00403994" w:rsidRPr="00973C3E" w:rsidRDefault="00403994" w:rsidP="00403994">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7D3643DC" w14:textId="77777777" w:rsidR="00403994" w:rsidRPr="00973C3E" w:rsidRDefault="00403994" w:rsidP="00403994">
            <w:pPr>
              <w:spacing w:before="0" w:after="0" w:line="240" w:lineRule="auto"/>
              <w:jc w:val="right"/>
              <w:rPr>
                <w:rFonts w:ascii="Times New Roman" w:hAnsi="Times New Roman"/>
                <w:sz w:val="20"/>
              </w:rPr>
            </w:pPr>
          </w:p>
        </w:tc>
      </w:tr>
      <w:tr w:rsidR="00403994" w:rsidRPr="00973C3E" w14:paraId="45CAAAB9" w14:textId="77777777" w:rsidTr="00603F85">
        <w:trPr>
          <w:trHeight w:val="225"/>
          <w:jc w:val="center"/>
        </w:trPr>
        <w:tc>
          <w:tcPr>
            <w:tcW w:w="3203" w:type="dxa"/>
            <w:tcBorders>
              <w:top w:val="nil"/>
              <w:left w:val="nil"/>
              <w:bottom w:val="nil"/>
              <w:right w:val="nil"/>
            </w:tcBorders>
            <w:shd w:val="clear" w:color="auto" w:fill="auto"/>
            <w:noWrap/>
            <w:vAlign w:val="bottom"/>
            <w:hideMark/>
          </w:tcPr>
          <w:p w14:paraId="2997F118" w14:textId="32DB68A7" w:rsidR="00403994" w:rsidRPr="00973C3E" w:rsidRDefault="00403994" w:rsidP="00403994">
            <w:pPr>
              <w:spacing w:before="0" w:after="0" w:line="240" w:lineRule="auto"/>
              <w:ind w:leftChars="75" w:left="143"/>
              <w:rPr>
                <w:rFonts w:ascii="Arial" w:hAnsi="Arial" w:cs="Arial"/>
                <w:b/>
                <w:bCs/>
                <w:sz w:val="16"/>
                <w:szCs w:val="16"/>
              </w:rPr>
            </w:pPr>
            <w:r>
              <w:rPr>
                <w:rFonts w:ascii="Arial" w:hAnsi="Arial" w:cs="Arial"/>
                <w:b/>
                <w:bCs/>
                <w:sz w:val="16"/>
                <w:szCs w:val="16"/>
              </w:rPr>
              <w:t>Revenue</w:t>
            </w:r>
          </w:p>
        </w:tc>
        <w:tc>
          <w:tcPr>
            <w:tcW w:w="907" w:type="dxa"/>
            <w:tcBorders>
              <w:top w:val="nil"/>
              <w:left w:val="nil"/>
              <w:bottom w:val="nil"/>
              <w:right w:val="nil"/>
            </w:tcBorders>
            <w:shd w:val="clear" w:color="auto" w:fill="auto"/>
            <w:noWrap/>
            <w:vAlign w:val="bottom"/>
            <w:hideMark/>
          </w:tcPr>
          <w:p w14:paraId="4508FB49" w14:textId="77777777" w:rsidR="00403994" w:rsidRPr="00973C3E" w:rsidRDefault="00403994" w:rsidP="00403994">
            <w:pPr>
              <w:spacing w:before="0" w:after="0" w:line="240" w:lineRule="auto"/>
              <w:ind w:firstLineChars="100" w:firstLine="161"/>
              <w:rPr>
                <w:rFonts w:ascii="Arial" w:hAnsi="Arial" w:cs="Arial"/>
                <w:b/>
                <w:bCs/>
                <w:sz w:val="16"/>
                <w:szCs w:val="16"/>
              </w:rPr>
            </w:pPr>
          </w:p>
        </w:tc>
        <w:tc>
          <w:tcPr>
            <w:tcW w:w="918" w:type="dxa"/>
            <w:tcBorders>
              <w:top w:val="nil"/>
              <w:left w:val="nil"/>
              <w:bottom w:val="nil"/>
              <w:right w:val="nil"/>
            </w:tcBorders>
            <w:shd w:val="clear" w:color="000000" w:fill="D9D9D9"/>
            <w:noWrap/>
            <w:vAlign w:val="bottom"/>
            <w:hideMark/>
          </w:tcPr>
          <w:p w14:paraId="049D09FF" w14:textId="159A5E28"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18" w:type="dxa"/>
            <w:tcBorders>
              <w:top w:val="nil"/>
              <w:left w:val="nil"/>
              <w:bottom w:val="nil"/>
              <w:right w:val="nil"/>
            </w:tcBorders>
            <w:shd w:val="clear" w:color="auto" w:fill="auto"/>
            <w:noWrap/>
            <w:vAlign w:val="bottom"/>
            <w:hideMark/>
          </w:tcPr>
          <w:p w14:paraId="17953363" w14:textId="77777777" w:rsidR="00403994" w:rsidRPr="00973C3E" w:rsidRDefault="00403994" w:rsidP="00403994">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51E115D6" w14:textId="77777777" w:rsidR="00403994" w:rsidRPr="00973C3E" w:rsidRDefault="00403994" w:rsidP="00403994">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430F8769" w14:textId="77777777" w:rsidR="00403994" w:rsidRPr="00973C3E" w:rsidRDefault="00403994" w:rsidP="00403994">
            <w:pPr>
              <w:spacing w:before="0" w:after="0" w:line="240" w:lineRule="auto"/>
              <w:jc w:val="right"/>
              <w:rPr>
                <w:rFonts w:ascii="Times New Roman" w:hAnsi="Times New Roman"/>
                <w:sz w:val="20"/>
              </w:rPr>
            </w:pPr>
          </w:p>
        </w:tc>
      </w:tr>
      <w:tr w:rsidR="00403994" w:rsidRPr="00973C3E" w14:paraId="1332F629" w14:textId="77777777" w:rsidTr="00603F85">
        <w:trPr>
          <w:trHeight w:val="225"/>
          <w:jc w:val="center"/>
        </w:trPr>
        <w:tc>
          <w:tcPr>
            <w:tcW w:w="3203" w:type="dxa"/>
            <w:tcBorders>
              <w:top w:val="nil"/>
              <w:left w:val="nil"/>
              <w:bottom w:val="nil"/>
              <w:right w:val="nil"/>
            </w:tcBorders>
            <w:shd w:val="clear" w:color="auto" w:fill="auto"/>
            <w:noWrap/>
            <w:vAlign w:val="bottom"/>
            <w:hideMark/>
          </w:tcPr>
          <w:p w14:paraId="0B046469" w14:textId="48562575" w:rsidR="00403994" w:rsidRPr="00973C3E" w:rsidRDefault="00403994" w:rsidP="00403994">
            <w:pPr>
              <w:spacing w:before="0" w:after="0" w:line="240" w:lineRule="auto"/>
              <w:ind w:leftChars="150" w:left="285"/>
              <w:rPr>
                <w:rFonts w:ascii="Arial" w:hAnsi="Arial" w:cs="Arial"/>
                <w:b/>
                <w:bCs/>
                <w:sz w:val="16"/>
                <w:szCs w:val="16"/>
              </w:rPr>
            </w:pPr>
            <w:r>
              <w:rPr>
                <w:rFonts w:ascii="Arial" w:hAnsi="Arial" w:cs="Arial"/>
                <w:b/>
                <w:bCs/>
                <w:sz w:val="16"/>
                <w:szCs w:val="16"/>
              </w:rPr>
              <w:t>Non-taxation</w:t>
            </w:r>
          </w:p>
        </w:tc>
        <w:tc>
          <w:tcPr>
            <w:tcW w:w="907" w:type="dxa"/>
            <w:tcBorders>
              <w:top w:val="nil"/>
              <w:left w:val="nil"/>
              <w:bottom w:val="nil"/>
              <w:right w:val="nil"/>
            </w:tcBorders>
            <w:shd w:val="clear" w:color="auto" w:fill="auto"/>
            <w:noWrap/>
            <w:vAlign w:val="bottom"/>
            <w:hideMark/>
          </w:tcPr>
          <w:p w14:paraId="428CC485" w14:textId="77777777" w:rsidR="00403994" w:rsidRPr="00973C3E" w:rsidRDefault="00403994" w:rsidP="00403994">
            <w:pPr>
              <w:spacing w:before="0" w:after="0" w:line="240" w:lineRule="auto"/>
              <w:ind w:firstLineChars="200" w:firstLine="321"/>
              <w:rPr>
                <w:rFonts w:ascii="Arial" w:hAnsi="Arial" w:cs="Arial"/>
                <w:b/>
                <w:bCs/>
                <w:sz w:val="16"/>
                <w:szCs w:val="16"/>
              </w:rPr>
            </w:pPr>
          </w:p>
        </w:tc>
        <w:tc>
          <w:tcPr>
            <w:tcW w:w="918" w:type="dxa"/>
            <w:tcBorders>
              <w:top w:val="nil"/>
              <w:left w:val="nil"/>
              <w:bottom w:val="nil"/>
              <w:right w:val="nil"/>
            </w:tcBorders>
            <w:shd w:val="clear" w:color="000000" w:fill="D9D9D9"/>
            <w:noWrap/>
            <w:vAlign w:val="bottom"/>
            <w:hideMark/>
          </w:tcPr>
          <w:p w14:paraId="2D5BFAE2" w14:textId="77280E33"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18" w:type="dxa"/>
            <w:tcBorders>
              <w:top w:val="nil"/>
              <w:left w:val="nil"/>
              <w:bottom w:val="nil"/>
              <w:right w:val="nil"/>
            </w:tcBorders>
            <w:shd w:val="clear" w:color="auto" w:fill="auto"/>
            <w:noWrap/>
            <w:vAlign w:val="bottom"/>
            <w:hideMark/>
          </w:tcPr>
          <w:p w14:paraId="3CB47E67" w14:textId="77777777" w:rsidR="00403994" w:rsidRPr="00973C3E" w:rsidRDefault="00403994" w:rsidP="00403994">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73620823" w14:textId="77777777" w:rsidR="00403994" w:rsidRPr="00973C3E" w:rsidRDefault="00403994" w:rsidP="00403994">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12DF14F0" w14:textId="77777777" w:rsidR="00403994" w:rsidRPr="00973C3E" w:rsidRDefault="00403994" w:rsidP="00403994">
            <w:pPr>
              <w:spacing w:before="0" w:after="0" w:line="240" w:lineRule="auto"/>
              <w:jc w:val="right"/>
              <w:rPr>
                <w:rFonts w:ascii="Times New Roman" w:hAnsi="Times New Roman"/>
                <w:sz w:val="20"/>
              </w:rPr>
            </w:pPr>
          </w:p>
        </w:tc>
      </w:tr>
      <w:tr w:rsidR="00403994" w:rsidRPr="00973C3E" w14:paraId="742D0D6C" w14:textId="77777777" w:rsidTr="00603F85">
        <w:trPr>
          <w:trHeight w:val="227"/>
          <w:jc w:val="center"/>
        </w:trPr>
        <w:tc>
          <w:tcPr>
            <w:tcW w:w="3203" w:type="dxa"/>
            <w:tcBorders>
              <w:top w:val="nil"/>
              <w:left w:val="nil"/>
              <w:bottom w:val="nil"/>
              <w:right w:val="nil"/>
            </w:tcBorders>
            <w:shd w:val="clear" w:color="auto" w:fill="auto"/>
            <w:vAlign w:val="bottom"/>
            <w:hideMark/>
          </w:tcPr>
          <w:p w14:paraId="251A3480" w14:textId="1287A3C1" w:rsidR="00403994" w:rsidRPr="00973C3E" w:rsidRDefault="00403994" w:rsidP="00403994">
            <w:pPr>
              <w:spacing w:before="0" w:after="0" w:line="240" w:lineRule="auto"/>
              <w:ind w:firstLineChars="300" w:firstLine="480"/>
              <w:rPr>
                <w:rFonts w:ascii="Arial" w:hAnsi="Arial" w:cs="Arial"/>
                <w:sz w:val="16"/>
                <w:szCs w:val="16"/>
              </w:rPr>
            </w:pPr>
            <w:r>
              <w:rPr>
                <w:rFonts w:ascii="Arial" w:hAnsi="Arial" w:cs="Arial"/>
                <w:sz w:val="16"/>
                <w:szCs w:val="16"/>
              </w:rPr>
              <w:t>Other revenue</w:t>
            </w:r>
          </w:p>
        </w:tc>
        <w:tc>
          <w:tcPr>
            <w:tcW w:w="907" w:type="dxa"/>
            <w:tcBorders>
              <w:top w:val="nil"/>
              <w:left w:val="nil"/>
              <w:bottom w:val="nil"/>
              <w:right w:val="nil"/>
            </w:tcBorders>
            <w:shd w:val="clear" w:color="auto" w:fill="auto"/>
            <w:noWrap/>
            <w:vAlign w:val="bottom"/>
            <w:hideMark/>
          </w:tcPr>
          <w:p w14:paraId="795CCF6A" w14:textId="735ED446"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18" w:type="dxa"/>
            <w:tcBorders>
              <w:top w:val="nil"/>
              <w:left w:val="nil"/>
              <w:bottom w:val="nil"/>
              <w:right w:val="nil"/>
            </w:tcBorders>
            <w:shd w:val="clear" w:color="000000" w:fill="D9D9D9"/>
            <w:noWrap/>
            <w:vAlign w:val="bottom"/>
            <w:hideMark/>
          </w:tcPr>
          <w:p w14:paraId="788E0932" w14:textId="33CF2E9E"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18" w:type="dxa"/>
            <w:tcBorders>
              <w:top w:val="nil"/>
              <w:left w:val="nil"/>
              <w:bottom w:val="nil"/>
              <w:right w:val="nil"/>
            </w:tcBorders>
            <w:shd w:val="clear" w:color="auto" w:fill="auto"/>
            <w:noWrap/>
            <w:vAlign w:val="bottom"/>
            <w:hideMark/>
          </w:tcPr>
          <w:p w14:paraId="7C03AE62" w14:textId="5465A89A"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18" w:type="dxa"/>
            <w:tcBorders>
              <w:top w:val="nil"/>
              <w:left w:val="nil"/>
              <w:bottom w:val="nil"/>
              <w:right w:val="nil"/>
            </w:tcBorders>
            <w:shd w:val="clear" w:color="auto" w:fill="auto"/>
            <w:noWrap/>
            <w:vAlign w:val="bottom"/>
            <w:hideMark/>
          </w:tcPr>
          <w:p w14:paraId="3445E31C" w14:textId="792FE44B"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7826663C" w14:textId="2B8907B3" w:rsidR="00403994" w:rsidRPr="00973C3E" w:rsidRDefault="00403994" w:rsidP="00403994">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403994" w:rsidRPr="00973C3E" w14:paraId="22FCE9BC" w14:textId="77777777" w:rsidTr="00603F85">
        <w:trPr>
          <w:trHeight w:val="225"/>
          <w:jc w:val="center"/>
        </w:trPr>
        <w:tc>
          <w:tcPr>
            <w:tcW w:w="3203" w:type="dxa"/>
            <w:tcBorders>
              <w:top w:val="nil"/>
              <w:left w:val="nil"/>
              <w:bottom w:val="nil"/>
              <w:right w:val="nil"/>
            </w:tcBorders>
            <w:shd w:val="clear" w:color="auto" w:fill="auto"/>
            <w:noWrap/>
            <w:vAlign w:val="bottom"/>
            <w:hideMark/>
          </w:tcPr>
          <w:p w14:paraId="7F68CB5C" w14:textId="6A7FD83F" w:rsidR="00403994" w:rsidRPr="00973C3E" w:rsidRDefault="00403994" w:rsidP="00403994">
            <w:pPr>
              <w:spacing w:before="0" w:after="0" w:line="240" w:lineRule="auto"/>
              <w:ind w:firstLineChars="300" w:firstLine="482"/>
              <w:rPr>
                <w:rFonts w:ascii="Arial" w:hAnsi="Arial" w:cs="Arial"/>
                <w:b/>
                <w:bCs/>
                <w:sz w:val="16"/>
                <w:szCs w:val="16"/>
              </w:rPr>
            </w:pPr>
            <w:r>
              <w:rPr>
                <w:rFonts w:ascii="Arial" w:hAnsi="Arial" w:cs="Arial"/>
                <w:b/>
                <w:bCs/>
                <w:sz w:val="16"/>
                <w:szCs w:val="16"/>
              </w:rPr>
              <w:t>Total non-taxation revenue</w:t>
            </w:r>
          </w:p>
        </w:tc>
        <w:tc>
          <w:tcPr>
            <w:tcW w:w="907" w:type="dxa"/>
            <w:tcBorders>
              <w:top w:val="nil"/>
              <w:left w:val="nil"/>
              <w:bottom w:val="single" w:sz="4" w:space="0" w:color="auto"/>
              <w:right w:val="nil"/>
            </w:tcBorders>
            <w:shd w:val="clear" w:color="auto" w:fill="auto"/>
            <w:noWrap/>
            <w:vAlign w:val="bottom"/>
            <w:hideMark/>
          </w:tcPr>
          <w:p w14:paraId="724E949C" w14:textId="6BF075E7"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000000" w:fill="D9D9D9"/>
            <w:noWrap/>
            <w:vAlign w:val="bottom"/>
            <w:hideMark/>
          </w:tcPr>
          <w:p w14:paraId="4BA81F2E" w14:textId="19C30AD8"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0BC100F4" w14:textId="58BDDD8C"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064E50EF" w14:textId="3847AC26"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07" w:type="dxa"/>
            <w:tcBorders>
              <w:top w:val="nil"/>
              <w:left w:val="nil"/>
              <w:bottom w:val="single" w:sz="4" w:space="0" w:color="auto"/>
              <w:right w:val="nil"/>
            </w:tcBorders>
            <w:shd w:val="clear" w:color="auto" w:fill="auto"/>
            <w:noWrap/>
            <w:vAlign w:val="bottom"/>
            <w:hideMark/>
          </w:tcPr>
          <w:p w14:paraId="05838E76" w14:textId="1E0B6A88"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403994" w:rsidRPr="00973C3E" w14:paraId="6062FC9E" w14:textId="77777777" w:rsidTr="00603F85">
        <w:trPr>
          <w:trHeight w:val="454"/>
          <w:jc w:val="center"/>
        </w:trPr>
        <w:tc>
          <w:tcPr>
            <w:tcW w:w="3203" w:type="dxa"/>
            <w:tcBorders>
              <w:top w:val="nil"/>
              <w:left w:val="nil"/>
              <w:bottom w:val="nil"/>
              <w:right w:val="nil"/>
            </w:tcBorders>
            <w:shd w:val="clear" w:color="auto" w:fill="auto"/>
            <w:vAlign w:val="bottom"/>
            <w:hideMark/>
          </w:tcPr>
          <w:p w14:paraId="5B9F92DC" w14:textId="7C710A98" w:rsidR="00403994" w:rsidRPr="00973C3E" w:rsidRDefault="00403994" w:rsidP="00403994">
            <w:pPr>
              <w:spacing w:before="0" w:after="0" w:line="240" w:lineRule="auto"/>
              <w:ind w:leftChars="150" w:left="285"/>
              <w:rPr>
                <w:rFonts w:ascii="Arial" w:hAnsi="Arial" w:cs="Arial"/>
                <w:b/>
                <w:bCs/>
                <w:sz w:val="16"/>
                <w:szCs w:val="16"/>
              </w:rPr>
            </w:pPr>
            <w:r>
              <w:rPr>
                <w:rFonts w:ascii="Arial" w:hAnsi="Arial" w:cs="Arial"/>
                <w:b/>
                <w:bCs/>
                <w:sz w:val="16"/>
                <w:szCs w:val="16"/>
              </w:rPr>
              <w:t>Total revenues administered on behalf of Government</w:t>
            </w:r>
          </w:p>
        </w:tc>
        <w:tc>
          <w:tcPr>
            <w:tcW w:w="907" w:type="dxa"/>
            <w:tcBorders>
              <w:top w:val="nil"/>
              <w:left w:val="nil"/>
              <w:bottom w:val="single" w:sz="4" w:space="0" w:color="auto"/>
              <w:right w:val="nil"/>
            </w:tcBorders>
            <w:shd w:val="clear" w:color="auto" w:fill="auto"/>
            <w:noWrap/>
            <w:vAlign w:val="bottom"/>
            <w:hideMark/>
          </w:tcPr>
          <w:p w14:paraId="13D1D94B" w14:textId="6475F53D"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000000" w:fill="D9D9D9"/>
            <w:noWrap/>
            <w:vAlign w:val="bottom"/>
            <w:hideMark/>
          </w:tcPr>
          <w:p w14:paraId="7489BDC7" w14:textId="7C191CAC"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63426996" w14:textId="13FEDE8D"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05D987B9" w14:textId="7C590645"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07" w:type="dxa"/>
            <w:tcBorders>
              <w:top w:val="nil"/>
              <w:left w:val="nil"/>
              <w:bottom w:val="single" w:sz="4" w:space="0" w:color="auto"/>
              <w:right w:val="nil"/>
            </w:tcBorders>
            <w:shd w:val="clear" w:color="auto" w:fill="auto"/>
            <w:noWrap/>
            <w:vAlign w:val="bottom"/>
            <w:hideMark/>
          </w:tcPr>
          <w:p w14:paraId="05386AB9" w14:textId="40CC42D9"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403994" w:rsidRPr="00973C3E" w14:paraId="31996676" w14:textId="77777777" w:rsidTr="00603F85">
        <w:trPr>
          <w:trHeight w:val="454"/>
          <w:jc w:val="center"/>
        </w:trPr>
        <w:tc>
          <w:tcPr>
            <w:tcW w:w="3203" w:type="dxa"/>
            <w:tcBorders>
              <w:top w:val="nil"/>
              <w:left w:val="nil"/>
              <w:bottom w:val="single" w:sz="4" w:space="0" w:color="auto"/>
              <w:right w:val="nil"/>
            </w:tcBorders>
            <w:shd w:val="clear" w:color="auto" w:fill="auto"/>
            <w:vAlign w:val="bottom"/>
            <w:hideMark/>
          </w:tcPr>
          <w:p w14:paraId="50822931" w14:textId="218D11B6" w:rsidR="00403994" w:rsidRPr="00973C3E" w:rsidRDefault="00403994" w:rsidP="00403994">
            <w:pPr>
              <w:spacing w:before="0" w:after="0" w:line="240" w:lineRule="auto"/>
              <w:ind w:leftChars="75" w:left="143"/>
              <w:rPr>
                <w:rFonts w:ascii="Arial" w:hAnsi="Arial" w:cs="Arial"/>
                <w:b/>
                <w:bCs/>
                <w:sz w:val="16"/>
                <w:szCs w:val="16"/>
              </w:rPr>
            </w:pPr>
            <w:r>
              <w:rPr>
                <w:rFonts w:ascii="Arial" w:hAnsi="Arial" w:cs="Arial"/>
                <w:b/>
                <w:bCs/>
                <w:sz w:val="16"/>
                <w:szCs w:val="16"/>
              </w:rPr>
              <w:t>Total income administered on behalf of Government</w:t>
            </w:r>
          </w:p>
        </w:tc>
        <w:tc>
          <w:tcPr>
            <w:tcW w:w="907" w:type="dxa"/>
            <w:tcBorders>
              <w:top w:val="nil"/>
              <w:left w:val="nil"/>
              <w:bottom w:val="single" w:sz="4" w:space="0" w:color="auto"/>
              <w:right w:val="nil"/>
            </w:tcBorders>
            <w:shd w:val="clear" w:color="auto" w:fill="auto"/>
            <w:noWrap/>
            <w:vAlign w:val="bottom"/>
            <w:hideMark/>
          </w:tcPr>
          <w:p w14:paraId="2C7316F1" w14:textId="158C5445"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000000" w:fill="D9D9D9"/>
            <w:noWrap/>
            <w:vAlign w:val="bottom"/>
            <w:hideMark/>
          </w:tcPr>
          <w:p w14:paraId="5643E2BB" w14:textId="122AD9C5"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055E0F35" w14:textId="0D15F241"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8" w:type="dxa"/>
            <w:tcBorders>
              <w:top w:val="nil"/>
              <w:left w:val="nil"/>
              <w:bottom w:val="single" w:sz="4" w:space="0" w:color="auto"/>
              <w:right w:val="nil"/>
            </w:tcBorders>
            <w:shd w:val="clear" w:color="auto" w:fill="auto"/>
            <w:noWrap/>
            <w:vAlign w:val="bottom"/>
            <w:hideMark/>
          </w:tcPr>
          <w:p w14:paraId="047A0D9E" w14:textId="501E84CD"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07" w:type="dxa"/>
            <w:tcBorders>
              <w:top w:val="nil"/>
              <w:left w:val="nil"/>
              <w:bottom w:val="single" w:sz="4" w:space="0" w:color="auto"/>
              <w:right w:val="nil"/>
            </w:tcBorders>
            <w:shd w:val="clear" w:color="auto" w:fill="auto"/>
            <w:noWrap/>
            <w:vAlign w:val="bottom"/>
            <w:hideMark/>
          </w:tcPr>
          <w:p w14:paraId="59692410" w14:textId="5DFF715A" w:rsidR="00403994" w:rsidRPr="00973C3E" w:rsidRDefault="00403994" w:rsidP="0040399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64FC7EE1" w14:textId="77777777" w:rsidR="00603F85" w:rsidRDefault="00603F85" w:rsidP="00603F85">
      <w:pPr>
        <w:pStyle w:val="TableGraphic"/>
      </w:pPr>
    </w:p>
    <w:p w14:paraId="6860B94B" w14:textId="77777777" w:rsidR="006A45F7" w:rsidRDefault="006A45F7">
      <w:pPr>
        <w:spacing w:before="0" w:after="0" w:line="240" w:lineRule="auto"/>
        <w:rPr>
          <w:rFonts w:ascii="Arial" w:hAnsi="Arial"/>
          <w:b/>
          <w:snapToGrid w:val="0"/>
          <w:sz w:val="20"/>
        </w:rPr>
      </w:pPr>
      <w:r>
        <w:rPr>
          <w:snapToGrid w:val="0"/>
        </w:rPr>
        <w:br w:type="page"/>
      </w:r>
    </w:p>
    <w:p w14:paraId="19FDF8C2" w14:textId="27A76280" w:rsidR="00603F85" w:rsidRPr="006A1872" w:rsidRDefault="00603F85" w:rsidP="006A1872">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 xml:space="preserve">overnment (as </w:t>
      </w:r>
      <w:proofErr w:type="gramStart"/>
      <w:r w:rsidRPr="00014438">
        <w:rPr>
          <w:snapToGrid w:val="0"/>
        </w:rPr>
        <w:t>at</w:t>
      </w:r>
      <w:proofErr w:type="gramEnd"/>
      <w:r w:rsidRPr="00014438">
        <w:rPr>
          <w:snapToGrid w:val="0"/>
        </w:rPr>
        <w:t xml:space="preserve"> 30 June)</w:t>
      </w:r>
    </w:p>
    <w:tbl>
      <w:tblPr>
        <w:tblW w:w="7790" w:type="dxa"/>
        <w:jc w:val="center"/>
        <w:tblLayout w:type="fixed"/>
        <w:tblLook w:val="04A0" w:firstRow="1" w:lastRow="0" w:firstColumn="1" w:lastColumn="0" w:noHBand="0" w:noVBand="1"/>
      </w:tblPr>
      <w:tblGrid>
        <w:gridCol w:w="3135"/>
        <w:gridCol w:w="976"/>
        <w:gridCol w:w="930"/>
        <w:gridCol w:w="924"/>
        <w:gridCol w:w="918"/>
        <w:gridCol w:w="907"/>
      </w:tblGrid>
      <w:tr w:rsidR="00053A29" w:rsidRPr="00E87012" w14:paraId="3A6E63E0" w14:textId="77777777" w:rsidTr="00053A29">
        <w:trPr>
          <w:trHeight w:val="765"/>
          <w:jc w:val="center"/>
        </w:trPr>
        <w:tc>
          <w:tcPr>
            <w:tcW w:w="3135" w:type="dxa"/>
            <w:tcBorders>
              <w:top w:val="single" w:sz="4" w:space="0" w:color="auto"/>
              <w:left w:val="nil"/>
              <w:bottom w:val="nil"/>
              <w:right w:val="nil"/>
            </w:tcBorders>
            <w:shd w:val="clear" w:color="auto" w:fill="auto"/>
            <w:hideMark/>
          </w:tcPr>
          <w:p w14:paraId="3F3CF4A8" w14:textId="042F5DE4" w:rsidR="00053A29" w:rsidRPr="00E87012" w:rsidRDefault="00053A29" w:rsidP="00053A29">
            <w:pPr>
              <w:spacing w:before="24" w:after="0" w:line="240" w:lineRule="auto"/>
              <w:jc w:val="right"/>
              <w:rPr>
                <w:rFonts w:ascii="Arial" w:hAnsi="Arial" w:cs="Arial"/>
                <w:color w:val="000000"/>
                <w:sz w:val="16"/>
                <w:szCs w:val="16"/>
              </w:rPr>
            </w:pPr>
          </w:p>
        </w:tc>
        <w:tc>
          <w:tcPr>
            <w:tcW w:w="976" w:type="dxa"/>
            <w:tcBorders>
              <w:top w:val="single" w:sz="4" w:space="0" w:color="auto"/>
              <w:left w:val="nil"/>
              <w:bottom w:val="single" w:sz="4" w:space="0" w:color="auto"/>
              <w:right w:val="nil"/>
            </w:tcBorders>
            <w:shd w:val="clear" w:color="auto" w:fill="auto"/>
            <w:hideMark/>
          </w:tcPr>
          <w:p w14:paraId="2082A421" w14:textId="76F50551" w:rsidR="00053A29" w:rsidRPr="00E87012" w:rsidRDefault="008D59A7" w:rsidP="00053A29">
            <w:pPr>
              <w:spacing w:before="24" w:after="0" w:line="240" w:lineRule="auto"/>
              <w:jc w:val="right"/>
              <w:rPr>
                <w:rFonts w:ascii="Arial" w:hAnsi="Arial" w:cs="Arial"/>
                <w:b/>
                <w:bCs/>
                <w:sz w:val="16"/>
                <w:szCs w:val="16"/>
              </w:rPr>
            </w:pPr>
            <w:r>
              <w:rPr>
                <w:rFonts w:ascii="Arial" w:hAnsi="Arial" w:cs="Arial"/>
                <w:b/>
                <w:bCs/>
                <w:sz w:val="16"/>
                <w:szCs w:val="16"/>
              </w:rPr>
              <w:t>2022–</w:t>
            </w:r>
            <w:r w:rsidR="00053A29">
              <w:rPr>
                <w:rFonts w:ascii="Arial" w:hAnsi="Arial" w:cs="Arial"/>
                <w:b/>
                <w:bCs/>
                <w:sz w:val="16"/>
                <w:szCs w:val="16"/>
              </w:rPr>
              <w:t>23</w:t>
            </w:r>
            <w:r w:rsidR="00053A29">
              <w:rPr>
                <w:rFonts w:ascii="Arial" w:hAnsi="Arial" w:cs="Arial"/>
                <w:b/>
                <w:bCs/>
                <w:sz w:val="16"/>
                <w:szCs w:val="16"/>
              </w:rPr>
              <w:br/>
              <w:t>Actual</w:t>
            </w:r>
            <w:r w:rsidR="00053A29">
              <w:rPr>
                <w:rFonts w:ascii="Arial" w:hAnsi="Arial" w:cs="Arial"/>
                <w:b/>
                <w:bCs/>
                <w:sz w:val="16"/>
                <w:szCs w:val="16"/>
              </w:rPr>
              <w:br/>
            </w:r>
            <w:r w:rsidR="00053A29">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000000" w:fill="D9D9D9"/>
            <w:hideMark/>
          </w:tcPr>
          <w:p w14:paraId="4EDF4A53" w14:textId="51F1D37C" w:rsidR="00053A29" w:rsidRPr="00E87012" w:rsidRDefault="008D59A7" w:rsidP="00053A29">
            <w:pPr>
              <w:spacing w:before="24" w:after="0" w:line="240" w:lineRule="auto"/>
              <w:jc w:val="right"/>
              <w:rPr>
                <w:rFonts w:ascii="Arial" w:hAnsi="Arial" w:cs="Arial"/>
                <w:b/>
                <w:bCs/>
                <w:sz w:val="16"/>
                <w:szCs w:val="16"/>
              </w:rPr>
            </w:pPr>
            <w:r>
              <w:rPr>
                <w:rFonts w:ascii="Arial" w:hAnsi="Arial" w:cs="Arial"/>
                <w:b/>
                <w:bCs/>
                <w:sz w:val="16"/>
                <w:szCs w:val="16"/>
              </w:rPr>
              <w:t>2023–</w:t>
            </w:r>
            <w:r w:rsidR="00053A29">
              <w:rPr>
                <w:rFonts w:ascii="Arial" w:hAnsi="Arial" w:cs="Arial"/>
                <w:b/>
                <w:bCs/>
                <w:sz w:val="16"/>
                <w:szCs w:val="16"/>
              </w:rPr>
              <w:t>24</w:t>
            </w:r>
            <w:r w:rsidR="00053A29">
              <w:rPr>
                <w:rFonts w:ascii="Arial" w:hAnsi="Arial" w:cs="Arial"/>
                <w:b/>
                <w:bCs/>
                <w:sz w:val="16"/>
                <w:szCs w:val="16"/>
              </w:rPr>
              <w:br/>
              <w:t>Revised</w:t>
            </w:r>
            <w:r w:rsidR="00053A29">
              <w:rPr>
                <w:rFonts w:ascii="Arial" w:hAnsi="Arial" w:cs="Arial"/>
                <w:b/>
                <w:bCs/>
                <w:sz w:val="16"/>
                <w:szCs w:val="16"/>
              </w:rPr>
              <w:br/>
              <w:t>Budget</w:t>
            </w:r>
            <w:r w:rsidR="00053A29">
              <w:rPr>
                <w:rFonts w:ascii="Arial" w:hAnsi="Arial" w:cs="Arial"/>
                <w:sz w:val="16"/>
                <w:szCs w:val="16"/>
              </w:rPr>
              <w:br/>
              <w:t>$'000</w:t>
            </w:r>
          </w:p>
        </w:tc>
        <w:tc>
          <w:tcPr>
            <w:tcW w:w="924" w:type="dxa"/>
            <w:tcBorders>
              <w:top w:val="single" w:sz="4" w:space="0" w:color="auto"/>
              <w:left w:val="nil"/>
              <w:bottom w:val="single" w:sz="4" w:space="0" w:color="auto"/>
              <w:right w:val="nil"/>
            </w:tcBorders>
            <w:shd w:val="clear" w:color="auto" w:fill="auto"/>
            <w:hideMark/>
          </w:tcPr>
          <w:p w14:paraId="67331ECD" w14:textId="7B197440" w:rsidR="00053A29" w:rsidRPr="00E87012" w:rsidRDefault="008D59A7" w:rsidP="00053A29">
            <w:pPr>
              <w:spacing w:before="24" w:after="0" w:line="240" w:lineRule="auto"/>
              <w:jc w:val="right"/>
              <w:rPr>
                <w:rFonts w:ascii="Arial" w:hAnsi="Arial" w:cs="Arial"/>
                <w:b/>
                <w:bCs/>
                <w:sz w:val="16"/>
                <w:szCs w:val="16"/>
              </w:rPr>
            </w:pPr>
            <w:r>
              <w:rPr>
                <w:rFonts w:ascii="Arial" w:hAnsi="Arial" w:cs="Arial"/>
                <w:b/>
                <w:bCs/>
                <w:sz w:val="16"/>
                <w:szCs w:val="16"/>
              </w:rPr>
              <w:t>2024–</w:t>
            </w:r>
            <w:r w:rsidR="00053A29">
              <w:rPr>
                <w:rFonts w:ascii="Arial" w:hAnsi="Arial" w:cs="Arial"/>
                <w:b/>
                <w:bCs/>
                <w:sz w:val="16"/>
                <w:szCs w:val="16"/>
              </w:rPr>
              <w:t>25 Forward Estimate</w:t>
            </w:r>
            <w:r w:rsidR="00053A29">
              <w:rPr>
                <w:rFonts w:ascii="Arial" w:hAnsi="Arial" w:cs="Arial"/>
                <w:b/>
                <w:bCs/>
                <w:sz w:val="16"/>
                <w:szCs w:val="16"/>
              </w:rPr>
              <w:br/>
            </w:r>
            <w:r w:rsidR="00053A29">
              <w:rPr>
                <w:rFonts w:ascii="Arial" w:hAnsi="Arial" w:cs="Arial"/>
                <w:sz w:val="16"/>
                <w:szCs w:val="16"/>
              </w:rPr>
              <w:t>$'000</w:t>
            </w:r>
          </w:p>
        </w:tc>
        <w:tc>
          <w:tcPr>
            <w:tcW w:w="918" w:type="dxa"/>
            <w:tcBorders>
              <w:top w:val="single" w:sz="4" w:space="0" w:color="auto"/>
              <w:left w:val="nil"/>
              <w:bottom w:val="single" w:sz="4" w:space="0" w:color="auto"/>
              <w:right w:val="nil"/>
            </w:tcBorders>
            <w:shd w:val="clear" w:color="auto" w:fill="auto"/>
            <w:hideMark/>
          </w:tcPr>
          <w:p w14:paraId="2F3197B5" w14:textId="0C79FA63" w:rsidR="00053A29" w:rsidRPr="00E87012" w:rsidRDefault="008D59A7" w:rsidP="00053A29">
            <w:pPr>
              <w:spacing w:before="24" w:after="0" w:line="240" w:lineRule="auto"/>
              <w:jc w:val="right"/>
              <w:rPr>
                <w:rFonts w:ascii="Arial" w:hAnsi="Arial" w:cs="Arial"/>
                <w:b/>
                <w:bCs/>
                <w:sz w:val="16"/>
                <w:szCs w:val="16"/>
              </w:rPr>
            </w:pPr>
            <w:r>
              <w:rPr>
                <w:rFonts w:ascii="Arial" w:hAnsi="Arial" w:cs="Arial"/>
                <w:b/>
                <w:bCs/>
                <w:sz w:val="16"/>
                <w:szCs w:val="16"/>
              </w:rPr>
              <w:t>2025–</w:t>
            </w:r>
            <w:r w:rsidR="00053A29">
              <w:rPr>
                <w:rFonts w:ascii="Arial" w:hAnsi="Arial" w:cs="Arial"/>
                <w:b/>
                <w:bCs/>
                <w:sz w:val="16"/>
                <w:szCs w:val="16"/>
              </w:rPr>
              <w:t>26 Forward Estimate</w:t>
            </w:r>
            <w:r w:rsidR="00053A29">
              <w:rPr>
                <w:rFonts w:ascii="Arial" w:hAnsi="Arial" w:cs="Arial"/>
                <w:b/>
                <w:bCs/>
                <w:sz w:val="16"/>
                <w:szCs w:val="16"/>
              </w:rPr>
              <w:br/>
            </w:r>
            <w:r w:rsidR="00053A29">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1C95D08D" w14:textId="2928B54F" w:rsidR="00053A29" w:rsidRPr="00E87012" w:rsidRDefault="008D59A7" w:rsidP="00053A29">
            <w:pPr>
              <w:spacing w:before="24" w:after="0" w:line="240" w:lineRule="auto"/>
              <w:jc w:val="right"/>
              <w:rPr>
                <w:rFonts w:ascii="Arial" w:hAnsi="Arial" w:cs="Arial"/>
                <w:b/>
                <w:bCs/>
                <w:sz w:val="16"/>
                <w:szCs w:val="16"/>
              </w:rPr>
            </w:pPr>
            <w:r>
              <w:rPr>
                <w:rFonts w:ascii="Arial" w:hAnsi="Arial" w:cs="Arial"/>
                <w:b/>
                <w:bCs/>
                <w:sz w:val="16"/>
                <w:szCs w:val="16"/>
              </w:rPr>
              <w:t>2026–</w:t>
            </w:r>
            <w:r w:rsidR="00053A29">
              <w:rPr>
                <w:rFonts w:ascii="Arial" w:hAnsi="Arial" w:cs="Arial"/>
                <w:b/>
                <w:bCs/>
                <w:sz w:val="16"/>
                <w:szCs w:val="16"/>
              </w:rPr>
              <w:t>27 Forward Estimate</w:t>
            </w:r>
            <w:r w:rsidR="00053A29">
              <w:rPr>
                <w:rFonts w:ascii="Arial" w:hAnsi="Arial" w:cs="Arial"/>
                <w:b/>
                <w:bCs/>
                <w:sz w:val="16"/>
                <w:szCs w:val="16"/>
              </w:rPr>
              <w:br/>
            </w:r>
            <w:r w:rsidR="00053A29">
              <w:rPr>
                <w:rFonts w:ascii="Arial" w:hAnsi="Arial" w:cs="Arial"/>
                <w:sz w:val="16"/>
                <w:szCs w:val="16"/>
              </w:rPr>
              <w:t>$'000</w:t>
            </w:r>
          </w:p>
        </w:tc>
      </w:tr>
      <w:tr w:rsidR="00053A29" w:rsidRPr="00E87012" w14:paraId="00E53EF1" w14:textId="77777777" w:rsidTr="00603F85">
        <w:trPr>
          <w:trHeight w:val="454"/>
          <w:jc w:val="center"/>
        </w:trPr>
        <w:tc>
          <w:tcPr>
            <w:tcW w:w="3135" w:type="dxa"/>
            <w:tcBorders>
              <w:top w:val="nil"/>
              <w:left w:val="nil"/>
              <w:bottom w:val="nil"/>
              <w:right w:val="nil"/>
            </w:tcBorders>
            <w:shd w:val="clear" w:color="auto" w:fill="auto"/>
            <w:vAlign w:val="bottom"/>
            <w:hideMark/>
          </w:tcPr>
          <w:p w14:paraId="37FA5A1F" w14:textId="605B23BA" w:rsidR="00053A29" w:rsidRPr="00E87012" w:rsidRDefault="00053A29" w:rsidP="00053A29">
            <w:pPr>
              <w:spacing w:before="0" w:after="0" w:line="240" w:lineRule="auto"/>
              <w:rPr>
                <w:rFonts w:ascii="Arial" w:hAnsi="Arial" w:cs="Arial"/>
                <w:b/>
                <w:bCs/>
                <w:color w:val="000000"/>
                <w:sz w:val="16"/>
                <w:szCs w:val="16"/>
              </w:rPr>
            </w:pPr>
            <w:r>
              <w:rPr>
                <w:rFonts w:ascii="Arial" w:hAnsi="Arial" w:cs="Arial"/>
                <w:b/>
                <w:bCs/>
                <w:color w:val="000000"/>
                <w:sz w:val="16"/>
                <w:szCs w:val="16"/>
              </w:rPr>
              <w:t>ASSETS ADMINISTERED ON BEHALF OF GOVERNMENT</w:t>
            </w:r>
          </w:p>
        </w:tc>
        <w:tc>
          <w:tcPr>
            <w:tcW w:w="976" w:type="dxa"/>
            <w:tcBorders>
              <w:top w:val="nil"/>
              <w:left w:val="nil"/>
              <w:bottom w:val="nil"/>
              <w:right w:val="nil"/>
            </w:tcBorders>
            <w:shd w:val="clear" w:color="auto" w:fill="auto"/>
            <w:noWrap/>
            <w:vAlign w:val="bottom"/>
            <w:hideMark/>
          </w:tcPr>
          <w:p w14:paraId="1A60379F" w14:textId="77777777" w:rsidR="00053A29" w:rsidRPr="00E87012" w:rsidRDefault="00053A29" w:rsidP="00053A29">
            <w:pPr>
              <w:spacing w:before="0" w:after="0" w:line="240" w:lineRule="auto"/>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784298DD" w14:textId="123ED842"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auto" w:fill="auto"/>
            <w:noWrap/>
            <w:vAlign w:val="bottom"/>
            <w:hideMark/>
          </w:tcPr>
          <w:p w14:paraId="2DEF48C7" w14:textId="77777777" w:rsidR="00053A29" w:rsidRPr="00E87012" w:rsidRDefault="00053A29" w:rsidP="00053A29">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4FC7C2BF" w14:textId="77777777" w:rsidR="00053A29" w:rsidRPr="00E87012" w:rsidRDefault="00053A29" w:rsidP="00053A2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3D870C07" w14:textId="77777777" w:rsidR="00053A29" w:rsidRPr="00E87012" w:rsidRDefault="00053A29" w:rsidP="00053A29">
            <w:pPr>
              <w:spacing w:before="0" w:after="0" w:line="240" w:lineRule="auto"/>
              <w:jc w:val="right"/>
              <w:rPr>
                <w:rFonts w:ascii="Times New Roman" w:hAnsi="Times New Roman"/>
                <w:sz w:val="20"/>
              </w:rPr>
            </w:pPr>
          </w:p>
        </w:tc>
      </w:tr>
      <w:tr w:rsidR="00053A29" w:rsidRPr="00E87012" w14:paraId="19188162" w14:textId="77777777" w:rsidTr="00603F85">
        <w:trPr>
          <w:trHeight w:val="283"/>
          <w:jc w:val="center"/>
        </w:trPr>
        <w:tc>
          <w:tcPr>
            <w:tcW w:w="3135" w:type="dxa"/>
            <w:tcBorders>
              <w:top w:val="nil"/>
              <w:left w:val="nil"/>
              <w:bottom w:val="nil"/>
              <w:right w:val="nil"/>
            </w:tcBorders>
            <w:shd w:val="clear" w:color="auto" w:fill="auto"/>
            <w:noWrap/>
            <w:vAlign w:val="bottom"/>
            <w:hideMark/>
          </w:tcPr>
          <w:p w14:paraId="75AC4138" w14:textId="2FABEE5F" w:rsidR="00053A29" w:rsidRPr="00E87012" w:rsidRDefault="00053A29" w:rsidP="00053A29">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Financial assets</w:t>
            </w:r>
          </w:p>
        </w:tc>
        <w:tc>
          <w:tcPr>
            <w:tcW w:w="976" w:type="dxa"/>
            <w:tcBorders>
              <w:top w:val="nil"/>
              <w:left w:val="nil"/>
              <w:bottom w:val="nil"/>
              <w:right w:val="nil"/>
            </w:tcBorders>
            <w:shd w:val="clear" w:color="auto" w:fill="auto"/>
            <w:noWrap/>
            <w:vAlign w:val="bottom"/>
            <w:hideMark/>
          </w:tcPr>
          <w:p w14:paraId="6C4EFED9" w14:textId="77777777" w:rsidR="00053A29" w:rsidRPr="00E87012" w:rsidRDefault="00053A29" w:rsidP="00053A29">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2D93B9CD" w14:textId="661A5F30"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auto" w:fill="auto"/>
            <w:noWrap/>
            <w:vAlign w:val="bottom"/>
            <w:hideMark/>
          </w:tcPr>
          <w:p w14:paraId="174BC7C4" w14:textId="77777777" w:rsidR="00053A29" w:rsidRPr="00E87012" w:rsidRDefault="00053A29" w:rsidP="00053A29">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513B58F5" w14:textId="77777777" w:rsidR="00053A29" w:rsidRPr="00E87012" w:rsidRDefault="00053A29" w:rsidP="00053A2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6CD09607" w14:textId="77777777" w:rsidR="00053A29" w:rsidRPr="00E87012" w:rsidRDefault="00053A29" w:rsidP="00053A29">
            <w:pPr>
              <w:spacing w:before="0" w:after="0" w:line="240" w:lineRule="auto"/>
              <w:jc w:val="right"/>
              <w:rPr>
                <w:rFonts w:ascii="Times New Roman" w:hAnsi="Times New Roman"/>
                <w:sz w:val="20"/>
              </w:rPr>
            </w:pPr>
          </w:p>
        </w:tc>
      </w:tr>
      <w:tr w:rsidR="00053A29" w:rsidRPr="00E87012" w14:paraId="41C690FF"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5C28435F" w14:textId="707CB895" w:rsidR="00053A29" w:rsidRPr="00E87012" w:rsidRDefault="00053A29" w:rsidP="00053A29">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Cash and cash equivalents</w:t>
            </w:r>
          </w:p>
        </w:tc>
        <w:tc>
          <w:tcPr>
            <w:tcW w:w="976" w:type="dxa"/>
            <w:tcBorders>
              <w:top w:val="nil"/>
              <w:left w:val="nil"/>
              <w:bottom w:val="nil"/>
              <w:right w:val="nil"/>
            </w:tcBorders>
            <w:shd w:val="clear" w:color="auto" w:fill="auto"/>
            <w:noWrap/>
            <w:vAlign w:val="bottom"/>
            <w:hideMark/>
          </w:tcPr>
          <w:p w14:paraId="0FAD8B40" w14:textId="5F2C38AA"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c>
          <w:tcPr>
            <w:tcW w:w="930" w:type="dxa"/>
            <w:tcBorders>
              <w:top w:val="nil"/>
              <w:left w:val="nil"/>
              <w:bottom w:val="nil"/>
              <w:right w:val="nil"/>
            </w:tcBorders>
            <w:shd w:val="clear" w:color="000000" w:fill="D9D9D9"/>
            <w:noWrap/>
            <w:vAlign w:val="bottom"/>
            <w:hideMark/>
          </w:tcPr>
          <w:p w14:paraId="0FC3D3C5" w14:textId="51D342D6"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c>
          <w:tcPr>
            <w:tcW w:w="924" w:type="dxa"/>
            <w:tcBorders>
              <w:top w:val="nil"/>
              <w:left w:val="nil"/>
              <w:bottom w:val="nil"/>
              <w:right w:val="nil"/>
            </w:tcBorders>
            <w:shd w:val="clear" w:color="auto" w:fill="auto"/>
            <w:noWrap/>
            <w:vAlign w:val="bottom"/>
            <w:hideMark/>
          </w:tcPr>
          <w:p w14:paraId="669FE4E9" w14:textId="1B2B8894"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c>
          <w:tcPr>
            <w:tcW w:w="918" w:type="dxa"/>
            <w:tcBorders>
              <w:top w:val="nil"/>
              <w:left w:val="nil"/>
              <w:bottom w:val="nil"/>
              <w:right w:val="nil"/>
            </w:tcBorders>
            <w:shd w:val="clear" w:color="auto" w:fill="auto"/>
            <w:noWrap/>
            <w:vAlign w:val="bottom"/>
            <w:hideMark/>
          </w:tcPr>
          <w:p w14:paraId="1F1DAF44" w14:textId="15BA95D1"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c>
          <w:tcPr>
            <w:tcW w:w="907" w:type="dxa"/>
            <w:tcBorders>
              <w:top w:val="nil"/>
              <w:left w:val="nil"/>
              <w:bottom w:val="nil"/>
              <w:right w:val="nil"/>
            </w:tcBorders>
            <w:shd w:val="clear" w:color="auto" w:fill="auto"/>
            <w:noWrap/>
            <w:vAlign w:val="bottom"/>
            <w:hideMark/>
          </w:tcPr>
          <w:p w14:paraId="50D97767" w14:textId="00716B66"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r>
      <w:tr w:rsidR="00053A29" w:rsidRPr="00E87012" w14:paraId="15D09D13"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79B553A9" w14:textId="07B3EB95" w:rsidR="00053A29" w:rsidRPr="00E87012" w:rsidRDefault="00053A29" w:rsidP="00053A29">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Receivables</w:t>
            </w:r>
          </w:p>
        </w:tc>
        <w:tc>
          <w:tcPr>
            <w:tcW w:w="976" w:type="dxa"/>
            <w:tcBorders>
              <w:top w:val="nil"/>
              <w:left w:val="nil"/>
              <w:bottom w:val="nil"/>
              <w:right w:val="nil"/>
            </w:tcBorders>
            <w:shd w:val="clear" w:color="auto" w:fill="auto"/>
            <w:noWrap/>
            <w:vAlign w:val="bottom"/>
            <w:hideMark/>
          </w:tcPr>
          <w:p w14:paraId="3C57701C" w14:textId="5D5884AF"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795</w:t>
            </w:r>
          </w:p>
        </w:tc>
        <w:tc>
          <w:tcPr>
            <w:tcW w:w="930" w:type="dxa"/>
            <w:tcBorders>
              <w:top w:val="nil"/>
              <w:left w:val="nil"/>
              <w:bottom w:val="nil"/>
              <w:right w:val="nil"/>
            </w:tcBorders>
            <w:shd w:val="clear" w:color="000000" w:fill="D9D9D9"/>
            <w:noWrap/>
            <w:vAlign w:val="bottom"/>
            <w:hideMark/>
          </w:tcPr>
          <w:p w14:paraId="0174A370" w14:textId="68EFA2CB" w:rsidR="00053A29" w:rsidRPr="00E87012" w:rsidRDefault="00053A29" w:rsidP="00053A29">
            <w:pPr>
              <w:spacing w:before="0" w:after="0" w:line="240" w:lineRule="auto"/>
              <w:jc w:val="right"/>
              <w:rPr>
                <w:rFonts w:ascii="Arial" w:hAnsi="Arial" w:cs="Arial"/>
                <w:sz w:val="16"/>
                <w:szCs w:val="16"/>
              </w:rPr>
            </w:pPr>
            <w:r>
              <w:rPr>
                <w:rFonts w:ascii="Arial" w:hAnsi="Arial" w:cs="Arial"/>
                <w:sz w:val="16"/>
                <w:szCs w:val="16"/>
              </w:rPr>
              <w:t>795</w:t>
            </w:r>
          </w:p>
        </w:tc>
        <w:tc>
          <w:tcPr>
            <w:tcW w:w="924" w:type="dxa"/>
            <w:tcBorders>
              <w:top w:val="nil"/>
              <w:left w:val="nil"/>
              <w:bottom w:val="nil"/>
              <w:right w:val="nil"/>
            </w:tcBorders>
            <w:shd w:val="clear" w:color="auto" w:fill="auto"/>
            <w:noWrap/>
            <w:vAlign w:val="bottom"/>
            <w:hideMark/>
          </w:tcPr>
          <w:p w14:paraId="72AEBB2E" w14:textId="13E20345" w:rsidR="00053A29" w:rsidRPr="00E87012" w:rsidRDefault="00053A29" w:rsidP="00053A29">
            <w:pPr>
              <w:spacing w:before="0" w:after="0" w:line="240" w:lineRule="auto"/>
              <w:jc w:val="right"/>
              <w:rPr>
                <w:rFonts w:ascii="Arial" w:hAnsi="Arial" w:cs="Arial"/>
                <w:sz w:val="16"/>
                <w:szCs w:val="16"/>
              </w:rPr>
            </w:pPr>
            <w:r>
              <w:rPr>
                <w:rFonts w:ascii="Arial" w:hAnsi="Arial" w:cs="Arial"/>
                <w:sz w:val="16"/>
                <w:szCs w:val="16"/>
              </w:rPr>
              <w:t>795</w:t>
            </w:r>
          </w:p>
        </w:tc>
        <w:tc>
          <w:tcPr>
            <w:tcW w:w="918" w:type="dxa"/>
            <w:tcBorders>
              <w:top w:val="nil"/>
              <w:left w:val="nil"/>
              <w:bottom w:val="nil"/>
              <w:right w:val="nil"/>
            </w:tcBorders>
            <w:shd w:val="clear" w:color="auto" w:fill="auto"/>
            <w:noWrap/>
            <w:vAlign w:val="bottom"/>
            <w:hideMark/>
          </w:tcPr>
          <w:p w14:paraId="344FB618" w14:textId="1442DC30" w:rsidR="00053A29" w:rsidRPr="00E87012" w:rsidRDefault="00053A29" w:rsidP="00053A29">
            <w:pPr>
              <w:spacing w:before="0" w:after="0" w:line="240" w:lineRule="auto"/>
              <w:jc w:val="right"/>
              <w:rPr>
                <w:rFonts w:ascii="Arial" w:hAnsi="Arial" w:cs="Arial"/>
                <w:sz w:val="16"/>
                <w:szCs w:val="16"/>
              </w:rPr>
            </w:pPr>
            <w:r>
              <w:rPr>
                <w:rFonts w:ascii="Arial" w:hAnsi="Arial" w:cs="Arial"/>
                <w:sz w:val="16"/>
                <w:szCs w:val="16"/>
              </w:rPr>
              <w:t>795</w:t>
            </w:r>
          </w:p>
        </w:tc>
        <w:tc>
          <w:tcPr>
            <w:tcW w:w="907" w:type="dxa"/>
            <w:tcBorders>
              <w:top w:val="nil"/>
              <w:left w:val="nil"/>
              <w:bottom w:val="nil"/>
              <w:right w:val="nil"/>
            </w:tcBorders>
            <w:shd w:val="clear" w:color="auto" w:fill="auto"/>
            <w:noWrap/>
            <w:vAlign w:val="bottom"/>
            <w:hideMark/>
          </w:tcPr>
          <w:p w14:paraId="710988C3" w14:textId="4F406644" w:rsidR="00053A29" w:rsidRPr="00E87012" w:rsidRDefault="00053A29" w:rsidP="00053A29">
            <w:pPr>
              <w:spacing w:before="0" w:after="0" w:line="240" w:lineRule="auto"/>
              <w:jc w:val="right"/>
              <w:rPr>
                <w:rFonts w:ascii="Arial" w:hAnsi="Arial" w:cs="Arial"/>
                <w:sz w:val="16"/>
                <w:szCs w:val="16"/>
              </w:rPr>
            </w:pPr>
            <w:r>
              <w:rPr>
                <w:rFonts w:ascii="Arial" w:hAnsi="Arial" w:cs="Arial"/>
                <w:sz w:val="16"/>
                <w:szCs w:val="16"/>
              </w:rPr>
              <w:t>795</w:t>
            </w:r>
          </w:p>
        </w:tc>
      </w:tr>
      <w:tr w:rsidR="00053A29" w:rsidRPr="00E87012" w14:paraId="476C2A6E"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7F269BAB" w14:textId="3AFD33A3" w:rsidR="00053A29" w:rsidRPr="00E87012" w:rsidRDefault="00053A29" w:rsidP="00053A29">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financial assets</w:t>
            </w:r>
          </w:p>
        </w:tc>
        <w:tc>
          <w:tcPr>
            <w:tcW w:w="976" w:type="dxa"/>
            <w:tcBorders>
              <w:top w:val="nil"/>
              <w:left w:val="nil"/>
              <w:bottom w:val="single" w:sz="4" w:space="0" w:color="auto"/>
              <w:right w:val="nil"/>
            </w:tcBorders>
            <w:shd w:val="clear" w:color="auto" w:fill="auto"/>
            <w:noWrap/>
            <w:vAlign w:val="bottom"/>
            <w:hideMark/>
          </w:tcPr>
          <w:p w14:paraId="072EF10D" w14:textId="4B8F4CA8"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884</w:t>
            </w:r>
          </w:p>
        </w:tc>
        <w:tc>
          <w:tcPr>
            <w:tcW w:w="930" w:type="dxa"/>
            <w:tcBorders>
              <w:top w:val="nil"/>
              <w:left w:val="nil"/>
              <w:bottom w:val="single" w:sz="4" w:space="0" w:color="auto"/>
              <w:right w:val="nil"/>
            </w:tcBorders>
            <w:shd w:val="clear" w:color="000000" w:fill="D9D9D9"/>
            <w:noWrap/>
            <w:vAlign w:val="bottom"/>
            <w:hideMark/>
          </w:tcPr>
          <w:p w14:paraId="2EE23200" w14:textId="6EC35F37"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884</w:t>
            </w:r>
          </w:p>
        </w:tc>
        <w:tc>
          <w:tcPr>
            <w:tcW w:w="924" w:type="dxa"/>
            <w:tcBorders>
              <w:top w:val="nil"/>
              <w:left w:val="nil"/>
              <w:bottom w:val="single" w:sz="4" w:space="0" w:color="auto"/>
              <w:right w:val="nil"/>
            </w:tcBorders>
            <w:shd w:val="clear" w:color="auto" w:fill="auto"/>
            <w:noWrap/>
            <w:vAlign w:val="bottom"/>
            <w:hideMark/>
          </w:tcPr>
          <w:p w14:paraId="36A4FF45" w14:textId="2EFAF4A6"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884</w:t>
            </w:r>
          </w:p>
        </w:tc>
        <w:tc>
          <w:tcPr>
            <w:tcW w:w="918" w:type="dxa"/>
            <w:tcBorders>
              <w:top w:val="nil"/>
              <w:left w:val="nil"/>
              <w:bottom w:val="single" w:sz="4" w:space="0" w:color="auto"/>
              <w:right w:val="nil"/>
            </w:tcBorders>
            <w:shd w:val="clear" w:color="auto" w:fill="auto"/>
            <w:noWrap/>
            <w:vAlign w:val="bottom"/>
            <w:hideMark/>
          </w:tcPr>
          <w:p w14:paraId="72E1C8AA" w14:textId="45D5AB85"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884</w:t>
            </w:r>
          </w:p>
        </w:tc>
        <w:tc>
          <w:tcPr>
            <w:tcW w:w="907" w:type="dxa"/>
            <w:tcBorders>
              <w:top w:val="nil"/>
              <w:left w:val="nil"/>
              <w:bottom w:val="single" w:sz="4" w:space="0" w:color="auto"/>
              <w:right w:val="nil"/>
            </w:tcBorders>
            <w:shd w:val="clear" w:color="auto" w:fill="auto"/>
            <w:noWrap/>
            <w:vAlign w:val="bottom"/>
            <w:hideMark/>
          </w:tcPr>
          <w:p w14:paraId="5ADC105A" w14:textId="7C857D03"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884</w:t>
            </w:r>
          </w:p>
        </w:tc>
      </w:tr>
      <w:tr w:rsidR="00053A29" w:rsidRPr="00E87012" w14:paraId="0A62BDA6" w14:textId="77777777" w:rsidTr="00603F85">
        <w:trPr>
          <w:trHeight w:val="283"/>
          <w:jc w:val="center"/>
        </w:trPr>
        <w:tc>
          <w:tcPr>
            <w:tcW w:w="3135" w:type="dxa"/>
            <w:tcBorders>
              <w:top w:val="nil"/>
              <w:left w:val="nil"/>
              <w:bottom w:val="nil"/>
              <w:right w:val="nil"/>
            </w:tcBorders>
            <w:shd w:val="clear" w:color="auto" w:fill="auto"/>
            <w:noWrap/>
            <w:vAlign w:val="bottom"/>
            <w:hideMark/>
          </w:tcPr>
          <w:p w14:paraId="1BA4A0B8" w14:textId="20A336E4" w:rsidR="00053A29" w:rsidRPr="00E87012" w:rsidRDefault="00053A29" w:rsidP="00053A29">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Non-</w:t>
            </w:r>
            <w:r w:rsidR="006D6AB8">
              <w:rPr>
                <w:rFonts w:ascii="Arial" w:hAnsi="Arial" w:cs="Arial"/>
                <w:b/>
                <w:bCs/>
                <w:color w:val="000000"/>
                <w:sz w:val="16"/>
                <w:szCs w:val="16"/>
              </w:rPr>
              <w:t>financial</w:t>
            </w:r>
            <w:r>
              <w:rPr>
                <w:rFonts w:ascii="Arial" w:hAnsi="Arial" w:cs="Arial"/>
                <w:b/>
                <w:bCs/>
                <w:color w:val="000000"/>
                <w:sz w:val="16"/>
                <w:szCs w:val="16"/>
              </w:rPr>
              <w:t xml:space="preserve"> assets</w:t>
            </w:r>
          </w:p>
        </w:tc>
        <w:tc>
          <w:tcPr>
            <w:tcW w:w="976" w:type="dxa"/>
            <w:tcBorders>
              <w:top w:val="nil"/>
              <w:left w:val="nil"/>
              <w:bottom w:val="nil"/>
              <w:right w:val="nil"/>
            </w:tcBorders>
            <w:shd w:val="clear" w:color="auto" w:fill="auto"/>
            <w:noWrap/>
            <w:vAlign w:val="bottom"/>
            <w:hideMark/>
          </w:tcPr>
          <w:p w14:paraId="15B675C2" w14:textId="77777777" w:rsidR="00053A29" w:rsidRPr="00E87012" w:rsidRDefault="00053A29" w:rsidP="00053A29">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13D04ED3" w14:textId="7D5F163C"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auto" w:fill="auto"/>
            <w:noWrap/>
            <w:vAlign w:val="bottom"/>
            <w:hideMark/>
          </w:tcPr>
          <w:p w14:paraId="396CA2BC" w14:textId="77777777" w:rsidR="00053A29" w:rsidRPr="00E87012" w:rsidRDefault="00053A29" w:rsidP="00053A29">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17ABD4F9" w14:textId="77777777" w:rsidR="00053A29" w:rsidRPr="00E87012" w:rsidRDefault="00053A29" w:rsidP="00053A2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361623A8" w14:textId="77777777" w:rsidR="00053A29" w:rsidRPr="00E87012" w:rsidRDefault="00053A29" w:rsidP="00053A29">
            <w:pPr>
              <w:spacing w:before="0" w:after="0" w:line="240" w:lineRule="auto"/>
              <w:jc w:val="right"/>
              <w:rPr>
                <w:rFonts w:ascii="Times New Roman" w:hAnsi="Times New Roman"/>
                <w:sz w:val="20"/>
              </w:rPr>
            </w:pPr>
          </w:p>
        </w:tc>
      </w:tr>
      <w:tr w:rsidR="00053A29" w:rsidRPr="00E87012" w14:paraId="71F28AED"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09124613" w14:textId="41FAC54D" w:rsidR="00053A29" w:rsidRPr="00E87012" w:rsidRDefault="00053A29" w:rsidP="00053A29">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Prepayments</w:t>
            </w:r>
          </w:p>
        </w:tc>
        <w:tc>
          <w:tcPr>
            <w:tcW w:w="976" w:type="dxa"/>
            <w:tcBorders>
              <w:top w:val="nil"/>
              <w:left w:val="nil"/>
              <w:bottom w:val="nil"/>
              <w:right w:val="nil"/>
            </w:tcBorders>
            <w:shd w:val="clear" w:color="auto" w:fill="auto"/>
            <w:noWrap/>
            <w:vAlign w:val="bottom"/>
            <w:hideMark/>
          </w:tcPr>
          <w:p w14:paraId="1D17064B" w14:textId="7FEFABA2"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133</w:t>
            </w:r>
          </w:p>
        </w:tc>
        <w:tc>
          <w:tcPr>
            <w:tcW w:w="930" w:type="dxa"/>
            <w:tcBorders>
              <w:top w:val="nil"/>
              <w:left w:val="nil"/>
              <w:bottom w:val="nil"/>
              <w:right w:val="nil"/>
            </w:tcBorders>
            <w:shd w:val="clear" w:color="000000" w:fill="D9D9D9"/>
            <w:noWrap/>
            <w:vAlign w:val="bottom"/>
            <w:hideMark/>
          </w:tcPr>
          <w:p w14:paraId="1759385A" w14:textId="79D7D585"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133</w:t>
            </w:r>
          </w:p>
        </w:tc>
        <w:tc>
          <w:tcPr>
            <w:tcW w:w="924" w:type="dxa"/>
            <w:tcBorders>
              <w:top w:val="nil"/>
              <w:left w:val="nil"/>
              <w:bottom w:val="nil"/>
              <w:right w:val="nil"/>
            </w:tcBorders>
            <w:shd w:val="clear" w:color="auto" w:fill="auto"/>
            <w:noWrap/>
            <w:vAlign w:val="bottom"/>
            <w:hideMark/>
          </w:tcPr>
          <w:p w14:paraId="54D384A6" w14:textId="48DFFF18"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133</w:t>
            </w:r>
          </w:p>
        </w:tc>
        <w:tc>
          <w:tcPr>
            <w:tcW w:w="918" w:type="dxa"/>
            <w:tcBorders>
              <w:top w:val="nil"/>
              <w:left w:val="nil"/>
              <w:bottom w:val="nil"/>
              <w:right w:val="nil"/>
            </w:tcBorders>
            <w:shd w:val="clear" w:color="auto" w:fill="auto"/>
            <w:noWrap/>
            <w:vAlign w:val="bottom"/>
            <w:hideMark/>
          </w:tcPr>
          <w:p w14:paraId="5194B7BC" w14:textId="37721469"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133</w:t>
            </w:r>
          </w:p>
        </w:tc>
        <w:tc>
          <w:tcPr>
            <w:tcW w:w="907" w:type="dxa"/>
            <w:tcBorders>
              <w:top w:val="nil"/>
              <w:left w:val="nil"/>
              <w:bottom w:val="nil"/>
              <w:right w:val="nil"/>
            </w:tcBorders>
            <w:shd w:val="clear" w:color="auto" w:fill="auto"/>
            <w:noWrap/>
            <w:vAlign w:val="bottom"/>
            <w:hideMark/>
          </w:tcPr>
          <w:p w14:paraId="5159828F" w14:textId="5CB8705E"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133</w:t>
            </w:r>
          </w:p>
        </w:tc>
      </w:tr>
      <w:tr w:rsidR="00053A29" w:rsidRPr="00E87012" w14:paraId="479E18BB"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00C8A448" w14:textId="7EDAF1B4" w:rsidR="00053A29" w:rsidRPr="00E87012" w:rsidRDefault="00053A29" w:rsidP="00053A29">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non-financial assets</w:t>
            </w:r>
          </w:p>
        </w:tc>
        <w:tc>
          <w:tcPr>
            <w:tcW w:w="976" w:type="dxa"/>
            <w:tcBorders>
              <w:top w:val="nil"/>
              <w:left w:val="nil"/>
              <w:bottom w:val="single" w:sz="4" w:space="0" w:color="auto"/>
              <w:right w:val="nil"/>
            </w:tcBorders>
            <w:shd w:val="clear" w:color="auto" w:fill="auto"/>
            <w:noWrap/>
            <w:vAlign w:val="bottom"/>
            <w:hideMark/>
          </w:tcPr>
          <w:p w14:paraId="2C530D23" w14:textId="72CCB9E6"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30" w:type="dxa"/>
            <w:tcBorders>
              <w:top w:val="nil"/>
              <w:left w:val="nil"/>
              <w:bottom w:val="single" w:sz="4" w:space="0" w:color="auto"/>
              <w:right w:val="nil"/>
            </w:tcBorders>
            <w:shd w:val="clear" w:color="000000" w:fill="D9D9D9"/>
            <w:noWrap/>
            <w:vAlign w:val="bottom"/>
            <w:hideMark/>
          </w:tcPr>
          <w:p w14:paraId="092BCD4A" w14:textId="541F8EE9"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24" w:type="dxa"/>
            <w:tcBorders>
              <w:top w:val="nil"/>
              <w:left w:val="nil"/>
              <w:bottom w:val="single" w:sz="4" w:space="0" w:color="auto"/>
              <w:right w:val="nil"/>
            </w:tcBorders>
            <w:shd w:val="clear" w:color="auto" w:fill="auto"/>
            <w:noWrap/>
            <w:vAlign w:val="bottom"/>
            <w:hideMark/>
          </w:tcPr>
          <w:p w14:paraId="706F3921" w14:textId="5FFF9842"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18" w:type="dxa"/>
            <w:tcBorders>
              <w:top w:val="nil"/>
              <w:left w:val="nil"/>
              <w:bottom w:val="single" w:sz="4" w:space="0" w:color="auto"/>
              <w:right w:val="nil"/>
            </w:tcBorders>
            <w:shd w:val="clear" w:color="auto" w:fill="auto"/>
            <w:noWrap/>
            <w:vAlign w:val="bottom"/>
            <w:hideMark/>
          </w:tcPr>
          <w:p w14:paraId="75EF93BE" w14:textId="4D8882EA"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w:t>
            </w:r>
          </w:p>
        </w:tc>
        <w:tc>
          <w:tcPr>
            <w:tcW w:w="907" w:type="dxa"/>
            <w:tcBorders>
              <w:top w:val="nil"/>
              <w:left w:val="nil"/>
              <w:bottom w:val="single" w:sz="4" w:space="0" w:color="auto"/>
              <w:right w:val="nil"/>
            </w:tcBorders>
            <w:shd w:val="clear" w:color="auto" w:fill="auto"/>
            <w:noWrap/>
            <w:vAlign w:val="bottom"/>
            <w:hideMark/>
          </w:tcPr>
          <w:p w14:paraId="0303E613" w14:textId="41E34330"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w:t>
            </w:r>
          </w:p>
        </w:tc>
      </w:tr>
      <w:tr w:rsidR="00053A29" w:rsidRPr="00E87012" w14:paraId="1CD88634" w14:textId="77777777" w:rsidTr="00603F85">
        <w:trPr>
          <w:trHeight w:val="425"/>
          <w:jc w:val="center"/>
        </w:trPr>
        <w:tc>
          <w:tcPr>
            <w:tcW w:w="3135" w:type="dxa"/>
            <w:tcBorders>
              <w:top w:val="nil"/>
              <w:left w:val="nil"/>
              <w:bottom w:val="nil"/>
              <w:right w:val="nil"/>
            </w:tcBorders>
            <w:shd w:val="clear" w:color="auto" w:fill="auto"/>
            <w:vAlign w:val="bottom"/>
            <w:hideMark/>
          </w:tcPr>
          <w:p w14:paraId="17278FC3" w14:textId="6DD0B97A" w:rsidR="00053A29" w:rsidRPr="00E87012" w:rsidRDefault="00053A29" w:rsidP="00053A29">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 xml:space="preserve">Total assets </w:t>
            </w:r>
            <w:proofErr w:type="gramStart"/>
            <w:r>
              <w:rPr>
                <w:rFonts w:ascii="Arial" w:hAnsi="Arial" w:cs="Arial"/>
                <w:b/>
                <w:bCs/>
                <w:color w:val="000000"/>
                <w:sz w:val="16"/>
                <w:szCs w:val="16"/>
              </w:rPr>
              <w:t>administered  on</w:t>
            </w:r>
            <w:proofErr w:type="gramEnd"/>
            <w:r>
              <w:rPr>
                <w:rFonts w:ascii="Arial" w:hAnsi="Arial" w:cs="Arial"/>
                <w:b/>
                <w:bCs/>
                <w:color w:val="000000"/>
                <w:sz w:val="16"/>
                <w:szCs w:val="16"/>
              </w:rPr>
              <w:t xml:space="preserve"> behalf of Government</w:t>
            </w:r>
          </w:p>
        </w:tc>
        <w:tc>
          <w:tcPr>
            <w:tcW w:w="976" w:type="dxa"/>
            <w:tcBorders>
              <w:top w:val="nil"/>
              <w:left w:val="nil"/>
              <w:bottom w:val="single" w:sz="4" w:space="0" w:color="auto"/>
              <w:right w:val="nil"/>
            </w:tcBorders>
            <w:shd w:val="clear" w:color="auto" w:fill="auto"/>
            <w:noWrap/>
            <w:vAlign w:val="bottom"/>
            <w:hideMark/>
          </w:tcPr>
          <w:p w14:paraId="63C2DD71" w14:textId="7111E188"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1,017</w:t>
            </w:r>
          </w:p>
        </w:tc>
        <w:tc>
          <w:tcPr>
            <w:tcW w:w="930" w:type="dxa"/>
            <w:tcBorders>
              <w:top w:val="nil"/>
              <w:left w:val="nil"/>
              <w:bottom w:val="single" w:sz="4" w:space="0" w:color="auto"/>
              <w:right w:val="nil"/>
            </w:tcBorders>
            <w:shd w:val="clear" w:color="000000" w:fill="D9D9D9"/>
            <w:noWrap/>
            <w:vAlign w:val="bottom"/>
            <w:hideMark/>
          </w:tcPr>
          <w:p w14:paraId="45B61B55" w14:textId="3F47CCAB"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1,017</w:t>
            </w:r>
          </w:p>
        </w:tc>
        <w:tc>
          <w:tcPr>
            <w:tcW w:w="924" w:type="dxa"/>
            <w:tcBorders>
              <w:top w:val="nil"/>
              <w:left w:val="nil"/>
              <w:bottom w:val="single" w:sz="4" w:space="0" w:color="auto"/>
              <w:right w:val="nil"/>
            </w:tcBorders>
            <w:shd w:val="clear" w:color="auto" w:fill="auto"/>
            <w:noWrap/>
            <w:vAlign w:val="bottom"/>
            <w:hideMark/>
          </w:tcPr>
          <w:p w14:paraId="76435934" w14:textId="10A18CA0"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1,017</w:t>
            </w:r>
          </w:p>
        </w:tc>
        <w:tc>
          <w:tcPr>
            <w:tcW w:w="918" w:type="dxa"/>
            <w:tcBorders>
              <w:top w:val="nil"/>
              <w:left w:val="nil"/>
              <w:bottom w:val="single" w:sz="4" w:space="0" w:color="auto"/>
              <w:right w:val="nil"/>
            </w:tcBorders>
            <w:shd w:val="clear" w:color="auto" w:fill="auto"/>
            <w:noWrap/>
            <w:vAlign w:val="bottom"/>
            <w:hideMark/>
          </w:tcPr>
          <w:p w14:paraId="10C20B1E" w14:textId="2EC81C98"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1,017</w:t>
            </w:r>
          </w:p>
        </w:tc>
        <w:tc>
          <w:tcPr>
            <w:tcW w:w="907" w:type="dxa"/>
            <w:tcBorders>
              <w:top w:val="nil"/>
              <w:left w:val="nil"/>
              <w:bottom w:val="single" w:sz="4" w:space="0" w:color="auto"/>
              <w:right w:val="nil"/>
            </w:tcBorders>
            <w:shd w:val="clear" w:color="auto" w:fill="auto"/>
            <w:noWrap/>
            <w:vAlign w:val="bottom"/>
            <w:hideMark/>
          </w:tcPr>
          <w:p w14:paraId="7F312EAC" w14:textId="1C3AAF6D"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1,017</w:t>
            </w:r>
          </w:p>
        </w:tc>
      </w:tr>
      <w:tr w:rsidR="00053A29" w:rsidRPr="00E87012" w14:paraId="446951AA" w14:textId="77777777" w:rsidTr="00603F85">
        <w:trPr>
          <w:trHeight w:val="454"/>
          <w:jc w:val="center"/>
        </w:trPr>
        <w:tc>
          <w:tcPr>
            <w:tcW w:w="3135" w:type="dxa"/>
            <w:tcBorders>
              <w:top w:val="nil"/>
              <w:left w:val="nil"/>
              <w:bottom w:val="nil"/>
              <w:right w:val="nil"/>
            </w:tcBorders>
            <w:shd w:val="clear" w:color="auto" w:fill="auto"/>
            <w:vAlign w:val="bottom"/>
            <w:hideMark/>
          </w:tcPr>
          <w:p w14:paraId="39A14D56" w14:textId="547A1C94" w:rsidR="00053A29" w:rsidRPr="00E87012" w:rsidRDefault="00053A29" w:rsidP="00053A29">
            <w:pPr>
              <w:spacing w:before="0" w:after="0" w:line="240" w:lineRule="auto"/>
              <w:rPr>
                <w:rFonts w:ascii="Arial" w:hAnsi="Arial" w:cs="Arial"/>
                <w:b/>
                <w:bCs/>
                <w:color w:val="000000"/>
                <w:sz w:val="16"/>
                <w:szCs w:val="16"/>
              </w:rPr>
            </w:pPr>
            <w:r>
              <w:rPr>
                <w:rFonts w:ascii="Arial" w:hAnsi="Arial" w:cs="Arial"/>
                <w:b/>
                <w:bCs/>
                <w:color w:val="000000"/>
                <w:sz w:val="16"/>
                <w:szCs w:val="16"/>
              </w:rPr>
              <w:t>LIABILITIES ADMINISTERED ON BEHALF OF GOVERNMENT</w:t>
            </w:r>
          </w:p>
        </w:tc>
        <w:tc>
          <w:tcPr>
            <w:tcW w:w="976" w:type="dxa"/>
            <w:tcBorders>
              <w:top w:val="nil"/>
              <w:left w:val="nil"/>
              <w:bottom w:val="nil"/>
              <w:right w:val="nil"/>
            </w:tcBorders>
            <w:shd w:val="clear" w:color="auto" w:fill="auto"/>
            <w:noWrap/>
            <w:vAlign w:val="bottom"/>
            <w:hideMark/>
          </w:tcPr>
          <w:p w14:paraId="7C20AAEA" w14:textId="77777777" w:rsidR="00053A29" w:rsidRPr="00E87012" w:rsidRDefault="00053A29" w:rsidP="00053A29">
            <w:pPr>
              <w:spacing w:before="0" w:after="0" w:line="240" w:lineRule="auto"/>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0C49C893" w14:textId="0ABB18BB"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auto" w:fill="auto"/>
            <w:noWrap/>
            <w:vAlign w:val="bottom"/>
            <w:hideMark/>
          </w:tcPr>
          <w:p w14:paraId="05A062BB" w14:textId="77777777" w:rsidR="00053A29" w:rsidRPr="00E87012" w:rsidRDefault="00053A29" w:rsidP="00053A29">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74F863AA" w14:textId="77777777" w:rsidR="00053A29" w:rsidRPr="00E87012" w:rsidRDefault="00053A29" w:rsidP="00053A2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781478C0" w14:textId="77777777" w:rsidR="00053A29" w:rsidRPr="00E87012" w:rsidRDefault="00053A29" w:rsidP="00053A29">
            <w:pPr>
              <w:spacing w:before="0" w:after="0" w:line="240" w:lineRule="auto"/>
              <w:jc w:val="right"/>
              <w:rPr>
                <w:rFonts w:ascii="Times New Roman" w:hAnsi="Times New Roman"/>
                <w:sz w:val="20"/>
              </w:rPr>
            </w:pPr>
          </w:p>
        </w:tc>
      </w:tr>
      <w:tr w:rsidR="00053A29" w:rsidRPr="00E87012" w14:paraId="6D9D272F" w14:textId="77777777" w:rsidTr="00603F85">
        <w:trPr>
          <w:trHeight w:val="225"/>
          <w:jc w:val="center"/>
        </w:trPr>
        <w:tc>
          <w:tcPr>
            <w:tcW w:w="3135" w:type="dxa"/>
            <w:tcBorders>
              <w:top w:val="nil"/>
              <w:left w:val="nil"/>
              <w:bottom w:val="nil"/>
              <w:right w:val="nil"/>
            </w:tcBorders>
            <w:shd w:val="clear" w:color="auto" w:fill="auto"/>
            <w:vAlign w:val="bottom"/>
            <w:hideMark/>
          </w:tcPr>
          <w:p w14:paraId="176EC09A" w14:textId="7B09CEA8" w:rsidR="00053A29" w:rsidRPr="00E87012" w:rsidRDefault="00053A29" w:rsidP="00053A29">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Payables</w:t>
            </w:r>
          </w:p>
        </w:tc>
        <w:tc>
          <w:tcPr>
            <w:tcW w:w="976" w:type="dxa"/>
            <w:tcBorders>
              <w:top w:val="nil"/>
              <w:left w:val="nil"/>
              <w:bottom w:val="nil"/>
              <w:right w:val="nil"/>
            </w:tcBorders>
            <w:shd w:val="clear" w:color="auto" w:fill="auto"/>
            <w:noWrap/>
            <w:vAlign w:val="bottom"/>
            <w:hideMark/>
          </w:tcPr>
          <w:p w14:paraId="0EDF7F42" w14:textId="77777777" w:rsidR="00053A29" w:rsidRPr="00E87012" w:rsidRDefault="00053A29" w:rsidP="00053A29">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2F21BA01" w14:textId="2BC9EDCA"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24" w:type="dxa"/>
            <w:tcBorders>
              <w:top w:val="nil"/>
              <w:left w:val="nil"/>
              <w:bottom w:val="nil"/>
              <w:right w:val="nil"/>
            </w:tcBorders>
            <w:shd w:val="clear" w:color="auto" w:fill="auto"/>
            <w:noWrap/>
            <w:vAlign w:val="bottom"/>
            <w:hideMark/>
          </w:tcPr>
          <w:p w14:paraId="3BE98697" w14:textId="77777777" w:rsidR="00053A29" w:rsidRPr="00E87012" w:rsidRDefault="00053A29" w:rsidP="00053A29">
            <w:pPr>
              <w:spacing w:before="0" w:after="0" w:line="240" w:lineRule="auto"/>
              <w:jc w:val="right"/>
              <w:rPr>
                <w:rFonts w:ascii="Arial" w:hAnsi="Arial" w:cs="Arial"/>
                <w:color w:val="000000"/>
                <w:sz w:val="16"/>
                <w:szCs w:val="16"/>
              </w:rPr>
            </w:pPr>
          </w:p>
        </w:tc>
        <w:tc>
          <w:tcPr>
            <w:tcW w:w="918" w:type="dxa"/>
            <w:tcBorders>
              <w:top w:val="nil"/>
              <w:left w:val="nil"/>
              <w:bottom w:val="nil"/>
              <w:right w:val="nil"/>
            </w:tcBorders>
            <w:shd w:val="clear" w:color="auto" w:fill="auto"/>
            <w:noWrap/>
            <w:vAlign w:val="bottom"/>
            <w:hideMark/>
          </w:tcPr>
          <w:p w14:paraId="08DD1A9D" w14:textId="77777777" w:rsidR="00053A29" w:rsidRPr="00E87012" w:rsidRDefault="00053A29" w:rsidP="00053A2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25529EA7" w14:textId="77777777" w:rsidR="00053A29" w:rsidRPr="00E87012" w:rsidRDefault="00053A29" w:rsidP="00053A29">
            <w:pPr>
              <w:spacing w:before="0" w:after="0" w:line="240" w:lineRule="auto"/>
              <w:jc w:val="right"/>
              <w:rPr>
                <w:rFonts w:ascii="Times New Roman" w:hAnsi="Times New Roman"/>
                <w:sz w:val="20"/>
              </w:rPr>
            </w:pPr>
          </w:p>
        </w:tc>
      </w:tr>
      <w:tr w:rsidR="00053A29" w:rsidRPr="00E87012" w14:paraId="6400BA36"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40F530F5" w14:textId="242F0A4F" w:rsidR="00053A29" w:rsidRPr="00E87012" w:rsidRDefault="00053A29" w:rsidP="00053A29">
            <w:pPr>
              <w:spacing w:before="0" w:after="0" w:line="240" w:lineRule="auto"/>
              <w:ind w:firstLineChars="300" w:firstLine="480"/>
              <w:rPr>
                <w:rFonts w:ascii="Arial" w:hAnsi="Arial" w:cs="Arial"/>
                <w:sz w:val="16"/>
                <w:szCs w:val="16"/>
              </w:rPr>
            </w:pPr>
            <w:r>
              <w:rPr>
                <w:rFonts w:ascii="Arial" w:hAnsi="Arial" w:cs="Arial"/>
                <w:sz w:val="16"/>
                <w:szCs w:val="16"/>
              </w:rPr>
              <w:t>Suppliers</w:t>
            </w:r>
          </w:p>
        </w:tc>
        <w:tc>
          <w:tcPr>
            <w:tcW w:w="976" w:type="dxa"/>
            <w:tcBorders>
              <w:top w:val="nil"/>
              <w:left w:val="nil"/>
              <w:bottom w:val="nil"/>
              <w:right w:val="nil"/>
            </w:tcBorders>
            <w:shd w:val="clear" w:color="auto" w:fill="auto"/>
            <w:noWrap/>
            <w:vAlign w:val="bottom"/>
            <w:hideMark/>
          </w:tcPr>
          <w:p w14:paraId="1963FCA6" w14:textId="354E1808"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30" w:type="dxa"/>
            <w:tcBorders>
              <w:top w:val="nil"/>
              <w:left w:val="nil"/>
              <w:bottom w:val="nil"/>
              <w:right w:val="nil"/>
            </w:tcBorders>
            <w:shd w:val="clear" w:color="000000" w:fill="D9D9D9"/>
            <w:noWrap/>
            <w:vAlign w:val="bottom"/>
            <w:hideMark/>
          </w:tcPr>
          <w:p w14:paraId="2BE03762" w14:textId="6DF531FD"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24" w:type="dxa"/>
            <w:tcBorders>
              <w:top w:val="nil"/>
              <w:left w:val="nil"/>
              <w:bottom w:val="nil"/>
              <w:right w:val="nil"/>
            </w:tcBorders>
            <w:shd w:val="clear" w:color="auto" w:fill="auto"/>
            <w:noWrap/>
            <w:vAlign w:val="bottom"/>
            <w:hideMark/>
          </w:tcPr>
          <w:p w14:paraId="53B98497" w14:textId="736FF720"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18" w:type="dxa"/>
            <w:tcBorders>
              <w:top w:val="nil"/>
              <w:left w:val="nil"/>
              <w:bottom w:val="nil"/>
              <w:right w:val="nil"/>
            </w:tcBorders>
            <w:shd w:val="clear" w:color="auto" w:fill="auto"/>
            <w:noWrap/>
            <w:vAlign w:val="bottom"/>
            <w:hideMark/>
          </w:tcPr>
          <w:p w14:paraId="0F207478" w14:textId="2A038506"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07" w:type="dxa"/>
            <w:tcBorders>
              <w:top w:val="nil"/>
              <w:left w:val="nil"/>
              <w:bottom w:val="nil"/>
              <w:right w:val="nil"/>
            </w:tcBorders>
            <w:shd w:val="clear" w:color="auto" w:fill="auto"/>
            <w:noWrap/>
            <w:vAlign w:val="bottom"/>
            <w:hideMark/>
          </w:tcPr>
          <w:p w14:paraId="6B20CA60" w14:textId="46F7473A"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r>
      <w:tr w:rsidR="00053A29" w:rsidRPr="00E87012" w14:paraId="7B1A1281"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0AF494D8" w14:textId="6410C8D3" w:rsidR="00053A29" w:rsidRPr="00E87012" w:rsidRDefault="00053A29" w:rsidP="00053A29">
            <w:pPr>
              <w:spacing w:before="0" w:after="0" w:line="240" w:lineRule="auto"/>
              <w:ind w:firstLineChars="300" w:firstLine="480"/>
              <w:rPr>
                <w:rFonts w:ascii="Arial" w:hAnsi="Arial" w:cs="Arial"/>
                <w:sz w:val="16"/>
                <w:szCs w:val="16"/>
              </w:rPr>
            </w:pPr>
            <w:r>
              <w:rPr>
                <w:rFonts w:ascii="Arial" w:hAnsi="Arial" w:cs="Arial"/>
                <w:sz w:val="16"/>
                <w:szCs w:val="16"/>
              </w:rPr>
              <w:t>Grants</w:t>
            </w:r>
          </w:p>
        </w:tc>
        <w:tc>
          <w:tcPr>
            <w:tcW w:w="976" w:type="dxa"/>
            <w:tcBorders>
              <w:top w:val="nil"/>
              <w:left w:val="nil"/>
              <w:bottom w:val="nil"/>
              <w:right w:val="nil"/>
            </w:tcBorders>
            <w:shd w:val="clear" w:color="auto" w:fill="auto"/>
            <w:noWrap/>
            <w:vAlign w:val="bottom"/>
            <w:hideMark/>
          </w:tcPr>
          <w:p w14:paraId="63FED32C" w14:textId="44140F1B"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9,887</w:t>
            </w:r>
          </w:p>
        </w:tc>
        <w:tc>
          <w:tcPr>
            <w:tcW w:w="930" w:type="dxa"/>
            <w:tcBorders>
              <w:top w:val="nil"/>
              <w:left w:val="nil"/>
              <w:bottom w:val="nil"/>
              <w:right w:val="nil"/>
            </w:tcBorders>
            <w:shd w:val="clear" w:color="000000" w:fill="D9D9D9"/>
            <w:noWrap/>
            <w:vAlign w:val="bottom"/>
            <w:hideMark/>
          </w:tcPr>
          <w:p w14:paraId="41F81B5F" w14:textId="64FA36E8"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9,887</w:t>
            </w:r>
          </w:p>
        </w:tc>
        <w:tc>
          <w:tcPr>
            <w:tcW w:w="924" w:type="dxa"/>
            <w:tcBorders>
              <w:top w:val="nil"/>
              <w:left w:val="nil"/>
              <w:bottom w:val="nil"/>
              <w:right w:val="nil"/>
            </w:tcBorders>
            <w:shd w:val="clear" w:color="auto" w:fill="auto"/>
            <w:noWrap/>
            <w:vAlign w:val="bottom"/>
            <w:hideMark/>
          </w:tcPr>
          <w:p w14:paraId="663EE3ED" w14:textId="5D575290"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9,887</w:t>
            </w:r>
          </w:p>
        </w:tc>
        <w:tc>
          <w:tcPr>
            <w:tcW w:w="918" w:type="dxa"/>
            <w:tcBorders>
              <w:top w:val="nil"/>
              <w:left w:val="nil"/>
              <w:bottom w:val="nil"/>
              <w:right w:val="nil"/>
            </w:tcBorders>
            <w:shd w:val="clear" w:color="auto" w:fill="auto"/>
            <w:noWrap/>
            <w:vAlign w:val="bottom"/>
            <w:hideMark/>
          </w:tcPr>
          <w:p w14:paraId="15BAE1D4" w14:textId="06ADCC0B"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9,887</w:t>
            </w:r>
          </w:p>
        </w:tc>
        <w:tc>
          <w:tcPr>
            <w:tcW w:w="907" w:type="dxa"/>
            <w:tcBorders>
              <w:top w:val="nil"/>
              <w:left w:val="nil"/>
              <w:bottom w:val="nil"/>
              <w:right w:val="nil"/>
            </w:tcBorders>
            <w:shd w:val="clear" w:color="auto" w:fill="auto"/>
            <w:noWrap/>
            <w:vAlign w:val="bottom"/>
            <w:hideMark/>
          </w:tcPr>
          <w:p w14:paraId="3D76369E" w14:textId="545CE074"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9,887</w:t>
            </w:r>
          </w:p>
        </w:tc>
      </w:tr>
      <w:tr w:rsidR="00053A29" w:rsidRPr="00E87012" w14:paraId="090A9987"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3244C72A" w14:textId="618EEE98" w:rsidR="00053A29" w:rsidRPr="00E87012" w:rsidRDefault="00053A29" w:rsidP="00053A29">
            <w:pPr>
              <w:spacing w:before="0" w:after="0" w:line="240" w:lineRule="auto"/>
              <w:ind w:firstLineChars="300" w:firstLine="480"/>
              <w:rPr>
                <w:rFonts w:ascii="Arial" w:hAnsi="Arial" w:cs="Arial"/>
                <w:sz w:val="16"/>
                <w:szCs w:val="16"/>
              </w:rPr>
            </w:pPr>
            <w:r>
              <w:rPr>
                <w:rFonts w:ascii="Arial" w:hAnsi="Arial" w:cs="Arial"/>
                <w:sz w:val="16"/>
                <w:szCs w:val="16"/>
              </w:rPr>
              <w:t>Other</w:t>
            </w:r>
          </w:p>
        </w:tc>
        <w:tc>
          <w:tcPr>
            <w:tcW w:w="976" w:type="dxa"/>
            <w:tcBorders>
              <w:top w:val="nil"/>
              <w:left w:val="nil"/>
              <w:bottom w:val="nil"/>
              <w:right w:val="nil"/>
            </w:tcBorders>
            <w:shd w:val="clear" w:color="auto" w:fill="auto"/>
            <w:noWrap/>
            <w:vAlign w:val="bottom"/>
            <w:hideMark/>
          </w:tcPr>
          <w:p w14:paraId="13996A1B" w14:textId="73A1576D"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0" w:type="dxa"/>
            <w:tcBorders>
              <w:top w:val="nil"/>
              <w:left w:val="nil"/>
              <w:bottom w:val="nil"/>
              <w:right w:val="nil"/>
            </w:tcBorders>
            <w:shd w:val="clear" w:color="000000" w:fill="D9D9D9"/>
            <w:noWrap/>
            <w:vAlign w:val="bottom"/>
            <w:hideMark/>
          </w:tcPr>
          <w:p w14:paraId="7F884B19" w14:textId="1E34876A"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864</w:t>
            </w:r>
          </w:p>
        </w:tc>
        <w:tc>
          <w:tcPr>
            <w:tcW w:w="924" w:type="dxa"/>
            <w:tcBorders>
              <w:top w:val="nil"/>
              <w:left w:val="nil"/>
              <w:bottom w:val="nil"/>
              <w:right w:val="nil"/>
            </w:tcBorders>
            <w:shd w:val="clear" w:color="auto" w:fill="auto"/>
            <w:noWrap/>
            <w:vAlign w:val="bottom"/>
            <w:hideMark/>
          </w:tcPr>
          <w:p w14:paraId="2AB5EE40" w14:textId="6B568CCF"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864</w:t>
            </w:r>
          </w:p>
        </w:tc>
        <w:tc>
          <w:tcPr>
            <w:tcW w:w="918" w:type="dxa"/>
            <w:tcBorders>
              <w:top w:val="nil"/>
              <w:left w:val="nil"/>
              <w:bottom w:val="nil"/>
              <w:right w:val="nil"/>
            </w:tcBorders>
            <w:shd w:val="clear" w:color="auto" w:fill="auto"/>
            <w:noWrap/>
            <w:vAlign w:val="bottom"/>
            <w:hideMark/>
          </w:tcPr>
          <w:p w14:paraId="2081E3F2" w14:textId="23309DDB"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864</w:t>
            </w:r>
          </w:p>
        </w:tc>
        <w:tc>
          <w:tcPr>
            <w:tcW w:w="907" w:type="dxa"/>
            <w:tcBorders>
              <w:top w:val="nil"/>
              <w:left w:val="nil"/>
              <w:bottom w:val="nil"/>
              <w:right w:val="nil"/>
            </w:tcBorders>
            <w:shd w:val="clear" w:color="auto" w:fill="auto"/>
            <w:noWrap/>
            <w:vAlign w:val="bottom"/>
            <w:hideMark/>
          </w:tcPr>
          <w:p w14:paraId="32127476" w14:textId="6497BEDF" w:rsidR="00053A29" w:rsidRPr="00E87012" w:rsidRDefault="00053A29" w:rsidP="00053A29">
            <w:pPr>
              <w:spacing w:before="0" w:after="0" w:line="240" w:lineRule="auto"/>
              <w:jc w:val="right"/>
              <w:rPr>
                <w:rFonts w:ascii="Arial" w:hAnsi="Arial" w:cs="Arial"/>
                <w:color w:val="000000"/>
                <w:sz w:val="16"/>
                <w:szCs w:val="16"/>
              </w:rPr>
            </w:pPr>
            <w:r>
              <w:rPr>
                <w:rFonts w:ascii="Arial" w:hAnsi="Arial" w:cs="Arial"/>
                <w:color w:val="000000"/>
                <w:sz w:val="16"/>
                <w:szCs w:val="16"/>
              </w:rPr>
              <w:t>864</w:t>
            </w:r>
          </w:p>
        </w:tc>
      </w:tr>
      <w:tr w:rsidR="00053A29" w:rsidRPr="00E87012" w14:paraId="34DC6E96" w14:textId="77777777" w:rsidTr="00603F85">
        <w:trPr>
          <w:trHeight w:val="225"/>
          <w:jc w:val="center"/>
        </w:trPr>
        <w:tc>
          <w:tcPr>
            <w:tcW w:w="3135" w:type="dxa"/>
            <w:tcBorders>
              <w:top w:val="nil"/>
              <w:left w:val="nil"/>
              <w:bottom w:val="nil"/>
              <w:right w:val="nil"/>
            </w:tcBorders>
            <w:shd w:val="clear" w:color="auto" w:fill="auto"/>
            <w:noWrap/>
            <w:vAlign w:val="bottom"/>
            <w:hideMark/>
          </w:tcPr>
          <w:p w14:paraId="76B08E88" w14:textId="1F0B0D06" w:rsidR="00053A29" w:rsidRPr="00E87012" w:rsidRDefault="00053A29" w:rsidP="00053A29">
            <w:pPr>
              <w:spacing w:before="0" w:after="0" w:line="240" w:lineRule="auto"/>
              <w:ind w:firstLineChars="300" w:firstLine="482"/>
              <w:rPr>
                <w:rFonts w:ascii="Arial" w:hAnsi="Arial" w:cs="Arial"/>
                <w:b/>
                <w:bCs/>
                <w:color w:val="000000"/>
                <w:sz w:val="16"/>
                <w:szCs w:val="16"/>
              </w:rPr>
            </w:pPr>
            <w:r>
              <w:rPr>
                <w:rFonts w:ascii="Arial" w:hAnsi="Arial" w:cs="Arial"/>
                <w:b/>
                <w:bCs/>
                <w:color w:val="000000"/>
                <w:sz w:val="16"/>
                <w:szCs w:val="16"/>
              </w:rPr>
              <w:t>Total payables</w:t>
            </w:r>
          </w:p>
        </w:tc>
        <w:tc>
          <w:tcPr>
            <w:tcW w:w="976" w:type="dxa"/>
            <w:tcBorders>
              <w:top w:val="nil"/>
              <w:left w:val="nil"/>
              <w:bottom w:val="single" w:sz="4" w:space="0" w:color="auto"/>
              <w:right w:val="nil"/>
            </w:tcBorders>
            <w:shd w:val="clear" w:color="auto" w:fill="auto"/>
            <w:noWrap/>
            <w:vAlign w:val="bottom"/>
            <w:hideMark/>
          </w:tcPr>
          <w:p w14:paraId="6E58E3FA" w14:textId="30043DD7"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9,993</w:t>
            </w:r>
          </w:p>
        </w:tc>
        <w:tc>
          <w:tcPr>
            <w:tcW w:w="930" w:type="dxa"/>
            <w:tcBorders>
              <w:top w:val="nil"/>
              <w:left w:val="nil"/>
              <w:bottom w:val="single" w:sz="4" w:space="0" w:color="auto"/>
              <w:right w:val="nil"/>
            </w:tcBorders>
            <w:shd w:val="clear" w:color="000000" w:fill="D9D9D9"/>
            <w:noWrap/>
            <w:vAlign w:val="bottom"/>
            <w:hideMark/>
          </w:tcPr>
          <w:p w14:paraId="632ECF4D" w14:textId="023F69EB"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24" w:type="dxa"/>
            <w:tcBorders>
              <w:top w:val="nil"/>
              <w:left w:val="nil"/>
              <w:bottom w:val="single" w:sz="4" w:space="0" w:color="auto"/>
              <w:right w:val="nil"/>
            </w:tcBorders>
            <w:shd w:val="clear" w:color="auto" w:fill="auto"/>
            <w:noWrap/>
            <w:vAlign w:val="bottom"/>
            <w:hideMark/>
          </w:tcPr>
          <w:p w14:paraId="15D3A2F4" w14:textId="032CCEAF"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18" w:type="dxa"/>
            <w:tcBorders>
              <w:top w:val="nil"/>
              <w:left w:val="nil"/>
              <w:bottom w:val="single" w:sz="4" w:space="0" w:color="auto"/>
              <w:right w:val="nil"/>
            </w:tcBorders>
            <w:shd w:val="clear" w:color="auto" w:fill="auto"/>
            <w:noWrap/>
            <w:vAlign w:val="bottom"/>
            <w:hideMark/>
          </w:tcPr>
          <w:p w14:paraId="731F2648" w14:textId="02FB0308"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07" w:type="dxa"/>
            <w:tcBorders>
              <w:top w:val="nil"/>
              <w:left w:val="nil"/>
              <w:bottom w:val="single" w:sz="4" w:space="0" w:color="auto"/>
              <w:right w:val="nil"/>
            </w:tcBorders>
            <w:shd w:val="clear" w:color="auto" w:fill="auto"/>
            <w:noWrap/>
            <w:vAlign w:val="bottom"/>
            <w:hideMark/>
          </w:tcPr>
          <w:p w14:paraId="0D0C887A" w14:textId="642B2F30"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r>
      <w:tr w:rsidR="00053A29" w:rsidRPr="00E87012" w14:paraId="7DA19611" w14:textId="77777777" w:rsidTr="00603F85">
        <w:trPr>
          <w:trHeight w:val="454"/>
          <w:jc w:val="center"/>
        </w:trPr>
        <w:tc>
          <w:tcPr>
            <w:tcW w:w="3135" w:type="dxa"/>
            <w:tcBorders>
              <w:top w:val="nil"/>
              <w:left w:val="nil"/>
              <w:bottom w:val="single" w:sz="4" w:space="0" w:color="auto"/>
              <w:right w:val="nil"/>
            </w:tcBorders>
            <w:shd w:val="clear" w:color="auto" w:fill="auto"/>
            <w:vAlign w:val="bottom"/>
            <w:hideMark/>
          </w:tcPr>
          <w:p w14:paraId="078B4829" w14:textId="07792EFB" w:rsidR="00053A29" w:rsidRPr="00E87012" w:rsidRDefault="00053A29" w:rsidP="00053A29">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liabilities administered on behalf of Government</w:t>
            </w:r>
          </w:p>
        </w:tc>
        <w:tc>
          <w:tcPr>
            <w:tcW w:w="976" w:type="dxa"/>
            <w:tcBorders>
              <w:top w:val="nil"/>
              <w:left w:val="nil"/>
              <w:bottom w:val="single" w:sz="4" w:space="0" w:color="auto"/>
              <w:right w:val="nil"/>
            </w:tcBorders>
            <w:shd w:val="clear" w:color="auto" w:fill="auto"/>
            <w:noWrap/>
            <w:vAlign w:val="bottom"/>
            <w:hideMark/>
          </w:tcPr>
          <w:p w14:paraId="055C144E" w14:textId="1B9C10BE"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9,993</w:t>
            </w:r>
          </w:p>
        </w:tc>
        <w:tc>
          <w:tcPr>
            <w:tcW w:w="930" w:type="dxa"/>
            <w:tcBorders>
              <w:top w:val="nil"/>
              <w:left w:val="nil"/>
              <w:bottom w:val="single" w:sz="4" w:space="0" w:color="auto"/>
              <w:right w:val="nil"/>
            </w:tcBorders>
            <w:shd w:val="clear" w:color="000000" w:fill="D9D9D9"/>
            <w:noWrap/>
            <w:vAlign w:val="bottom"/>
            <w:hideMark/>
          </w:tcPr>
          <w:p w14:paraId="3883ABC9" w14:textId="6B46088C"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24" w:type="dxa"/>
            <w:tcBorders>
              <w:top w:val="nil"/>
              <w:left w:val="nil"/>
              <w:bottom w:val="single" w:sz="4" w:space="0" w:color="auto"/>
              <w:right w:val="nil"/>
            </w:tcBorders>
            <w:shd w:val="clear" w:color="auto" w:fill="auto"/>
            <w:noWrap/>
            <w:vAlign w:val="bottom"/>
            <w:hideMark/>
          </w:tcPr>
          <w:p w14:paraId="2E620162" w14:textId="6770EFDA"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18" w:type="dxa"/>
            <w:tcBorders>
              <w:top w:val="nil"/>
              <w:left w:val="nil"/>
              <w:bottom w:val="single" w:sz="4" w:space="0" w:color="auto"/>
              <w:right w:val="nil"/>
            </w:tcBorders>
            <w:shd w:val="clear" w:color="auto" w:fill="auto"/>
            <w:noWrap/>
            <w:vAlign w:val="bottom"/>
            <w:hideMark/>
          </w:tcPr>
          <w:p w14:paraId="00DBCB65" w14:textId="26DE52A6"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c>
          <w:tcPr>
            <w:tcW w:w="907" w:type="dxa"/>
            <w:tcBorders>
              <w:top w:val="nil"/>
              <w:left w:val="nil"/>
              <w:bottom w:val="single" w:sz="4" w:space="0" w:color="auto"/>
              <w:right w:val="nil"/>
            </w:tcBorders>
            <w:shd w:val="clear" w:color="auto" w:fill="auto"/>
            <w:noWrap/>
            <w:vAlign w:val="bottom"/>
            <w:hideMark/>
          </w:tcPr>
          <w:p w14:paraId="0B169D6A" w14:textId="63567553" w:rsidR="00053A29" w:rsidRPr="00E87012" w:rsidRDefault="00053A29" w:rsidP="00053A2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10,857</w:t>
            </w:r>
          </w:p>
        </w:tc>
      </w:tr>
    </w:tbl>
    <w:p w14:paraId="525265FF" w14:textId="77777777" w:rsidR="00603F85" w:rsidRDefault="00603F85" w:rsidP="00603F85">
      <w:pPr>
        <w:pStyle w:val="TableHeading"/>
        <w:spacing w:before="0"/>
        <w:rPr>
          <w:snapToGrid w:val="0"/>
        </w:rPr>
      </w:pPr>
    </w:p>
    <w:p w14:paraId="6EFCD430" w14:textId="77777777" w:rsidR="00EA082D" w:rsidRDefault="00EA082D">
      <w:pPr>
        <w:spacing w:before="0" w:after="0" w:line="240" w:lineRule="auto"/>
        <w:rPr>
          <w:rFonts w:ascii="Arial" w:hAnsi="Arial"/>
          <w:b/>
          <w:snapToGrid w:val="0"/>
          <w:sz w:val="20"/>
        </w:rPr>
      </w:pPr>
      <w:r>
        <w:rPr>
          <w:snapToGrid w:val="0"/>
        </w:rPr>
        <w:br w:type="page"/>
      </w:r>
    </w:p>
    <w:p w14:paraId="3B06F61C" w14:textId="5FC04AA7" w:rsidR="00603F85" w:rsidRDefault="00603F85" w:rsidP="00603F85">
      <w:pPr>
        <w:pStyle w:val="TableHeading"/>
        <w:spacing w:before="0"/>
        <w:rPr>
          <w:snapToGrid w:val="0"/>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7766" w:type="dxa"/>
        <w:jc w:val="center"/>
        <w:tblLayout w:type="fixed"/>
        <w:tblLook w:val="04A0" w:firstRow="1" w:lastRow="0" w:firstColumn="1" w:lastColumn="0" w:noHBand="0" w:noVBand="1"/>
      </w:tblPr>
      <w:tblGrid>
        <w:gridCol w:w="3061"/>
        <w:gridCol w:w="941"/>
        <w:gridCol w:w="941"/>
        <w:gridCol w:w="941"/>
        <w:gridCol w:w="941"/>
        <w:gridCol w:w="941"/>
      </w:tblGrid>
      <w:tr w:rsidR="008B15AF" w:rsidRPr="00E87012" w14:paraId="44CDDB2F" w14:textId="77777777" w:rsidTr="008B15AF">
        <w:trPr>
          <w:trHeight w:val="737"/>
          <w:jc w:val="center"/>
        </w:trPr>
        <w:tc>
          <w:tcPr>
            <w:tcW w:w="3061" w:type="dxa"/>
            <w:tcBorders>
              <w:top w:val="single" w:sz="4" w:space="0" w:color="auto"/>
              <w:left w:val="nil"/>
              <w:bottom w:val="nil"/>
              <w:right w:val="nil"/>
            </w:tcBorders>
            <w:shd w:val="clear" w:color="auto" w:fill="auto"/>
            <w:hideMark/>
          </w:tcPr>
          <w:p w14:paraId="151C7002" w14:textId="49225D2E" w:rsidR="008B15AF" w:rsidRPr="00E87012" w:rsidRDefault="008B15AF" w:rsidP="008B15AF">
            <w:pPr>
              <w:spacing w:before="24" w:after="0" w:line="240" w:lineRule="auto"/>
              <w:jc w:val="right"/>
              <w:rPr>
                <w:rFonts w:ascii="Arial" w:hAnsi="Arial" w:cs="Arial"/>
                <w:color w:val="000000"/>
                <w:sz w:val="16"/>
                <w:szCs w:val="16"/>
              </w:rPr>
            </w:pPr>
            <w:r>
              <w:rPr>
                <w:rFonts w:ascii="Arial" w:hAnsi="Arial" w:cs="Arial"/>
                <w:color w:val="000000"/>
                <w:sz w:val="16"/>
                <w:szCs w:val="16"/>
              </w:rPr>
              <w:t> </w:t>
            </w:r>
          </w:p>
        </w:tc>
        <w:tc>
          <w:tcPr>
            <w:tcW w:w="941" w:type="dxa"/>
            <w:tcBorders>
              <w:top w:val="single" w:sz="4" w:space="0" w:color="auto"/>
              <w:left w:val="nil"/>
              <w:bottom w:val="single" w:sz="4" w:space="0" w:color="auto"/>
              <w:right w:val="nil"/>
            </w:tcBorders>
            <w:shd w:val="clear" w:color="auto" w:fill="auto"/>
            <w:hideMark/>
          </w:tcPr>
          <w:p w14:paraId="7F01BC69" w14:textId="3F5DD539" w:rsidR="008B15AF" w:rsidRPr="00E87012" w:rsidRDefault="008B15AF" w:rsidP="008B15AF">
            <w:pPr>
              <w:spacing w:before="24"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Actual</w:t>
            </w:r>
            <w:r>
              <w:rPr>
                <w:rFonts w:ascii="Arial" w:hAnsi="Arial" w:cs="Arial"/>
                <w:b/>
                <w:bCs/>
                <w:sz w:val="16"/>
                <w:szCs w:val="16"/>
              </w:rPr>
              <w:br/>
            </w:r>
            <w:r>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000000" w:fill="D9D9D9"/>
            <w:hideMark/>
          </w:tcPr>
          <w:p w14:paraId="00A6177D" w14:textId="76116A47" w:rsidR="008B15AF" w:rsidRPr="00E87012" w:rsidRDefault="008B15AF" w:rsidP="008B15AF">
            <w:pPr>
              <w:spacing w:before="24" w:after="0" w:line="240" w:lineRule="auto"/>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Revised</w:t>
            </w:r>
            <w:r>
              <w:rPr>
                <w:rFonts w:ascii="Arial" w:hAnsi="Arial" w:cs="Arial"/>
                <w:b/>
                <w:bCs/>
                <w:sz w:val="16"/>
                <w:szCs w:val="16"/>
              </w:rPr>
              <w:br/>
              <w:t>Budget</w:t>
            </w:r>
            <w:r>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auto" w:fill="auto"/>
            <w:hideMark/>
          </w:tcPr>
          <w:p w14:paraId="7EDFB5F4" w14:textId="0AFE19A5" w:rsidR="008B15AF" w:rsidRPr="00E87012" w:rsidRDefault="008B15AF" w:rsidP="008B15AF">
            <w:pPr>
              <w:spacing w:before="24" w:after="0" w:line="240" w:lineRule="auto"/>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41" w:type="dxa"/>
            <w:tcBorders>
              <w:top w:val="single" w:sz="4" w:space="0" w:color="auto"/>
              <w:left w:val="nil"/>
              <w:bottom w:val="single" w:sz="4" w:space="0" w:color="auto"/>
              <w:right w:val="nil"/>
            </w:tcBorders>
            <w:shd w:val="clear" w:color="auto" w:fill="auto"/>
            <w:hideMark/>
          </w:tcPr>
          <w:p w14:paraId="67543D89" w14:textId="6B22CFB0" w:rsidR="008B15AF" w:rsidRPr="00E87012" w:rsidRDefault="008B15AF" w:rsidP="008B15AF">
            <w:pPr>
              <w:spacing w:before="24" w:after="0" w:line="240" w:lineRule="auto"/>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c>
          <w:tcPr>
            <w:tcW w:w="941" w:type="dxa"/>
            <w:tcBorders>
              <w:top w:val="single" w:sz="4" w:space="0" w:color="auto"/>
              <w:left w:val="nil"/>
              <w:bottom w:val="single" w:sz="4" w:space="0" w:color="auto"/>
              <w:right w:val="nil"/>
            </w:tcBorders>
            <w:shd w:val="clear" w:color="auto" w:fill="auto"/>
            <w:hideMark/>
          </w:tcPr>
          <w:p w14:paraId="25C9ABBB" w14:textId="7AB80ED8" w:rsidR="008B15AF" w:rsidRPr="00E87012" w:rsidRDefault="008B15AF" w:rsidP="008B15AF">
            <w:pPr>
              <w:spacing w:before="24" w:after="0" w:line="240" w:lineRule="auto"/>
              <w:jc w:val="right"/>
              <w:rPr>
                <w:rFonts w:ascii="Arial" w:hAnsi="Arial" w:cs="Arial"/>
                <w:b/>
                <w:bCs/>
                <w:sz w:val="16"/>
                <w:szCs w:val="16"/>
              </w:rPr>
            </w:pPr>
            <w:r>
              <w:rPr>
                <w:rFonts w:ascii="Arial" w:hAnsi="Arial" w:cs="Arial"/>
                <w:b/>
                <w:bCs/>
                <w:sz w:val="16"/>
                <w:szCs w:val="16"/>
              </w:rPr>
              <w:t>2026–27 Forward Estimate</w:t>
            </w:r>
            <w:r>
              <w:rPr>
                <w:rFonts w:ascii="Arial" w:hAnsi="Arial" w:cs="Arial"/>
                <w:b/>
                <w:bCs/>
                <w:sz w:val="16"/>
                <w:szCs w:val="16"/>
              </w:rPr>
              <w:br/>
            </w:r>
            <w:r>
              <w:rPr>
                <w:rFonts w:ascii="Arial" w:hAnsi="Arial" w:cs="Arial"/>
                <w:sz w:val="16"/>
                <w:szCs w:val="16"/>
              </w:rPr>
              <w:t>$'000</w:t>
            </w:r>
          </w:p>
        </w:tc>
      </w:tr>
      <w:tr w:rsidR="008B15AF" w:rsidRPr="00E87012" w14:paraId="635F5352"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285E6108" w14:textId="7DE2C5D4" w:rsidR="008B15AF" w:rsidRPr="00E87012" w:rsidRDefault="008B15AF" w:rsidP="008B15AF">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OPERATING ACTIVITIES </w:t>
            </w:r>
          </w:p>
        </w:tc>
        <w:tc>
          <w:tcPr>
            <w:tcW w:w="941" w:type="dxa"/>
            <w:tcBorders>
              <w:top w:val="nil"/>
              <w:left w:val="nil"/>
              <w:bottom w:val="nil"/>
              <w:right w:val="nil"/>
            </w:tcBorders>
            <w:shd w:val="clear" w:color="auto" w:fill="auto"/>
            <w:noWrap/>
            <w:vAlign w:val="bottom"/>
            <w:hideMark/>
          </w:tcPr>
          <w:p w14:paraId="47BD4A45" w14:textId="77777777" w:rsidR="008B15AF" w:rsidRPr="00E87012" w:rsidRDefault="008B15AF" w:rsidP="008B15AF">
            <w:pPr>
              <w:spacing w:before="0" w:after="0" w:line="240" w:lineRule="auto"/>
              <w:rPr>
                <w:rFonts w:ascii="Arial" w:hAnsi="Arial" w:cs="Arial"/>
                <w:b/>
                <w:bCs/>
                <w:color w:val="000000"/>
                <w:sz w:val="16"/>
                <w:szCs w:val="16"/>
              </w:rPr>
            </w:pPr>
          </w:p>
        </w:tc>
        <w:tc>
          <w:tcPr>
            <w:tcW w:w="941" w:type="dxa"/>
            <w:tcBorders>
              <w:top w:val="nil"/>
              <w:left w:val="nil"/>
              <w:bottom w:val="nil"/>
              <w:right w:val="nil"/>
            </w:tcBorders>
            <w:shd w:val="clear" w:color="000000" w:fill="D9D9D9"/>
            <w:noWrap/>
            <w:vAlign w:val="bottom"/>
            <w:hideMark/>
          </w:tcPr>
          <w:p w14:paraId="43D71527" w14:textId="51EC3788"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2D535C13" w14:textId="77777777" w:rsidR="008B15AF" w:rsidRPr="00E87012" w:rsidRDefault="008B15AF" w:rsidP="008B15AF">
            <w:pPr>
              <w:spacing w:before="0" w:after="0" w:line="240" w:lineRule="auto"/>
              <w:jc w:val="right"/>
              <w:rPr>
                <w:rFonts w:ascii="Arial" w:hAnsi="Arial" w:cs="Arial"/>
                <w:color w:val="000000"/>
                <w:sz w:val="16"/>
                <w:szCs w:val="16"/>
              </w:rPr>
            </w:pPr>
          </w:p>
        </w:tc>
        <w:tc>
          <w:tcPr>
            <w:tcW w:w="941" w:type="dxa"/>
            <w:tcBorders>
              <w:top w:val="nil"/>
              <w:left w:val="nil"/>
              <w:bottom w:val="nil"/>
              <w:right w:val="nil"/>
            </w:tcBorders>
            <w:shd w:val="clear" w:color="auto" w:fill="auto"/>
            <w:noWrap/>
            <w:vAlign w:val="bottom"/>
            <w:hideMark/>
          </w:tcPr>
          <w:p w14:paraId="720015BF" w14:textId="77777777" w:rsidR="008B15AF" w:rsidRPr="00E87012" w:rsidRDefault="008B15AF" w:rsidP="008B15AF">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084F4038" w14:textId="77777777" w:rsidR="008B15AF" w:rsidRPr="00E87012" w:rsidRDefault="008B15AF" w:rsidP="008B15AF">
            <w:pPr>
              <w:spacing w:before="0" w:after="0" w:line="240" w:lineRule="auto"/>
              <w:jc w:val="right"/>
              <w:rPr>
                <w:rFonts w:ascii="Times New Roman" w:hAnsi="Times New Roman"/>
                <w:sz w:val="20"/>
              </w:rPr>
            </w:pPr>
          </w:p>
        </w:tc>
      </w:tr>
      <w:tr w:rsidR="008B15AF" w:rsidRPr="00E87012" w14:paraId="602FA852"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5B0C6CB8" w14:textId="259259D6" w:rsidR="008B15AF" w:rsidRPr="00E87012" w:rsidRDefault="008B15AF" w:rsidP="008B15AF">
            <w:pPr>
              <w:spacing w:before="0" w:after="0" w:line="240" w:lineRule="auto"/>
              <w:ind w:firstLineChars="100" w:firstLine="161"/>
              <w:rPr>
                <w:rFonts w:ascii="Arial" w:hAnsi="Arial" w:cs="Arial"/>
                <w:b/>
                <w:bCs/>
                <w:color w:val="000000"/>
                <w:sz w:val="16"/>
                <w:szCs w:val="16"/>
              </w:rPr>
            </w:pPr>
            <w:r>
              <w:rPr>
                <w:rFonts w:ascii="Arial" w:hAnsi="Arial" w:cs="Arial"/>
                <w:b/>
                <w:bCs/>
                <w:color w:val="000000"/>
                <w:sz w:val="16"/>
                <w:szCs w:val="16"/>
              </w:rPr>
              <w:t>Cash received</w:t>
            </w:r>
          </w:p>
        </w:tc>
        <w:tc>
          <w:tcPr>
            <w:tcW w:w="941" w:type="dxa"/>
            <w:tcBorders>
              <w:top w:val="nil"/>
              <w:left w:val="nil"/>
              <w:bottom w:val="nil"/>
              <w:right w:val="nil"/>
            </w:tcBorders>
            <w:shd w:val="clear" w:color="auto" w:fill="auto"/>
            <w:noWrap/>
            <w:vAlign w:val="bottom"/>
            <w:hideMark/>
          </w:tcPr>
          <w:p w14:paraId="06B3B952" w14:textId="77777777" w:rsidR="008B15AF" w:rsidRPr="00E87012" w:rsidRDefault="008B15AF" w:rsidP="008B15AF">
            <w:pPr>
              <w:spacing w:before="0" w:after="0" w:line="240" w:lineRule="auto"/>
              <w:ind w:firstLineChars="100" w:firstLine="161"/>
              <w:rPr>
                <w:rFonts w:ascii="Arial" w:hAnsi="Arial" w:cs="Arial"/>
                <w:b/>
                <w:bCs/>
                <w:color w:val="000000"/>
                <w:sz w:val="16"/>
                <w:szCs w:val="16"/>
              </w:rPr>
            </w:pPr>
          </w:p>
        </w:tc>
        <w:tc>
          <w:tcPr>
            <w:tcW w:w="941" w:type="dxa"/>
            <w:tcBorders>
              <w:top w:val="nil"/>
              <w:left w:val="nil"/>
              <w:bottom w:val="nil"/>
              <w:right w:val="nil"/>
            </w:tcBorders>
            <w:shd w:val="clear" w:color="000000" w:fill="D9D9D9"/>
            <w:noWrap/>
            <w:vAlign w:val="bottom"/>
            <w:hideMark/>
          </w:tcPr>
          <w:p w14:paraId="37D93689" w14:textId="14898D1E"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41" w:type="dxa"/>
            <w:tcBorders>
              <w:top w:val="nil"/>
              <w:left w:val="nil"/>
              <w:bottom w:val="nil"/>
              <w:right w:val="nil"/>
            </w:tcBorders>
            <w:shd w:val="clear" w:color="auto" w:fill="auto"/>
            <w:noWrap/>
            <w:vAlign w:val="bottom"/>
            <w:hideMark/>
          </w:tcPr>
          <w:p w14:paraId="230E0501" w14:textId="77777777" w:rsidR="008B15AF" w:rsidRPr="00E87012" w:rsidRDefault="008B15AF" w:rsidP="008B15AF">
            <w:pPr>
              <w:spacing w:before="0" w:after="0" w:line="240" w:lineRule="auto"/>
              <w:jc w:val="right"/>
              <w:rPr>
                <w:rFonts w:ascii="Arial" w:hAnsi="Arial" w:cs="Arial"/>
                <w:color w:val="000000"/>
                <w:sz w:val="16"/>
                <w:szCs w:val="16"/>
              </w:rPr>
            </w:pPr>
          </w:p>
        </w:tc>
        <w:tc>
          <w:tcPr>
            <w:tcW w:w="941" w:type="dxa"/>
            <w:tcBorders>
              <w:top w:val="nil"/>
              <w:left w:val="nil"/>
              <w:bottom w:val="nil"/>
              <w:right w:val="nil"/>
            </w:tcBorders>
            <w:shd w:val="clear" w:color="auto" w:fill="auto"/>
            <w:noWrap/>
            <w:vAlign w:val="bottom"/>
            <w:hideMark/>
          </w:tcPr>
          <w:p w14:paraId="6BE2CC08" w14:textId="77777777" w:rsidR="008B15AF" w:rsidRPr="00E87012" w:rsidRDefault="008B15AF" w:rsidP="008B15AF">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76BA327C" w14:textId="77777777" w:rsidR="008B15AF" w:rsidRPr="00E87012" w:rsidRDefault="008B15AF" w:rsidP="008B15AF">
            <w:pPr>
              <w:spacing w:before="0" w:after="0" w:line="240" w:lineRule="auto"/>
              <w:jc w:val="right"/>
              <w:rPr>
                <w:rFonts w:ascii="Times New Roman" w:hAnsi="Times New Roman"/>
                <w:sz w:val="20"/>
              </w:rPr>
            </w:pPr>
          </w:p>
        </w:tc>
      </w:tr>
      <w:tr w:rsidR="008B15AF" w:rsidRPr="00E87012" w14:paraId="1C3A8B37"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1F593393" w14:textId="6199689C" w:rsidR="008B15AF" w:rsidRPr="00E87012" w:rsidRDefault="008B15AF" w:rsidP="008B15AF">
            <w:pPr>
              <w:spacing w:before="0" w:after="0" w:line="240" w:lineRule="auto"/>
              <w:ind w:firstLineChars="200" w:firstLine="320"/>
              <w:rPr>
                <w:rFonts w:ascii="Arial" w:hAnsi="Arial" w:cs="Arial"/>
                <w:sz w:val="16"/>
                <w:szCs w:val="16"/>
              </w:rPr>
            </w:pPr>
            <w:r>
              <w:rPr>
                <w:rFonts w:ascii="Arial" w:hAnsi="Arial" w:cs="Arial"/>
                <w:sz w:val="16"/>
                <w:szCs w:val="16"/>
              </w:rPr>
              <w:t>GST received</w:t>
            </w:r>
          </w:p>
        </w:tc>
        <w:tc>
          <w:tcPr>
            <w:tcW w:w="941" w:type="dxa"/>
            <w:tcBorders>
              <w:top w:val="nil"/>
              <w:left w:val="nil"/>
              <w:bottom w:val="nil"/>
              <w:right w:val="nil"/>
            </w:tcBorders>
            <w:shd w:val="clear" w:color="auto" w:fill="auto"/>
            <w:noWrap/>
            <w:vAlign w:val="bottom"/>
            <w:hideMark/>
          </w:tcPr>
          <w:p w14:paraId="3C1C4374" w14:textId="55031789"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925</w:t>
            </w:r>
          </w:p>
        </w:tc>
        <w:tc>
          <w:tcPr>
            <w:tcW w:w="941" w:type="dxa"/>
            <w:tcBorders>
              <w:top w:val="nil"/>
              <w:left w:val="nil"/>
              <w:bottom w:val="nil"/>
              <w:right w:val="nil"/>
            </w:tcBorders>
            <w:shd w:val="clear" w:color="000000" w:fill="D9D9D9"/>
            <w:noWrap/>
            <w:vAlign w:val="bottom"/>
            <w:hideMark/>
          </w:tcPr>
          <w:p w14:paraId="235483B2" w14:textId="1ABC423A"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750</w:t>
            </w:r>
          </w:p>
        </w:tc>
        <w:tc>
          <w:tcPr>
            <w:tcW w:w="941" w:type="dxa"/>
            <w:tcBorders>
              <w:top w:val="nil"/>
              <w:left w:val="nil"/>
              <w:bottom w:val="nil"/>
              <w:right w:val="nil"/>
            </w:tcBorders>
            <w:shd w:val="clear" w:color="auto" w:fill="auto"/>
            <w:noWrap/>
            <w:vAlign w:val="bottom"/>
            <w:hideMark/>
          </w:tcPr>
          <w:p w14:paraId="7C4D133C" w14:textId="587F6490"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c>
          <w:tcPr>
            <w:tcW w:w="941" w:type="dxa"/>
            <w:tcBorders>
              <w:top w:val="nil"/>
              <w:left w:val="nil"/>
              <w:bottom w:val="nil"/>
              <w:right w:val="nil"/>
            </w:tcBorders>
            <w:shd w:val="clear" w:color="auto" w:fill="auto"/>
            <w:noWrap/>
            <w:vAlign w:val="bottom"/>
            <w:hideMark/>
          </w:tcPr>
          <w:p w14:paraId="33E7E141" w14:textId="39FB4A3C"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c>
          <w:tcPr>
            <w:tcW w:w="941" w:type="dxa"/>
            <w:tcBorders>
              <w:top w:val="nil"/>
              <w:left w:val="nil"/>
              <w:bottom w:val="nil"/>
              <w:right w:val="nil"/>
            </w:tcBorders>
            <w:shd w:val="clear" w:color="auto" w:fill="auto"/>
            <w:noWrap/>
            <w:vAlign w:val="bottom"/>
            <w:hideMark/>
          </w:tcPr>
          <w:p w14:paraId="61B94936" w14:textId="704F8682"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r>
      <w:tr w:rsidR="008B15AF" w:rsidRPr="00E87012" w14:paraId="64C01BDA"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0CFB745B" w14:textId="2370D667" w:rsidR="008B15AF" w:rsidRPr="00E87012" w:rsidRDefault="008B15AF" w:rsidP="008B15AF">
            <w:pPr>
              <w:spacing w:before="0" w:after="0" w:line="240" w:lineRule="auto"/>
              <w:ind w:firstLineChars="200" w:firstLine="320"/>
              <w:rPr>
                <w:rFonts w:ascii="Arial" w:hAnsi="Arial" w:cs="Arial"/>
                <w:sz w:val="16"/>
                <w:szCs w:val="16"/>
              </w:rPr>
            </w:pPr>
            <w:r>
              <w:rPr>
                <w:rFonts w:ascii="Arial" w:hAnsi="Arial" w:cs="Arial"/>
                <w:sz w:val="16"/>
                <w:szCs w:val="16"/>
              </w:rPr>
              <w:t>Other</w:t>
            </w:r>
          </w:p>
        </w:tc>
        <w:tc>
          <w:tcPr>
            <w:tcW w:w="941" w:type="dxa"/>
            <w:tcBorders>
              <w:top w:val="nil"/>
              <w:left w:val="nil"/>
              <w:bottom w:val="nil"/>
              <w:right w:val="nil"/>
            </w:tcBorders>
            <w:shd w:val="clear" w:color="auto" w:fill="auto"/>
            <w:noWrap/>
            <w:vAlign w:val="bottom"/>
            <w:hideMark/>
          </w:tcPr>
          <w:p w14:paraId="25AB8374" w14:textId="71BDECAC"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000000" w:fill="D9D9D9"/>
            <w:noWrap/>
            <w:vAlign w:val="bottom"/>
            <w:hideMark/>
          </w:tcPr>
          <w:p w14:paraId="3FDEBC0D" w14:textId="52DBCD08"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41" w:type="dxa"/>
            <w:tcBorders>
              <w:top w:val="nil"/>
              <w:left w:val="nil"/>
              <w:bottom w:val="nil"/>
              <w:right w:val="nil"/>
            </w:tcBorders>
            <w:shd w:val="clear" w:color="auto" w:fill="auto"/>
            <w:noWrap/>
            <w:vAlign w:val="bottom"/>
            <w:hideMark/>
          </w:tcPr>
          <w:p w14:paraId="5EE1206D" w14:textId="4DF2D6CF"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7DA5F067" w14:textId="20B251F9"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62049474" w14:textId="2D56A790"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w:t>
            </w:r>
          </w:p>
        </w:tc>
      </w:tr>
      <w:tr w:rsidR="008B15AF" w:rsidRPr="00E87012" w14:paraId="20F5E964"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38F961BF" w14:textId="3A5FEB54" w:rsidR="008B15AF" w:rsidRPr="00E87012" w:rsidRDefault="008B15AF" w:rsidP="008B15AF">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cash received</w:t>
            </w:r>
          </w:p>
        </w:tc>
        <w:tc>
          <w:tcPr>
            <w:tcW w:w="941" w:type="dxa"/>
            <w:tcBorders>
              <w:top w:val="nil"/>
              <w:left w:val="nil"/>
              <w:bottom w:val="single" w:sz="4" w:space="0" w:color="auto"/>
              <w:right w:val="nil"/>
            </w:tcBorders>
            <w:shd w:val="clear" w:color="auto" w:fill="auto"/>
            <w:noWrap/>
            <w:vAlign w:val="bottom"/>
            <w:hideMark/>
          </w:tcPr>
          <w:p w14:paraId="5227B746" w14:textId="34762B5A"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925</w:t>
            </w:r>
          </w:p>
        </w:tc>
        <w:tc>
          <w:tcPr>
            <w:tcW w:w="941" w:type="dxa"/>
            <w:tcBorders>
              <w:top w:val="nil"/>
              <w:left w:val="nil"/>
              <w:bottom w:val="single" w:sz="4" w:space="0" w:color="auto"/>
              <w:right w:val="nil"/>
            </w:tcBorders>
            <w:shd w:val="clear" w:color="000000" w:fill="D9D9D9"/>
            <w:noWrap/>
            <w:vAlign w:val="bottom"/>
            <w:hideMark/>
          </w:tcPr>
          <w:p w14:paraId="58AEDEEE" w14:textId="5FF79AB3"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750</w:t>
            </w:r>
          </w:p>
        </w:tc>
        <w:tc>
          <w:tcPr>
            <w:tcW w:w="941" w:type="dxa"/>
            <w:tcBorders>
              <w:top w:val="nil"/>
              <w:left w:val="nil"/>
              <w:bottom w:val="single" w:sz="4" w:space="0" w:color="auto"/>
              <w:right w:val="nil"/>
            </w:tcBorders>
            <w:shd w:val="clear" w:color="auto" w:fill="auto"/>
            <w:noWrap/>
            <w:vAlign w:val="bottom"/>
            <w:hideMark/>
          </w:tcPr>
          <w:p w14:paraId="47AB3CE2" w14:textId="69646EDE"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750</w:t>
            </w:r>
          </w:p>
        </w:tc>
        <w:tc>
          <w:tcPr>
            <w:tcW w:w="941" w:type="dxa"/>
            <w:tcBorders>
              <w:top w:val="nil"/>
              <w:left w:val="nil"/>
              <w:bottom w:val="single" w:sz="4" w:space="0" w:color="auto"/>
              <w:right w:val="nil"/>
            </w:tcBorders>
            <w:shd w:val="clear" w:color="auto" w:fill="auto"/>
            <w:noWrap/>
            <w:vAlign w:val="bottom"/>
            <w:hideMark/>
          </w:tcPr>
          <w:p w14:paraId="0F4B7D93" w14:textId="4F165B06"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750</w:t>
            </w:r>
          </w:p>
        </w:tc>
        <w:tc>
          <w:tcPr>
            <w:tcW w:w="941" w:type="dxa"/>
            <w:tcBorders>
              <w:top w:val="nil"/>
              <w:left w:val="nil"/>
              <w:bottom w:val="single" w:sz="4" w:space="0" w:color="auto"/>
              <w:right w:val="nil"/>
            </w:tcBorders>
            <w:shd w:val="clear" w:color="auto" w:fill="auto"/>
            <w:noWrap/>
            <w:vAlign w:val="bottom"/>
            <w:hideMark/>
          </w:tcPr>
          <w:p w14:paraId="5E1D3137" w14:textId="78C73ECB"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750</w:t>
            </w:r>
          </w:p>
        </w:tc>
      </w:tr>
      <w:tr w:rsidR="008B15AF" w:rsidRPr="00E87012" w14:paraId="5D74F4F1" w14:textId="77777777" w:rsidTr="00603F85">
        <w:trPr>
          <w:trHeight w:val="283"/>
          <w:jc w:val="center"/>
        </w:trPr>
        <w:tc>
          <w:tcPr>
            <w:tcW w:w="3061" w:type="dxa"/>
            <w:tcBorders>
              <w:top w:val="nil"/>
              <w:left w:val="nil"/>
              <w:bottom w:val="nil"/>
              <w:right w:val="nil"/>
            </w:tcBorders>
            <w:shd w:val="clear" w:color="auto" w:fill="auto"/>
            <w:noWrap/>
            <w:vAlign w:val="bottom"/>
            <w:hideMark/>
          </w:tcPr>
          <w:p w14:paraId="15077613" w14:textId="1C8FF7B2" w:rsidR="008B15AF" w:rsidRPr="00E87012" w:rsidRDefault="008B15AF" w:rsidP="008B15AF">
            <w:pPr>
              <w:spacing w:before="0" w:after="0" w:line="240" w:lineRule="auto"/>
              <w:ind w:firstLineChars="100" w:firstLine="161"/>
              <w:rPr>
                <w:rFonts w:ascii="Arial" w:hAnsi="Arial" w:cs="Arial"/>
                <w:b/>
                <w:bCs/>
                <w:color w:val="000000"/>
                <w:sz w:val="16"/>
                <w:szCs w:val="16"/>
              </w:rPr>
            </w:pPr>
            <w:r>
              <w:rPr>
                <w:rFonts w:ascii="Arial" w:hAnsi="Arial" w:cs="Arial"/>
                <w:b/>
                <w:bCs/>
                <w:color w:val="000000"/>
                <w:sz w:val="16"/>
                <w:szCs w:val="16"/>
              </w:rPr>
              <w:t>Cash used</w:t>
            </w:r>
          </w:p>
        </w:tc>
        <w:tc>
          <w:tcPr>
            <w:tcW w:w="941" w:type="dxa"/>
            <w:tcBorders>
              <w:top w:val="nil"/>
              <w:left w:val="nil"/>
              <w:bottom w:val="nil"/>
              <w:right w:val="nil"/>
            </w:tcBorders>
            <w:shd w:val="clear" w:color="auto" w:fill="auto"/>
            <w:noWrap/>
            <w:vAlign w:val="bottom"/>
            <w:hideMark/>
          </w:tcPr>
          <w:p w14:paraId="5A497B16" w14:textId="77777777" w:rsidR="008B15AF" w:rsidRPr="00E87012" w:rsidRDefault="008B15AF" w:rsidP="008B15AF">
            <w:pPr>
              <w:spacing w:before="0" w:after="0" w:line="240" w:lineRule="auto"/>
              <w:ind w:firstLineChars="100" w:firstLine="161"/>
              <w:rPr>
                <w:rFonts w:ascii="Arial" w:hAnsi="Arial" w:cs="Arial"/>
                <w:b/>
                <w:bCs/>
                <w:color w:val="000000"/>
                <w:sz w:val="16"/>
                <w:szCs w:val="16"/>
              </w:rPr>
            </w:pPr>
          </w:p>
        </w:tc>
        <w:tc>
          <w:tcPr>
            <w:tcW w:w="941" w:type="dxa"/>
            <w:tcBorders>
              <w:top w:val="nil"/>
              <w:left w:val="nil"/>
              <w:bottom w:val="nil"/>
              <w:right w:val="nil"/>
            </w:tcBorders>
            <w:shd w:val="clear" w:color="000000" w:fill="D9D9D9"/>
            <w:noWrap/>
            <w:vAlign w:val="bottom"/>
            <w:hideMark/>
          </w:tcPr>
          <w:p w14:paraId="5003E012" w14:textId="54793268"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 </w:t>
            </w:r>
          </w:p>
        </w:tc>
        <w:tc>
          <w:tcPr>
            <w:tcW w:w="941" w:type="dxa"/>
            <w:tcBorders>
              <w:top w:val="nil"/>
              <w:left w:val="nil"/>
              <w:bottom w:val="nil"/>
              <w:right w:val="nil"/>
            </w:tcBorders>
            <w:shd w:val="clear" w:color="auto" w:fill="auto"/>
            <w:noWrap/>
            <w:vAlign w:val="bottom"/>
            <w:hideMark/>
          </w:tcPr>
          <w:p w14:paraId="3FB7EDA7" w14:textId="77777777" w:rsidR="008B15AF" w:rsidRPr="00E87012" w:rsidRDefault="008B15AF" w:rsidP="008B15AF">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0E24F4B7" w14:textId="77777777" w:rsidR="008B15AF" w:rsidRPr="00E87012" w:rsidRDefault="008B15AF" w:rsidP="008B15AF">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3ACCCA2D" w14:textId="77777777" w:rsidR="008B15AF" w:rsidRPr="00E87012" w:rsidRDefault="008B15AF" w:rsidP="008B15AF">
            <w:pPr>
              <w:spacing w:before="0" w:after="0" w:line="240" w:lineRule="auto"/>
              <w:jc w:val="right"/>
              <w:rPr>
                <w:rFonts w:ascii="Times New Roman" w:hAnsi="Times New Roman"/>
                <w:sz w:val="20"/>
              </w:rPr>
            </w:pPr>
          </w:p>
        </w:tc>
      </w:tr>
      <w:tr w:rsidR="008B15AF" w:rsidRPr="00E87012" w14:paraId="66151218"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6AE59E29" w14:textId="49FC43CD" w:rsidR="008B15AF" w:rsidRPr="00E87012" w:rsidRDefault="008B15AF" w:rsidP="008B15AF">
            <w:pPr>
              <w:spacing w:before="0" w:after="0" w:line="240" w:lineRule="auto"/>
              <w:ind w:firstLineChars="200" w:firstLine="320"/>
              <w:rPr>
                <w:rFonts w:ascii="Arial" w:hAnsi="Arial" w:cs="Arial"/>
                <w:sz w:val="16"/>
                <w:szCs w:val="16"/>
              </w:rPr>
            </w:pPr>
            <w:r>
              <w:rPr>
                <w:rFonts w:ascii="Arial" w:hAnsi="Arial" w:cs="Arial"/>
                <w:sz w:val="16"/>
                <w:szCs w:val="16"/>
              </w:rPr>
              <w:t>Grant payments</w:t>
            </w:r>
          </w:p>
        </w:tc>
        <w:tc>
          <w:tcPr>
            <w:tcW w:w="941" w:type="dxa"/>
            <w:tcBorders>
              <w:top w:val="nil"/>
              <w:left w:val="nil"/>
              <w:bottom w:val="nil"/>
              <w:right w:val="nil"/>
            </w:tcBorders>
            <w:shd w:val="clear" w:color="auto" w:fill="auto"/>
            <w:noWrap/>
            <w:vAlign w:val="bottom"/>
            <w:hideMark/>
          </w:tcPr>
          <w:p w14:paraId="05F17838" w14:textId="44374731"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45,851</w:t>
            </w:r>
          </w:p>
        </w:tc>
        <w:tc>
          <w:tcPr>
            <w:tcW w:w="941" w:type="dxa"/>
            <w:tcBorders>
              <w:top w:val="nil"/>
              <w:left w:val="nil"/>
              <w:bottom w:val="nil"/>
              <w:right w:val="nil"/>
            </w:tcBorders>
            <w:shd w:val="clear" w:color="000000" w:fill="D9D9D9"/>
            <w:noWrap/>
            <w:vAlign w:val="bottom"/>
            <w:hideMark/>
          </w:tcPr>
          <w:p w14:paraId="1B9DB06C" w14:textId="461A8DB4"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46,828</w:t>
            </w:r>
          </w:p>
        </w:tc>
        <w:tc>
          <w:tcPr>
            <w:tcW w:w="941" w:type="dxa"/>
            <w:tcBorders>
              <w:top w:val="nil"/>
              <w:left w:val="nil"/>
              <w:bottom w:val="nil"/>
              <w:right w:val="nil"/>
            </w:tcBorders>
            <w:shd w:val="clear" w:color="auto" w:fill="auto"/>
            <w:noWrap/>
            <w:vAlign w:val="bottom"/>
            <w:hideMark/>
          </w:tcPr>
          <w:p w14:paraId="0B85DBEE" w14:textId="37A35E32"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47,890</w:t>
            </w:r>
          </w:p>
        </w:tc>
        <w:tc>
          <w:tcPr>
            <w:tcW w:w="941" w:type="dxa"/>
            <w:tcBorders>
              <w:top w:val="nil"/>
              <w:left w:val="nil"/>
              <w:bottom w:val="nil"/>
              <w:right w:val="nil"/>
            </w:tcBorders>
            <w:shd w:val="clear" w:color="auto" w:fill="auto"/>
            <w:noWrap/>
            <w:vAlign w:val="bottom"/>
            <w:hideMark/>
          </w:tcPr>
          <w:p w14:paraId="2952F1E2" w14:textId="632EC96A"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49,036</w:t>
            </w:r>
          </w:p>
        </w:tc>
        <w:tc>
          <w:tcPr>
            <w:tcW w:w="941" w:type="dxa"/>
            <w:tcBorders>
              <w:top w:val="nil"/>
              <w:left w:val="nil"/>
              <w:bottom w:val="nil"/>
              <w:right w:val="nil"/>
            </w:tcBorders>
            <w:shd w:val="clear" w:color="auto" w:fill="auto"/>
            <w:noWrap/>
            <w:vAlign w:val="bottom"/>
            <w:hideMark/>
          </w:tcPr>
          <w:p w14:paraId="6E163C52" w14:textId="1C1CE7C7"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50,382</w:t>
            </w:r>
          </w:p>
        </w:tc>
      </w:tr>
      <w:tr w:rsidR="008B15AF" w:rsidRPr="00E87012" w14:paraId="2459FD66"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516409BF" w14:textId="0FAD582B" w:rsidR="008B15AF" w:rsidRPr="00E87012" w:rsidRDefault="008B15AF" w:rsidP="008B15AF">
            <w:pPr>
              <w:spacing w:before="0" w:after="0" w:line="240" w:lineRule="auto"/>
              <w:ind w:firstLineChars="200" w:firstLine="320"/>
              <w:rPr>
                <w:rFonts w:ascii="Arial" w:hAnsi="Arial" w:cs="Arial"/>
                <w:sz w:val="16"/>
                <w:szCs w:val="16"/>
              </w:rPr>
            </w:pPr>
            <w:r>
              <w:rPr>
                <w:rFonts w:ascii="Arial" w:hAnsi="Arial" w:cs="Arial"/>
                <w:sz w:val="16"/>
                <w:szCs w:val="16"/>
              </w:rPr>
              <w:t>Suppliers</w:t>
            </w:r>
          </w:p>
        </w:tc>
        <w:tc>
          <w:tcPr>
            <w:tcW w:w="941" w:type="dxa"/>
            <w:tcBorders>
              <w:top w:val="nil"/>
              <w:left w:val="nil"/>
              <w:bottom w:val="nil"/>
              <w:right w:val="nil"/>
            </w:tcBorders>
            <w:shd w:val="clear" w:color="auto" w:fill="auto"/>
            <w:noWrap/>
            <w:vAlign w:val="bottom"/>
            <w:hideMark/>
          </w:tcPr>
          <w:p w14:paraId="05D6B4DD" w14:textId="38EE6141"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3,006</w:t>
            </w:r>
          </w:p>
        </w:tc>
        <w:tc>
          <w:tcPr>
            <w:tcW w:w="941" w:type="dxa"/>
            <w:tcBorders>
              <w:top w:val="nil"/>
              <w:left w:val="nil"/>
              <w:bottom w:val="nil"/>
              <w:right w:val="nil"/>
            </w:tcBorders>
            <w:shd w:val="clear" w:color="000000" w:fill="D9D9D9"/>
            <w:noWrap/>
            <w:vAlign w:val="bottom"/>
            <w:hideMark/>
          </w:tcPr>
          <w:p w14:paraId="18E538E9" w14:textId="5DC62954"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4,988</w:t>
            </w:r>
          </w:p>
        </w:tc>
        <w:tc>
          <w:tcPr>
            <w:tcW w:w="941" w:type="dxa"/>
            <w:tcBorders>
              <w:top w:val="nil"/>
              <w:left w:val="nil"/>
              <w:bottom w:val="nil"/>
              <w:right w:val="nil"/>
            </w:tcBorders>
            <w:shd w:val="clear" w:color="auto" w:fill="auto"/>
            <w:noWrap/>
            <w:vAlign w:val="bottom"/>
            <w:hideMark/>
          </w:tcPr>
          <w:p w14:paraId="2CC50615" w14:textId="3D941893"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4,816</w:t>
            </w:r>
          </w:p>
        </w:tc>
        <w:tc>
          <w:tcPr>
            <w:tcW w:w="941" w:type="dxa"/>
            <w:tcBorders>
              <w:top w:val="nil"/>
              <w:left w:val="nil"/>
              <w:bottom w:val="nil"/>
              <w:right w:val="nil"/>
            </w:tcBorders>
            <w:shd w:val="clear" w:color="auto" w:fill="auto"/>
            <w:noWrap/>
            <w:vAlign w:val="bottom"/>
            <w:hideMark/>
          </w:tcPr>
          <w:p w14:paraId="1D871964" w14:textId="3D2C19EB"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4,857</w:t>
            </w:r>
          </w:p>
        </w:tc>
        <w:tc>
          <w:tcPr>
            <w:tcW w:w="941" w:type="dxa"/>
            <w:tcBorders>
              <w:top w:val="nil"/>
              <w:left w:val="nil"/>
              <w:bottom w:val="nil"/>
              <w:right w:val="nil"/>
            </w:tcBorders>
            <w:shd w:val="clear" w:color="auto" w:fill="auto"/>
            <w:noWrap/>
            <w:vAlign w:val="bottom"/>
            <w:hideMark/>
          </w:tcPr>
          <w:p w14:paraId="62E5C8EC" w14:textId="592BCE0D"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4,660</w:t>
            </w:r>
          </w:p>
        </w:tc>
      </w:tr>
      <w:tr w:rsidR="008B15AF" w:rsidRPr="00E87012" w14:paraId="182CB8DD"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2B5AE89B" w14:textId="2DAA06F8" w:rsidR="008B15AF" w:rsidRPr="00E87012" w:rsidRDefault="008B15AF" w:rsidP="008B15AF">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cash used</w:t>
            </w:r>
          </w:p>
        </w:tc>
        <w:tc>
          <w:tcPr>
            <w:tcW w:w="941" w:type="dxa"/>
            <w:tcBorders>
              <w:top w:val="nil"/>
              <w:left w:val="nil"/>
              <w:bottom w:val="single" w:sz="4" w:space="0" w:color="auto"/>
              <w:right w:val="nil"/>
            </w:tcBorders>
            <w:shd w:val="clear" w:color="auto" w:fill="auto"/>
            <w:noWrap/>
            <w:vAlign w:val="bottom"/>
            <w:hideMark/>
          </w:tcPr>
          <w:p w14:paraId="599A3EC6" w14:textId="428408F7"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48,857</w:t>
            </w:r>
          </w:p>
        </w:tc>
        <w:tc>
          <w:tcPr>
            <w:tcW w:w="941" w:type="dxa"/>
            <w:tcBorders>
              <w:top w:val="nil"/>
              <w:left w:val="nil"/>
              <w:bottom w:val="single" w:sz="4" w:space="0" w:color="auto"/>
              <w:right w:val="nil"/>
            </w:tcBorders>
            <w:shd w:val="clear" w:color="000000" w:fill="D9D9D9"/>
            <w:noWrap/>
            <w:vAlign w:val="bottom"/>
            <w:hideMark/>
          </w:tcPr>
          <w:p w14:paraId="0D67222D" w14:textId="0E780586"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51,816</w:t>
            </w:r>
          </w:p>
        </w:tc>
        <w:tc>
          <w:tcPr>
            <w:tcW w:w="941" w:type="dxa"/>
            <w:tcBorders>
              <w:top w:val="nil"/>
              <w:left w:val="nil"/>
              <w:bottom w:val="single" w:sz="4" w:space="0" w:color="auto"/>
              <w:right w:val="nil"/>
            </w:tcBorders>
            <w:shd w:val="clear" w:color="auto" w:fill="auto"/>
            <w:noWrap/>
            <w:vAlign w:val="bottom"/>
            <w:hideMark/>
          </w:tcPr>
          <w:p w14:paraId="4896CF92" w14:textId="096CC49E"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52,706</w:t>
            </w:r>
          </w:p>
        </w:tc>
        <w:tc>
          <w:tcPr>
            <w:tcW w:w="941" w:type="dxa"/>
            <w:tcBorders>
              <w:top w:val="nil"/>
              <w:left w:val="nil"/>
              <w:bottom w:val="single" w:sz="4" w:space="0" w:color="auto"/>
              <w:right w:val="nil"/>
            </w:tcBorders>
            <w:shd w:val="clear" w:color="auto" w:fill="auto"/>
            <w:noWrap/>
            <w:vAlign w:val="bottom"/>
            <w:hideMark/>
          </w:tcPr>
          <w:p w14:paraId="5CA5E8DB" w14:textId="4C466C7A"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53,893</w:t>
            </w:r>
          </w:p>
        </w:tc>
        <w:tc>
          <w:tcPr>
            <w:tcW w:w="941" w:type="dxa"/>
            <w:tcBorders>
              <w:top w:val="nil"/>
              <w:left w:val="nil"/>
              <w:bottom w:val="single" w:sz="4" w:space="0" w:color="auto"/>
              <w:right w:val="nil"/>
            </w:tcBorders>
            <w:shd w:val="clear" w:color="auto" w:fill="auto"/>
            <w:noWrap/>
            <w:vAlign w:val="bottom"/>
            <w:hideMark/>
          </w:tcPr>
          <w:p w14:paraId="63E30B13" w14:textId="0C54FB76"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55,042</w:t>
            </w:r>
          </w:p>
        </w:tc>
      </w:tr>
      <w:tr w:rsidR="008B15AF" w:rsidRPr="00E87012" w14:paraId="48458FB0" w14:textId="77777777" w:rsidTr="00603F85">
        <w:trPr>
          <w:trHeight w:val="454"/>
          <w:jc w:val="center"/>
        </w:trPr>
        <w:tc>
          <w:tcPr>
            <w:tcW w:w="3061" w:type="dxa"/>
            <w:tcBorders>
              <w:top w:val="nil"/>
              <w:left w:val="nil"/>
              <w:bottom w:val="nil"/>
              <w:right w:val="nil"/>
            </w:tcBorders>
            <w:shd w:val="clear" w:color="auto" w:fill="auto"/>
            <w:vAlign w:val="bottom"/>
            <w:hideMark/>
          </w:tcPr>
          <w:p w14:paraId="06BCAB6A" w14:textId="2B864E50" w:rsidR="008B15AF" w:rsidRPr="00E87012" w:rsidRDefault="008B15AF" w:rsidP="008B15AF">
            <w:pPr>
              <w:spacing w:before="0" w:after="0" w:line="240" w:lineRule="auto"/>
              <w:rPr>
                <w:rFonts w:ascii="Arial" w:hAnsi="Arial" w:cs="Arial"/>
                <w:b/>
                <w:bCs/>
                <w:color w:val="000000"/>
                <w:sz w:val="16"/>
                <w:szCs w:val="16"/>
              </w:rPr>
            </w:pPr>
            <w:r>
              <w:rPr>
                <w:rFonts w:ascii="Arial" w:hAnsi="Arial" w:cs="Arial"/>
                <w:b/>
                <w:bCs/>
                <w:color w:val="000000"/>
                <w:sz w:val="16"/>
                <w:szCs w:val="16"/>
              </w:rPr>
              <w:t>Net cash from (or used by) operating activities</w:t>
            </w:r>
          </w:p>
        </w:tc>
        <w:tc>
          <w:tcPr>
            <w:tcW w:w="941" w:type="dxa"/>
            <w:tcBorders>
              <w:top w:val="nil"/>
              <w:left w:val="nil"/>
              <w:bottom w:val="single" w:sz="4" w:space="0" w:color="auto"/>
              <w:right w:val="nil"/>
            </w:tcBorders>
            <w:shd w:val="clear" w:color="auto" w:fill="auto"/>
            <w:noWrap/>
            <w:vAlign w:val="bottom"/>
            <w:hideMark/>
          </w:tcPr>
          <w:p w14:paraId="0F08ACAB" w14:textId="24062503"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(47,932)</w:t>
            </w:r>
          </w:p>
        </w:tc>
        <w:tc>
          <w:tcPr>
            <w:tcW w:w="941" w:type="dxa"/>
            <w:tcBorders>
              <w:top w:val="nil"/>
              <w:left w:val="nil"/>
              <w:bottom w:val="single" w:sz="4" w:space="0" w:color="auto"/>
              <w:right w:val="nil"/>
            </w:tcBorders>
            <w:shd w:val="clear" w:color="000000" w:fill="D9D9D9"/>
            <w:noWrap/>
            <w:vAlign w:val="bottom"/>
            <w:hideMark/>
          </w:tcPr>
          <w:p w14:paraId="5AD4E793" w14:textId="539F7A15"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(51,066)</w:t>
            </w:r>
          </w:p>
        </w:tc>
        <w:tc>
          <w:tcPr>
            <w:tcW w:w="941" w:type="dxa"/>
            <w:tcBorders>
              <w:top w:val="nil"/>
              <w:left w:val="nil"/>
              <w:bottom w:val="single" w:sz="4" w:space="0" w:color="auto"/>
              <w:right w:val="nil"/>
            </w:tcBorders>
            <w:shd w:val="clear" w:color="auto" w:fill="auto"/>
            <w:noWrap/>
            <w:vAlign w:val="bottom"/>
            <w:hideMark/>
          </w:tcPr>
          <w:p w14:paraId="34C4C8DF" w14:textId="3D502067"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(51,956)</w:t>
            </w:r>
          </w:p>
        </w:tc>
        <w:tc>
          <w:tcPr>
            <w:tcW w:w="941" w:type="dxa"/>
            <w:tcBorders>
              <w:top w:val="nil"/>
              <w:left w:val="nil"/>
              <w:bottom w:val="single" w:sz="4" w:space="0" w:color="auto"/>
              <w:right w:val="nil"/>
            </w:tcBorders>
            <w:shd w:val="clear" w:color="auto" w:fill="auto"/>
            <w:noWrap/>
            <w:vAlign w:val="bottom"/>
            <w:hideMark/>
          </w:tcPr>
          <w:p w14:paraId="7C5ADE03" w14:textId="4FE23B7F"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(53,143)</w:t>
            </w:r>
          </w:p>
        </w:tc>
        <w:tc>
          <w:tcPr>
            <w:tcW w:w="941" w:type="dxa"/>
            <w:tcBorders>
              <w:top w:val="nil"/>
              <w:left w:val="nil"/>
              <w:bottom w:val="single" w:sz="4" w:space="0" w:color="auto"/>
              <w:right w:val="nil"/>
            </w:tcBorders>
            <w:shd w:val="clear" w:color="auto" w:fill="auto"/>
            <w:noWrap/>
            <w:vAlign w:val="bottom"/>
            <w:hideMark/>
          </w:tcPr>
          <w:p w14:paraId="45041279" w14:textId="75EEC662"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(54,292)</w:t>
            </w:r>
          </w:p>
        </w:tc>
      </w:tr>
      <w:tr w:rsidR="008B15AF" w:rsidRPr="00E87012" w14:paraId="020344FE" w14:textId="77777777" w:rsidTr="00603F85">
        <w:trPr>
          <w:trHeight w:val="454"/>
          <w:jc w:val="center"/>
        </w:trPr>
        <w:tc>
          <w:tcPr>
            <w:tcW w:w="3061" w:type="dxa"/>
            <w:tcBorders>
              <w:top w:val="nil"/>
              <w:left w:val="nil"/>
              <w:bottom w:val="nil"/>
              <w:right w:val="nil"/>
            </w:tcBorders>
            <w:shd w:val="clear" w:color="auto" w:fill="auto"/>
            <w:vAlign w:val="bottom"/>
            <w:hideMark/>
          </w:tcPr>
          <w:p w14:paraId="2FA623B6" w14:textId="2A90FCF2" w:rsidR="008B15AF" w:rsidRPr="00E87012" w:rsidRDefault="008B15AF" w:rsidP="008B15AF">
            <w:pPr>
              <w:spacing w:before="0" w:after="0" w:line="240" w:lineRule="auto"/>
              <w:rPr>
                <w:rFonts w:ascii="Arial" w:hAnsi="Arial" w:cs="Arial"/>
                <w:b/>
                <w:bCs/>
                <w:color w:val="000000"/>
                <w:sz w:val="16"/>
                <w:szCs w:val="16"/>
              </w:rPr>
            </w:pPr>
            <w:r>
              <w:rPr>
                <w:rFonts w:ascii="Arial" w:hAnsi="Arial" w:cs="Arial"/>
                <w:b/>
                <w:bCs/>
                <w:color w:val="000000"/>
                <w:sz w:val="16"/>
                <w:szCs w:val="16"/>
              </w:rPr>
              <w:t>Net increase (or decrease) in cash held</w:t>
            </w:r>
          </w:p>
        </w:tc>
        <w:tc>
          <w:tcPr>
            <w:tcW w:w="941" w:type="dxa"/>
            <w:tcBorders>
              <w:top w:val="nil"/>
              <w:left w:val="nil"/>
              <w:bottom w:val="single" w:sz="4" w:space="0" w:color="auto"/>
              <w:right w:val="nil"/>
            </w:tcBorders>
            <w:shd w:val="clear" w:color="auto" w:fill="auto"/>
            <w:noWrap/>
            <w:vAlign w:val="bottom"/>
            <w:hideMark/>
          </w:tcPr>
          <w:p w14:paraId="13B4CF9E" w14:textId="3FFA853E"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(47,932)</w:t>
            </w:r>
          </w:p>
        </w:tc>
        <w:tc>
          <w:tcPr>
            <w:tcW w:w="941" w:type="dxa"/>
            <w:tcBorders>
              <w:top w:val="nil"/>
              <w:left w:val="nil"/>
              <w:bottom w:val="single" w:sz="4" w:space="0" w:color="auto"/>
              <w:right w:val="nil"/>
            </w:tcBorders>
            <w:shd w:val="clear" w:color="000000" w:fill="D9D9D9"/>
            <w:noWrap/>
            <w:vAlign w:val="bottom"/>
            <w:hideMark/>
          </w:tcPr>
          <w:p w14:paraId="1A8D935A" w14:textId="268C6085"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(51,066)</w:t>
            </w:r>
          </w:p>
        </w:tc>
        <w:tc>
          <w:tcPr>
            <w:tcW w:w="941" w:type="dxa"/>
            <w:tcBorders>
              <w:top w:val="nil"/>
              <w:left w:val="nil"/>
              <w:bottom w:val="single" w:sz="4" w:space="0" w:color="auto"/>
              <w:right w:val="nil"/>
            </w:tcBorders>
            <w:shd w:val="clear" w:color="auto" w:fill="auto"/>
            <w:noWrap/>
            <w:vAlign w:val="bottom"/>
            <w:hideMark/>
          </w:tcPr>
          <w:p w14:paraId="445AAAF4" w14:textId="572DE175"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(51,956)</w:t>
            </w:r>
          </w:p>
        </w:tc>
        <w:tc>
          <w:tcPr>
            <w:tcW w:w="941" w:type="dxa"/>
            <w:tcBorders>
              <w:top w:val="nil"/>
              <w:left w:val="nil"/>
              <w:bottom w:val="single" w:sz="4" w:space="0" w:color="auto"/>
              <w:right w:val="nil"/>
            </w:tcBorders>
            <w:shd w:val="clear" w:color="auto" w:fill="auto"/>
            <w:noWrap/>
            <w:vAlign w:val="bottom"/>
            <w:hideMark/>
          </w:tcPr>
          <w:p w14:paraId="655D2283" w14:textId="2A4DB392"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(53,143)</w:t>
            </w:r>
          </w:p>
        </w:tc>
        <w:tc>
          <w:tcPr>
            <w:tcW w:w="941" w:type="dxa"/>
            <w:tcBorders>
              <w:top w:val="nil"/>
              <w:left w:val="nil"/>
              <w:bottom w:val="single" w:sz="4" w:space="0" w:color="auto"/>
              <w:right w:val="nil"/>
            </w:tcBorders>
            <w:shd w:val="clear" w:color="auto" w:fill="auto"/>
            <w:noWrap/>
            <w:vAlign w:val="bottom"/>
            <w:hideMark/>
          </w:tcPr>
          <w:p w14:paraId="4101ED8E" w14:textId="3E76F316"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(54,292)</w:t>
            </w:r>
          </w:p>
        </w:tc>
      </w:tr>
      <w:tr w:rsidR="008B15AF" w:rsidRPr="00E87012" w14:paraId="6789698C" w14:textId="77777777" w:rsidTr="00603F85">
        <w:trPr>
          <w:trHeight w:val="283"/>
          <w:jc w:val="center"/>
        </w:trPr>
        <w:tc>
          <w:tcPr>
            <w:tcW w:w="3061" w:type="dxa"/>
            <w:tcBorders>
              <w:top w:val="nil"/>
              <w:left w:val="nil"/>
              <w:bottom w:val="nil"/>
              <w:right w:val="nil"/>
            </w:tcBorders>
            <w:shd w:val="clear" w:color="auto" w:fill="auto"/>
            <w:vAlign w:val="bottom"/>
            <w:hideMark/>
          </w:tcPr>
          <w:p w14:paraId="527A8709" w14:textId="7C8B3020" w:rsidR="008B15AF" w:rsidRPr="00E87012" w:rsidRDefault="008B15AF" w:rsidP="008B15AF">
            <w:pPr>
              <w:spacing w:before="0" w:after="0" w:line="240" w:lineRule="auto"/>
              <w:ind w:firstLineChars="100" w:firstLine="160"/>
              <w:rPr>
                <w:rFonts w:ascii="Arial" w:hAnsi="Arial" w:cs="Arial"/>
                <w:color w:val="000000"/>
                <w:sz w:val="16"/>
                <w:szCs w:val="16"/>
              </w:rPr>
            </w:pPr>
            <w:r>
              <w:rPr>
                <w:rFonts w:ascii="Arial" w:hAnsi="Arial" w:cs="Arial"/>
                <w:color w:val="000000"/>
                <w:sz w:val="16"/>
                <w:szCs w:val="16"/>
              </w:rPr>
              <w:t>Cash at beginning of reporting period</w:t>
            </w:r>
          </w:p>
        </w:tc>
        <w:tc>
          <w:tcPr>
            <w:tcW w:w="941" w:type="dxa"/>
            <w:tcBorders>
              <w:top w:val="nil"/>
              <w:left w:val="nil"/>
              <w:bottom w:val="nil"/>
              <w:right w:val="nil"/>
            </w:tcBorders>
            <w:shd w:val="clear" w:color="auto" w:fill="auto"/>
            <w:noWrap/>
            <w:vAlign w:val="bottom"/>
            <w:hideMark/>
          </w:tcPr>
          <w:p w14:paraId="419B380B" w14:textId="6D02EDDA"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143</w:t>
            </w:r>
          </w:p>
        </w:tc>
        <w:tc>
          <w:tcPr>
            <w:tcW w:w="941" w:type="dxa"/>
            <w:tcBorders>
              <w:top w:val="nil"/>
              <w:left w:val="nil"/>
              <w:bottom w:val="nil"/>
              <w:right w:val="nil"/>
            </w:tcBorders>
            <w:shd w:val="clear" w:color="000000" w:fill="D9D9D9"/>
            <w:noWrap/>
            <w:vAlign w:val="bottom"/>
            <w:hideMark/>
          </w:tcPr>
          <w:p w14:paraId="7AC1CB52" w14:textId="524F68DA"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89</w:t>
            </w:r>
          </w:p>
        </w:tc>
        <w:tc>
          <w:tcPr>
            <w:tcW w:w="941" w:type="dxa"/>
            <w:tcBorders>
              <w:top w:val="nil"/>
              <w:left w:val="nil"/>
              <w:bottom w:val="nil"/>
              <w:right w:val="nil"/>
            </w:tcBorders>
            <w:shd w:val="clear" w:color="auto" w:fill="auto"/>
            <w:noWrap/>
            <w:vAlign w:val="bottom"/>
            <w:hideMark/>
          </w:tcPr>
          <w:p w14:paraId="77A1F402" w14:textId="14B840F8"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89</w:t>
            </w:r>
          </w:p>
        </w:tc>
        <w:tc>
          <w:tcPr>
            <w:tcW w:w="941" w:type="dxa"/>
            <w:tcBorders>
              <w:top w:val="nil"/>
              <w:left w:val="nil"/>
              <w:bottom w:val="nil"/>
              <w:right w:val="nil"/>
            </w:tcBorders>
            <w:shd w:val="clear" w:color="auto" w:fill="auto"/>
            <w:noWrap/>
            <w:vAlign w:val="bottom"/>
            <w:hideMark/>
          </w:tcPr>
          <w:p w14:paraId="1B1AEE3C" w14:textId="71F1F970"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89</w:t>
            </w:r>
          </w:p>
        </w:tc>
        <w:tc>
          <w:tcPr>
            <w:tcW w:w="941" w:type="dxa"/>
            <w:tcBorders>
              <w:top w:val="nil"/>
              <w:left w:val="nil"/>
              <w:bottom w:val="nil"/>
              <w:right w:val="nil"/>
            </w:tcBorders>
            <w:shd w:val="clear" w:color="auto" w:fill="auto"/>
            <w:noWrap/>
            <w:vAlign w:val="bottom"/>
            <w:hideMark/>
          </w:tcPr>
          <w:p w14:paraId="733230DC" w14:textId="40C4C521"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89</w:t>
            </w:r>
          </w:p>
        </w:tc>
      </w:tr>
      <w:tr w:rsidR="008B15AF" w:rsidRPr="00E87012" w14:paraId="77AAEE07" w14:textId="77777777" w:rsidTr="00603F85">
        <w:trPr>
          <w:trHeight w:val="283"/>
          <w:jc w:val="center"/>
        </w:trPr>
        <w:tc>
          <w:tcPr>
            <w:tcW w:w="3061" w:type="dxa"/>
            <w:tcBorders>
              <w:top w:val="nil"/>
              <w:left w:val="nil"/>
              <w:bottom w:val="nil"/>
              <w:right w:val="nil"/>
            </w:tcBorders>
            <w:shd w:val="clear" w:color="auto" w:fill="auto"/>
            <w:vAlign w:val="bottom"/>
            <w:hideMark/>
          </w:tcPr>
          <w:p w14:paraId="1DA302FE" w14:textId="31E86957" w:rsidR="008B15AF" w:rsidRPr="00E87012" w:rsidRDefault="008B15AF" w:rsidP="008B15AF">
            <w:pPr>
              <w:spacing w:before="0" w:after="0" w:line="240" w:lineRule="auto"/>
              <w:ind w:firstLineChars="100" w:firstLine="160"/>
              <w:rPr>
                <w:rFonts w:ascii="Arial" w:hAnsi="Arial" w:cs="Arial"/>
                <w:color w:val="000000"/>
                <w:sz w:val="16"/>
                <w:szCs w:val="16"/>
              </w:rPr>
            </w:pPr>
            <w:r>
              <w:rPr>
                <w:rFonts w:ascii="Arial" w:hAnsi="Arial" w:cs="Arial"/>
                <w:color w:val="000000"/>
                <w:sz w:val="16"/>
                <w:szCs w:val="16"/>
              </w:rPr>
              <w:t>Cash from the OPA for:</w:t>
            </w:r>
          </w:p>
        </w:tc>
        <w:tc>
          <w:tcPr>
            <w:tcW w:w="941" w:type="dxa"/>
            <w:tcBorders>
              <w:top w:val="nil"/>
              <w:left w:val="nil"/>
              <w:bottom w:val="nil"/>
              <w:right w:val="nil"/>
            </w:tcBorders>
            <w:shd w:val="clear" w:color="auto" w:fill="auto"/>
            <w:noWrap/>
            <w:vAlign w:val="bottom"/>
            <w:hideMark/>
          </w:tcPr>
          <w:p w14:paraId="11B689AA" w14:textId="77777777" w:rsidR="008B15AF" w:rsidRPr="00E87012" w:rsidRDefault="008B15AF" w:rsidP="008B15AF">
            <w:pPr>
              <w:spacing w:before="0" w:after="0" w:line="240" w:lineRule="auto"/>
              <w:ind w:firstLineChars="100" w:firstLine="160"/>
              <w:rPr>
                <w:rFonts w:ascii="Arial" w:hAnsi="Arial" w:cs="Arial"/>
                <w:color w:val="000000"/>
                <w:sz w:val="16"/>
                <w:szCs w:val="16"/>
              </w:rPr>
            </w:pPr>
          </w:p>
        </w:tc>
        <w:tc>
          <w:tcPr>
            <w:tcW w:w="941" w:type="dxa"/>
            <w:tcBorders>
              <w:top w:val="nil"/>
              <w:left w:val="nil"/>
              <w:bottom w:val="nil"/>
              <w:right w:val="nil"/>
            </w:tcBorders>
            <w:shd w:val="clear" w:color="000000" w:fill="D9D9D9"/>
            <w:noWrap/>
            <w:vAlign w:val="bottom"/>
            <w:hideMark/>
          </w:tcPr>
          <w:p w14:paraId="22CC0BDC" w14:textId="66D5137B"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 </w:t>
            </w:r>
          </w:p>
        </w:tc>
        <w:tc>
          <w:tcPr>
            <w:tcW w:w="941" w:type="dxa"/>
            <w:tcBorders>
              <w:top w:val="nil"/>
              <w:left w:val="nil"/>
              <w:bottom w:val="nil"/>
              <w:right w:val="nil"/>
            </w:tcBorders>
            <w:shd w:val="clear" w:color="auto" w:fill="auto"/>
            <w:noWrap/>
            <w:vAlign w:val="bottom"/>
            <w:hideMark/>
          </w:tcPr>
          <w:p w14:paraId="08EFCD3E" w14:textId="77777777" w:rsidR="008B15AF" w:rsidRPr="00E87012" w:rsidRDefault="008B15AF" w:rsidP="008B15AF">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72A18096" w14:textId="77777777" w:rsidR="008B15AF" w:rsidRPr="00E87012" w:rsidRDefault="008B15AF" w:rsidP="008B15AF">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38CEFC1E" w14:textId="77777777" w:rsidR="008B15AF" w:rsidRPr="00E87012" w:rsidRDefault="008B15AF" w:rsidP="008B15AF">
            <w:pPr>
              <w:spacing w:before="0" w:after="0" w:line="240" w:lineRule="auto"/>
              <w:jc w:val="right"/>
              <w:rPr>
                <w:rFonts w:ascii="Times New Roman" w:hAnsi="Times New Roman"/>
                <w:sz w:val="20"/>
              </w:rPr>
            </w:pPr>
          </w:p>
        </w:tc>
      </w:tr>
      <w:tr w:rsidR="008B15AF" w:rsidRPr="00E87012" w14:paraId="7E10638E"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737A684B" w14:textId="572FCEEE" w:rsidR="008B15AF" w:rsidRPr="00E87012" w:rsidRDefault="008B15AF" w:rsidP="008B15AF">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 appropriations</w:t>
            </w:r>
          </w:p>
        </w:tc>
        <w:tc>
          <w:tcPr>
            <w:tcW w:w="941" w:type="dxa"/>
            <w:tcBorders>
              <w:top w:val="nil"/>
              <w:left w:val="nil"/>
              <w:bottom w:val="nil"/>
              <w:right w:val="nil"/>
            </w:tcBorders>
            <w:shd w:val="clear" w:color="auto" w:fill="auto"/>
            <w:noWrap/>
            <w:vAlign w:val="bottom"/>
            <w:hideMark/>
          </w:tcPr>
          <w:p w14:paraId="39FFF8DC" w14:textId="25449BBA"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47,878</w:t>
            </w:r>
          </w:p>
        </w:tc>
        <w:tc>
          <w:tcPr>
            <w:tcW w:w="941" w:type="dxa"/>
            <w:tcBorders>
              <w:top w:val="nil"/>
              <w:left w:val="nil"/>
              <w:bottom w:val="nil"/>
              <w:right w:val="nil"/>
            </w:tcBorders>
            <w:shd w:val="clear" w:color="000000" w:fill="D9D9D9"/>
            <w:noWrap/>
            <w:vAlign w:val="bottom"/>
            <w:hideMark/>
          </w:tcPr>
          <w:p w14:paraId="2BFAF441" w14:textId="0FED1560"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51,816</w:t>
            </w:r>
          </w:p>
        </w:tc>
        <w:tc>
          <w:tcPr>
            <w:tcW w:w="941" w:type="dxa"/>
            <w:tcBorders>
              <w:top w:val="nil"/>
              <w:left w:val="nil"/>
              <w:bottom w:val="nil"/>
              <w:right w:val="nil"/>
            </w:tcBorders>
            <w:shd w:val="clear" w:color="auto" w:fill="auto"/>
            <w:noWrap/>
            <w:vAlign w:val="bottom"/>
            <w:hideMark/>
          </w:tcPr>
          <w:p w14:paraId="55791D68" w14:textId="2F00FC2D"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52,706</w:t>
            </w:r>
          </w:p>
        </w:tc>
        <w:tc>
          <w:tcPr>
            <w:tcW w:w="941" w:type="dxa"/>
            <w:tcBorders>
              <w:top w:val="nil"/>
              <w:left w:val="nil"/>
              <w:bottom w:val="nil"/>
              <w:right w:val="nil"/>
            </w:tcBorders>
            <w:shd w:val="clear" w:color="auto" w:fill="auto"/>
            <w:noWrap/>
            <w:vAlign w:val="bottom"/>
            <w:hideMark/>
          </w:tcPr>
          <w:p w14:paraId="2269F6AD" w14:textId="7FC21509"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53,893</w:t>
            </w:r>
          </w:p>
        </w:tc>
        <w:tc>
          <w:tcPr>
            <w:tcW w:w="941" w:type="dxa"/>
            <w:tcBorders>
              <w:top w:val="nil"/>
              <w:left w:val="nil"/>
              <w:bottom w:val="nil"/>
              <w:right w:val="nil"/>
            </w:tcBorders>
            <w:shd w:val="clear" w:color="auto" w:fill="auto"/>
            <w:noWrap/>
            <w:vAlign w:val="bottom"/>
            <w:hideMark/>
          </w:tcPr>
          <w:p w14:paraId="562900CC" w14:textId="55FB73DB" w:rsidR="008B15AF" w:rsidRPr="00E87012" w:rsidRDefault="008B15AF" w:rsidP="008B15AF">
            <w:pPr>
              <w:spacing w:before="0" w:after="0" w:line="240" w:lineRule="auto"/>
              <w:jc w:val="right"/>
              <w:rPr>
                <w:rFonts w:ascii="Arial" w:hAnsi="Arial" w:cs="Arial"/>
                <w:color w:val="000000"/>
                <w:sz w:val="16"/>
                <w:szCs w:val="16"/>
              </w:rPr>
            </w:pPr>
            <w:r>
              <w:rPr>
                <w:rFonts w:ascii="Arial" w:hAnsi="Arial" w:cs="Arial"/>
                <w:color w:val="000000"/>
                <w:sz w:val="16"/>
                <w:szCs w:val="16"/>
              </w:rPr>
              <w:t>55,042</w:t>
            </w:r>
          </w:p>
        </w:tc>
      </w:tr>
      <w:tr w:rsidR="008B15AF" w:rsidRPr="00E87012" w14:paraId="67A2842B" w14:textId="77777777" w:rsidTr="00603F85">
        <w:trPr>
          <w:trHeight w:val="227"/>
          <w:jc w:val="center"/>
        </w:trPr>
        <w:tc>
          <w:tcPr>
            <w:tcW w:w="3061" w:type="dxa"/>
            <w:tcBorders>
              <w:top w:val="nil"/>
              <w:left w:val="nil"/>
              <w:bottom w:val="nil"/>
              <w:right w:val="nil"/>
            </w:tcBorders>
            <w:shd w:val="clear" w:color="auto" w:fill="auto"/>
            <w:vAlign w:val="bottom"/>
            <w:hideMark/>
          </w:tcPr>
          <w:p w14:paraId="55C8296F" w14:textId="37664DD6" w:rsidR="008B15AF" w:rsidRPr="00E87012" w:rsidRDefault="008B15AF" w:rsidP="008B15AF">
            <w:pPr>
              <w:spacing w:before="0" w:after="0" w:line="240" w:lineRule="auto"/>
              <w:ind w:firstLineChars="100" w:firstLine="160"/>
              <w:rPr>
                <w:rFonts w:ascii="Arial" w:hAnsi="Arial" w:cs="Arial"/>
                <w:color w:val="000000"/>
                <w:sz w:val="16"/>
                <w:szCs w:val="16"/>
              </w:rPr>
            </w:pPr>
            <w:r>
              <w:rPr>
                <w:rFonts w:ascii="Arial" w:hAnsi="Arial" w:cs="Arial"/>
                <w:color w:val="000000"/>
                <w:sz w:val="16"/>
                <w:szCs w:val="16"/>
              </w:rPr>
              <w:t>Cash to the OPA for:</w:t>
            </w:r>
          </w:p>
        </w:tc>
        <w:tc>
          <w:tcPr>
            <w:tcW w:w="941" w:type="dxa"/>
            <w:tcBorders>
              <w:top w:val="nil"/>
              <w:left w:val="nil"/>
              <w:bottom w:val="nil"/>
              <w:right w:val="nil"/>
            </w:tcBorders>
            <w:shd w:val="clear" w:color="auto" w:fill="auto"/>
            <w:noWrap/>
            <w:vAlign w:val="bottom"/>
            <w:hideMark/>
          </w:tcPr>
          <w:p w14:paraId="7AEA620F" w14:textId="77777777" w:rsidR="008B15AF" w:rsidRPr="00E87012" w:rsidRDefault="008B15AF" w:rsidP="008B15AF">
            <w:pPr>
              <w:spacing w:before="0" w:after="0" w:line="240" w:lineRule="auto"/>
              <w:ind w:firstLineChars="100" w:firstLine="160"/>
              <w:rPr>
                <w:rFonts w:ascii="Arial" w:hAnsi="Arial" w:cs="Arial"/>
                <w:color w:val="000000"/>
                <w:sz w:val="16"/>
                <w:szCs w:val="16"/>
              </w:rPr>
            </w:pPr>
          </w:p>
        </w:tc>
        <w:tc>
          <w:tcPr>
            <w:tcW w:w="941" w:type="dxa"/>
            <w:tcBorders>
              <w:top w:val="nil"/>
              <w:left w:val="nil"/>
              <w:bottom w:val="nil"/>
              <w:right w:val="nil"/>
            </w:tcBorders>
            <w:shd w:val="clear" w:color="000000" w:fill="D9D9D9"/>
            <w:noWrap/>
            <w:vAlign w:val="bottom"/>
            <w:hideMark/>
          </w:tcPr>
          <w:p w14:paraId="0CC0D862" w14:textId="1E5C9B7C"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 </w:t>
            </w:r>
          </w:p>
        </w:tc>
        <w:tc>
          <w:tcPr>
            <w:tcW w:w="941" w:type="dxa"/>
            <w:tcBorders>
              <w:top w:val="nil"/>
              <w:left w:val="nil"/>
              <w:bottom w:val="nil"/>
              <w:right w:val="nil"/>
            </w:tcBorders>
            <w:shd w:val="clear" w:color="auto" w:fill="auto"/>
            <w:noWrap/>
            <w:vAlign w:val="bottom"/>
            <w:hideMark/>
          </w:tcPr>
          <w:p w14:paraId="5D39CFB0" w14:textId="77777777" w:rsidR="008B15AF" w:rsidRPr="00E87012" w:rsidRDefault="008B15AF" w:rsidP="008B15AF">
            <w:pPr>
              <w:spacing w:before="0"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0DE17399" w14:textId="77777777" w:rsidR="008B15AF" w:rsidRPr="00E87012" w:rsidRDefault="008B15AF" w:rsidP="008B15AF">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1D1C7433" w14:textId="77777777" w:rsidR="008B15AF" w:rsidRPr="00E87012" w:rsidRDefault="008B15AF" w:rsidP="008B15AF">
            <w:pPr>
              <w:spacing w:before="0" w:after="0" w:line="240" w:lineRule="auto"/>
              <w:jc w:val="right"/>
              <w:rPr>
                <w:rFonts w:ascii="Times New Roman" w:hAnsi="Times New Roman"/>
                <w:sz w:val="20"/>
              </w:rPr>
            </w:pPr>
          </w:p>
        </w:tc>
      </w:tr>
      <w:tr w:rsidR="008B15AF" w:rsidRPr="00E87012" w14:paraId="1DB54942" w14:textId="77777777" w:rsidTr="00603F85">
        <w:trPr>
          <w:trHeight w:val="225"/>
          <w:jc w:val="center"/>
        </w:trPr>
        <w:tc>
          <w:tcPr>
            <w:tcW w:w="3061" w:type="dxa"/>
            <w:tcBorders>
              <w:top w:val="nil"/>
              <w:left w:val="nil"/>
              <w:bottom w:val="nil"/>
              <w:right w:val="nil"/>
            </w:tcBorders>
            <w:shd w:val="clear" w:color="auto" w:fill="auto"/>
            <w:noWrap/>
            <w:vAlign w:val="bottom"/>
            <w:hideMark/>
          </w:tcPr>
          <w:p w14:paraId="60B555F0" w14:textId="768BE7BE" w:rsidR="008B15AF" w:rsidRPr="00E87012" w:rsidRDefault="008B15AF" w:rsidP="008B15AF">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 appropriations</w:t>
            </w:r>
          </w:p>
        </w:tc>
        <w:tc>
          <w:tcPr>
            <w:tcW w:w="941" w:type="dxa"/>
            <w:tcBorders>
              <w:top w:val="nil"/>
              <w:left w:val="nil"/>
              <w:bottom w:val="nil"/>
              <w:right w:val="nil"/>
            </w:tcBorders>
            <w:shd w:val="clear" w:color="auto" w:fill="auto"/>
            <w:noWrap/>
            <w:vAlign w:val="bottom"/>
            <w:hideMark/>
          </w:tcPr>
          <w:p w14:paraId="27AEBCBE" w14:textId="55E1E970"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000000" w:fill="D9D9D9"/>
            <w:noWrap/>
            <w:vAlign w:val="bottom"/>
            <w:hideMark/>
          </w:tcPr>
          <w:p w14:paraId="758B95B8" w14:textId="6D04AD4B"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c>
          <w:tcPr>
            <w:tcW w:w="941" w:type="dxa"/>
            <w:tcBorders>
              <w:top w:val="nil"/>
              <w:left w:val="nil"/>
              <w:bottom w:val="nil"/>
              <w:right w:val="nil"/>
            </w:tcBorders>
            <w:shd w:val="clear" w:color="auto" w:fill="auto"/>
            <w:noWrap/>
            <w:vAlign w:val="bottom"/>
            <w:hideMark/>
          </w:tcPr>
          <w:p w14:paraId="06FBA5BD" w14:textId="29F4DBD2"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c>
          <w:tcPr>
            <w:tcW w:w="941" w:type="dxa"/>
            <w:tcBorders>
              <w:top w:val="nil"/>
              <w:left w:val="nil"/>
              <w:bottom w:val="nil"/>
              <w:right w:val="nil"/>
            </w:tcBorders>
            <w:shd w:val="clear" w:color="auto" w:fill="auto"/>
            <w:noWrap/>
            <w:vAlign w:val="bottom"/>
            <w:hideMark/>
          </w:tcPr>
          <w:p w14:paraId="7F11FABB" w14:textId="28947431"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c>
          <w:tcPr>
            <w:tcW w:w="941" w:type="dxa"/>
            <w:tcBorders>
              <w:top w:val="nil"/>
              <w:left w:val="nil"/>
              <w:bottom w:val="nil"/>
              <w:right w:val="nil"/>
            </w:tcBorders>
            <w:shd w:val="clear" w:color="auto" w:fill="auto"/>
            <w:noWrap/>
            <w:vAlign w:val="bottom"/>
            <w:hideMark/>
          </w:tcPr>
          <w:p w14:paraId="6FCCC52D" w14:textId="6E681AA0" w:rsidR="008B15AF" w:rsidRPr="00E87012" w:rsidRDefault="008B15AF" w:rsidP="008B15AF">
            <w:pPr>
              <w:spacing w:before="0" w:after="0" w:line="240" w:lineRule="auto"/>
              <w:jc w:val="right"/>
              <w:rPr>
                <w:rFonts w:ascii="Arial" w:hAnsi="Arial" w:cs="Arial"/>
                <w:sz w:val="16"/>
                <w:szCs w:val="16"/>
              </w:rPr>
            </w:pPr>
            <w:r>
              <w:rPr>
                <w:rFonts w:ascii="Arial" w:hAnsi="Arial" w:cs="Arial"/>
                <w:sz w:val="16"/>
                <w:szCs w:val="16"/>
              </w:rPr>
              <w:t>(750)</w:t>
            </w:r>
          </w:p>
        </w:tc>
      </w:tr>
      <w:tr w:rsidR="008B15AF" w:rsidRPr="00E87012" w14:paraId="761889C9" w14:textId="77777777" w:rsidTr="00603F85">
        <w:trPr>
          <w:trHeight w:val="283"/>
          <w:jc w:val="center"/>
        </w:trPr>
        <w:tc>
          <w:tcPr>
            <w:tcW w:w="3061" w:type="dxa"/>
            <w:tcBorders>
              <w:top w:val="nil"/>
              <w:left w:val="nil"/>
              <w:bottom w:val="single" w:sz="4" w:space="0" w:color="auto"/>
              <w:right w:val="nil"/>
            </w:tcBorders>
            <w:shd w:val="clear" w:color="auto" w:fill="auto"/>
            <w:noWrap/>
            <w:vAlign w:val="bottom"/>
            <w:hideMark/>
          </w:tcPr>
          <w:p w14:paraId="4EC830D5" w14:textId="62AA25AE" w:rsidR="008B15AF" w:rsidRPr="00E87012" w:rsidRDefault="008B15AF" w:rsidP="008B15AF">
            <w:pPr>
              <w:spacing w:before="0" w:after="0" w:line="240" w:lineRule="auto"/>
              <w:rPr>
                <w:rFonts w:ascii="Arial" w:hAnsi="Arial" w:cs="Arial"/>
                <w:b/>
                <w:bCs/>
                <w:color w:val="000000"/>
                <w:sz w:val="16"/>
                <w:szCs w:val="16"/>
              </w:rPr>
            </w:pPr>
            <w:r>
              <w:rPr>
                <w:rFonts w:ascii="Arial" w:hAnsi="Arial" w:cs="Arial"/>
                <w:b/>
                <w:bCs/>
                <w:color w:val="000000"/>
                <w:sz w:val="16"/>
                <w:szCs w:val="16"/>
              </w:rPr>
              <w:t>Cash at end of reporting period</w:t>
            </w:r>
          </w:p>
        </w:tc>
        <w:tc>
          <w:tcPr>
            <w:tcW w:w="941" w:type="dxa"/>
            <w:tcBorders>
              <w:top w:val="nil"/>
              <w:left w:val="nil"/>
              <w:bottom w:val="single" w:sz="4" w:space="0" w:color="auto"/>
              <w:right w:val="nil"/>
            </w:tcBorders>
            <w:shd w:val="clear" w:color="auto" w:fill="auto"/>
            <w:noWrap/>
            <w:vAlign w:val="bottom"/>
            <w:hideMark/>
          </w:tcPr>
          <w:p w14:paraId="71063CA2" w14:textId="73F1D4B9"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89</w:t>
            </w:r>
          </w:p>
        </w:tc>
        <w:tc>
          <w:tcPr>
            <w:tcW w:w="941" w:type="dxa"/>
            <w:tcBorders>
              <w:top w:val="nil"/>
              <w:left w:val="nil"/>
              <w:bottom w:val="single" w:sz="4" w:space="0" w:color="auto"/>
              <w:right w:val="nil"/>
            </w:tcBorders>
            <w:shd w:val="clear" w:color="000000" w:fill="D9D9D9"/>
            <w:noWrap/>
            <w:vAlign w:val="bottom"/>
            <w:hideMark/>
          </w:tcPr>
          <w:p w14:paraId="17510A37" w14:textId="3F5A3E01"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89</w:t>
            </w:r>
          </w:p>
        </w:tc>
        <w:tc>
          <w:tcPr>
            <w:tcW w:w="941" w:type="dxa"/>
            <w:tcBorders>
              <w:top w:val="nil"/>
              <w:left w:val="nil"/>
              <w:bottom w:val="single" w:sz="4" w:space="0" w:color="auto"/>
              <w:right w:val="nil"/>
            </w:tcBorders>
            <w:shd w:val="clear" w:color="auto" w:fill="auto"/>
            <w:noWrap/>
            <w:vAlign w:val="bottom"/>
            <w:hideMark/>
          </w:tcPr>
          <w:p w14:paraId="1B01A119" w14:textId="79C50936"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89</w:t>
            </w:r>
          </w:p>
        </w:tc>
        <w:tc>
          <w:tcPr>
            <w:tcW w:w="941" w:type="dxa"/>
            <w:tcBorders>
              <w:top w:val="nil"/>
              <w:left w:val="nil"/>
              <w:bottom w:val="single" w:sz="4" w:space="0" w:color="auto"/>
              <w:right w:val="nil"/>
            </w:tcBorders>
            <w:shd w:val="clear" w:color="auto" w:fill="auto"/>
            <w:noWrap/>
            <w:vAlign w:val="bottom"/>
            <w:hideMark/>
          </w:tcPr>
          <w:p w14:paraId="288DE9A4" w14:textId="5A6B3A8F"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89</w:t>
            </w:r>
          </w:p>
        </w:tc>
        <w:tc>
          <w:tcPr>
            <w:tcW w:w="941" w:type="dxa"/>
            <w:tcBorders>
              <w:top w:val="nil"/>
              <w:left w:val="nil"/>
              <w:bottom w:val="single" w:sz="4" w:space="0" w:color="auto"/>
              <w:right w:val="nil"/>
            </w:tcBorders>
            <w:shd w:val="clear" w:color="auto" w:fill="auto"/>
            <w:noWrap/>
            <w:vAlign w:val="bottom"/>
            <w:hideMark/>
          </w:tcPr>
          <w:p w14:paraId="6748FCD6" w14:textId="7D677251" w:rsidR="008B15AF" w:rsidRPr="00E87012" w:rsidRDefault="008B15AF" w:rsidP="008B15AF">
            <w:pPr>
              <w:spacing w:before="0" w:after="0" w:line="240" w:lineRule="auto"/>
              <w:jc w:val="right"/>
              <w:rPr>
                <w:rFonts w:ascii="Arial" w:hAnsi="Arial" w:cs="Arial"/>
                <w:b/>
                <w:bCs/>
                <w:sz w:val="16"/>
                <w:szCs w:val="16"/>
              </w:rPr>
            </w:pPr>
            <w:r>
              <w:rPr>
                <w:rFonts w:ascii="Arial" w:hAnsi="Arial" w:cs="Arial"/>
                <w:b/>
                <w:bCs/>
                <w:sz w:val="16"/>
                <w:szCs w:val="16"/>
              </w:rPr>
              <w:t>89</w:t>
            </w:r>
          </w:p>
        </w:tc>
      </w:tr>
    </w:tbl>
    <w:p w14:paraId="266AE160" w14:textId="77777777" w:rsidR="00603F85" w:rsidRPr="00AD1250" w:rsidRDefault="00603F85" w:rsidP="00204B94">
      <w:pPr>
        <w:pStyle w:val="FootnoteText"/>
        <w:spacing w:before="120"/>
      </w:pPr>
      <w:r w:rsidRPr="00AD1250">
        <w:t>OPA = Official Public Account</w:t>
      </w:r>
    </w:p>
    <w:p w14:paraId="6D54F55E" w14:textId="77777777" w:rsidR="00603F85" w:rsidRDefault="00603F85" w:rsidP="00603F85">
      <w:pPr>
        <w:pStyle w:val="Source"/>
        <w:ind w:left="0" w:firstLine="0"/>
      </w:pPr>
    </w:p>
    <w:p w14:paraId="6F55FAA7" w14:textId="77777777" w:rsidR="00603F85" w:rsidRDefault="00603F85" w:rsidP="00603F85">
      <w:pPr>
        <w:pStyle w:val="TableGraphic"/>
      </w:pPr>
    </w:p>
    <w:p w14:paraId="3D8F535D" w14:textId="77777777" w:rsidR="006621FC" w:rsidRDefault="006621FC" w:rsidP="00603F85">
      <w:pPr>
        <w:spacing w:before="0" w:after="0" w:line="240" w:lineRule="auto"/>
        <w:sectPr w:rsidR="006621FC" w:rsidSect="006621FC">
          <w:footerReference w:type="even" r:id="rId69"/>
          <w:footerReference w:type="default" r:id="rId70"/>
          <w:footerReference w:type="first" r:id="rId71"/>
          <w:pgSz w:w="11907" w:h="16840" w:code="9"/>
          <w:pgMar w:top="2835" w:right="2098" w:bottom="2466" w:left="2098" w:header="1814" w:footer="1814" w:gutter="0"/>
          <w:cols w:space="708"/>
          <w:titlePg/>
          <w:docGrid w:linePitch="360"/>
        </w:sectPr>
      </w:pPr>
    </w:p>
    <w:p w14:paraId="507DBAE6" w14:textId="067B26E2" w:rsidR="00603F85" w:rsidRDefault="00603F85" w:rsidP="00603F85">
      <w:pPr>
        <w:spacing w:before="0" w:after="0" w:line="240" w:lineRule="auto"/>
      </w:pPr>
    </w:p>
    <w:p w14:paraId="63A68820" w14:textId="6EE1FA54" w:rsidR="00986E6F" w:rsidRDefault="00DC1569" w:rsidP="00CC1A39">
      <w:pPr>
        <w:pStyle w:val="Heading1-NoTOC"/>
        <w:rPr>
          <w:rFonts w:asciiTheme="minorHAnsi" w:eastAsiaTheme="minorEastAsia" w:hAnsiTheme="minorHAnsi" w:cstheme="minorBidi"/>
          <w:noProof/>
          <w:sz w:val="22"/>
          <w:szCs w:val="22"/>
        </w:rPr>
      </w:pPr>
      <w:r>
        <w:fldChar w:fldCharType="begin"/>
      </w:r>
      <w:r>
        <w:instrText xml:space="preserve"> </w:instrText>
      </w:r>
      <w:proofErr w:type="gramStart"/>
      <w:r>
        <w:instrText>TC  "</w:instrText>
      </w:r>
      <w:bookmarkStart w:id="530" w:name="_Toc157520022"/>
      <w:proofErr w:type="gramEnd"/>
      <w:r>
        <w:instrText>Professional Services Review</w:instrText>
      </w:r>
      <w:bookmarkEnd w:id="530"/>
      <w:r>
        <w:instrText xml:space="preserve">" \f m \l 2 </w:instrText>
      </w:r>
      <w:r>
        <w:fldChar w:fldCharType="end"/>
      </w:r>
      <w:r w:rsidR="008C73CD">
        <w:t xml:space="preserve">Professional Services Review </w:t>
      </w:r>
      <w:r w:rsidR="00687AF6">
        <w:fldChar w:fldCharType="begin"/>
      </w:r>
      <w:r w:rsidR="00687AF6">
        <w:instrText xml:space="preserve"> TOC \h \z \t "Heading 3,2,Heading 2 - TOC,1" </w:instrText>
      </w:r>
      <w:r w:rsidR="00687AF6">
        <w:fldChar w:fldCharType="separate"/>
      </w:r>
    </w:p>
    <w:p w14:paraId="06C1297E" w14:textId="35713E7A" w:rsidR="00986E6F" w:rsidRDefault="00000000">
      <w:pPr>
        <w:pStyle w:val="TOC1"/>
        <w:rPr>
          <w:rFonts w:asciiTheme="minorHAnsi" w:eastAsiaTheme="minorEastAsia" w:hAnsiTheme="minorHAnsi" w:cstheme="minorBidi"/>
          <w:b w:val="0"/>
          <w:noProof/>
          <w:sz w:val="22"/>
          <w:szCs w:val="22"/>
        </w:rPr>
      </w:pPr>
      <w:hyperlink w:anchor="_Toc157592218" w:history="1">
        <w:r w:rsidR="00986E6F" w:rsidRPr="001F47F2">
          <w:rPr>
            <w:rStyle w:val="Hyperlink"/>
            <w:noProof/>
          </w:rPr>
          <w:t>Section 1: Entity overview and resources</w:t>
        </w:r>
        <w:r w:rsidR="00986E6F">
          <w:rPr>
            <w:noProof/>
            <w:webHidden/>
          </w:rPr>
          <w:tab/>
        </w:r>
        <w:r w:rsidR="00986E6F">
          <w:rPr>
            <w:noProof/>
            <w:webHidden/>
          </w:rPr>
          <w:fldChar w:fldCharType="begin"/>
        </w:r>
        <w:r w:rsidR="00986E6F">
          <w:rPr>
            <w:noProof/>
            <w:webHidden/>
          </w:rPr>
          <w:instrText xml:space="preserve"> PAGEREF _Toc157592218 \h </w:instrText>
        </w:r>
        <w:r w:rsidR="00986E6F">
          <w:rPr>
            <w:noProof/>
            <w:webHidden/>
          </w:rPr>
        </w:r>
        <w:r w:rsidR="00986E6F">
          <w:rPr>
            <w:noProof/>
            <w:webHidden/>
          </w:rPr>
          <w:fldChar w:fldCharType="separate"/>
        </w:r>
        <w:r w:rsidR="004344FF">
          <w:rPr>
            <w:noProof/>
            <w:webHidden/>
          </w:rPr>
          <w:t>134</w:t>
        </w:r>
        <w:r w:rsidR="00986E6F">
          <w:rPr>
            <w:noProof/>
            <w:webHidden/>
          </w:rPr>
          <w:fldChar w:fldCharType="end"/>
        </w:r>
      </w:hyperlink>
    </w:p>
    <w:p w14:paraId="3B616F89" w14:textId="4FF5F20C" w:rsidR="00986E6F" w:rsidRDefault="00000000">
      <w:pPr>
        <w:pStyle w:val="TOC2"/>
        <w:rPr>
          <w:rFonts w:asciiTheme="minorHAnsi" w:eastAsiaTheme="minorEastAsia" w:hAnsiTheme="minorHAnsi" w:cstheme="minorBidi"/>
          <w:noProof/>
          <w:sz w:val="22"/>
          <w:szCs w:val="22"/>
        </w:rPr>
      </w:pPr>
      <w:hyperlink w:anchor="_Toc157592219" w:history="1">
        <w:r w:rsidR="00986E6F" w:rsidRPr="001F47F2">
          <w:rPr>
            <w:rStyle w:val="Hyperlink"/>
            <w:noProof/>
          </w:rPr>
          <w:t>1.1</w:t>
        </w:r>
        <w:r w:rsidR="00986E6F">
          <w:rPr>
            <w:rFonts w:asciiTheme="minorHAnsi" w:eastAsiaTheme="minorEastAsia" w:hAnsiTheme="minorHAnsi" w:cstheme="minorBidi"/>
            <w:noProof/>
            <w:sz w:val="22"/>
            <w:szCs w:val="22"/>
          </w:rPr>
          <w:tab/>
        </w:r>
        <w:r w:rsidR="00986E6F" w:rsidRPr="001F47F2">
          <w:rPr>
            <w:rStyle w:val="Hyperlink"/>
            <w:noProof/>
          </w:rPr>
          <w:t>Strategic direction statement</w:t>
        </w:r>
        <w:r w:rsidR="00986E6F">
          <w:rPr>
            <w:noProof/>
            <w:webHidden/>
          </w:rPr>
          <w:tab/>
        </w:r>
        <w:r w:rsidR="00986E6F">
          <w:rPr>
            <w:noProof/>
            <w:webHidden/>
          </w:rPr>
          <w:fldChar w:fldCharType="begin"/>
        </w:r>
        <w:r w:rsidR="00986E6F">
          <w:rPr>
            <w:noProof/>
            <w:webHidden/>
          </w:rPr>
          <w:instrText xml:space="preserve"> PAGEREF _Toc157592219 \h </w:instrText>
        </w:r>
        <w:r w:rsidR="00986E6F">
          <w:rPr>
            <w:noProof/>
            <w:webHidden/>
          </w:rPr>
        </w:r>
        <w:r w:rsidR="00986E6F">
          <w:rPr>
            <w:noProof/>
            <w:webHidden/>
          </w:rPr>
          <w:fldChar w:fldCharType="separate"/>
        </w:r>
        <w:r w:rsidR="004344FF">
          <w:rPr>
            <w:noProof/>
            <w:webHidden/>
          </w:rPr>
          <w:t>134</w:t>
        </w:r>
        <w:r w:rsidR="00986E6F">
          <w:rPr>
            <w:noProof/>
            <w:webHidden/>
          </w:rPr>
          <w:fldChar w:fldCharType="end"/>
        </w:r>
      </w:hyperlink>
    </w:p>
    <w:p w14:paraId="2400AD6B" w14:textId="3C2746AB" w:rsidR="00986E6F" w:rsidRDefault="00000000">
      <w:pPr>
        <w:pStyle w:val="TOC2"/>
        <w:rPr>
          <w:rFonts w:asciiTheme="minorHAnsi" w:eastAsiaTheme="minorEastAsia" w:hAnsiTheme="minorHAnsi" w:cstheme="minorBidi"/>
          <w:noProof/>
          <w:sz w:val="22"/>
          <w:szCs w:val="22"/>
        </w:rPr>
      </w:pPr>
      <w:hyperlink w:anchor="_Toc157592220" w:history="1">
        <w:r w:rsidR="00986E6F" w:rsidRPr="001F47F2">
          <w:rPr>
            <w:rStyle w:val="Hyperlink"/>
            <w:noProof/>
          </w:rPr>
          <w:t>1.2</w:t>
        </w:r>
        <w:r w:rsidR="00986E6F">
          <w:rPr>
            <w:rFonts w:asciiTheme="minorHAnsi" w:eastAsiaTheme="minorEastAsia" w:hAnsiTheme="minorHAnsi" w:cstheme="minorBidi"/>
            <w:noProof/>
            <w:sz w:val="22"/>
            <w:szCs w:val="22"/>
          </w:rPr>
          <w:tab/>
        </w:r>
        <w:r w:rsidR="00986E6F" w:rsidRPr="001F47F2">
          <w:rPr>
            <w:rStyle w:val="Hyperlink"/>
            <w:noProof/>
          </w:rPr>
          <w:t>Entity resource statement</w:t>
        </w:r>
        <w:r w:rsidR="00986E6F">
          <w:rPr>
            <w:noProof/>
            <w:webHidden/>
          </w:rPr>
          <w:tab/>
        </w:r>
        <w:r w:rsidR="00986E6F">
          <w:rPr>
            <w:noProof/>
            <w:webHidden/>
          </w:rPr>
          <w:fldChar w:fldCharType="begin"/>
        </w:r>
        <w:r w:rsidR="00986E6F">
          <w:rPr>
            <w:noProof/>
            <w:webHidden/>
          </w:rPr>
          <w:instrText xml:space="preserve"> PAGEREF _Toc157592220 \h </w:instrText>
        </w:r>
        <w:r w:rsidR="00986E6F">
          <w:rPr>
            <w:noProof/>
            <w:webHidden/>
          </w:rPr>
        </w:r>
        <w:r w:rsidR="00986E6F">
          <w:rPr>
            <w:noProof/>
            <w:webHidden/>
          </w:rPr>
          <w:fldChar w:fldCharType="separate"/>
        </w:r>
        <w:r w:rsidR="004344FF">
          <w:rPr>
            <w:noProof/>
            <w:webHidden/>
          </w:rPr>
          <w:t>135</w:t>
        </w:r>
        <w:r w:rsidR="00986E6F">
          <w:rPr>
            <w:noProof/>
            <w:webHidden/>
          </w:rPr>
          <w:fldChar w:fldCharType="end"/>
        </w:r>
      </w:hyperlink>
    </w:p>
    <w:p w14:paraId="4909A2C2" w14:textId="067473BC" w:rsidR="00986E6F" w:rsidRDefault="00000000">
      <w:pPr>
        <w:pStyle w:val="TOC2"/>
        <w:rPr>
          <w:rFonts w:asciiTheme="minorHAnsi" w:eastAsiaTheme="minorEastAsia" w:hAnsiTheme="minorHAnsi" w:cstheme="minorBidi"/>
          <w:noProof/>
          <w:sz w:val="22"/>
          <w:szCs w:val="22"/>
        </w:rPr>
      </w:pPr>
      <w:hyperlink w:anchor="_Toc157592221" w:history="1">
        <w:r w:rsidR="00986E6F" w:rsidRPr="001F47F2">
          <w:rPr>
            <w:rStyle w:val="Hyperlink"/>
            <w:noProof/>
          </w:rPr>
          <w:t>1.4</w:t>
        </w:r>
        <w:r w:rsidR="00986E6F">
          <w:rPr>
            <w:rFonts w:asciiTheme="minorHAnsi" w:eastAsiaTheme="minorEastAsia" w:hAnsiTheme="minorHAnsi" w:cstheme="minorBidi"/>
            <w:noProof/>
            <w:sz w:val="22"/>
            <w:szCs w:val="22"/>
          </w:rPr>
          <w:tab/>
        </w:r>
        <w:r w:rsidR="00986E6F" w:rsidRPr="001F47F2">
          <w:rPr>
            <w:rStyle w:val="Hyperlink"/>
            <w:noProof/>
          </w:rPr>
          <w:t>Additional estimates, resourcing and variations to outcomes</w:t>
        </w:r>
        <w:r w:rsidR="00986E6F">
          <w:rPr>
            <w:noProof/>
            <w:webHidden/>
          </w:rPr>
          <w:tab/>
        </w:r>
        <w:r w:rsidR="00986E6F">
          <w:rPr>
            <w:noProof/>
            <w:webHidden/>
          </w:rPr>
          <w:fldChar w:fldCharType="begin"/>
        </w:r>
        <w:r w:rsidR="00986E6F">
          <w:rPr>
            <w:noProof/>
            <w:webHidden/>
          </w:rPr>
          <w:instrText xml:space="preserve"> PAGEREF _Toc157592221 \h </w:instrText>
        </w:r>
        <w:r w:rsidR="00986E6F">
          <w:rPr>
            <w:noProof/>
            <w:webHidden/>
          </w:rPr>
        </w:r>
        <w:r w:rsidR="00986E6F">
          <w:rPr>
            <w:noProof/>
            <w:webHidden/>
          </w:rPr>
          <w:fldChar w:fldCharType="separate"/>
        </w:r>
        <w:r w:rsidR="004344FF">
          <w:rPr>
            <w:noProof/>
            <w:webHidden/>
          </w:rPr>
          <w:t>136</w:t>
        </w:r>
        <w:r w:rsidR="00986E6F">
          <w:rPr>
            <w:noProof/>
            <w:webHidden/>
          </w:rPr>
          <w:fldChar w:fldCharType="end"/>
        </w:r>
      </w:hyperlink>
    </w:p>
    <w:p w14:paraId="11B5D1DC" w14:textId="4D6992CB" w:rsidR="00986E6F" w:rsidRDefault="00000000">
      <w:pPr>
        <w:pStyle w:val="TOC2"/>
        <w:rPr>
          <w:rFonts w:asciiTheme="minorHAnsi" w:eastAsiaTheme="minorEastAsia" w:hAnsiTheme="minorHAnsi" w:cstheme="minorBidi"/>
          <w:noProof/>
          <w:sz w:val="22"/>
          <w:szCs w:val="22"/>
        </w:rPr>
      </w:pPr>
      <w:hyperlink w:anchor="_Toc157592222" w:history="1">
        <w:r w:rsidR="00986E6F" w:rsidRPr="001F47F2">
          <w:rPr>
            <w:rStyle w:val="Hyperlink"/>
            <w:noProof/>
          </w:rPr>
          <w:t>1.5</w:t>
        </w:r>
        <w:r w:rsidR="00986E6F">
          <w:rPr>
            <w:rFonts w:asciiTheme="minorHAnsi" w:eastAsiaTheme="minorEastAsia" w:hAnsiTheme="minorHAnsi" w:cstheme="minorBidi"/>
            <w:noProof/>
            <w:sz w:val="22"/>
            <w:szCs w:val="22"/>
          </w:rPr>
          <w:tab/>
        </w:r>
        <w:r w:rsidR="00986E6F" w:rsidRPr="001F47F2">
          <w:rPr>
            <w:rStyle w:val="Hyperlink"/>
            <w:noProof/>
          </w:rPr>
          <w:t>Breakdown of additional estimates by appropriation bill</w:t>
        </w:r>
        <w:r w:rsidR="00986E6F">
          <w:rPr>
            <w:noProof/>
            <w:webHidden/>
          </w:rPr>
          <w:tab/>
        </w:r>
        <w:r w:rsidR="00986E6F">
          <w:rPr>
            <w:noProof/>
            <w:webHidden/>
          </w:rPr>
          <w:fldChar w:fldCharType="begin"/>
        </w:r>
        <w:r w:rsidR="00986E6F">
          <w:rPr>
            <w:noProof/>
            <w:webHidden/>
          </w:rPr>
          <w:instrText xml:space="preserve"> PAGEREF _Toc157592222 \h </w:instrText>
        </w:r>
        <w:r w:rsidR="00986E6F">
          <w:rPr>
            <w:noProof/>
            <w:webHidden/>
          </w:rPr>
        </w:r>
        <w:r w:rsidR="00986E6F">
          <w:rPr>
            <w:noProof/>
            <w:webHidden/>
          </w:rPr>
          <w:fldChar w:fldCharType="separate"/>
        </w:r>
        <w:r w:rsidR="004344FF">
          <w:rPr>
            <w:noProof/>
            <w:webHidden/>
          </w:rPr>
          <w:t>137</w:t>
        </w:r>
        <w:r w:rsidR="00986E6F">
          <w:rPr>
            <w:noProof/>
            <w:webHidden/>
          </w:rPr>
          <w:fldChar w:fldCharType="end"/>
        </w:r>
      </w:hyperlink>
    </w:p>
    <w:p w14:paraId="07408F2F" w14:textId="724082F3" w:rsidR="00986E6F" w:rsidRDefault="00000000">
      <w:pPr>
        <w:pStyle w:val="TOC1"/>
        <w:rPr>
          <w:rFonts w:asciiTheme="minorHAnsi" w:eastAsiaTheme="minorEastAsia" w:hAnsiTheme="minorHAnsi" w:cstheme="minorBidi"/>
          <w:b w:val="0"/>
          <w:noProof/>
          <w:sz w:val="22"/>
          <w:szCs w:val="22"/>
        </w:rPr>
      </w:pPr>
      <w:hyperlink w:anchor="_Toc157592223" w:history="1">
        <w:r w:rsidR="00986E6F" w:rsidRPr="001F47F2">
          <w:rPr>
            <w:rStyle w:val="Hyperlink"/>
            <w:noProof/>
          </w:rPr>
          <w:t>Section 2: Revisions to outcomes and planned performance</w:t>
        </w:r>
        <w:r w:rsidR="00986E6F">
          <w:rPr>
            <w:noProof/>
            <w:webHidden/>
          </w:rPr>
          <w:tab/>
        </w:r>
        <w:r w:rsidR="00986E6F">
          <w:rPr>
            <w:noProof/>
            <w:webHidden/>
          </w:rPr>
          <w:fldChar w:fldCharType="begin"/>
        </w:r>
        <w:r w:rsidR="00986E6F">
          <w:rPr>
            <w:noProof/>
            <w:webHidden/>
          </w:rPr>
          <w:instrText xml:space="preserve"> PAGEREF _Toc157592223 \h </w:instrText>
        </w:r>
        <w:r w:rsidR="00986E6F">
          <w:rPr>
            <w:noProof/>
            <w:webHidden/>
          </w:rPr>
        </w:r>
        <w:r w:rsidR="00986E6F">
          <w:rPr>
            <w:noProof/>
            <w:webHidden/>
          </w:rPr>
          <w:fldChar w:fldCharType="separate"/>
        </w:r>
        <w:r w:rsidR="004344FF">
          <w:rPr>
            <w:noProof/>
            <w:webHidden/>
          </w:rPr>
          <w:t>138</w:t>
        </w:r>
        <w:r w:rsidR="00986E6F">
          <w:rPr>
            <w:noProof/>
            <w:webHidden/>
          </w:rPr>
          <w:fldChar w:fldCharType="end"/>
        </w:r>
      </w:hyperlink>
    </w:p>
    <w:p w14:paraId="52C1C2A2" w14:textId="39BA5BBF" w:rsidR="00986E6F" w:rsidRDefault="00000000">
      <w:pPr>
        <w:pStyle w:val="TOC2"/>
        <w:rPr>
          <w:rFonts w:asciiTheme="minorHAnsi" w:eastAsiaTheme="minorEastAsia" w:hAnsiTheme="minorHAnsi" w:cstheme="minorBidi"/>
          <w:noProof/>
          <w:sz w:val="22"/>
          <w:szCs w:val="22"/>
        </w:rPr>
      </w:pPr>
      <w:hyperlink w:anchor="_Toc157592224" w:history="1">
        <w:r w:rsidR="00986E6F" w:rsidRPr="001F47F2">
          <w:rPr>
            <w:rStyle w:val="Hyperlink"/>
            <w:noProof/>
          </w:rPr>
          <w:t>2.1</w:t>
        </w:r>
        <w:r w:rsidR="00986E6F">
          <w:rPr>
            <w:rFonts w:asciiTheme="minorHAnsi" w:eastAsiaTheme="minorEastAsia" w:hAnsiTheme="minorHAnsi" w:cstheme="minorBidi"/>
            <w:noProof/>
            <w:sz w:val="22"/>
            <w:szCs w:val="22"/>
          </w:rPr>
          <w:tab/>
        </w:r>
        <w:r w:rsidR="00986E6F" w:rsidRPr="001F47F2">
          <w:rPr>
            <w:rStyle w:val="Hyperlink"/>
            <w:noProof/>
          </w:rPr>
          <w:t>Budgeted expenses and performance for Outcome 1</w:t>
        </w:r>
        <w:r w:rsidR="00986E6F">
          <w:rPr>
            <w:noProof/>
            <w:webHidden/>
          </w:rPr>
          <w:tab/>
        </w:r>
        <w:r w:rsidR="00986E6F">
          <w:rPr>
            <w:noProof/>
            <w:webHidden/>
          </w:rPr>
          <w:fldChar w:fldCharType="begin"/>
        </w:r>
        <w:r w:rsidR="00986E6F">
          <w:rPr>
            <w:noProof/>
            <w:webHidden/>
          </w:rPr>
          <w:instrText xml:space="preserve"> PAGEREF _Toc157592224 \h </w:instrText>
        </w:r>
        <w:r w:rsidR="00986E6F">
          <w:rPr>
            <w:noProof/>
            <w:webHidden/>
          </w:rPr>
        </w:r>
        <w:r w:rsidR="00986E6F">
          <w:rPr>
            <w:noProof/>
            <w:webHidden/>
          </w:rPr>
          <w:fldChar w:fldCharType="separate"/>
        </w:r>
        <w:r w:rsidR="004344FF">
          <w:rPr>
            <w:noProof/>
            <w:webHidden/>
          </w:rPr>
          <w:t>138</w:t>
        </w:r>
        <w:r w:rsidR="00986E6F">
          <w:rPr>
            <w:noProof/>
            <w:webHidden/>
          </w:rPr>
          <w:fldChar w:fldCharType="end"/>
        </w:r>
      </w:hyperlink>
    </w:p>
    <w:p w14:paraId="6E54A268" w14:textId="7008B88E" w:rsidR="00986E6F" w:rsidRDefault="00000000">
      <w:pPr>
        <w:pStyle w:val="TOC1"/>
        <w:rPr>
          <w:rFonts w:asciiTheme="minorHAnsi" w:eastAsiaTheme="minorEastAsia" w:hAnsiTheme="minorHAnsi" w:cstheme="minorBidi"/>
          <w:b w:val="0"/>
          <w:noProof/>
          <w:sz w:val="22"/>
          <w:szCs w:val="22"/>
        </w:rPr>
      </w:pPr>
      <w:hyperlink w:anchor="_Toc157592225" w:history="1">
        <w:r w:rsidR="00986E6F" w:rsidRPr="001F47F2">
          <w:rPr>
            <w:rStyle w:val="Hyperlink"/>
            <w:noProof/>
          </w:rPr>
          <w:t>Section 3: Special account flows and budgeted financial statements</w:t>
        </w:r>
        <w:r w:rsidR="00986E6F">
          <w:rPr>
            <w:noProof/>
            <w:webHidden/>
          </w:rPr>
          <w:tab/>
        </w:r>
        <w:r w:rsidR="00986E6F">
          <w:rPr>
            <w:noProof/>
            <w:webHidden/>
          </w:rPr>
          <w:fldChar w:fldCharType="begin"/>
        </w:r>
        <w:r w:rsidR="00986E6F">
          <w:rPr>
            <w:noProof/>
            <w:webHidden/>
          </w:rPr>
          <w:instrText xml:space="preserve"> PAGEREF _Toc157592225 \h </w:instrText>
        </w:r>
        <w:r w:rsidR="00986E6F">
          <w:rPr>
            <w:noProof/>
            <w:webHidden/>
          </w:rPr>
        </w:r>
        <w:r w:rsidR="00986E6F">
          <w:rPr>
            <w:noProof/>
            <w:webHidden/>
          </w:rPr>
          <w:fldChar w:fldCharType="separate"/>
        </w:r>
        <w:r w:rsidR="004344FF">
          <w:rPr>
            <w:noProof/>
            <w:webHidden/>
          </w:rPr>
          <w:t>139</w:t>
        </w:r>
        <w:r w:rsidR="00986E6F">
          <w:rPr>
            <w:noProof/>
            <w:webHidden/>
          </w:rPr>
          <w:fldChar w:fldCharType="end"/>
        </w:r>
      </w:hyperlink>
    </w:p>
    <w:p w14:paraId="3FE75CA7" w14:textId="342F1DF8" w:rsidR="00986E6F" w:rsidRDefault="00000000">
      <w:pPr>
        <w:pStyle w:val="TOC2"/>
        <w:rPr>
          <w:rFonts w:asciiTheme="minorHAnsi" w:eastAsiaTheme="minorEastAsia" w:hAnsiTheme="minorHAnsi" w:cstheme="minorBidi"/>
          <w:noProof/>
          <w:sz w:val="22"/>
          <w:szCs w:val="22"/>
        </w:rPr>
      </w:pPr>
      <w:hyperlink w:anchor="_Toc157592226" w:history="1">
        <w:r w:rsidR="00986E6F" w:rsidRPr="001F47F2">
          <w:rPr>
            <w:rStyle w:val="Hyperlink"/>
            <w:noProof/>
          </w:rPr>
          <w:t>3.1</w:t>
        </w:r>
        <w:r w:rsidR="00986E6F">
          <w:rPr>
            <w:rFonts w:asciiTheme="minorHAnsi" w:eastAsiaTheme="minorEastAsia" w:hAnsiTheme="minorHAnsi" w:cstheme="minorBidi"/>
            <w:noProof/>
            <w:sz w:val="22"/>
            <w:szCs w:val="22"/>
          </w:rPr>
          <w:tab/>
        </w:r>
        <w:r w:rsidR="00986E6F" w:rsidRPr="001F47F2">
          <w:rPr>
            <w:rStyle w:val="Hyperlink"/>
            <w:noProof/>
          </w:rPr>
          <w:t>Special account flows and balances</w:t>
        </w:r>
        <w:r w:rsidR="00986E6F">
          <w:rPr>
            <w:noProof/>
            <w:webHidden/>
          </w:rPr>
          <w:tab/>
        </w:r>
        <w:r w:rsidR="00986E6F">
          <w:rPr>
            <w:noProof/>
            <w:webHidden/>
          </w:rPr>
          <w:fldChar w:fldCharType="begin"/>
        </w:r>
        <w:r w:rsidR="00986E6F">
          <w:rPr>
            <w:noProof/>
            <w:webHidden/>
          </w:rPr>
          <w:instrText xml:space="preserve"> PAGEREF _Toc157592226 \h </w:instrText>
        </w:r>
        <w:r w:rsidR="00986E6F">
          <w:rPr>
            <w:noProof/>
            <w:webHidden/>
          </w:rPr>
        </w:r>
        <w:r w:rsidR="00986E6F">
          <w:rPr>
            <w:noProof/>
            <w:webHidden/>
          </w:rPr>
          <w:fldChar w:fldCharType="separate"/>
        </w:r>
        <w:r w:rsidR="004344FF">
          <w:rPr>
            <w:noProof/>
            <w:webHidden/>
          </w:rPr>
          <w:t>139</w:t>
        </w:r>
        <w:r w:rsidR="00986E6F">
          <w:rPr>
            <w:noProof/>
            <w:webHidden/>
          </w:rPr>
          <w:fldChar w:fldCharType="end"/>
        </w:r>
      </w:hyperlink>
    </w:p>
    <w:p w14:paraId="3648ADD0" w14:textId="0B0EA0EC" w:rsidR="00986E6F" w:rsidRDefault="00000000">
      <w:pPr>
        <w:pStyle w:val="TOC2"/>
        <w:rPr>
          <w:rFonts w:asciiTheme="minorHAnsi" w:eastAsiaTheme="minorEastAsia" w:hAnsiTheme="minorHAnsi" w:cstheme="minorBidi"/>
          <w:noProof/>
          <w:sz w:val="22"/>
          <w:szCs w:val="22"/>
        </w:rPr>
      </w:pPr>
      <w:hyperlink w:anchor="_Toc157592228" w:history="1">
        <w:r w:rsidR="00986E6F" w:rsidRPr="001F47F2">
          <w:rPr>
            <w:rStyle w:val="Hyperlink"/>
            <w:noProof/>
          </w:rPr>
          <w:t>3.2</w:t>
        </w:r>
        <w:r w:rsidR="00986E6F">
          <w:rPr>
            <w:rFonts w:asciiTheme="minorHAnsi" w:eastAsiaTheme="minorEastAsia" w:hAnsiTheme="minorHAnsi" w:cstheme="minorBidi"/>
            <w:noProof/>
            <w:sz w:val="22"/>
            <w:szCs w:val="22"/>
          </w:rPr>
          <w:tab/>
        </w:r>
        <w:r w:rsidR="00986E6F" w:rsidRPr="001F47F2">
          <w:rPr>
            <w:rStyle w:val="Hyperlink"/>
            <w:noProof/>
          </w:rPr>
          <w:t>Budgeted financial statements</w:t>
        </w:r>
        <w:r w:rsidR="00986E6F">
          <w:rPr>
            <w:noProof/>
            <w:webHidden/>
          </w:rPr>
          <w:tab/>
        </w:r>
        <w:r w:rsidR="00986E6F">
          <w:rPr>
            <w:noProof/>
            <w:webHidden/>
          </w:rPr>
          <w:fldChar w:fldCharType="begin"/>
        </w:r>
        <w:r w:rsidR="00986E6F">
          <w:rPr>
            <w:noProof/>
            <w:webHidden/>
          </w:rPr>
          <w:instrText xml:space="preserve"> PAGEREF _Toc157592228 \h </w:instrText>
        </w:r>
        <w:r w:rsidR="00986E6F">
          <w:rPr>
            <w:noProof/>
            <w:webHidden/>
          </w:rPr>
        </w:r>
        <w:r w:rsidR="00986E6F">
          <w:rPr>
            <w:noProof/>
            <w:webHidden/>
          </w:rPr>
          <w:fldChar w:fldCharType="separate"/>
        </w:r>
        <w:r w:rsidR="004344FF">
          <w:rPr>
            <w:noProof/>
            <w:webHidden/>
          </w:rPr>
          <w:t>139</w:t>
        </w:r>
        <w:r w:rsidR="00986E6F">
          <w:rPr>
            <w:noProof/>
            <w:webHidden/>
          </w:rPr>
          <w:fldChar w:fldCharType="end"/>
        </w:r>
      </w:hyperlink>
    </w:p>
    <w:p w14:paraId="231EA3ED" w14:textId="08EC2847" w:rsidR="00CC1A39" w:rsidRDefault="00687AF6" w:rsidP="00CC1A39">
      <w:pPr>
        <w:pStyle w:val="Heading1-NoTOC"/>
      </w:pPr>
      <w:r>
        <w:fldChar w:fldCharType="end"/>
      </w:r>
    </w:p>
    <w:p w14:paraId="6983844D" w14:textId="694AAB24" w:rsidR="008C73CD" w:rsidRDefault="008C73CD" w:rsidP="008C73CD"/>
    <w:p w14:paraId="75776991" w14:textId="77777777" w:rsidR="008C73CD" w:rsidRDefault="008C73CD" w:rsidP="008C73CD">
      <w:pPr>
        <w:spacing w:before="0" w:after="0" w:line="240" w:lineRule="auto"/>
      </w:pPr>
      <w:r>
        <w:br w:type="page"/>
      </w:r>
    </w:p>
    <w:p w14:paraId="0119D997" w14:textId="77777777" w:rsidR="008C73CD" w:rsidRDefault="008C73CD" w:rsidP="008C73CD">
      <w:pPr>
        <w:pStyle w:val="Heading1-LVL2"/>
      </w:pPr>
      <w:bookmarkStart w:id="531" w:name="_Toc155859224"/>
      <w:r>
        <w:t>Professional Services Review</w:t>
      </w:r>
      <w:bookmarkEnd w:id="531"/>
    </w:p>
    <w:p w14:paraId="57BD1759" w14:textId="6D84A1B6" w:rsidR="008C73CD" w:rsidRPr="00F045E6" w:rsidRDefault="00A86D64" w:rsidP="008C73CD">
      <w:pPr>
        <w:pStyle w:val="Heading2-TOC"/>
      </w:pPr>
      <w:r>
        <w:fldChar w:fldCharType="begin"/>
      </w:r>
      <w:r>
        <w:instrText xml:space="preserve"> </w:instrText>
      </w:r>
      <w:proofErr w:type="gramStart"/>
      <w:r>
        <w:instrText>TC  "</w:instrText>
      </w:r>
      <w:bookmarkStart w:id="532" w:name="_Toc157520610"/>
      <w:proofErr w:type="gramEnd"/>
      <w:r>
        <w:instrText>Section 1: Entity overview and resources</w:instrText>
      </w:r>
      <w:bookmarkEnd w:id="532"/>
      <w:r>
        <w:instrText xml:space="preserve"> " \f </w:instrText>
      </w:r>
      <w:proofErr w:type="spellStart"/>
      <w:r>
        <w:instrText>psr</w:instrText>
      </w:r>
      <w:proofErr w:type="spellEnd"/>
      <w:r>
        <w:instrText xml:space="preserve"> \l 1 </w:instrText>
      </w:r>
      <w:r>
        <w:fldChar w:fldCharType="end"/>
      </w:r>
      <w:bookmarkStart w:id="533" w:name="_Toc157592035"/>
      <w:bookmarkStart w:id="534" w:name="_Toc157592218"/>
      <w:r w:rsidR="008C73CD" w:rsidRPr="00F045E6">
        <w:t>Section 1: Entity overview and resources</w:t>
      </w:r>
      <w:bookmarkEnd w:id="533"/>
      <w:bookmarkEnd w:id="534"/>
    </w:p>
    <w:p w14:paraId="7E458750" w14:textId="48CF2E52" w:rsidR="008C73CD" w:rsidRPr="002322E9" w:rsidRDefault="00F552F6" w:rsidP="008C73CD">
      <w:pPr>
        <w:pStyle w:val="Heading3"/>
      </w:pPr>
      <w:r>
        <w:fldChar w:fldCharType="begin"/>
      </w:r>
      <w:r>
        <w:instrText xml:space="preserve"> </w:instrText>
      </w:r>
      <w:proofErr w:type="gramStart"/>
      <w:r>
        <w:instrText>TC  "</w:instrText>
      </w:r>
      <w:bookmarkStart w:id="535" w:name="_Toc157520611"/>
      <w:proofErr w:type="gramEnd"/>
      <w:r>
        <w:instrText>1.1</w:instrText>
      </w:r>
      <w:r>
        <w:tab/>
        <w:instrText>Strategic direction statement</w:instrText>
      </w:r>
      <w:bookmarkEnd w:id="535"/>
      <w:r>
        <w:instrText xml:space="preserve">" \f </w:instrText>
      </w:r>
      <w:proofErr w:type="spellStart"/>
      <w:r>
        <w:instrText>psr</w:instrText>
      </w:r>
      <w:proofErr w:type="spellEnd"/>
      <w:r>
        <w:instrText xml:space="preserve"> \l 2 </w:instrText>
      </w:r>
      <w:r>
        <w:fldChar w:fldCharType="end"/>
      </w:r>
      <w:bookmarkStart w:id="536" w:name="_Toc157592036"/>
      <w:bookmarkStart w:id="537" w:name="_Toc157592219"/>
      <w:r w:rsidR="008C73CD">
        <w:t>1.1</w:t>
      </w:r>
      <w:r w:rsidR="008C73CD">
        <w:tab/>
      </w:r>
      <w:r w:rsidR="008C73CD" w:rsidRPr="004928FF">
        <w:t>Strategic direction</w:t>
      </w:r>
      <w:r w:rsidR="008C73CD">
        <w:t xml:space="preserve"> statement</w:t>
      </w:r>
      <w:bookmarkEnd w:id="536"/>
      <w:bookmarkEnd w:id="537"/>
    </w:p>
    <w:p w14:paraId="6D4AEAE6" w14:textId="53426601" w:rsidR="00FB34B0" w:rsidRPr="00FB34B0" w:rsidRDefault="00FB34B0" w:rsidP="00FB34B0">
      <w:pPr>
        <w:spacing w:after="120"/>
        <w:rPr>
          <w:rFonts w:ascii="Calibri" w:hAnsi="Calibri"/>
          <w:sz w:val="20"/>
        </w:rPr>
      </w:pPr>
      <w:r w:rsidRPr="00FB34B0">
        <w:rPr>
          <w:sz w:val="20"/>
        </w:rPr>
        <w:t xml:space="preserve">The role and functions of the </w:t>
      </w:r>
      <w:r w:rsidR="00027E71">
        <w:rPr>
          <w:sz w:val="20"/>
        </w:rPr>
        <w:t>Professional Services Review (</w:t>
      </w:r>
      <w:r w:rsidRPr="00FB34B0">
        <w:rPr>
          <w:sz w:val="20"/>
        </w:rPr>
        <w:t>PSR</w:t>
      </w:r>
      <w:r w:rsidR="00027E71">
        <w:rPr>
          <w:sz w:val="20"/>
        </w:rPr>
        <w:t>)</w:t>
      </w:r>
      <w:r w:rsidRPr="00FB34B0">
        <w:rPr>
          <w:sz w:val="20"/>
        </w:rPr>
        <w:t xml:space="preserve"> are set out in Part VAA of the </w:t>
      </w:r>
      <w:r w:rsidRPr="00FB34B0">
        <w:rPr>
          <w:i/>
          <w:iCs/>
          <w:sz w:val="20"/>
        </w:rPr>
        <w:t>Health Insurance Act 1973</w:t>
      </w:r>
      <w:r w:rsidRPr="00FB34B0">
        <w:rPr>
          <w:sz w:val="20"/>
        </w:rPr>
        <w:t xml:space="preserve">. The PSR is a non-corporate Commonwealth entity under the </w:t>
      </w:r>
      <w:r w:rsidRPr="00FB34B0">
        <w:rPr>
          <w:i/>
          <w:iCs/>
          <w:sz w:val="20"/>
        </w:rPr>
        <w:t>Public Governance, Performance and Accountability Act 2013</w:t>
      </w:r>
      <w:r w:rsidRPr="00FB34B0">
        <w:rPr>
          <w:sz w:val="20"/>
        </w:rPr>
        <w:t>.</w:t>
      </w:r>
    </w:p>
    <w:p w14:paraId="42106232" w14:textId="6AB26094" w:rsidR="00FB34B0" w:rsidRPr="00FB34B0" w:rsidRDefault="00FB34B0" w:rsidP="00FB34B0">
      <w:pPr>
        <w:pStyle w:val="ExampleText"/>
        <w:jc w:val="both"/>
        <w:rPr>
          <w:i w:val="0"/>
          <w:color w:val="auto"/>
          <w:sz w:val="20"/>
        </w:rPr>
      </w:pPr>
      <w:r w:rsidRPr="00FB34B0">
        <w:rPr>
          <w:i w:val="0"/>
          <w:color w:val="auto"/>
          <w:sz w:val="20"/>
        </w:rPr>
        <w:t>For a f</w:t>
      </w:r>
      <w:r w:rsidR="004A3473">
        <w:rPr>
          <w:i w:val="0"/>
          <w:color w:val="auto"/>
          <w:sz w:val="20"/>
        </w:rPr>
        <w:t>ull outline of PSR’s strategic d</w:t>
      </w:r>
      <w:r w:rsidRPr="00FB34B0">
        <w:rPr>
          <w:i w:val="0"/>
          <w:color w:val="auto"/>
          <w:sz w:val="20"/>
        </w:rPr>
        <w:t xml:space="preserve">irection, refer page 424 of the </w:t>
      </w:r>
      <w:r w:rsidRPr="006A45F7">
        <w:rPr>
          <w:color w:val="auto"/>
          <w:sz w:val="20"/>
        </w:rPr>
        <w:t>Health and Aged Care Portfolio Budget Statements 2023–24</w:t>
      </w:r>
      <w:r w:rsidRPr="00FB34B0">
        <w:rPr>
          <w:i w:val="0"/>
          <w:color w:val="auto"/>
          <w:sz w:val="20"/>
        </w:rPr>
        <w:t xml:space="preserve">. </w:t>
      </w:r>
    </w:p>
    <w:p w14:paraId="20BBDA74" w14:textId="77777777" w:rsidR="006A45F7" w:rsidRDefault="006A45F7">
      <w:pPr>
        <w:spacing w:before="0" w:after="0" w:line="240" w:lineRule="auto"/>
        <w:rPr>
          <w:rFonts w:ascii="Arial Bold" w:hAnsi="Arial Bold"/>
          <w:b/>
          <w:sz w:val="22"/>
        </w:rPr>
      </w:pPr>
      <w:r>
        <w:br w:type="page"/>
      </w:r>
    </w:p>
    <w:p w14:paraId="5BCFA0E1" w14:textId="564DBDDC" w:rsidR="008C73CD" w:rsidRPr="004928FF" w:rsidRDefault="00F552F6" w:rsidP="008C73CD">
      <w:pPr>
        <w:pStyle w:val="Heading3"/>
      </w:pPr>
      <w:r>
        <w:fldChar w:fldCharType="begin"/>
      </w:r>
      <w:r>
        <w:instrText xml:space="preserve"> </w:instrText>
      </w:r>
      <w:proofErr w:type="gramStart"/>
      <w:r>
        <w:instrText>TC  "</w:instrText>
      </w:r>
      <w:bookmarkStart w:id="538" w:name="_Toc157520612"/>
      <w:proofErr w:type="gramEnd"/>
      <w:r>
        <w:instrText>1.2</w:instrText>
      </w:r>
      <w:r>
        <w:tab/>
        <w:instrText>Entity resource statement</w:instrText>
      </w:r>
      <w:bookmarkEnd w:id="538"/>
      <w:r>
        <w:instrText xml:space="preserve">" \f </w:instrText>
      </w:r>
      <w:proofErr w:type="spellStart"/>
      <w:r>
        <w:instrText>psr</w:instrText>
      </w:r>
      <w:proofErr w:type="spellEnd"/>
      <w:r>
        <w:instrText xml:space="preserve"> \l 2 </w:instrText>
      </w:r>
      <w:r>
        <w:fldChar w:fldCharType="end"/>
      </w:r>
      <w:bookmarkStart w:id="539" w:name="_Toc157592037"/>
      <w:bookmarkStart w:id="540" w:name="_Toc157592220"/>
      <w:r w:rsidR="008C73CD">
        <w:t>1.2</w:t>
      </w:r>
      <w:r w:rsidR="008C73CD">
        <w:tab/>
        <w:t>Entity resource statement</w:t>
      </w:r>
      <w:bookmarkEnd w:id="539"/>
      <w:bookmarkEnd w:id="540"/>
    </w:p>
    <w:p w14:paraId="475BBA0B" w14:textId="05E18C9B" w:rsidR="008C73CD" w:rsidRPr="00FB34B0" w:rsidRDefault="001B647E" w:rsidP="008C73CD">
      <w:pPr>
        <w:rPr>
          <w:sz w:val="20"/>
        </w:rPr>
      </w:pPr>
      <w:r>
        <w:rPr>
          <w:sz w:val="20"/>
        </w:rPr>
        <w:t>The e</w:t>
      </w:r>
      <w:r w:rsidR="008C73CD" w:rsidRPr="00FB34B0">
        <w:rPr>
          <w:sz w:val="20"/>
        </w:rPr>
        <w:t xml:space="preserve">ntity </w:t>
      </w:r>
      <w:r>
        <w:rPr>
          <w:sz w:val="20"/>
        </w:rPr>
        <w:t>r</w:t>
      </w:r>
      <w:r w:rsidR="008C73CD" w:rsidRPr="00FB34B0">
        <w:rPr>
          <w:sz w:val="20"/>
        </w:rPr>
        <w:t xml:space="preserve">esource </w:t>
      </w:r>
      <w:r>
        <w:rPr>
          <w:sz w:val="20"/>
        </w:rPr>
        <w:t>s</w:t>
      </w:r>
      <w:r w:rsidR="008C73CD" w:rsidRPr="00FB34B0">
        <w:rPr>
          <w:sz w:val="20"/>
        </w:rPr>
        <w:t xml:space="preserve">tatement details the resourcing for PSR at Additional Estimates. Table 1.1 outlines the total resourcing available from all sources for the </w:t>
      </w:r>
      <w:r w:rsidR="008C73CD" w:rsidRPr="00FB34B0">
        <w:rPr>
          <w:sz w:val="20"/>
        </w:rPr>
        <w:br/>
        <w:t xml:space="preserve">2023–24 Budget year, including variations through Appropriation Bills </w:t>
      </w:r>
      <w:r>
        <w:rPr>
          <w:sz w:val="20"/>
        </w:rPr>
        <w:t>(</w:t>
      </w:r>
      <w:r w:rsidR="008C73CD" w:rsidRPr="00FB34B0">
        <w:rPr>
          <w:sz w:val="20"/>
        </w:rPr>
        <w:t>No.</w:t>
      </w:r>
      <w:r>
        <w:rPr>
          <w:sz w:val="20"/>
        </w:rPr>
        <w:t> 3 </w:t>
      </w:r>
      <w:r w:rsidR="008C73CD" w:rsidRPr="00FB34B0">
        <w:rPr>
          <w:sz w:val="20"/>
        </w:rPr>
        <w:t>and</w:t>
      </w:r>
      <w:r>
        <w:rPr>
          <w:sz w:val="20"/>
        </w:rPr>
        <w:t> </w:t>
      </w:r>
      <w:r w:rsidR="008C73CD" w:rsidRPr="00FB34B0">
        <w:rPr>
          <w:sz w:val="20"/>
        </w:rPr>
        <w:t>4</w:t>
      </w:r>
      <w:r>
        <w:rPr>
          <w:sz w:val="20"/>
        </w:rPr>
        <w:t>)</w:t>
      </w:r>
      <w:r w:rsidR="008C73CD" w:rsidRPr="00FB34B0">
        <w:rPr>
          <w:i/>
          <w:sz w:val="20"/>
        </w:rPr>
        <w:t>,</w:t>
      </w:r>
      <w:r w:rsidR="008C73CD" w:rsidRPr="00FB34B0">
        <w:rPr>
          <w:sz w:val="20"/>
        </w:rPr>
        <w:t xml:space="preserve"> Special Appropriations and Special Accounts. </w:t>
      </w:r>
    </w:p>
    <w:p w14:paraId="6508A5AC" w14:textId="77777777" w:rsidR="006A45F7" w:rsidRDefault="008C73CD" w:rsidP="006A45F7">
      <w:pPr>
        <w:rPr>
          <w:sz w:val="20"/>
        </w:rPr>
      </w:pPr>
      <w:r w:rsidRPr="00FB34B0">
        <w:rPr>
          <w:sz w:val="20"/>
        </w:rPr>
        <w:t xml:space="preserve">Amounts presented below are consistent with amounts presented in the Appropriation Bills themselves, and as published in appropriation notes to the 2022–23 financial statements. </w:t>
      </w:r>
    </w:p>
    <w:p w14:paraId="1D6DFBB9" w14:textId="788DFFEC" w:rsidR="008C73CD" w:rsidRPr="006A45F7" w:rsidRDefault="008C73CD" w:rsidP="006A1872">
      <w:pPr>
        <w:spacing w:after="20"/>
        <w:rPr>
          <w:rFonts w:ascii="Arial" w:hAnsi="Arial" w:cs="Arial"/>
          <w:b/>
          <w:sz w:val="20"/>
        </w:rPr>
      </w:pPr>
      <w:r w:rsidRPr="006A45F7">
        <w:rPr>
          <w:rFonts w:ascii="Arial" w:hAnsi="Arial" w:cs="Arial"/>
          <w:b/>
          <w:sz w:val="20"/>
        </w:rPr>
        <w:t xml:space="preserve">Table 1.1: PSR resource statement — Additional Estimates for 2023–24 as </w:t>
      </w:r>
      <w:proofErr w:type="gramStart"/>
      <w:r w:rsidRPr="006A45F7">
        <w:rPr>
          <w:rFonts w:ascii="Arial" w:hAnsi="Arial" w:cs="Arial"/>
          <w:b/>
          <w:sz w:val="20"/>
        </w:rPr>
        <w:t>at</w:t>
      </w:r>
      <w:proofErr w:type="gramEnd"/>
      <w:r w:rsidRPr="006A45F7">
        <w:rPr>
          <w:rFonts w:ascii="Arial" w:hAnsi="Arial" w:cs="Arial"/>
          <w:b/>
          <w:sz w:val="20"/>
        </w:rPr>
        <w:t xml:space="preserve"> February 2024</w:t>
      </w:r>
      <w:r w:rsidR="00E83CB9">
        <w:rPr>
          <w:rFonts w:ascii="Arial" w:hAnsi="Arial" w:cs="Arial"/>
          <w:b/>
          <w:sz w:val="20"/>
        </w:rPr>
        <w:t xml:space="preserve"> </w:t>
      </w:r>
    </w:p>
    <w:tbl>
      <w:tblPr>
        <w:tblW w:w="7880" w:type="dxa"/>
        <w:jc w:val="center"/>
        <w:tblLayout w:type="fixed"/>
        <w:tblLook w:val="04A0" w:firstRow="1" w:lastRow="0" w:firstColumn="1" w:lastColumn="0" w:noHBand="0" w:noVBand="1"/>
      </w:tblPr>
      <w:tblGrid>
        <w:gridCol w:w="3293"/>
        <w:gridCol w:w="1216"/>
        <w:gridCol w:w="1165"/>
        <w:gridCol w:w="1112"/>
        <w:gridCol w:w="1094"/>
      </w:tblGrid>
      <w:tr w:rsidR="00521837" w:rsidRPr="001B50DE" w14:paraId="16058167" w14:textId="77777777" w:rsidTr="00521837">
        <w:trPr>
          <w:trHeight w:val="765"/>
          <w:jc w:val="center"/>
        </w:trPr>
        <w:tc>
          <w:tcPr>
            <w:tcW w:w="3293" w:type="dxa"/>
            <w:tcBorders>
              <w:top w:val="single" w:sz="4" w:space="0" w:color="auto"/>
              <w:left w:val="nil"/>
              <w:bottom w:val="nil"/>
              <w:right w:val="nil"/>
            </w:tcBorders>
            <w:shd w:val="clear" w:color="auto" w:fill="auto"/>
            <w:hideMark/>
          </w:tcPr>
          <w:p w14:paraId="1F5EBA68" w14:textId="31B7FFC9" w:rsidR="00521837" w:rsidRPr="001B50DE" w:rsidRDefault="00521837" w:rsidP="00521837">
            <w:pPr>
              <w:spacing w:before="24" w:after="0" w:line="240" w:lineRule="auto"/>
              <w:jc w:val="right"/>
              <w:rPr>
                <w:rFonts w:ascii="Arial" w:hAnsi="Arial" w:cs="Arial"/>
                <w:b/>
                <w:bCs/>
                <w:sz w:val="16"/>
                <w:szCs w:val="16"/>
              </w:rPr>
            </w:pPr>
            <w:r>
              <w:rPr>
                <w:rFonts w:ascii="Arial" w:hAnsi="Arial" w:cs="Arial"/>
                <w:b/>
                <w:bCs/>
                <w:sz w:val="16"/>
                <w:szCs w:val="16"/>
              </w:rPr>
              <w:t> </w:t>
            </w:r>
          </w:p>
        </w:tc>
        <w:tc>
          <w:tcPr>
            <w:tcW w:w="1216" w:type="dxa"/>
            <w:tcBorders>
              <w:top w:val="single" w:sz="4" w:space="0" w:color="auto"/>
              <w:left w:val="nil"/>
              <w:bottom w:val="single" w:sz="4" w:space="0" w:color="auto"/>
              <w:right w:val="nil"/>
            </w:tcBorders>
            <w:shd w:val="clear" w:color="auto" w:fill="auto"/>
            <w:tcMar>
              <w:left w:w="0" w:type="dxa"/>
            </w:tcMar>
            <w:hideMark/>
          </w:tcPr>
          <w:p w14:paraId="1021E53A" w14:textId="1600848E" w:rsidR="00521837" w:rsidRPr="001B50DE" w:rsidRDefault="00521837" w:rsidP="00521837">
            <w:pPr>
              <w:spacing w:before="24" w:after="0" w:line="240" w:lineRule="auto"/>
              <w:jc w:val="right"/>
              <w:rPr>
                <w:rFonts w:ascii="Arial" w:hAnsi="Arial" w:cs="Arial"/>
                <w:b/>
                <w:bCs/>
                <w:sz w:val="16"/>
                <w:szCs w:val="16"/>
              </w:rPr>
            </w:pPr>
            <w:r>
              <w:rPr>
                <w:rFonts w:ascii="Arial" w:hAnsi="Arial" w:cs="Arial"/>
                <w:b/>
                <w:bCs/>
                <w:sz w:val="16"/>
                <w:szCs w:val="16"/>
              </w:rPr>
              <w:t>2022</w:t>
            </w:r>
            <w:r w:rsidR="00E83CB9">
              <w:rPr>
                <w:rFonts w:ascii="Arial" w:hAnsi="Arial" w:cs="Arial"/>
                <w:b/>
                <w:bCs/>
                <w:sz w:val="16"/>
                <w:szCs w:val="16"/>
              </w:rPr>
              <w:t>–</w:t>
            </w:r>
            <w:r>
              <w:rPr>
                <w:rFonts w:ascii="Arial" w:hAnsi="Arial" w:cs="Arial"/>
                <w:b/>
                <w:bCs/>
                <w:sz w:val="16"/>
                <w:szCs w:val="16"/>
              </w:rPr>
              <w:t>23</w:t>
            </w:r>
            <w:r>
              <w:rPr>
                <w:rFonts w:ascii="Arial" w:hAnsi="Arial" w:cs="Arial"/>
                <w:b/>
                <w:bCs/>
                <w:sz w:val="16"/>
                <w:szCs w:val="16"/>
              </w:rPr>
              <w:br/>
              <w:t>Actual</w:t>
            </w:r>
            <w:r>
              <w:rPr>
                <w:rFonts w:ascii="Arial" w:hAnsi="Arial" w:cs="Arial"/>
                <w:b/>
                <w:bCs/>
                <w:sz w:val="16"/>
                <w:szCs w:val="16"/>
              </w:rPr>
              <w:br/>
              <w:t>available</w:t>
            </w:r>
            <w:r>
              <w:rPr>
                <w:rFonts w:ascii="Arial" w:hAnsi="Arial" w:cs="Arial"/>
                <w:b/>
                <w:bCs/>
                <w:sz w:val="16"/>
                <w:szCs w:val="16"/>
              </w:rPr>
              <w:br/>
              <w:t xml:space="preserve">appropriation                                                                                                                                                                                                                                                                                                                                                                                                                                                                                                                                               </w:t>
            </w:r>
            <w:r>
              <w:rPr>
                <w:rFonts w:ascii="Arial" w:hAnsi="Arial" w:cs="Arial"/>
                <w:sz w:val="16"/>
                <w:szCs w:val="16"/>
              </w:rPr>
              <w:t>$'000</w:t>
            </w:r>
          </w:p>
        </w:tc>
        <w:tc>
          <w:tcPr>
            <w:tcW w:w="1165" w:type="dxa"/>
            <w:tcBorders>
              <w:top w:val="single" w:sz="4" w:space="0" w:color="auto"/>
              <w:left w:val="nil"/>
              <w:bottom w:val="single" w:sz="4" w:space="0" w:color="auto"/>
              <w:right w:val="nil"/>
            </w:tcBorders>
            <w:shd w:val="clear" w:color="000000" w:fill="D9D9D9"/>
            <w:hideMark/>
          </w:tcPr>
          <w:p w14:paraId="7F639372" w14:textId="1B168F41" w:rsidR="00521837" w:rsidRPr="001B50DE" w:rsidRDefault="00E83CB9" w:rsidP="00521837">
            <w:pPr>
              <w:spacing w:before="24" w:after="0" w:line="240" w:lineRule="auto"/>
              <w:jc w:val="right"/>
              <w:rPr>
                <w:rFonts w:ascii="Arial" w:hAnsi="Arial" w:cs="Arial"/>
                <w:b/>
                <w:bCs/>
                <w:sz w:val="16"/>
                <w:szCs w:val="16"/>
              </w:rPr>
            </w:pPr>
            <w:r>
              <w:rPr>
                <w:rFonts w:ascii="Arial" w:hAnsi="Arial" w:cs="Arial"/>
                <w:b/>
                <w:bCs/>
                <w:sz w:val="16"/>
                <w:szCs w:val="16"/>
              </w:rPr>
              <w:t>2023–</w:t>
            </w:r>
            <w:r w:rsidR="00521837">
              <w:rPr>
                <w:rFonts w:ascii="Arial" w:hAnsi="Arial" w:cs="Arial"/>
                <w:b/>
                <w:bCs/>
                <w:sz w:val="16"/>
                <w:szCs w:val="16"/>
              </w:rPr>
              <w:t>24</w:t>
            </w:r>
            <w:r w:rsidR="00521837">
              <w:rPr>
                <w:rFonts w:ascii="Arial" w:hAnsi="Arial" w:cs="Arial"/>
                <w:b/>
                <w:bCs/>
                <w:sz w:val="16"/>
                <w:szCs w:val="16"/>
              </w:rPr>
              <w:br/>
              <w:t>Estimate as</w:t>
            </w:r>
            <w:r w:rsidR="00521837">
              <w:rPr>
                <w:rFonts w:ascii="Arial" w:hAnsi="Arial" w:cs="Arial"/>
                <w:b/>
                <w:bCs/>
                <w:sz w:val="16"/>
                <w:szCs w:val="16"/>
              </w:rPr>
              <w:br/>
              <w:t>at Budget</w:t>
            </w:r>
            <w:r w:rsidR="00521837">
              <w:rPr>
                <w:rFonts w:ascii="Arial" w:hAnsi="Arial" w:cs="Arial"/>
                <w:b/>
                <w:bCs/>
                <w:sz w:val="16"/>
                <w:szCs w:val="16"/>
              </w:rPr>
              <w:br/>
            </w:r>
            <w:r w:rsidR="00521837">
              <w:rPr>
                <w:rFonts w:ascii="Arial" w:hAnsi="Arial" w:cs="Arial"/>
                <w:b/>
                <w:bCs/>
                <w:sz w:val="16"/>
                <w:szCs w:val="16"/>
              </w:rPr>
              <w:br/>
            </w:r>
            <w:r w:rsidR="00521837">
              <w:rPr>
                <w:rFonts w:ascii="Arial" w:hAnsi="Arial" w:cs="Arial"/>
                <w:sz w:val="16"/>
                <w:szCs w:val="16"/>
              </w:rPr>
              <w:t>$'000</w:t>
            </w:r>
          </w:p>
        </w:tc>
        <w:tc>
          <w:tcPr>
            <w:tcW w:w="1112" w:type="dxa"/>
            <w:tcBorders>
              <w:top w:val="single" w:sz="4" w:space="0" w:color="auto"/>
              <w:left w:val="nil"/>
              <w:bottom w:val="single" w:sz="4" w:space="0" w:color="auto"/>
              <w:right w:val="nil"/>
            </w:tcBorders>
            <w:shd w:val="clear" w:color="auto" w:fill="auto"/>
            <w:hideMark/>
          </w:tcPr>
          <w:p w14:paraId="2A1C7127" w14:textId="4DF1A1BD" w:rsidR="00521837" w:rsidRPr="001B50DE" w:rsidRDefault="00E83CB9" w:rsidP="00521837">
            <w:pPr>
              <w:spacing w:before="24" w:after="0" w:line="240" w:lineRule="auto"/>
              <w:jc w:val="right"/>
              <w:rPr>
                <w:rFonts w:ascii="Arial" w:hAnsi="Arial" w:cs="Arial"/>
                <w:b/>
                <w:bCs/>
                <w:sz w:val="16"/>
                <w:szCs w:val="16"/>
              </w:rPr>
            </w:pPr>
            <w:r>
              <w:rPr>
                <w:rFonts w:ascii="Arial" w:hAnsi="Arial" w:cs="Arial"/>
                <w:b/>
                <w:bCs/>
                <w:sz w:val="16"/>
                <w:szCs w:val="16"/>
              </w:rPr>
              <w:t>2023–</w:t>
            </w:r>
            <w:r w:rsidR="00521837">
              <w:rPr>
                <w:rFonts w:ascii="Arial" w:hAnsi="Arial" w:cs="Arial"/>
                <w:b/>
                <w:bCs/>
                <w:sz w:val="16"/>
                <w:szCs w:val="16"/>
              </w:rPr>
              <w:t>24</w:t>
            </w:r>
            <w:r w:rsidR="00521837">
              <w:rPr>
                <w:rFonts w:ascii="Arial" w:hAnsi="Arial" w:cs="Arial"/>
                <w:b/>
                <w:bCs/>
                <w:sz w:val="16"/>
                <w:szCs w:val="16"/>
              </w:rPr>
              <w:br/>
              <w:t>Proposed</w:t>
            </w:r>
            <w:r w:rsidR="00521837">
              <w:rPr>
                <w:rFonts w:ascii="Arial" w:hAnsi="Arial" w:cs="Arial"/>
                <w:b/>
                <w:bCs/>
                <w:sz w:val="16"/>
                <w:szCs w:val="16"/>
              </w:rPr>
              <w:br/>
              <w:t>Additional</w:t>
            </w:r>
            <w:r w:rsidR="00521837">
              <w:rPr>
                <w:rFonts w:ascii="Arial" w:hAnsi="Arial" w:cs="Arial"/>
                <w:b/>
                <w:bCs/>
                <w:sz w:val="16"/>
                <w:szCs w:val="16"/>
              </w:rPr>
              <w:br/>
              <w:t>Estimate</w:t>
            </w:r>
            <w:r w:rsidR="00521837">
              <w:rPr>
                <w:rFonts w:ascii="Arial" w:hAnsi="Arial" w:cs="Arial"/>
                <w:b/>
                <w:bCs/>
                <w:sz w:val="16"/>
                <w:szCs w:val="16"/>
              </w:rPr>
              <w:br/>
            </w:r>
            <w:r w:rsidR="00521837">
              <w:rPr>
                <w:rFonts w:ascii="Arial" w:hAnsi="Arial" w:cs="Arial"/>
                <w:sz w:val="16"/>
                <w:szCs w:val="16"/>
              </w:rPr>
              <w:t>$'000</w:t>
            </w:r>
          </w:p>
        </w:tc>
        <w:tc>
          <w:tcPr>
            <w:tcW w:w="1094" w:type="dxa"/>
            <w:tcBorders>
              <w:top w:val="single" w:sz="4" w:space="0" w:color="auto"/>
              <w:left w:val="nil"/>
              <w:bottom w:val="single" w:sz="4" w:space="0" w:color="auto"/>
              <w:right w:val="nil"/>
            </w:tcBorders>
            <w:shd w:val="clear" w:color="auto" w:fill="auto"/>
            <w:hideMark/>
          </w:tcPr>
          <w:p w14:paraId="202DBF02" w14:textId="74FD55C0" w:rsidR="00521837" w:rsidRPr="001B50DE" w:rsidRDefault="00E83CB9" w:rsidP="00521837">
            <w:pPr>
              <w:spacing w:before="24" w:after="0" w:line="240" w:lineRule="auto"/>
              <w:jc w:val="right"/>
              <w:rPr>
                <w:rFonts w:ascii="Arial" w:hAnsi="Arial" w:cs="Arial"/>
                <w:b/>
                <w:bCs/>
                <w:sz w:val="16"/>
                <w:szCs w:val="16"/>
              </w:rPr>
            </w:pPr>
            <w:r>
              <w:rPr>
                <w:rFonts w:ascii="Arial" w:hAnsi="Arial" w:cs="Arial"/>
                <w:b/>
                <w:bCs/>
                <w:sz w:val="16"/>
                <w:szCs w:val="16"/>
              </w:rPr>
              <w:t>2023–</w:t>
            </w:r>
            <w:r w:rsidR="00521837">
              <w:rPr>
                <w:rFonts w:ascii="Arial" w:hAnsi="Arial" w:cs="Arial"/>
                <w:b/>
                <w:bCs/>
                <w:sz w:val="16"/>
                <w:szCs w:val="16"/>
              </w:rPr>
              <w:t>24</w:t>
            </w:r>
            <w:r w:rsidR="00521837">
              <w:rPr>
                <w:rFonts w:ascii="Arial" w:hAnsi="Arial" w:cs="Arial"/>
                <w:b/>
                <w:bCs/>
                <w:sz w:val="16"/>
                <w:szCs w:val="16"/>
              </w:rPr>
              <w:br/>
              <w:t>Total</w:t>
            </w:r>
            <w:r w:rsidR="00521837">
              <w:rPr>
                <w:rFonts w:ascii="Arial" w:hAnsi="Arial" w:cs="Arial"/>
                <w:b/>
                <w:bCs/>
                <w:sz w:val="16"/>
                <w:szCs w:val="16"/>
              </w:rPr>
              <w:br/>
              <w:t>estimate</w:t>
            </w:r>
            <w:r w:rsidR="00521837">
              <w:rPr>
                <w:rFonts w:ascii="Arial" w:hAnsi="Arial" w:cs="Arial"/>
                <w:b/>
                <w:bCs/>
                <w:sz w:val="16"/>
                <w:szCs w:val="16"/>
              </w:rPr>
              <w:br/>
              <w:t>at AEs</w:t>
            </w:r>
            <w:r w:rsidR="00521837">
              <w:rPr>
                <w:rFonts w:ascii="Arial" w:hAnsi="Arial" w:cs="Arial"/>
                <w:b/>
                <w:bCs/>
                <w:sz w:val="16"/>
                <w:szCs w:val="16"/>
              </w:rPr>
              <w:br/>
            </w:r>
            <w:r w:rsidR="00521837">
              <w:rPr>
                <w:rFonts w:ascii="Arial" w:hAnsi="Arial" w:cs="Arial"/>
                <w:sz w:val="16"/>
                <w:szCs w:val="16"/>
              </w:rPr>
              <w:t>$'000</w:t>
            </w:r>
          </w:p>
        </w:tc>
      </w:tr>
      <w:tr w:rsidR="00521837" w:rsidRPr="001B50DE" w14:paraId="6EA27691" w14:textId="77777777" w:rsidTr="00F51B52">
        <w:trPr>
          <w:trHeight w:val="225"/>
          <w:jc w:val="center"/>
        </w:trPr>
        <w:tc>
          <w:tcPr>
            <w:tcW w:w="3293" w:type="dxa"/>
            <w:tcBorders>
              <w:top w:val="nil"/>
              <w:left w:val="nil"/>
              <w:bottom w:val="nil"/>
              <w:right w:val="nil"/>
            </w:tcBorders>
            <w:shd w:val="clear" w:color="auto" w:fill="auto"/>
            <w:noWrap/>
            <w:vAlign w:val="bottom"/>
            <w:hideMark/>
          </w:tcPr>
          <w:p w14:paraId="6C41FF71" w14:textId="051A4689" w:rsidR="00521837" w:rsidRPr="001B50DE" w:rsidRDefault="00521837" w:rsidP="00521837">
            <w:pPr>
              <w:spacing w:before="0" w:after="0" w:line="240" w:lineRule="auto"/>
              <w:rPr>
                <w:rFonts w:ascii="Arial" w:hAnsi="Arial" w:cs="Arial"/>
                <w:b/>
                <w:bCs/>
                <w:sz w:val="16"/>
                <w:szCs w:val="16"/>
              </w:rPr>
            </w:pPr>
            <w:r>
              <w:rPr>
                <w:rFonts w:ascii="Arial" w:hAnsi="Arial" w:cs="Arial"/>
                <w:b/>
                <w:bCs/>
                <w:sz w:val="16"/>
                <w:szCs w:val="16"/>
              </w:rPr>
              <w:t>DEPARTMENTAL</w:t>
            </w:r>
          </w:p>
        </w:tc>
        <w:tc>
          <w:tcPr>
            <w:tcW w:w="1216" w:type="dxa"/>
            <w:tcBorders>
              <w:top w:val="nil"/>
              <w:left w:val="nil"/>
              <w:bottom w:val="nil"/>
              <w:right w:val="nil"/>
            </w:tcBorders>
            <w:shd w:val="clear" w:color="auto" w:fill="auto"/>
            <w:vAlign w:val="bottom"/>
            <w:hideMark/>
          </w:tcPr>
          <w:p w14:paraId="3AF186A4" w14:textId="77777777" w:rsidR="00521837" w:rsidRPr="001B50DE" w:rsidRDefault="00521837" w:rsidP="00521837">
            <w:pPr>
              <w:spacing w:before="0" w:after="0" w:line="240" w:lineRule="auto"/>
              <w:jc w:val="right"/>
              <w:rPr>
                <w:rFonts w:ascii="Arial" w:hAnsi="Arial" w:cs="Arial"/>
                <w:sz w:val="16"/>
                <w:szCs w:val="16"/>
              </w:rPr>
            </w:pPr>
          </w:p>
        </w:tc>
        <w:tc>
          <w:tcPr>
            <w:tcW w:w="1165" w:type="dxa"/>
            <w:tcBorders>
              <w:top w:val="nil"/>
              <w:left w:val="nil"/>
              <w:bottom w:val="nil"/>
              <w:right w:val="nil"/>
            </w:tcBorders>
            <w:shd w:val="clear" w:color="000000" w:fill="D9D9D9"/>
            <w:noWrap/>
            <w:vAlign w:val="bottom"/>
            <w:hideMark/>
          </w:tcPr>
          <w:p w14:paraId="5EC70D54" w14:textId="080E327B"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 </w:t>
            </w:r>
          </w:p>
        </w:tc>
        <w:tc>
          <w:tcPr>
            <w:tcW w:w="1112" w:type="dxa"/>
            <w:tcBorders>
              <w:top w:val="nil"/>
              <w:left w:val="nil"/>
              <w:bottom w:val="nil"/>
              <w:right w:val="nil"/>
            </w:tcBorders>
            <w:shd w:val="clear" w:color="auto" w:fill="auto"/>
            <w:noWrap/>
            <w:vAlign w:val="bottom"/>
            <w:hideMark/>
          </w:tcPr>
          <w:p w14:paraId="155741DC" w14:textId="77777777" w:rsidR="00521837" w:rsidRPr="001B50DE" w:rsidRDefault="00521837" w:rsidP="00521837">
            <w:pPr>
              <w:spacing w:before="0" w:after="0" w:line="240" w:lineRule="auto"/>
              <w:jc w:val="right"/>
              <w:rPr>
                <w:rFonts w:ascii="Arial" w:hAnsi="Arial" w:cs="Arial"/>
                <w:sz w:val="16"/>
                <w:szCs w:val="16"/>
              </w:rPr>
            </w:pPr>
          </w:p>
        </w:tc>
        <w:tc>
          <w:tcPr>
            <w:tcW w:w="1094" w:type="dxa"/>
            <w:tcBorders>
              <w:top w:val="nil"/>
              <w:left w:val="nil"/>
              <w:bottom w:val="nil"/>
              <w:right w:val="nil"/>
            </w:tcBorders>
            <w:shd w:val="clear" w:color="auto" w:fill="auto"/>
            <w:noWrap/>
            <w:vAlign w:val="bottom"/>
            <w:hideMark/>
          </w:tcPr>
          <w:p w14:paraId="4F864F71" w14:textId="77777777" w:rsidR="00521837" w:rsidRPr="001B50DE" w:rsidRDefault="00521837" w:rsidP="00521837">
            <w:pPr>
              <w:spacing w:before="0" w:after="0" w:line="240" w:lineRule="auto"/>
              <w:jc w:val="right"/>
              <w:rPr>
                <w:rFonts w:ascii="Times New Roman" w:hAnsi="Times New Roman"/>
                <w:sz w:val="20"/>
              </w:rPr>
            </w:pPr>
          </w:p>
        </w:tc>
      </w:tr>
      <w:tr w:rsidR="00521837" w:rsidRPr="001B50DE" w14:paraId="4C3AC1B2" w14:textId="77777777" w:rsidTr="00F51B52">
        <w:trPr>
          <w:trHeight w:val="225"/>
          <w:jc w:val="center"/>
        </w:trPr>
        <w:tc>
          <w:tcPr>
            <w:tcW w:w="3293" w:type="dxa"/>
            <w:tcBorders>
              <w:top w:val="nil"/>
              <w:left w:val="nil"/>
              <w:bottom w:val="nil"/>
              <w:right w:val="nil"/>
            </w:tcBorders>
            <w:shd w:val="clear" w:color="auto" w:fill="auto"/>
            <w:noWrap/>
            <w:vAlign w:val="bottom"/>
            <w:hideMark/>
          </w:tcPr>
          <w:p w14:paraId="69AB94AE" w14:textId="333DD2E2" w:rsidR="00521837" w:rsidRPr="001B50DE" w:rsidRDefault="00521837" w:rsidP="00521837">
            <w:pPr>
              <w:spacing w:before="0" w:after="0" w:line="240" w:lineRule="auto"/>
              <w:ind w:leftChars="75" w:left="143"/>
              <w:rPr>
                <w:rFonts w:ascii="Arial" w:hAnsi="Arial" w:cs="Arial"/>
                <w:sz w:val="16"/>
                <w:szCs w:val="16"/>
              </w:rPr>
            </w:pPr>
            <w:r>
              <w:rPr>
                <w:rFonts w:ascii="Arial" w:hAnsi="Arial" w:cs="Arial"/>
                <w:sz w:val="16"/>
                <w:szCs w:val="16"/>
              </w:rPr>
              <w:t>Prior year appropriation available</w:t>
            </w:r>
          </w:p>
        </w:tc>
        <w:tc>
          <w:tcPr>
            <w:tcW w:w="1216" w:type="dxa"/>
            <w:tcBorders>
              <w:top w:val="nil"/>
              <w:left w:val="nil"/>
              <w:bottom w:val="nil"/>
              <w:right w:val="nil"/>
            </w:tcBorders>
            <w:shd w:val="clear" w:color="auto" w:fill="auto"/>
            <w:noWrap/>
            <w:vAlign w:val="bottom"/>
            <w:hideMark/>
          </w:tcPr>
          <w:p w14:paraId="7673C8B9" w14:textId="76018213"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8,296</w:t>
            </w:r>
          </w:p>
        </w:tc>
        <w:tc>
          <w:tcPr>
            <w:tcW w:w="1165" w:type="dxa"/>
            <w:tcBorders>
              <w:top w:val="nil"/>
              <w:left w:val="nil"/>
              <w:bottom w:val="nil"/>
              <w:right w:val="nil"/>
            </w:tcBorders>
            <w:shd w:val="clear" w:color="000000" w:fill="D9D9D9"/>
            <w:noWrap/>
            <w:vAlign w:val="bottom"/>
            <w:hideMark/>
          </w:tcPr>
          <w:p w14:paraId="52E86887" w14:textId="0D039B0B"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9,170</w:t>
            </w:r>
          </w:p>
        </w:tc>
        <w:tc>
          <w:tcPr>
            <w:tcW w:w="1112" w:type="dxa"/>
            <w:tcBorders>
              <w:top w:val="nil"/>
              <w:left w:val="nil"/>
              <w:bottom w:val="nil"/>
              <w:right w:val="nil"/>
            </w:tcBorders>
            <w:shd w:val="clear" w:color="auto" w:fill="auto"/>
            <w:noWrap/>
            <w:vAlign w:val="bottom"/>
            <w:hideMark/>
          </w:tcPr>
          <w:p w14:paraId="38FEDEAE" w14:textId="17A691EF"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3,176</w:t>
            </w:r>
          </w:p>
        </w:tc>
        <w:tc>
          <w:tcPr>
            <w:tcW w:w="1094" w:type="dxa"/>
            <w:tcBorders>
              <w:top w:val="nil"/>
              <w:left w:val="nil"/>
              <w:bottom w:val="nil"/>
              <w:right w:val="nil"/>
            </w:tcBorders>
            <w:shd w:val="clear" w:color="auto" w:fill="auto"/>
            <w:noWrap/>
            <w:vAlign w:val="bottom"/>
            <w:hideMark/>
          </w:tcPr>
          <w:p w14:paraId="24B198AC" w14:textId="68C08D2B"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12,346</w:t>
            </w:r>
          </w:p>
        </w:tc>
      </w:tr>
      <w:tr w:rsidR="00521837" w:rsidRPr="001B50DE" w14:paraId="41F9E9B5" w14:textId="77777777" w:rsidTr="00E83CB9">
        <w:trPr>
          <w:trHeight w:val="283"/>
          <w:jc w:val="center"/>
        </w:trPr>
        <w:tc>
          <w:tcPr>
            <w:tcW w:w="3293" w:type="dxa"/>
            <w:tcBorders>
              <w:top w:val="nil"/>
              <w:left w:val="nil"/>
              <w:bottom w:val="nil"/>
              <w:right w:val="nil"/>
            </w:tcBorders>
            <w:shd w:val="clear" w:color="auto" w:fill="auto"/>
            <w:noWrap/>
            <w:vAlign w:val="bottom"/>
            <w:hideMark/>
          </w:tcPr>
          <w:p w14:paraId="0525A0E2" w14:textId="6CDA42E0" w:rsidR="00521837" w:rsidRPr="001B50DE" w:rsidRDefault="00521837" w:rsidP="00521837">
            <w:pPr>
              <w:spacing w:before="0" w:after="0" w:line="240" w:lineRule="auto"/>
              <w:ind w:leftChars="75" w:left="143"/>
              <w:rPr>
                <w:rFonts w:ascii="Arial" w:hAnsi="Arial" w:cs="Arial"/>
                <w:b/>
                <w:bCs/>
                <w:sz w:val="16"/>
                <w:szCs w:val="16"/>
              </w:rPr>
            </w:pPr>
            <w:r>
              <w:rPr>
                <w:rFonts w:ascii="Arial" w:hAnsi="Arial" w:cs="Arial"/>
                <w:b/>
                <w:bCs/>
                <w:sz w:val="16"/>
                <w:szCs w:val="16"/>
              </w:rPr>
              <w:t>Annual appropriations</w:t>
            </w:r>
          </w:p>
        </w:tc>
        <w:tc>
          <w:tcPr>
            <w:tcW w:w="1216" w:type="dxa"/>
            <w:tcBorders>
              <w:top w:val="nil"/>
              <w:left w:val="nil"/>
              <w:bottom w:val="nil"/>
              <w:right w:val="nil"/>
            </w:tcBorders>
            <w:shd w:val="clear" w:color="auto" w:fill="auto"/>
            <w:noWrap/>
            <w:vAlign w:val="bottom"/>
            <w:hideMark/>
          </w:tcPr>
          <w:p w14:paraId="0F99C211" w14:textId="77777777" w:rsidR="00521837" w:rsidRPr="001B50DE" w:rsidRDefault="00521837" w:rsidP="00521837">
            <w:pPr>
              <w:spacing w:before="0" w:after="0" w:line="240" w:lineRule="auto"/>
              <w:ind w:firstLineChars="100" w:firstLine="161"/>
              <w:rPr>
                <w:rFonts w:ascii="Arial" w:hAnsi="Arial" w:cs="Arial"/>
                <w:b/>
                <w:bCs/>
                <w:sz w:val="16"/>
                <w:szCs w:val="16"/>
              </w:rPr>
            </w:pPr>
          </w:p>
        </w:tc>
        <w:tc>
          <w:tcPr>
            <w:tcW w:w="1165" w:type="dxa"/>
            <w:tcBorders>
              <w:top w:val="nil"/>
              <w:left w:val="nil"/>
              <w:bottom w:val="nil"/>
              <w:right w:val="nil"/>
            </w:tcBorders>
            <w:shd w:val="clear" w:color="000000" w:fill="D9D9D9"/>
            <w:noWrap/>
            <w:vAlign w:val="bottom"/>
            <w:hideMark/>
          </w:tcPr>
          <w:p w14:paraId="18B6AFFD" w14:textId="3B2A4FD8"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 </w:t>
            </w:r>
          </w:p>
        </w:tc>
        <w:tc>
          <w:tcPr>
            <w:tcW w:w="1112" w:type="dxa"/>
            <w:tcBorders>
              <w:top w:val="nil"/>
              <w:left w:val="nil"/>
              <w:bottom w:val="nil"/>
              <w:right w:val="nil"/>
            </w:tcBorders>
            <w:shd w:val="clear" w:color="auto" w:fill="auto"/>
            <w:noWrap/>
            <w:vAlign w:val="bottom"/>
            <w:hideMark/>
          </w:tcPr>
          <w:p w14:paraId="338A3E06" w14:textId="77777777" w:rsidR="00521837" w:rsidRPr="001B50DE" w:rsidRDefault="00521837" w:rsidP="00521837">
            <w:pPr>
              <w:spacing w:before="0" w:after="0" w:line="240" w:lineRule="auto"/>
              <w:jc w:val="right"/>
              <w:rPr>
                <w:rFonts w:ascii="Arial" w:hAnsi="Arial" w:cs="Arial"/>
                <w:b/>
                <w:bCs/>
                <w:sz w:val="16"/>
                <w:szCs w:val="16"/>
              </w:rPr>
            </w:pPr>
          </w:p>
        </w:tc>
        <w:tc>
          <w:tcPr>
            <w:tcW w:w="1094" w:type="dxa"/>
            <w:tcBorders>
              <w:top w:val="nil"/>
              <w:left w:val="nil"/>
              <w:bottom w:val="nil"/>
              <w:right w:val="nil"/>
            </w:tcBorders>
            <w:shd w:val="clear" w:color="auto" w:fill="auto"/>
            <w:noWrap/>
            <w:vAlign w:val="bottom"/>
            <w:hideMark/>
          </w:tcPr>
          <w:p w14:paraId="597A4019" w14:textId="77777777" w:rsidR="00521837" w:rsidRPr="001B50DE" w:rsidRDefault="00521837" w:rsidP="00521837">
            <w:pPr>
              <w:spacing w:before="0" w:after="0" w:line="240" w:lineRule="auto"/>
              <w:jc w:val="right"/>
              <w:rPr>
                <w:rFonts w:ascii="Times New Roman" w:hAnsi="Times New Roman"/>
                <w:sz w:val="20"/>
              </w:rPr>
            </w:pPr>
          </w:p>
        </w:tc>
      </w:tr>
      <w:tr w:rsidR="00521837" w:rsidRPr="001B50DE" w14:paraId="123D19E5" w14:textId="77777777" w:rsidTr="00F51B52">
        <w:trPr>
          <w:trHeight w:val="228"/>
          <w:jc w:val="center"/>
        </w:trPr>
        <w:tc>
          <w:tcPr>
            <w:tcW w:w="3293" w:type="dxa"/>
            <w:tcBorders>
              <w:top w:val="nil"/>
              <w:left w:val="nil"/>
              <w:bottom w:val="nil"/>
              <w:right w:val="nil"/>
            </w:tcBorders>
            <w:shd w:val="clear" w:color="auto" w:fill="auto"/>
            <w:noWrap/>
            <w:vAlign w:val="bottom"/>
            <w:hideMark/>
          </w:tcPr>
          <w:p w14:paraId="2B878A70" w14:textId="53A12AE5" w:rsidR="00521837" w:rsidRPr="001B50DE" w:rsidRDefault="001B647E" w:rsidP="00521837">
            <w:pPr>
              <w:spacing w:before="0" w:after="0" w:line="240" w:lineRule="auto"/>
              <w:ind w:leftChars="150" w:left="285"/>
              <w:rPr>
                <w:rFonts w:ascii="Arial" w:hAnsi="Arial" w:cs="Arial"/>
                <w:sz w:val="16"/>
                <w:szCs w:val="16"/>
              </w:rPr>
            </w:pPr>
            <w:r>
              <w:rPr>
                <w:rFonts w:ascii="Arial" w:hAnsi="Arial" w:cs="Arial"/>
                <w:sz w:val="16"/>
                <w:szCs w:val="16"/>
              </w:rPr>
              <w:t>Ordinary annual services</w:t>
            </w:r>
            <w:r w:rsidR="00521837">
              <w:rPr>
                <w:rFonts w:ascii="Arial" w:hAnsi="Arial" w:cs="Arial"/>
                <w:sz w:val="16"/>
                <w:szCs w:val="16"/>
                <w:vertAlign w:val="superscript"/>
              </w:rPr>
              <w:t>(a)</w:t>
            </w:r>
          </w:p>
        </w:tc>
        <w:tc>
          <w:tcPr>
            <w:tcW w:w="1216" w:type="dxa"/>
            <w:tcBorders>
              <w:top w:val="nil"/>
              <w:left w:val="nil"/>
              <w:bottom w:val="nil"/>
              <w:right w:val="nil"/>
            </w:tcBorders>
            <w:shd w:val="clear" w:color="auto" w:fill="auto"/>
            <w:noWrap/>
            <w:vAlign w:val="bottom"/>
            <w:hideMark/>
          </w:tcPr>
          <w:p w14:paraId="09D6C1AF" w14:textId="77777777" w:rsidR="00521837" w:rsidRPr="001B50DE" w:rsidRDefault="00521837" w:rsidP="00521837">
            <w:pPr>
              <w:spacing w:before="0" w:after="0" w:line="240" w:lineRule="auto"/>
              <w:ind w:firstLineChars="200" w:firstLine="320"/>
              <w:rPr>
                <w:rFonts w:ascii="Arial" w:hAnsi="Arial" w:cs="Arial"/>
                <w:sz w:val="16"/>
                <w:szCs w:val="16"/>
              </w:rPr>
            </w:pPr>
          </w:p>
        </w:tc>
        <w:tc>
          <w:tcPr>
            <w:tcW w:w="1165" w:type="dxa"/>
            <w:tcBorders>
              <w:top w:val="nil"/>
              <w:left w:val="nil"/>
              <w:bottom w:val="nil"/>
              <w:right w:val="nil"/>
            </w:tcBorders>
            <w:shd w:val="clear" w:color="000000" w:fill="D9D9D9"/>
            <w:noWrap/>
            <w:vAlign w:val="bottom"/>
            <w:hideMark/>
          </w:tcPr>
          <w:p w14:paraId="0ED105A2" w14:textId="2303AEEE"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 </w:t>
            </w:r>
          </w:p>
        </w:tc>
        <w:tc>
          <w:tcPr>
            <w:tcW w:w="1112" w:type="dxa"/>
            <w:tcBorders>
              <w:top w:val="nil"/>
              <w:left w:val="nil"/>
              <w:bottom w:val="nil"/>
              <w:right w:val="nil"/>
            </w:tcBorders>
            <w:shd w:val="clear" w:color="auto" w:fill="auto"/>
            <w:noWrap/>
            <w:vAlign w:val="bottom"/>
            <w:hideMark/>
          </w:tcPr>
          <w:p w14:paraId="03D1CE07" w14:textId="77777777" w:rsidR="00521837" w:rsidRPr="001B50DE" w:rsidRDefault="00521837" w:rsidP="00521837">
            <w:pPr>
              <w:spacing w:before="0" w:after="0" w:line="240" w:lineRule="auto"/>
              <w:jc w:val="right"/>
              <w:rPr>
                <w:rFonts w:ascii="Arial" w:hAnsi="Arial" w:cs="Arial"/>
                <w:b/>
                <w:bCs/>
                <w:sz w:val="16"/>
                <w:szCs w:val="16"/>
              </w:rPr>
            </w:pPr>
          </w:p>
        </w:tc>
        <w:tc>
          <w:tcPr>
            <w:tcW w:w="1094" w:type="dxa"/>
            <w:tcBorders>
              <w:top w:val="nil"/>
              <w:left w:val="nil"/>
              <w:bottom w:val="nil"/>
              <w:right w:val="nil"/>
            </w:tcBorders>
            <w:shd w:val="clear" w:color="auto" w:fill="auto"/>
            <w:noWrap/>
            <w:vAlign w:val="bottom"/>
            <w:hideMark/>
          </w:tcPr>
          <w:p w14:paraId="22D9A289" w14:textId="77777777" w:rsidR="00521837" w:rsidRPr="001B50DE" w:rsidRDefault="00521837" w:rsidP="00521837">
            <w:pPr>
              <w:spacing w:before="0" w:after="0" w:line="240" w:lineRule="auto"/>
              <w:jc w:val="right"/>
              <w:rPr>
                <w:rFonts w:ascii="Times New Roman" w:hAnsi="Times New Roman"/>
                <w:sz w:val="20"/>
              </w:rPr>
            </w:pPr>
          </w:p>
        </w:tc>
      </w:tr>
      <w:tr w:rsidR="00521837" w:rsidRPr="001B50DE" w14:paraId="21CED4FA" w14:textId="77777777" w:rsidTr="00F51B52">
        <w:trPr>
          <w:trHeight w:val="225"/>
          <w:jc w:val="center"/>
        </w:trPr>
        <w:tc>
          <w:tcPr>
            <w:tcW w:w="3293" w:type="dxa"/>
            <w:tcBorders>
              <w:top w:val="nil"/>
              <w:left w:val="nil"/>
              <w:bottom w:val="nil"/>
              <w:right w:val="nil"/>
            </w:tcBorders>
            <w:shd w:val="clear" w:color="auto" w:fill="auto"/>
            <w:noWrap/>
            <w:vAlign w:val="bottom"/>
            <w:hideMark/>
          </w:tcPr>
          <w:p w14:paraId="4D171B8A" w14:textId="31828902" w:rsidR="00521837" w:rsidRPr="001B50DE" w:rsidRDefault="00521837" w:rsidP="00521837">
            <w:pPr>
              <w:spacing w:before="0" w:after="0" w:line="240" w:lineRule="auto"/>
              <w:ind w:leftChars="225" w:left="428"/>
              <w:rPr>
                <w:rFonts w:ascii="Arial" w:hAnsi="Arial" w:cs="Arial"/>
                <w:sz w:val="16"/>
                <w:szCs w:val="16"/>
              </w:rPr>
            </w:pPr>
            <w:r>
              <w:rPr>
                <w:rFonts w:ascii="Arial" w:hAnsi="Arial" w:cs="Arial"/>
                <w:sz w:val="16"/>
                <w:szCs w:val="16"/>
              </w:rPr>
              <w:t>Departmental appropriation</w:t>
            </w:r>
          </w:p>
        </w:tc>
        <w:tc>
          <w:tcPr>
            <w:tcW w:w="1216" w:type="dxa"/>
            <w:tcBorders>
              <w:top w:val="nil"/>
              <w:left w:val="nil"/>
              <w:bottom w:val="nil"/>
              <w:right w:val="nil"/>
            </w:tcBorders>
            <w:shd w:val="clear" w:color="auto" w:fill="auto"/>
            <w:noWrap/>
            <w:vAlign w:val="bottom"/>
            <w:hideMark/>
          </w:tcPr>
          <w:p w14:paraId="0A886390" w14:textId="54223A09"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13,588</w:t>
            </w:r>
          </w:p>
        </w:tc>
        <w:tc>
          <w:tcPr>
            <w:tcW w:w="1165" w:type="dxa"/>
            <w:tcBorders>
              <w:top w:val="nil"/>
              <w:left w:val="nil"/>
              <w:bottom w:val="nil"/>
              <w:right w:val="nil"/>
            </w:tcBorders>
            <w:shd w:val="clear" w:color="000000" w:fill="D9D9D9"/>
            <w:noWrap/>
            <w:vAlign w:val="bottom"/>
            <w:hideMark/>
          </w:tcPr>
          <w:p w14:paraId="2D604A67" w14:textId="2329E41B"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13,705</w:t>
            </w:r>
          </w:p>
        </w:tc>
        <w:tc>
          <w:tcPr>
            <w:tcW w:w="1112" w:type="dxa"/>
            <w:tcBorders>
              <w:top w:val="nil"/>
              <w:left w:val="nil"/>
              <w:bottom w:val="nil"/>
              <w:right w:val="nil"/>
            </w:tcBorders>
            <w:shd w:val="clear" w:color="auto" w:fill="auto"/>
            <w:noWrap/>
            <w:vAlign w:val="bottom"/>
            <w:hideMark/>
          </w:tcPr>
          <w:p w14:paraId="62132902" w14:textId="15907D39"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(500)</w:t>
            </w:r>
          </w:p>
        </w:tc>
        <w:tc>
          <w:tcPr>
            <w:tcW w:w="1094" w:type="dxa"/>
            <w:tcBorders>
              <w:top w:val="nil"/>
              <w:left w:val="nil"/>
              <w:bottom w:val="nil"/>
              <w:right w:val="nil"/>
            </w:tcBorders>
            <w:shd w:val="clear" w:color="auto" w:fill="auto"/>
            <w:noWrap/>
            <w:vAlign w:val="bottom"/>
            <w:hideMark/>
          </w:tcPr>
          <w:p w14:paraId="14191888" w14:textId="7966A8F7"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13,205</w:t>
            </w:r>
          </w:p>
        </w:tc>
      </w:tr>
      <w:tr w:rsidR="00521837" w:rsidRPr="001B50DE" w14:paraId="75A7BB25" w14:textId="77777777" w:rsidTr="00F51B52">
        <w:trPr>
          <w:trHeight w:val="228"/>
          <w:jc w:val="center"/>
        </w:trPr>
        <w:tc>
          <w:tcPr>
            <w:tcW w:w="3293" w:type="dxa"/>
            <w:tcBorders>
              <w:top w:val="nil"/>
              <w:left w:val="nil"/>
              <w:bottom w:val="nil"/>
              <w:right w:val="nil"/>
            </w:tcBorders>
            <w:shd w:val="clear" w:color="auto" w:fill="auto"/>
            <w:noWrap/>
            <w:vAlign w:val="bottom"/>
            <w:hideMark/>
          </w:tcPr>
          <w:p w14:paraId="16CD3DCF" w14:textId="7C2252CC" w:rsidR="00521837" w:rsidRPr="001B50DE" w:rsidRDefault="00521837" w:rsidP="001B647E">
            <w:pPr>
              <w:spacing w:before="0" w:after="0" w:line="240" w:lineRule="auto"/>
              <w:ind w:leftChars="225" w:left="428"/>
              <w:rPr>
                <w:rFonts w:ascii="Arial" w:hAnsi="Arial" w:cs="Arial"/>
                <w:sz w:val="16"/>
                <w:szCs w:val="16"/>
              </w:rPr>
            </w:pPr>
            <w:r>
              <w:rPr>
                <w:rFonts w:ascii="Arial" w:hAnsi="Arial" w:cs="Arial"/>
                <w:sz w:val="16"/>
                <w:szCs w:val="16"/>
              </w:rPr>
              <w:t>s74 retained revenue receipts</w:t>
            </w:r>
            <w:r>
              <w:rPr>
                <w:rFonts w:ascii="Arial" w:hAnsi="Arial" w:cs="Arial"/>
                <w:sz w:val="16"/>
                <w:szCs w:val="16"/>
                <w:vertAlign w:val="superscript"/>
              </w:rPr>
              <w:t>(b)</w:t>
            </w:r>
          </w:p>
        </w:tc>
        <w:tc>
          <w:tcPr>
            <w:tcW w:w="1216" w:type="dxa"/>
            <w:tcBorders>
              <w:top w:val="nil"/>
              <w:left w:val="nil"/>
              <w:bottom w:val="nil"/>
              <w:right w:val="nil"/>
            </w:tcBorders>
            <w:shd w:val="clear" w:color="auto" w:fill="auto"/>
            <w:noWrap/>
            <w:vAlign w:val="bottom"/>
            <w:hideMark/>
          </w:tcPr>
          <w:p w14:paraId="5AC8F082" w14:textId="6BAABD02"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165" w:type="dxa"/>
            <w:tcBorders>
              <w:top w:val="nil"/>
              <w:left w:val="nil"/>
              <w:bottom w:val="nil"/>
              <w:right w:val="nil"/>
            </w:tcBorders>
            <w:shd w:val="clear" w:color="000000" w:fill="D9D9D9"/>
            <w:noWrap/>
            <w:vAlign w:val="bottom"/>
            <w:hideMark/>
          </w:tcPr>
          <w:p w14:paraId="69BFA1E9" w14:textId="0035509C"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112" w:type="dxa"/>
            <w:tcBorders>
              <w:top w:val="nil"/>
              <w:left w:val="nil"/>
              <w:bottom w:val="nil"/>
              <w:right w:val="nil"/>
            </w:tcBorders>
            <w:shd w:val="clear" w:color="auto" w:fill="auto"/>
            <w:noWrap/>
            <w:vAlign w:val="bottom"/>
            <w:hideMark/>
          </w:tcPr>
          <w:p w14:paraId="77B35D0E" w14:textId="09B264BB"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094" w:type="dxa"/>
            <w:tcBorders>
              <w:top w:val="nil"/>
              <w:left w:val="nil"/>
              <w:bottom w:val="nil"/>
              <w:right w:val="nil"/>
            </w:tcBorders>
            <w:shd w:val="clear" w:color="auto" w:fill="auto"/>
            <w:noWrap/>
            <w:vAlign w:val="bottom"/>
            <w:hideMark/>
          </w:tcPr>
          <w:p w14:paraId="3705D421" w14:textId="70083CF1"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r>
      <w:tr w:rsidR="00521837" w:rsidRPr="001B50DE" w14:paraId="4619180E" w14:textId="77777777" w:rsidTr="00F51B52">
        <w:trPr>
          <w:trHeight w:val="228"/>
          <w:jc w:val="center"/>
        </w:trPr>
        <w:tc>
          <w:tcPr>
            <w:tcW w:w="3293" w:type="dxa"/>
            <w:tcBorders>
              <w:top w:val="nil"/>
              <w:left w:val="nil"/>
              <w:bottom w:val="nil"/>
              <w:right w:val="nil"/>
            </w:tcBorders>
            <w:shd w:val="clear" w:color="auto" w:fill="auto"/>
            <w:noWrap/>
            <w:vAlign w:val="bottom"/>
            <w:hideMark/>
          </w:tcPr>
          <w:p w14:paraId="3EC36D62" w14:textId="54B1F91E" w:rsidR="00521837" w:rsidRPr="001B50DE" w:rsidRDefault="00521837" w:rsidP="001B647E">
            <w:pPr>
              <w:spacing w:before="0" w:after="0" w:line="240" w:lineRule="auto"/>
              <w:ind w:leftChars="225" w:left="428"/>
              <w:rPr>
                <w:rFonts w:ascii="Arial" w:hAnsi="Arial" w:cs="Arial"/>
                <w:sz w:val="16"/>
                <w:szCs w:val="16"/>
              </w:rPr>
            </w:pPr>
            <w:r>
              <w:rPr>
                <w:rFonts w:ascii="Arial" w:hAnsi="Arial" w:cs="Arial"/>
                <w:sz w:val="16"/>
                <w:szCs w:val="16"/>
              </w:rPr>
              <w:t>Departmental Capital Budget</w:t>
            </w:r>
            <w:r>
              <w:rPr>
                <w:rFonts w:ascii="Arial" w:hAnsi="Arial" w:cs="Arial"/>
                <w:sz w:val="16"/>
                <w:szCs w:val="16"/>
                <w:vertAlign w:val="superscript"/>
              </w:rPr>
              <w:t>(c)</w:t>
            </w:r>
          </w:p>
        </w:tc>
        <w:tc>
          <w:tcPr>
            <w:tcW w:w="1216" w:type="dxa"/>
            <w:tcBorders>
              <w:top w:val="nil"/>
              <w:left w:val="nil"/>
              <w:bottom w:val="nil"/>
              <w:right w:val="nil"/>
            </w:tcBorders>
            <w:shd w:val="clear" w:color="auto" w:fill="auto"/>
            <w:noWrap/>
            <w:vAlign w:val="bottom"/>
            <w:hideMark/>
          </w:tcPr>
          <w:p w14:paraId="6A4814A7" w14:textId="47FE5584"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954</w:t>
            </w:r>
          </w:p>
        </w:tc>
        <w:tc>
          <w:tcPr>
            <w:tcW w:w="1165" w:type="dxa"/>
            <w:tcBorders>
              <w:top w:val="nil"/>
              <w:left w:val="nil"/>
              <w:bottom w:val="nil"/>
              <w:right w:val="nil"/>
            </w:tcBorders>
            <w:shd w:val="clear" w:color="000000" w:fill="D9D9D9"/>
            <w:noWrap/>
            <w:vAlign w:val="bottom"/>
            <w:hideMark/>
          </w:tcPr>
          <w:p w14:paraId="6A4D3284" w14:textId="037A61A4"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2,136</w:t>
            </w:r>
          </w:p>
        </w:tc>
        <w:tc>
          <w:tcPr>
            <w:tcW w:w="1112" w:type="dxa"/>
            <w:tcBorders>
              <w:top w:val="nil"/>
              <w:left w:val="nil"/>
              <w:bottom w:val="nil"/>
              <w:right w:val="nil"/>
            </w:tcBorders>
            <w:shd w:val="clear" w:color="auto" w:fill="auto"/>
            <w:noWrap/>
            <w:vAlign w:val="bottom"/>
            <w:hideMark/>
          </w:tcPr>
          <w:p w14:paraId="2E97E8B7" w14:textId="70D1B88A"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500</w:t>
            </w:r>
          </w:p>
        </w:tc>
        <w:tc>
          <w:tcPr>
            <w:tcW w:w="1094" w:type="dxa"/>
            <w:tcBorders>
              <w:top w:val="nil"/>
              <w:left w:val="nil"/>
              <w:bottom w:val="nil"/>
              <w:right w:val="nil"/>
            </w:tcBorders>
            <w:shd w:val="clear" w:color="auto" w:fill="auto"/>
            <w:noWrap/>
            <w:vAlign w:val="bottom"/>
            <w:hideMark/>
          </w:tcPr>
          <w:p w14:paraId="14C78A80" w14:textId="235CA88A"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2,636</w:t>
            </w:r>
          </w:p>
        </w:tc>
      </w:tr>
      <w:tr w:rsidR="00521837" w:rsidRPr="001B50DE" w14:paraId="7A1AB50D" w14:textId="77777777" w:rsidTr="00F51B52">
        <w:trPr>
          <w:trHeight w:val="228"/>
          <w:jc w:val="center"/>
        </w:trPr>
        <w:tc>
          <w:tcPr>
            <w:tcW w:w="3293" w:type="dxa"/>
            <w:tcBorders>
              <w:top w:val="nil"/>
              <w:left w:val="nil"/>
              <w:bottom w:val="nil"/>
              <w:right w:val="nil"/>
            </w:tcBorders>
            <w:shd w:val="clear" w:color="auto" w:fill="auto"/>
            <w:noWrap/>
            <w:vAlign w:val="bottom"/>
            <w:hideMark/>
          </w:tcPr>
          <w:p w14:paraId="4BBCBCD5" w14:textId="6FB728BA" w:rsidR="00521837" w:rsidRPr="001B50DE" w:rsidRDefault="00521837" w:rsidP="00521837">
            <w:pPr>
              <w:spacing w:before="0" w:after="0" w:line="240" w:lineRule="auto"/>
              <w:ind w:leftChars="150" w:left="285"/>
              <w:rPr>
                <w:rFonts w:ascii="Arial" w:hAnsi="Arial" w:cs="Arial"/>
                <w:sz w:val="16"/>
                <w:szCs w:val="16"/>
              </w:rPr>
            </w:pPr>
            <w:r>
              <w:rPr>
                <w:rFonts w:ascii="Arial" w:hAnsi="Arial" w:cs="Arial"/>
                <w:sz w:val="16"/>
                <w:szCs w:val="16"/>
              </w:rPr>
              <w:t xml:space="preserve">Other services </w:t>
            </w:r>
            <w:r>
              <w:rPr>
                <w:rFonts w:ascii="Arial" w:hAnsi="Arial" w:cs="Arial"/>
                <w:sz w:val="16"/>
                <w:szCs w:val="16"/>
                <w:vertAlign w:val="superscript"/>
              </w:rPr>
              <w:t>(d)</w:t>
            </w:r>
          </w:p>
        </w:tc>
        <w:tc>
          <w:tcPr>
            <w:tcW w:w="1216" w:type="dxa"/>
            <w:tcBorders>
              <w:top w:val="nil"/>
              <w:left w:val="nil"/>
              <w:bottom w:val="nil"/>
              <w:right w:val="nil"/>
            </w:tcBorders>
            <w:shd w:val="clear" w:color="auto" w:fill="auto"/>
            <w:noWrap/>
            <w:vAlign w:val="bottom"/>
            <w:hideMark/>
          </w:tcPr>
          <w:p w14:paraId="22A518DD" w14:textId="77777777" w:rsidR="00521837" w:rsidRPr="001B50DE" w:rsidRDefault="00521837" w:rsidP="00521837">
            <w:pPr>
              <w:spacing w:before="0" w:after="0" w:line="240" w:lineRule="auto"/>
              <w:ind w:firstLineChars="200" w:firstLine="320"/>
              <w:rPr>
                <w:rFonts w:ascii="Arial" w:hAnsi="Arial" w:cs="Arial"/>
                <w:sz w:val="16"/>
                <w:szCs w:val="16"/>
              </w:rPr>
            </w:pPr>
          </w:p>
        </w:tc>
        <w:tc>
          <w:tcPr>
            <w:tcW w:w="1165" w:type="dxa"/>
            <w:tcBorders>
              <w:top w:val="nil"/>
              <w:left w:val="nil"/>
              <w:bottom w:val="nil"/>
              <w:right w:val="nil"/>
            </w:tcBorders>
            <w:shd w:val="clear" w:color="000000" w:fill="D9D9D9"/>
            <w:noWrap/>
            <w:vAlign w:val="bottom"/>
            <w:hideMark/>
          </w:tcPr>
          <w:p w14:paraId="32B795D3" w14:textId="509692B5"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 </w:t>
            </w:r>
          </w:p>
        </w:tc>
        <w:tc>
          <w:tcPr>
            <w:tcW w:w="1112" w:type="dxa"/>
            <w:tcBorders>
              <w:top w:val="nil"/>
              <w:left w:val="nil"/>
              <w:bottom w:val="nil"/>
              <w:right w:val="nil"/>
            </w:tcBorders>
            <w:shd w:val="clear" w:color="auto" w:fill="auto"/>
            <w:noWrap/>
            <w:vAlign w:val="bottom"/>
            <w:hideMark/>
          </w:tcPr>
          <w:p w14:paraId="47FB9AB1" w14:textId="77777777" w:rsidR="00521837" w:rsidRPr="001B50DE" w:rsidRDefault="00521837" w:rsidP="00521837">
            <w:pPr>
              <w:spacing w:before="0" w:after="0" w:line="240" w:lineRule="auto"/>
              <w:jc w:val="right"/>
              <w:rPr>
                <w:rFonts w:ascii="Arial" w:hAnsi="Arial" w:cs="Arial"/>
                <w:sz w:val="16"/>
                <w:szCs w:val="16"/>
              </w:rPr>
            </w:pPr>
          </w:p>
        </w:tc>
        <w:tc>
          <w:tcPr>
            <w:tcW w:w="1094" w:type="dxa"/>
            <w:tcBorders>
              <w:top w:val="nil"/>
              <w:left w:val="nil"/>
              <w:bottom w:val="nil"/>
              <w:right w:val="nil"/>
            </w:tcBorders>
            <w:shd w:val="clear" w:color="auto" w:fill="auto"/>
            <w:noWrap/>
            <w:vAlign w:val="bottom"/>
            <w:hideMark/>
          </w:tcPr>
          <w:p w14:paraId="1A6A4661" w14:textId="77777777" w:rsidR="00521837" w:rsidRPr="001B50DE" w:rsidRDefault="00521837" w:rsidP="00521837">
            <w:pPr>
              <w:spacing w:before="0" w:after="0" w:line="240" w:lineRule="auto"/>
              <w:jc w:val="right"/>
              <w:rPr>
                <w:rFonts w:ascii="Times New Roman" w:hAnsi="Times New Roman"/>
                <w:sz w:val="20"/>
              </w:rPr>
            </w:pPr>
          </w:p>
        </w:tc>
      </w:tr>
      <w:tr w:rsidR="00521837" w:rsidRPr="001B50DE" w14:paraId="24B149B6" w14:textId="77777777" w:rsidTr="00F51B52">
        <w:trPr>
          <w:trHeight w:val="225"/>
          <w:jc w:val="center"/>
        </w:trPr>
        <w:tc>
          <w:tcPr>
            <w:tcW w:w="3293" w:type="dxa"/>
            <w:tcBorders>
              <w:top w:val="nil"/>
              <w:left w:val="nil"/>
              <w:bottom w:val="nil"/>
              <w:right w:val="nil"/>
            </w:tcBorders>
            <w:shd w:val="clear" w:color="auto" w:fill="auto"/>
            <w:noWrap/>
            <w:vAlign w:val="bottom"/>
            <w:hideMark/>
          </w:tcPr>
          <w:p w14:paraId="6DA0AE4E" w14:textId="4936A6A3" w:rsidR="00521837" w:rsidRPr="001B50DE" w:rsidRDefault="00521837" w:rsidP="00521837">
            <w:pPr>
              <w:spacing w:before="0" w:after="0" w:line="240" w:lineRule="auto"/>
              <w:ind w:leftChars="225" w:left="428"/>
              <w:rPr>
                <w:rFonts w:ascii="Arial" w:hAnsi="Arial" w:cs="Arial"/>
                <w:sz w:val="16"/>
                <w:szCs w:val="16"/>
              </w:rPr>
            </w:pPr>
            <w:r>
              <w:rPr>
                <w:rFonts w:ascii="Arial" w:hAnsi="Arial" w:cs="Arial"/>
                <w:sz w:val="16"/>
                <w:szCs w:val="16"/>
              </w:rPr>
              <w:t>Equity injection</w:t>
            </w:r>
          </w:p>
        </w:tc>
        <w:tc>
          <w:tcPr>
            <w:tcW w:w="1216" w:type="dxa"/>
            <w:tcBorders>
              <w:top w:val="nil"/>
              <w:left w:val="nil"/>
              <w:bottom w:val="nil"/>
              <w:right w:val="nil"/>
            </w:tcBorders>
            <w:shd w:val="clear" w:color="auto" w:fill="auto"/>
            <w:noWrap/>
            <w:vAlign w:val="bottom"/>
            <w:hideMark/>
          </w:tcPr>
          <w:p w14:paraId="484BC678" w14:textId="2CFEFE41"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165" w:type="dxa"/>
            <w:tcBorders>
              <w:top w:val="nil"/>
              <w:left w:val="nil"/>
              <w:bottom w:val="nil"/>
              <w:right w:val="nil"/>
            </w:tcBorders>
            <w:shd w:val="clear" w:color="000000" w:fill="D9D9D9"/>
            <w:noWrap/>
            <w:vAlign w:val="bottom"/>
            <w:hideMark/>
          </w:tcPr>
          <w:p w14:paraId="1E09C53C" w14:textId="60BB47E0"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112" w:type="dxa"/>
            <w:tcBorders>
              <w:top w:val="nil"/>
              <w:left w:val="nil"/>
              <w:bottom w:val="nil"/>
              <w:right w:val="nil"/>
            </w:tcBorders>
            <w:shd w:val="clear" w:color="auto" w:fill="auto"/>
            <w:noWrap/>
            <w:vAlign w:val="bottom"/>
            <w:hideMark/>
          </w:tcPr>
          <w:p w14:paraId="77E047E4" w14:textId="12A7DB59"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c>
          <w:tcPr>
            <w:tcW w:w="1094" w:type="dxa"/>
            <w:tcBorders>
              <w:top w:val="nil"/>
              <w:left w:val="nil"/>
              <w:bottom w:val="nil"/>
              <w:right w:val="nil"/>
            </w:tcBorders>
            <w:shd w:val="clear" w:color="auto" w:fill="auto"/>
            <w:noWrap/>
            <w:vAlign w:val="bottom"/>
            <w:hideMark/>
          </w:tcPr>
          <w:p w14:paraId="7232DF66" w14:textId="4999218D" w:rsidR="00521837" w:rsidRPr="001B50DE" w:rsidRDefault="00521837" w:rsidP="00521837">
            <w:pPr>
              <w:spacing w:before="0" w:after="0" w:line="240" w:lineRule="auto"/>
              <w:jc w:val="right"/>
              <w:rPr>
                <w:rFonts w:ascii="Arial" w:hAnsi="Arial" w:cs="Arial"/>
                <w:sz w:val="16"/>
                <w:szCs w:val="16"/>
              </w:rPr>
            </w:pPr>
            <w:r>
              <w:rPr>
                <w:rFonts w:ascii="Arial" w:hAnsi="Arial" w:cs="Arial"/>
                <w:sz w:val="16"/>
                <w:szCs w:val="16"/>
              </w:rPr>
              <w:t>-</w:t>
            </w:r>
          </w:p>
        </w:tc>
      </w:tr>
      <w:tr w:rsidR="00521837" w:rsidRPr="001B50DE" w14:paraId="7507EF59" w14:textId="77777777" w:rsidTr="00E83CB9">
        <w:trPr>
          <w:trHeight w:val="425"/>
          <w:jc w:val="center"/>
        </w:trPr>
        <w:tc>
          <w:tcPr>
            <w:tcW w:w="3293" w:type="dxa"/>
            <w:tcBorders>
              <w:top w:val="nil"/>
              <w:left w:val="nil"/>
              <w:bottom w:val="nil"/>
              <w:right w:val="nil"/>
            </w:tcBorders>
            <w:shd w:val="clear" w:color="auto" w:fill="auto"/>
            <w:vAlign w:val="bottom"/>
            <w:hideMark/>
          </w:tcPr>
          <w:p w14:paraId="4065961F" w14:textId="76D13486" w:rsidR="00521837" w:rsidRPr="001B50DE" w:rsidRDefault="00521837" w:rsidP="00521837">
            <w:pPr>
              <w:spacing w:before="0" w:after="0" w:line="240" w:lineRule="auto"/>
              <w:ind w:leftChars="150" w:left="285"/>
              <w:rPr>
                <w:rFonts w:ascii="Arial" w:hAnsi="Arial" w:cs="Arial"/>
                <w:b/>
                <w:bCs/>
                <w:sz w:val="16"/>
                <w:szCs w:val="16"/>
              </w:rPr>
            </w:pPr>
            <w:r>
              <w:rPr>
                <w:rFonts w:ascii="Arial" w:hAnsi="Arial" w:cs="Arial"/>
                <w:b/>
                <w:bCs/>
                <w:sz w:val="16"/>
                <w:szCs w:val="16"/>
              </w:rPr>
              <w:t>Total departmental annual appropriations</w:t>
            </w:r>
          </w:p>
        </w:tc>
        <w:tc>
          <w:tcPr>
            <w:tcW w:w="1216" w:type="dxa"/>
            <w:tcBorders>
              <w:top w:val="nil"/>
              <w:left w:val="nil"/>
              <w:bottom w:val="single" w:sz="4" w:space="0" w:color="auto"/>
              <w:right w:val="nil"/>
            </w:tcBorders>
            <w:shd w:val="clear" w:color="auto" w:fill="auto"/>
            <w:noWrap/>
            <w:vAlign w:val="bottom"/>
            <w:hideMark/>
          </w:tcPr>
          <w:p w14:paraId="143CF649" w14:textId="69D65C27"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14,542</w:t>
            </w:r>
          </w:p>
        </w:tc>
        <w:tc>
          <w:tcPr>
            <w:tcW w:w="1165" w:type="dxa"/>
            <w:tcBorders>
              <w:top w:val="nil"/>
              <w:left w:val="nil"/>
              <w:bottom w:val="single" w:sz="4" w:space="0" w:color="auto"/>
              <w:right w:val="nil"/>
            </w:tcBorders>
            <w:shd w:val="clear" w:color="000000" w:fill="D9D9D9"/>
            <w:noWrap/>
            <w:vAlign w:val="bottom"/>
            <w:hideMark/>
          </w:tcPr>
          <w:p w14:paraId="01C10BE4" w14:textId="39CDFE3F"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15,841</w:t>
            </w:r>
          </w:p>
        </w:tc>
        <w:tc>
          <w:tcPr>
            <w:tcW w:w="1112" w:type="dxa"/>
            <w:tcBorders>
              <w:top w:val="nil"/>
              <w:left w:val="nil"/>
              <w:bottom w:val="nil"/>
              <w:right w:val="nil"/>
            </w:tcBorders>
            <w:shd w:val="clear" w:color="auto" w:fill="auto"/>
            <w:noWrap/>
            <w:vAlign w:val="bottom"/>
            <w:hideMark/>
          </w:tcPr>
          <w:p w14:paraId="65F1D43C" w14:textId="3C37CD75"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w:t>
            </w:r>
          </w:p>
        </w:tc>
        <w:tc>
          <w:tcPr>
            <w:tcW w:w="1094" w:type="dxa"/>
            <w:tcBorders>
              <w:top w:val="nil"/>
              <w:left w:val="nil"/>
              <w:bottom w:val="nil"/>
              <w:right w:val="nil"/>
            </w:tcBorders>
            <w:shd w:val="clear" w:color="auto" w:fill="auto"/>
            <w:noWrap/>
            <w:vAlign w:val="bottom"/>
            <w:hideMark/>
          </w:tcPr>
          <w:p w14:paraId="0967FAAA" w14:textId="62464E41"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15,841</w:t>
            </w:r>
          </w:p>
        </w:tc>
      </w:tr>
      <w:tr w:rsidR="00521837" w:rsidRPr="001B50DE" w14:paraId="233A431A" w14:textId="77777777" w:rsidTr="00E83CB9">
        <w:trPr>
          <w:trHeight w:val="283"/>
          <w:jc w:val="center"/>
        </w:trPr>
        <w:tc>
          <w:tcPr>
            <w:tcW w:w="3293" w:type="dxa"/>
            <w:tcBorders>
              <w:top w:val="nil"/>
              <w:left w:val="nil"/>
              <w:bottom w:val="nil"/>
              <w:right w:val="nil"/>
            </w:tcBorders>
            <w:shd w:val="clear" w:color="auto" w:fill="auto"/>
            <w:noWrap/>
            <w:vAlign w:val="bottom"/>
            <w:hideMark/>
          </w:tcPr>
          <w:p w14:paraId="4C760DE3" w14:textId="12E785E3" w:rsidR="00521837" w:rsidRPr="001B50DE" w:rsidRDefault="00521837" w:rsidP="00521837">
            <w:pPr>
              <w:spacing w:before="0" w:after="0" w:line="240" w:lineRule="auto"/>
              <w:ind w:leftChars="75" w:left="143"/>
              <w:rPr>
                <w:rFonts w:ascii="Arial" w:hAnsi="Arial" w:cs="Arial"/>
                <w:b/>
                <w:bCs/>
                <w:sz w:val="16"/>
                <w:szCs w:val="16"/>
              </w:rPr>
            </w:pPr>
            <w:r>
              <w:rPr>
                <w:rFonts w:ascii="Arial" w:hAnsi="Arial" w:cs="Arial"/>
                <w:b/>
                <w:bCs/>
                <w:sz w:val="16"/>
                <w:szCs w:val="16"/>
              </w:rPr>
              <w:t>Total departmental resourcing</w:t>
            </w:r>
          </w:p>
        </w:tc>
        <w:tc>
          <w:tcPr>
            <w:tcW w:w="1216" w:type="dxa"/>
            <w:tcBorders>
              <w:top w:val="nil"/>
              <w:left w:val="nil"/>
              <w:bottom w:val="single" w:sz="4" w:space="0" w:color="auto"/>
              <w:right w:val="nil"/>
            </w:tcBorders>
            <w:shd w:val="clear" w:color="auto" w:fill="auto"/>
            <w:noWrap/>
            <w:vAlign w:val="bottom"/>
            <w:hideMark/>
          </w:tcPr>
          <w:p w14:paraId="67FF8E4F" w14:textId="6E0ECBE5"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22,838</w:t>
            </w:r>
          </w:p>
        </w:tc>
        <w:tc>
          <w:tcPr>
            <w:tcW w:w="1165" w:type="dxa"/>
            <w:tcBorders>
              <w:top w:val="nil"/>
              <w:left w:val="nil"/>
              <w:bottom w:val="single" w:sz="4" w:space="0" w:color="auto"/>
              <w:right w:val="nil"/>
            </w:tcBorders>
            <w:shd w:val="clear" w:color="000000" w:fill="D9D9D9"/>
            <w:noWrap/>
            <w:vAlign w:val="bottom"/>
            <w:hideMark/>
          </w:tcPr>
          <w:p w14:paraId="52036C87" w14:textId="4BD1A43C"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25,011</w:t>
            </w:r>
          </w:p>
        </w:tc>
        <w:tc>
          <w:tcPr>
            <w:tcW w:w="1112" w:type="dxa"/>
            <w:tcBorders>
              <w:top w:val="single" w:sz="4" w:space="0" w:color="auto"/>
              <w:left w:val="nil"/>
              <w:bottom w:val="single" w:sz="4" w:space="0" w:color="auto"/>
              <w:right w:val="nil"/>
            </w:tcBorders>
            <w:shd w:val="clear" w:color="auto" w:fill="auto"/>
            <w:noWrap/>
            <w:vAlign w:val="bottom"/>
            <w:hideMark/>
          </w:tcPr>
          <w:p w14:paraId="68674C3C" w14:textId="58FCC5C6"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3,176</w:t>
            </w:r>
          </w:p>
        </w:tc>
        <w:tc>
          <w:tcPr>
            <w:tcW w:w="1094" w:type="dxa"/>
            <w:tcBorders>
              <w:top w:val="single" w:sz="4" w:space="0" w:color="auto"/>
              <w:left w:val="nil"/>
              <w:bottom w:val="single" w:sz="4" w:space="0" w:color="auto"/>
              <w:right w:val="nil"/>
            </w:tcBorders>
            <w:shd w:val="clear" w:color="auto" w:fill="auto"/>
            <w:noWrap/>
            <w:vAlign w:val="bottom"/>
            <w:hideMark/>
          </w:tcPr>
          <w:p w14:paraId="5DE487CA" w14:textId="435E916A"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28,187</w:t>
            </w:r>
          </w:p>
        </w:tc>
      </w:tr>
      <w:tr w:rsidR="00521837" w:rsidRPr="001B50DE" w14:paraId="5955AB17" w14:textId="77777777" w:rsidTr="00E83CB9">
        <w:trPr>
          <w:trHeight w:val="283"/>
          <w:jc w:val="center"/>
        </w:trPr>
        <w:tc>
          <w:tcPr>
            <w:tcW w:w="3293" w:type="dxa"/>
            <w:tcBorders>
              <w:top w:val="nil"/>
              <w:left w:val="nil"/>
              <w:bottom w:val="single" w:sz="4" w:space="0" w:color="auto"/>
              <w:right w:val="nil"/>
            </w:tcBorders>
            <w:shd w:val="clear" w:color="auto" w:fill="auto"/>
            <w:noWrap/>
            <w:vAlign w:val="bottom"/>
            <w:hideMark/>
          </w:tcPr>
          <w:p w14:paraId="0D2CF372" w14:textId="1F183D7D" w:rsidR="00521837" w:rsidRPr="001B50DE" w:rsidRDefault="00521837" w:rsidP="00521837">
            <w:pPr>
              <w:spacing w:before="0" w:after="0" w:line="240" w:lineRule="auto"/>
              <w:rPr>
                <w:rFonts w:ascii="Arial" w:hAnsi="Arial" w:cs="Arial"/>
                <w:b/>
                <w:bCs/>
                <w:sz w:val="16"/>
                <w:szCs w:val="16"/>
              </w:rPr>
            </w:pPr>
            <w:r>
              <w:rPr>
                <w:rFonts w:ascii="Arial" w:hAnsi="Arial" w:cs="Arial"/>
                <w:b/>
                <w:bCs/>
                <w:sz w:val="16"/>
                <w:szCs w:val="16"/>
              </w:rPr>
              <w:t>Total resourcing for PSR</w:t>
            </w:r>
          </w:p>
        </w:tc>
        <w:tc>
          <w:tcPr>
            <w:tcW w:w="1216" w:type="dxa"/>
            <w:tcBorders>
              <w:top w:val="nil"/>
              <w:left w:val="nil"/>
              <w:bottom w:val="single" w:sz="4" w:space="0" w:color="auto"/>
              <w:right w:val="nil"/>
            </w:tcBorders>
            <w:shd w:val="clear" w:color="auto" w:fill="auto"/>
            <w:noWrap/>
            <w:vAlign w:val="bottom"/>
            <w:hideMark/>
          </w:tcPr>
          <w:p w14:paraId="10841C55" w14:textId="728E6AAB"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22,838</w:t>
            </w:r>
          </w:p>
        </w:tc>
        <w:tc>
          <w:tcPr>
            <w:tcW w:w="1165" w:type="dxa"/>
            <w:tcBorders>
              <w:top w:val="nil"/>
              <w:left w:val="nil"/>
              <w:bottom w:val="single" w:sz="4" w:space="0" w:color="auto"/>
              <w:right w:val="nil"/>
            </w:tcBorders>
            <w:shd w:val="clear" w:color="000000" w:fill="D9D9D9"/>
            <w:noWrap/>
            <w:vAlign w:val="bottom"/>
            <w:hideMark/>
          </w:tcPr>
          <w:p w14:paraId="373F9A08" w14:textId="5DC1353F"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25,011</w:t>
            </w:r>
          </w:p>
        </w:tc>
        <w:tc>
          <w:tcPr>
            <w:tcW w:w="1112" w:type="dxa"/>
            <w:tcBorders>
              <w:top w:val="nil"/>
              <w:left w:val="nil"/>
              <w:bottom w:val="single" w:sz="4" w:space="0" w:color="auto"/>
              <w:right w:val="nil"/>
            </w:tcBorders>
            <w:shd w:val="clear" w:color="auto" w:fill="auto"/>
            <w:noWrap/>
            <w:vAlign w:val="bottom"/>
            <w:hideMark/>
          </w:tcPr>
          <w:p w14:paraId="1E0504BE" w14:textId="0E5BC15F"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3,176</w:t>
            </w:r>
          </w:p>
        </w:tc>
        <w:tc>
          <w:tcPr>
            <w:tcW w:w="1094" w:type="dxa"/>
            <w:tcBorders>
              <w:top w:val="nil"/>
              <w:left w:val="nil"/>
              <w:bottom w:val="single" w:sz="4" w:space="0" w:color="auto"/>
              <w:right w:val="nil"/>
            </w:tcBorders>
            <w:shd w:val="clear" w:color="auto" w:fill="auto"/>
            <w:noWrap/>
            <w:vAlign w:val="bottom"/>
            <w:hideMark/>
          </w:tcPr>
          <w:p w14:paraId="4193ACB6" w14:textId="79A34D8C"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28,187</w:t>
            </w:r>
          </w:p>
        </w:tc>
      </w:tr>
      <w:tr w:rsidR="00521837" w:rsidRPr="001B50DE" w14:paraId="548EF25F" w14:textId="77777777" w:rsidTr="00E83CB9">
        <w:trPr>
          <w:trHeight w:val="227"/>
          <w:jc w:val="center"/>
        </w:trPr>
        <w:tc>
          <w:tcPr>
            <w:tcW w:w="3293" w:type="dxa"/>
            <w:tcBorders>
              <w:top w:val="nil"/>
              <w:left w:val="nil"/>
              <w:bottom w:val="nil"/>
              <w:right w:val="nil"/>
            </w:tcBorders>
            <w:shd w:val="clear" w:color="auto" w:fill="auto"/>
            <w:noWrap/>
            <w:vAlign w:val="bottom"/>
            <w:hideMark/>
          </w:tcPr>
          <w:p w14:paraId="46917D8D" w14:textId="77777777" w:rsidR="00521837" w:rsidRPr="001B50DE" w:rsidRDefault="00521837" w:rsidP="00521837">
            <w:pPr>
              <w:spacing w:before="0" w:after="0" w:line="240" w:lineRule="auto"/>
              <w:jc w:val="right"/>
              <w:rPr>
                <w:rFonts w:ascii="Arial" w:hAnsi="Arial" w:cs="Arial"/>
                <w:b/>
                <w:bCs/>
                <w:sz w:val="16"/>
                <w:szCs w:val="16"/>
              </w:rPr>
            </w:pPr>
          </w:p>
        </w:tc>
        <w:tc>
          <w:tcPr>
            <w:tcW w:w="1216" w:type="dxa"/>
            <w:tcBorders>
              <w:top w:val="nil"/>
              <w:left w:val="nil"/>
              <w:bottom w:val="nil"/>
              <w:right w:val="nil"/>
            </w:tcBorders>
            <w:shd w:val="clear" w:color="auto" w:fill="auto"/>
            <w:noWrap/>
            <w:vAlign w:val="bottom"/>
            <w:hideMark/>
          </w:tcPr>
          <w:p w14:paraId="568A6F26" w14:textId="77777777" w:rsidR="00521837" w:rsidRPr="001B50DE" w:rsidRDefault="00521837" w:rsidP="00521837">
            <w:pPr>
              <w:spacing w:before="0" w:after="0" w:line="240" w:lineRule="auto"/>
              <w:rPr>
                <w:rFonts w:ascii="Times New Roman" w:hAnsi="Times New Roman"/>
                <w:sz w:val="20"/>
              </w:rPr>
            </w:pPr>
          </w:p>
        </w:tc>
        <w:tc>
          <w:tcPr>
            <w:tcW w:w="1165" w:type="dxa"/>
            <w:tcBorders>
              <w:top w:val="nil"/>
              <w:left w:val="nil"/>
              <w:bottom w:val="nil"/>
              <w:right w:val="nil"/>
            </w:tcBorders>
            <w:shd w:val="clear" w:color="auto" w:fill="auto"/>
            <w:noWrap/>
            <w:vAlign w:val="bottom"/>
            <w:hideMark/>
          </w:tcPr>
          <w:p w14:paraId="17D6F859" w14:textId="77777777" w:rsidR="00521837" w:rsidRPr="001B50DE" w:rsidRDefault="00521837" w:rsidP="00521837">
            <w:pPr>
              <w:spacing w:before="0" w:after="0" w:line="240" w:lineRule="auto"/>
              <w:rPr>
                <w:rFonts w:ascii="Times New Roman" w:hAnsi="Times New Roman"/>
                <w:sz w:val="20"/>
              </w:rPr>
            </w:pPr>
          </w:p>
        </w:tc>
        <w:tc>
          <w:tcPr>
            <w:tcW w:w="1112" w:type="dxa"/>
            <w:tcBorders>
              <w:top w:val="nil"/>
              <w:left w:val="nil"/>
              <w:bottom w:val="nil"/>
              <w:right w:val="nil"/>
            </w:tcBorders>
            <w:shd w:val="clear" w:color="auto" w:fill="auto"/>
            <w:noWrap/>
            <w:vAlign w:val="bottom"/>
            <w:hideMark/>
          </w:tcPr>
          <w:p w14:paraId="2D022542" w14:textId="77777777" w:rsidR="00521837" w:rsidRPr="001B50DE" w:rsidRDefault="00521837" w:rsidP="00521837">
            <w:pPr>
              <w:spacing w:before="0" w:after="0" w:line="240" w:lineRule="auto"/>
              <w:jc w:val="right"/>
              <w:rPr>
                <w:rFonts w:ascii="Times New Roman" w:hAnsi="Times New Roman"/>
                <w:sz w:val="20"/>
              </w:rPr>
            </w:pPr>
          </w:p>
        </w:tc>
        <w:tc>
          <w:tcPr>
            <w:tcW w:w="1094" w:type="dxa"/>
            <w:tcBorders>
              <w:top w:val="nil"/>
              <w:left w:val="nil"/>
              <w:bottom w:val="nil"/>
              <w:right w:val="nil"/>
            </w:tcBorders>
            <w:shd w:val="clear" w:color="auto" w:fill="auto"/>
            <w:noWrap/>
            <w:vAlign w:val="bottom"/>
            <w:hideMark/>
          </w:tcPr>
          <w:p w14:paraId="465C0DEC" w14:textId="77777777" w:rsidR="00521837" w:rsidRPr="001B50DE" w:rsidRDefault="00521837" w:rsidP="00521837">
            <w:pPr>
              <w:spacing w:before="0" w:after="0" w:line="240" w:lineRule="auto"/>
              <w:jc w:val="right"/>
              <w:rPr>
                <w:rFonts w:ascii="Times New Roman" w:hAnsi="Times New Roman"/>
                <w:sz w:val="20"/>
              </w:rPr>
            </w:pPr>
          </w:p>
        </w:tc>
      </w:tr>
      <w:tr w:rsidR="00521837" w:rsidRPr="001B50DE" w14:paraId="3B90FA75" w14:textId="77777777" w:rsidTr="00E83CB9">
        <w:trPr>
          <w:trHeight w:val="425"/>
          <w:jc w:val="center"/>
        </w:trPr>
        <w:tc>
          <w:tcPr>
            <w:tcW w:w="3293" w:type="dxa"/>
            <w:tcBorders>
              <w:top w:val="single" w:sz="4" w:space="0" w:color="auto"/>
              <w:left w:val="nil"/>
              <w:bottom w:val="nil"/>
              <w:right w:val="nil"/>
            </w:tcBorders>
            <w:shd w:val="clear" w:color="auto" w:fill="auto"/>
            <w:noWrap/>
            <w:vAlign w:val="bottom"/>
            <w:hideMark/>
          </w:tcPr>
          <w:p w14:paraId="0AF505F9" w14:textId="062CD664" w:rsidR="00521837" w:rsidRPr="001B50DE" w:rsidRDefault="00521837" w:rsidP="00521837">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1216" w:type="dxa"/>
            <w:tcBorders>
              <w:top w:val="single" w:sz="4" w:space="0" w:color="auto"/>
              <w:left w:val="nil"/>
              <w:bottom w:val="nil"/>
              <w:right w:val="nil"/>
            </w:tcBorders>
            <w:shd w:val="clear" w:color="auto" w:fill="auto"/>
            <w:vAlign w:val="bottom"/>
            <w:hideMark/>
          </w:tcPr>
          <w:p w14:paraId="74F2E4AA" w14:textId="6A18335B" w:rsidR="00521837" w:rsidRPr="001B50DE" w:rsidRDefault="00E83CB9" w:rsidP="00521837">
            <w:pPr>
              <w:spacing w:before="0" w:after="0" w:line="240" w:lineRule="auto"/>
              <w:jc w:val="right"/>
              <w:rPr>
                <w:rFonts w:ascii="Arial" w:hAnsi="Arial" w:cs="Arial"/>
                <w:b/>
                <w:bCs/>
                <w:sz w:val="16"/>
                <w:szCs w:val="16"/>
              </w:rPr>
            </w:pPr>
            <w:r>
              <w:rPr>
                <w:rFonts w:ascii="Arial" w:hAnsi="Arial" w:cs="Arial"/>
                <w:b/>
                <w:bCs/>
                <w:sz w:val="16"/>
                <w:szCs w:val="16"/>
              </w:rPr>
              <w:t>2022–</w:t>
            </w:r>
            <w:r w:rsidR="00521837">
              <w:rPr>
                <w:rFonts w:ascii="Arial" w:hAnsi="Arial" w:cs="Arial"/>
                <w:b/>
                <w:bCs/>
                <w:sz w:val="16"/>
                <w:szCs w:val="16"/>
              </w:rPr>
              <w:t>23</w:t>
            </w:r>
            <w:r w:rsidR="00521837">
              <w:rPr>
                <w:rFonts w:ascii="Arial" w:hAnsi="Arial" w:cs="Arial"/>
                <w:b/>
                <w:bCs/>
                <w:sz w:val="16"/>
                <w:szCs w:val="16"/>
              </w:rPr>
              <w:br/>
              <w:t>Actual</w:t>
            </w:r>
          </w:p>
        </w:tc>
        <w:tc>
          <w:tcPr>
            <w:tcW w:w="1165" w:type="dxa"/>
            <w:tcBorders>
              <w:top w:val="single" w:sz="4" w:space="0" w:color="auto"/>
              <w:left w:val="nil"/>
              <w:bottom w:val="nil"/>
              <w:right w:val="nil"/>
            </w:tcBorders>
            <w:shd w:val="clear" w:color="auto" w:fill="auto"/>
            <w:vAlign w:val="bottom"/>
            <w:hideMark/>
          </w:tcPr>
          <w:p w14:paraId="253B4B57" w14:textId="0C2EFEF3"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 </w:t>
            </w:r>
          </w:p>
        </w:tc>
        <w:tc>
          <w:tcPr>
            <w:tcW w:w="1112" w:type="dxa"/>
            <w:tcBorders>
              <w:top w:val="single" w:sz="4" w:space="0" w:color="auto"/>
              <w:left w:val="nil"/>
              <w:bottom w:val="nil"/>
              <w:right w:val="nil"/>
            </w:tcBorders>
            <w:shd w:val="clear" w:color="auto" w:fill="auto"/>
            <w:vAlign w:val="bottom"/>
            <w:hideMark/>
          </w:tcPr>
          <w:p w14:paraId="6EC60C90" w14:textId="0AA0D5F4" w:rsidR="00521837" w:rsidRPr="001B50DE" w:rsidRDefault="00521837" w:rsidP="00521837">
            <w:pPr>
              <w:spacing w:before="0" w:after="0" w:line="240" w:lineRule="auto"/>
              <w:jc w:val="right"/>
              <w:rPr>
                <w:rFonts w:ascii="Arial" w:hAnsi="Arial" w:cs="Arial"/>
                <w:b/>
                <w:bCs/>
                <w:sz w:val="16"/>
                <w:szCs w:val="16"/>
              </w:rPr>
            </w:pPr>
            <w:r>
              <w:rPr>
                <w:rFonts w:ascii="Arial" w:hAnsi="Arial" w:cs="Arial"/>
                <w:b/>
                <w:bCs/>
                <w:sz w:val="16"/>
                <w:szCs w:val="16"/>
              </w:rPr>
              <w:t> </w:t>
            </w:r>
          </w:p>
        </w:tc>
        <w:tc>
          <w:tcPr>
            <w:tcW w:w="1094" w:type="dxa"/>
            <w:tcBorders>
              <w:top w:val="single" w:sz="4" w:space="0" w:color="auto"/>
              <w:left w:val="nil"/>
              <w:bottom w:val="nil"/>
              <w:right w:val="nil"/>
            </w:tcBorders>
            <w:shd w:val="clear" w:color="auto" w:fill="auto"/>
            <w:vAlign w:val="bottom"/>
            <w:hideMark/>
          </w:tcPr>
          <w:p w14:paraId="3EDCE6D9" w14:textId="4F4669FF" w:rsidR="00521837" w:rsidRPr="001B50DE" w:rsidRDefault="00E83CB9" w:rsidP="00521837">
            <w:pPr>
              <w:spacing w:before="0" w:after="0" w:line="240" w:lineRule="auto"/>
              <w:jc w:val="right"/>
              <w:rPr>
                <w:rFonts w:ascii="Arial" w:hAnsi="Arial" w:cs="Arial"/>
                <w:b/>
                <w:bCs/>
                <w:sz w:val="16"/>
                <w:szCs w:val="16"/>
              </w:rPr>
            </w:pPr>
            <w:r>
              <w:rPr>
                <w:rFonts w:ascii="Arial" w:hAnsi="Arial" w:cs="Arial"/>
                <w:b/>
                <w:bCs/>
                <w:sz w:val="16"/>
                <w:szCs w:val="16"/>
              </w:rPr>
              <w:t>2023–</w:t>
            </w:r>
            <w:r w:rsidR="00521837">
              <w:rPr>
                <w:rFonts w:ascii="Arial" w:hAnsi="Arial" w:cs="Arial"/>
                <w:b/>
                <w:bCs/>
                <w:sz w:val="16"/>
                <w:szCs w:val="16"/>
              </w:rPr>
              <w:t>24</w:t>
            </w:r>
            <w:r w:rsidR="00521837">
              <w:rPr>
                <w:rFonts w:ascii="Arial" w:hAnsi="Arial" w:cs="Arial"/>
                <w:b/>
                <w:bCs/>
                <w:sz w:val="16"/>
                <w:szCs w:val="16"/>
              </w:rPr>
              <w:br/>
              <w:t>Revised</w:t>
            </w:r>
          </w:p>
        </w:tc>
      </w:tr>
      <w:tr w:rsidR="00521837" w:rsidRPr="001B50DE" w14:paraId="398C0177" w14:textId="77777777" w:rsidTr="00E83CB9">
        <w:trPr>
          <w:trHeight w:val="227"/>
          <w:jc w:val="center"/>
        </w:trPr>
        <w:tc>
          <w:tcPr>
            <w:tcW w:w="3293" w:type="dxa"/>
            <w:tcBorders>
              <w:top w:val="nil"/>
              <w:left w:val="nil"/>
              <w:bottom w:val="single" w:sz="4" w:space="0" w:color="auto"/>
              <w:right w:val="nil"/>
            </w:tcBorders>
            <w:shd w:val="clear" w:color="auto" w:fill="auto"/>
            <w:noWrap/>
            <w:vAlign w:val="bottom"/>
            <w:hideMark/>
          </w:tcPr>
          <w:p w14:paraId="43E53C5C" w14:textId="4FE1CBC4" w:rsidR="00521837" w:rsidRPr="001B50DE" w:rsidRDefault="00521837" w:rsidP="00521837">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Average </w:t>
            </w:r>
            <w:r>
              <w:rPr>
                <w:rFonts w:ascii="Arial" w:hAnsi="Arial" w:cs="Arial"/>
                <w:b/>
                <w:bCs/>
                <w:sz w:val="16"/>
                <w:szCs w:val="16"/>
              </w:rPr>
              <w:t>s</w:t>
            </w:r>
            <w:r>
              <w:rPr>
                <w:rFonts w:ascii="Arial" w:hAnsi="Arial" w:cs="Arial"/>
                <w:b/>
                <w:bCs/>
                <w:color w:val="000000"/>
                <w:sz w:val="16"/>
                <w:szCs w:val="16"/>
              </w:rPr>
              <w:t xml:space="preserve">taffing </w:t>
            </w:r>
            <w:r>
              <w:rPr>
                <w:rFonts w:ascii="Arial" w:hAnsi="Arial" w:cs="Arial"/>
                <w:b/>
                <w:bCs/>
                <w:sz w:val="16"/>
                <w:szCs w:val="16"/>
              </w:rPr>
              <w:t>l</w:t>
            </w:r>
            <w:r>
              <w:rPr>
                <w:rFonts w:ascii="Arial" w:hAnsi="Arial" w:cs="Arial"/>
                <w:b/>
                <w:bCs/>
                <w:color w:val="000000"/>
                <w:sz w:val="16"/>
                <w:szCs w:val="16"/>
              </w:rPr>
              <w:t>evel (number)</w:t>
            </w:r>
          </w:p>
        </w:tc>
        <w:tc>
          <w:tcPr>
            <w:tcW w:w="1216" w:type="dxa"/>
            <w:tcBorders>
              <w:top w:val="single" w:sz="4" w:space="0" w:color="auto"/>
              <w:left w:val="nil"/>
              <w:bottom w:val="single" w:sz="4" w:space="0" w:color="auto"/>
              <w:right w:val="nil"/>
            </w:tcBorders>
            <w:shd w:val="clear" w:color="auto" w:fill="auto"/>
            <w:noWrap/>
            <w:vAlign w:val="bottom"/>
            <w:hideMark/>
          </w:tcPr>
          <w:p w14:paraId="4C4977CD" w14:textId="21C86437" w:rsidR="00521837" w:rsidRPr="001B50DE" w:rsidRDefault="00521837" w:rsidP="00521837">
            <w:pPr>
              <w:spacing w:before="0" w:after="0" w:line="240" w:lineRule="auto"/>
              <w:jc w:val="right"/>
              <w:rPr>
                <w:rFonts w:ascii="Arial" w:hAnsi="Arial" w:cs="Arial"/>
                <w:color w:val="000000"/>
                <w:sz w:val="16"/>
                <w:szCs w:val="16"/>
              </w:rPr>
            </w:pPr>
            <w:r>
              <w:rPr>
                <w:rFonts w:ascii="Arial" w:hAnsi="Arial" w:cs="Arial"/>
                <w:color w:val="000000"/>
                <w:sz w:val="16"/>
                <w:szCs w:val="16"/>
              </w:rPr>
              <w:t>31</w:t>
            </w:r>
          </w:p>
        </w:tc>
        <w:tc>
          <w:tcPr>
            <w:tcW w:w="1165" w:type="dxa"/>
            <w:tcBorders>
              <w:top w:val="single" w:sz="4" w:space="0" w:color="auto"/>
              <w:left w:val="nil"/>
              <w:bottom w:val="single" w:sz="4" w:space="0" w:color="auto"/>
              <w:right w:val="nil"/>
            </w:tcBorders>
            <w:shd w:val="clear" w:color="auto" w:fill="auto"/>
            <w:noWrap/>
            <w:vAlign w:val="bottom"/>
            <w:hideMark/>
          </w:tcPr>
          <w:p w14:paraId="3985E045" w14:textId="26CEEFF2" w:rsidR="00521837" w:rsidRPr="001B50DE" w:rsidRDefault="00521837" w:rsidP="00521837">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auto" w:fill="auto"/>
            <w:noWrap/>
            <w:vAlign w:val="bottom"/>
            <w:hideMark/>
          </w:tcPr>
          <w:p w14:paraId="5FF98703" w14:textId="55057BC0" w:rsidR="00521837" w:rsidRPr="001B50DE" w:rsidRDefault="00521837" w:rsidP="00521837">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1094" w:type="dxa"/>
            <w:tcBorders>
              <w:top w:val="single" w:sz="4" w:space="0" w:color="auto"/>
              <w:left w:val="nil"/>
              <w:bottom w:val="single" w:sz="4" w:space="0" w:color="auto"/>
              <w:right w:val="nil"/>
            </w:tcBorders>
            <w:shd w:val="clear" w:color="auto" w:fill="auto"/>
            <w:noWrap/>
            <w:vAlign w:val="bottom"/>
            <w:hideMark/>
          </w:tcPr>
          <w:p w14:paraId="02BD7707" w14:textId="3C62A136" w:rsidR="00521837" w:rsidRPr="001B50DE" w:rsidRDefault="00521837" w:rsidP="00521837">
            <w:pPr>
              <w:spacing w:before="0" w:after="0" w:line="240" w:lineRule="auto"/>
              <w:jc w:val="right"/>
              <w:rPr>
                <w:rFonts w:ascii="Arial" w:hAnsi="Arial" w:cs="Arial"/>
                <w:color w:val="000000"/>
                <w:sz w:val="16"/>
                <w:szCs w:val="16"/>
              </w:rPr>
            </w:pPr>
            <w:r>
              <w:rPr>
                <w:rFonts w:ascii="Arial" w:hAnsi="Arial" w:cs="Arial"/>
                <w:color w:val="000000"/>
                <w:sz w:val="16"/>
                <w:szCs w:val="16"/>
              </w:rPr>
              <w:t>33</w:t>
            </w:r>
          </w:p>
        </w:tc>
      </w:tr>
    </w:tbl>
    <w:p w14:paraId="4B20F55E" w14:textId="77777777" w:rsidR="008C73CD" w:rsidRPr="008619D1" w:rsidRDefault="008C73CD" w:rsidP="008C73CD">
      <w:pPr>
        <w:spacing w:before="120" w:after="0"/>
        <w:rPr>
          <w:rFonts w:ascii="Arial" w:hAnsi="Arial" w:cs="Arial"/>
          <w:sz w:val="15"/>
          <w:szCs w:val="15"/>
        </w:rPr>
      </w:pPr>
      <w:r w:rsidRPr="008619D1">
        <w:rPr>
          <w:rFonts w:ascii="Arial" w:hAnsi="Arial" w:cs="Arial"/>
          <w:sz w:val="15"/>
          <w:szCs w:val="15"/>
        </w:rPr>
        <w:t>All figures are GST exclusive.</w:t>
      </w:r>
    </w:p>
    <w:p w14:paraId="4A71FE66" w14:textId="5D44C62C" w:rsidR="008C73CD" w:rsidRPr="00965F94" w:rsidRDefault="008C73CD" w:rsidP="00E83CB9">
      <w:pPr>
        <w:pStyle w:val="FootnoteText"/>
        <w:rPr>
          <w:rFonts w:cs="Arial"/>
          <w:szCs w:val="16"/>
        </w:rPr>
      </w:pPr>
      <w:r w:rsidRPr="00E83CB9">
        <w:rPr>
          <w:rStyle w:val="FootnoteTextChar"/>
          <w:sz w:val="15"/>
          <w:szCs w:val="15"/>
          <w:vertAlign w:val="superscript"/>
        </w:rPr>
        <w:t>(a)</w:t>
      </w:r>
      <w:r w:rsidR="00E83CB9" w:rsidRPr="00E83CB9">
        <w:t xml:space="preserve"> </w:t>
      </w:r>
      <w:r w:rsidR="00E83CB9">
        <w:tab/>
      </w:r>
      <w:r w:rsidRPr="0085251E">
        <w:rPr>
          <w:rStyle w:val="FootnoteTextChar"/>
          <w:i/>
          <w:szCs w:val="16"/>
        </w:rPr>
        <w:t>Appropriation Act (No. 1) 2023</w:t>
      </w:r>
      <w:r w:rsidR="001B647E">
        <w:rPr>
          <w:rFonts w:cs="Arial"/>
          <w:b/>
          <w:bCs/>
          <w:i/>
          <w:szCs w:val="16"/>
        </w:rPr>
        <w:t>–</w:t>
      </w:r>
      <w:r w:rsidRPr="0085251E">
        <w:rPr>
          <w:rStyle w:val="FootnoteTextChar"/>
          <w:i/>
          <w:szCs w:val="16"/>
        </w:rPr>
        <w:t>24</w:t>
      </w:r>
      <w:r w:rsidRPr="00965F94">
        <w:rPr>
          <w:rStyle w:val="FootnoteTextChar"/>
          <w:szCs w:val="16"/>
        </w:rPr>
        <w:t>, Appropriation Bill (No. 3) 2023</w:t>
      </w:r>
      <w:r w:rsidR="001B647E">
        <w:rPr>
          <w:rFonts w:cs="Arial"/>
          <w:b/>
          <w:bCs/>
          <w:i/>
          <w:szCs w:val="16"/>
        </w:rPr>
        <w:t>–</w:t>
      </w:r>
      <w:r w:rsidRPr="00965F94">
        <w:rPr>
          <w:rStyle w:val="FootnoteTextChar"/>
          <w:szCs w:val="16"/>
        </w:rPr>
        <w:t>24, and associated Bills.</w:t>
      </w:r>
    </w:p>
    <w:p w14:paraId="12397470" w14:textId="7EEB93C1" w:rsidR="008C73CD" w:rsidRPr="00965F94" w:rsidRDefault="008C73CD" w:rsidP="00E83CB9">
      <w:pPr>
        <w:pStyle w:val="FootnoteText"/>
        <w:rPr>
          <w:rFonts w:cs="Arial"/>
          <w:szCs w:val="16"/>
        </w:rPr>
      </w:pPr>
      <w:r w:rsidRPr="00965F94">
        <w:rPr>
          <w:rFonts w:cs="Arial"/>
          <w:szCs w:val="16"/>
          <w:vertAlign w:val="superscript"/>
        </w:rPr>
        <w:t>(b)</w:t>
      </w:r>
      <w:r w:rsidR="00E83CB9" w:rsidRPr="00965F94">
        <w:rPr>
          <w:szCs w:val="16"/>
        </w:rPr>
        <w:t xml:space="preserve"> </w:t>
      </w:r>
      <w:r w:rsidR="00E83CB9" w:rsidRPr="00965F94">
        <w:rPr>
          <w:szCs w:val="16"/>
        </w:rPr>
        <w:tab/>
      </w:r>
      <w:r w:rsidRPr="00965F94">
        <w:rPr>
          <w:rFonts w:cs="Arial"/>
          <w:szCs w:val="16"/>
        </w:rPr>
        <w:t xml:space="preserve">Estimated retained revenue receipts under section 74 of the </w:t>
      </w:r>
      <w:r w:rsidRPr="00965F94">
        <w:rPr>
          <w:rFonts w:cs="Arial"/>
          <w:i/>
          <w:szCs w:val="16"/>
        </w:rPr>
        <w:t>Public Governance, Performance and Accountability Act 2013</w:t>
      </w:r>
      <w:r w:rsidRPr="00965F94">
        <w:rPr>
          <w:rFonts w:cs="Arial"/>
          <w:szCs w:val="16"/>
        </w:rPr>
        <w:t xml:space="preserve"> (PGPA Act).</w:t>
      </w:r>
      <w:r w:rsidR="00E83CB9" w:rsidRPr="00965F94">
        <w:rPr>
          <w:rFonts w:cs="Arial"/>
          <w:szCs w:val="16"/>
        </w:rPr>
        <w:t xml:space="preserve"> </w:t>
      </w:r>
    </w:p>
    <w:p w14:paraId="413496F3" w14:textId="43CB669A" w:rsidR="008C73CD" w:rsidRPr="00965F94" w:rsidRDefault="008C73CD" w:rsidP="00E83CB9">
      <w:pPr>
        <w:pStyle w:val="FootnoteText"/>
        <w:rPr>
          <w:rFonts w:cs="Arial"/>
          <w:szCs w:val="16"/>
        </w:rPr>
      </w:pPr>
      <w:r w:rsidRPr="00965F94">
        <w:rPr>
          <w:rFonts w:cs="Arial"/>
          <w:szCs w:val="16"/>
          <w:vertAlign w:val="superscript"/>
        </w:rPr>
        <w:t>(c)</w:t>
      </w:r>
      <w:r w:rsidR="00E83CB9" w:rsidRPr="00965F94">
        <w:rPr>
          <w:szCs w:val="16"/>
        </w:rPr>
        <w:t xml:space="preserve"> </w:t>
      </w:r>
      <w:r w:rsidR="00E83CB9" w:rsidRPr="00965F94">
        <w:rPr>
          <w:szCs w:val="16"/>
        </w:rPr>
        <w:tab/>
      </w:r>
      <w:r w:rsidRPr="00965F94">
        <w:rPr>
          <w:rFonts w:cs="Arial"/>
          <w:szCs w:val="16"/>
        </w:rPr>
        <w:t>Departmental Capital Budgets are not separately identified in Appropriation Bill (No. 1) and form part of ordinary annual services items. Refer Table 3.5: Departmental Capital Budget Statement for further details. For accounting purposes, this amount has been designated as a 'contribution by owner'.</w:t>
      </w:r>
      <w:r w:rsidR="00E83CB9" w:rsidRPr="00965F94">
        <w:rPr>
          <w:rFonts w:cs="Arial"/>
          <w:szCs w:val="16"/>
        </w:rPr>
        <w:t xml:space="preserve"> </w:t>
      </w:r>
    </w:p>
    <w:p w14:paraId="198FACD7" w14:textId="1337D096" w:rsidR="008C73CD" w:rsidRPr="00965F94" w:rsidRDefault="008C73CD" w:rsidP="00E83CB9">
      <w:pPr>
        <w:pStyle w:val="FootnoteText"/>
        <w:rPr>
          <w:szCs w:val="16"/>
        </w:rPr>
      </w:pPr>
      <w:r w:rsidRPr="00965F94">
        <w:rPr>
          <w:rFonts w:cs="Arial"/>
          <w:szCs w:val="16"/>
          <w:vertAlign w:val="superscript"/>
        </w:rPr>
        <w:t>(d)</w:t>
      </w:r>
      <w:r w:rsidR="00E83CB9" w:rsidRPr="00965F94">
        <w:rPr>
          <w:szCs w:val="16"/>
        </w:rPr>
        <w:t xml:space="preserve"> </w:t>
      </w:r>
      <w:r w:rsidR="00E83CB9" w:rsidRPr="00965F94">
        <w:rPr>
          <w:szCs w:val="16"/>
        </w:rPr>
        <w:tab/>
      </w:r>
      <w:r w:rsidRPr="00965F94">
        <w:rPr>
          <w:rFonts w:cs="Arial"/>
          <w:i/>
          <w:szCs w:val="16"/>
        </w:rPr>
        <w:t>Appropr</w:t>
      </w:r>
      <w:r w:rsidR="001B647E">
        <w:rPr>
          <w:rFonts w:cs="Arial"/>
          <w:i/>
          <w:szCs w:val="16"/>
        </w:rPr>
        <w:t>iation Act (No. 2) 2023</w:t>
      </w:r>
      <w:r w:rsidR="001B647E">
        <w:rPr>
          <w:rFonts w:cs="Arial"/>
          <w:b/>
          <w:bCs/>
          <w:i/>
          <w:szCs w:val="16"/>
        </w:rPr>
        <w:t>–</w:t>
      </w:r>
      <w:r w:rsidRPr="00965F94">
        <w:rPr>
          <w:rFonts w:cs="Arial"/>
          <w:i/>
          <w:szCs w:val="16"/>
        </w:rPr>
        <w:t>24</w:t>
      </w:r>
      <w:r w:rsidRPr="00965F94">
        <w:rPr>
          <w:rFonts w:cs="Arial"/>
          <w:szCs w:val="16"/>
        </w:rPr>
        <w:t xml:space="preserve">, </w:t>
      </w:r>
      <w:r w:rsidR="001B647E">
        <w:rPr>
          <w:rFonts w:cs="Arial"/>
          <w:szCs w:val="16"/>
        </w:rPr>
        <w:t>Appropriation Bill (No. 4) 2023</w:t>
      </w:r>
      <w:r w:rsidR="001B647E">
        <w:rPr>
          <w:rFonts w:cs="Arial"/>
          <w:b/>
          <w:bCs/>
          <w:i/>
          <w:szCs w:val="16"/>
        </w:rPr>
        <w:t>–</w:t>
      </w:r>
      <w:r w:rsidRPr="00965F94">
        <w:rPr>
          <w:rFonts w:cs="Arial"/>
          <w:szCs w:val="16"/>
        </w:rPr>
        <w:t>24 and associated Bills</w:t>
      </w:r>
      <w:r w:rsidRPr="00965F94">
        <w:rPr>
          <w:szCs w:val="16"/>
        </w:rPr>
        <w:t>.</w:t>
      </w:r>
      <w:r w:rsidR="00E83CB9" w:rsidRPr="00965F94">
        <w:rPr>
          <w:szCs w:val="16"/>
        </w:rPr>
        <w:t xml:space="preserve"> </w:t>
      </w:r>
    </w:p>
    <w:p w14:paraId="37E66F4D" w14:textId="29876F80" w:rsidR="008C73CD" w:rsidRPr="005C6924" w:rsidRDefault="008C73CD" w:rsidP="008C73CD">
      <w:pPr>
        <w:pStyle w:val="TableGraphic"/>
        <w:rPr>
          <w:rFonts w:ascii="Arial" w:hAnsi="Arial" w:cs="Arial"/>
          <w:b/>
          <w:sz w:val="22"/>
          <w:szCs w:val="22"/>
        </w:rPr>
      </w:pPr>
      <w:r w:rsidRPr="006D6BD2">
        <w:br w:type="page"/>
      </w:r>
      <w:r w:rsidR="00F552F6">
        <w:fldChar w:fldCharType="begin"/>
      </w:r>
      <w:r w:rsidR="00F552F6">
        <w:instrText xml:space="preserve"> </w:instrText>
      </w:r>
      <w:proofErr w:type="gramStart"/>
      <w:r w:rsidR="00F552F6">
        <w:instrText>TC  "</w:instrText>
      </w:r>
      <w:bookmarkStart w:id="541" w:name="_Toc157520613"/>
      <w:proofErr w:type="gramEnd"/>
      <w:r w:rsidR="00F552F6">
        <w:instrText>1.3</w:instrText>
      </w:r>
      <w:r w:rsidR="00F552F6">
        <w:tab/>
        <w:instrText>Entity measures</w:instrText>
      </w:r>
      <w:bookmarkEnd w:id="541"/>
      <w:r w:rsidR="00F552F6">
        <w:instrText xml:space="preserve">" \f </w:instrText>
      </w:r>
      <w:proofErr w:type="spellStart"/>
      <w:r w:rsidR="00F552F6">
        <w:instrText>psr</w:instrText>
      </w:r>
      <w:proofErr w:type="spellEnd"/>
      <w:r w:rsidR="00F552F6">
        <w:instrText xml:space="preserve"> \l 2 </w:instrText>
      </w:r>
      <w:r w:rsidR="00F552F6">
        <w:fldChar w:fldCharType="end"/>
      </w:r>
      <w:r w:rsidRPr="005C6924">
        <w:rPr>
          <w:rFonts w:ascii="Arial" w:hAnsi="Arial" w:cs="Arial"/>
          <w:b/>
          <w:sz w:val="22"/>
          <w:szCs w:val="22"/>
        </w:rPr>
        <w:t>1.3</w:t>
      </w:r>
      <w:r w:rsidRPr="005C6924">
        <w:rPr>
          <w:rFonts w:ascii="Arial" w:hAnsi="Arial" w:cs="Arial"/>
          <w:b/>
          <w:sz w:val="22"/>
          <w:szCs w:val="22"/>
        </w:rPr>
        <w:tab/>
        <w:t>Entity measures</w:t>
      </w:r>
    </w:p>
    <w:p w14:paraId="1E48A37C" w14:textId="2626E680" w:rsidR="008C73CD" w:rsidRPr="00AD26F8" w:rsidRDefault="008C73CD" w:rsidP="008C73CD">
      <w:pPr>
        <w:rPr>
          <w:sz w:val="20"/>
        </w:rPr>
      </w:pPr>
      <w:r w:rsidRPr="00AD26F8">
        <w:rPr>
          <w:sz w:val="20"/>
        </w:rPr>
        <w:t>Table 1.2 summarises new Governmen</w:t>
      </w:r>
      <w:r w:rsidR="00CC3D08">
        <w:rPr>
          <w:sz w:val="20"/>
        </w:rPr>
        <w:t>t measures taken since the 2023</w:t>
      </w:r>
      <w:r w:rsidR="00CC3D08">
        <w:rPr>
          <w:rFonts w:ascii="Arial" w:hAnsi="Arial" w:cs="Arial"/>
          <w:b/>
          <w:bCs/>
          <w:sz w:val="16"/>
          <w:szCs w:val="16"/>
        </w:rPr>
        <w:t>–</w:t>
      </w:r>
      <w:r w:rsidRPr="00AD26F8">
        <w:rPr>
          <w:sz w:val="20"/>
        </w:rPr>
        <w:t>24 Budget. The table is split into receipt and payment measures, with the affected program identified.</w:t>
      </w:r>
    </w:p>
    <w:p w14:paraId="63B47C99" w14:textId="77777777" w:rsidR="008C73CD" w:rsidRDefault="008C73CD" w:rsidP="008C73CD">
      <w:pPr>
        <w:pStyle w:val="TableHeading"/>
      </w:pPr>
      <w:r w:rsidRPr="00486E77">
        <w:t xml:space="preserve">Table 1.2: </w:t>
      </w:r>
      <w:r>
        <w:t>PSR 2023–24</w:t>
      </w:r>
      <w:r w:rsidRPr="00486E77">
        <w:t xml:space="preserve"> measures since </w:t>
      </w:r>
      <w:r>
        <w:t xml:space="preserve">the </w:t>
      </w:r>
      <w:r w:rsidRPr="00486E77">
        <w:t>Budget</w:t>
      </w:r>
    </w:p>
    <w:p w14:paraId="1E1CEE66" w14:textId="77777777" w:rsidR="008C73CD" w:rsidRPr="00AD26F8" w:rsidRDefault="008C73CD" w:rsidP="008C73CD">
      <w:pPr>
        <w:pStyle w:val="TableGraphic"/>
        <w:spacing w:before="120"/>
        <w:rPr>
          <w:sz w:val="20"/>
        </w:rPr>
      </w:pPr>
      <w:r w:rsidRPr="00AD26F8">
        <w:rPr>
          <w:sz w:val="20"/>
          <w:lang w:val="x-none"/>
        </w:rPr>
        <w:t>This table is not applicable to the PSR</w:t>
      </w:r>
      <w:r w:rsidRPr="00AD26F8">
        <w:rPr>
          <w:sz w:val="20"/>
        </w:rPr>
        <w:t>.</w:t>
      </w:r>
    </w:p>
    <w:p w14:paraId="2F263150" w14:textId="0BF89E7A" w:rsidR="008C73CD" w:rsidRPr="001E1BB6" w:rsidRDefault="00F552F6" w:rsidP="008C73CD">
      <w:pPr>
        <w:pStyle w:val="Heading3"/>
        <w:ind w:left="567" w:hanging="567"/>
      </w:pPr>
      <w:r>
        <w:fldChar w:fldCharType="begin"/>
      </w:r>
      <w:r>
        <w:instrText xml:space="preserve"> </w:instrText>
      </w:r>
      <w:proofErr w:type="gramStart"/>
      <w:r>
        <w:instrText>TC  "</w:instrText>
      </w:r>
      <w:bookmarkStart w:id="542" w:name="_Toc157520614"/>
      <w:proofErr w:type="gramEnd"/>
      <w:r>
        <w:instrText>1.4</w:instrText>
      </w:r>
      <w:r>
        <w:tab/>
        <w:instrText>Additional estimates, resourcing and variations to outcomes</w:instrText>
      </w:r>
      <w:bookmarkEnd w:id="542"/>
      <w:r>
        <w:instrText xml:space="preserve">" \f </w:instrText>
      </w:r>
      <w:proofErr w:type="spellStart"/>
      <w:r>
        <w:instrText>psr</w:instrText>
      </w:r>
      <w:proofErr w:type="spellEnd"/>
      <w:r>
        <w:instrText xml:space="preserve"> \l 2 </w:instrText>
      </w:r>
      <w:r>
        <w:fldChar w:fldCharType="end"/>
      </w:r>
      <w:bookmarkStart w:id="543" w:name="_Toc157592038"/>
      <w:bookmarkStart w:id="544" w:name="_Toc157592221"/>
      <w:r w:rsidR="008C73CD">
        <w:t>1.4</w:t>
      </w:r>
      <w:r w:rsidR="008C73CD">
        <w:tab/>
        <w:t>Additional estimates, resourcing and v</w:t>
      </w:r>
      <w:r w:rsidR="008C73CD" w:rsidRPr="00597122">
        <w:t>ariations</w:t>
      </w:r>
      <w:r w:rsidR="008C73CD">
        <w:t xml:space="preserve"> to outcomes</w:t>
      </w:r>
      <w:bookmarkEnd w:id="543"/>
      <w:bookmarkEnd w:id="544"/>
    </w:p>
    <w:p w14:paraId="673E85B4" w14:textId="5E4AB8D9" w:rsidR="008C73CD" w:rsidRPr="00AD26F8" w:rsidRDefault="008C73CD" w:rsidP="008C73CD">
      <w:pPr>
        <w:rPr>
          <w:sz w:val="20"/>
        </w:rPr>
      </w:pPr>
      <w:r w:rsidRPr="00AD26F8">
        <w:rPr>
          <w:sz w:val="20"/>
        </w:rPr>
        <w:t xml:space="preserve">The following tables detail the changes to the resourcing for PSR at Additional Estimates, by outcome. Table 1.3 details the Additional Estimates resulting from new measures and other variations since the 2023–24 Budget in Appropriation Bills </w:t>
      </w:r>
      <w:r w:rsidR="001B647E">
        <w:rPr>
          <w:sz w:val="20"/>
        </w:rPr>
        <w:t>(</w:t>
      </w:r>
      <w:r w:rsidRPr="00AD26F8">
        <w:rPr>
          <w:sz w:val="20"/>
        </w:rPr>
        <w:t>Nos. 3 and 4</w:t>
      </w:r>
      <w:r w:rsidR="001B647E">
        <w:rPr>
          <w:sz w:val="20"/>
        </w:rPr>
        <w:t>)</w:t>
      </w:r>
      <w:r w:rsidRPr="00AD26F8">
        <w:rPr>
          <w:sz w:val="20"/>
        </w:rPr>
        <w:t>.</w:t>
      </w:r>
    </w:p>
    <w:p w14:paraId="649C3AB5" w14:textId="77777777" w:rsidR="008C73CD" w:rsidRDefault="008C73CD" w:rsidP="008C73CD">
      <w:pPr>
        <w:pStyle w:val="TableHeading"/>
        <w:rPr>
          <w:rFonts w:ascii="Book Antiqua" w:hAnsi="Book Antiqua"/>
          <w:bCs/>
          <w:color w:val="0000FF"/>
          <w:sz w:val="19"/>
        </w:rPr>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660" w:type="dxa"/>
        <w:tblLook w:val="04A0" w:firstRow="1" w:lastRow="0" w:firstColumn="1" w:lastColumn="0" w:noHBand="0" w:noVBand="1"/>
      </w:tblPr>
      <w:tblGrid>
        <w:gridCol w:w="4060"/>
        <w:gridCol w:w="900"/>
        <w:gridCol w:w="900"/>
        <w:gridCol w:w="900"/>
        <w:gridCol w:w="900"/>
      </w:tblGrid>
      <w:tr w:rsidR="004C24C6" w:rsidRPr="004C24C6" w14:paraId="4C51558F" w14:textId="77777777" w:rsidTr="00381EF0">
        <w:trPr>
          <w:trHeight w:val="397"/>
        </w:trPr>
        <w:tc>
          <w:tcPr>
            <w:tcW w:w="4060" w:type="dxa"/>
            <w:tcBorders>
              <w:top w:val="single" w:sz="4" w:space="0" w:color="auto"/>
              <w:left w:val="nil"/>
              <w:bottom w:val="nil"/>
              <w:right w:val="nil"/>
            </w:tcBorders>
            <w:shd w:val="clear" w:color="auto" w:fill="auto"/>
            <w:noWrap/>
            <w:hideMark/>
          </w:tcPr>
          <w:p w14:paraId="41DA831E" w14:textId="77777777" w:rsidR="004C24C6" w:rsidRPr="004C24C6" w:rsidRDefault="004C24C6" w:rsidP="004D0F4A">
            <w:pPr>
              <w:spacing w:before="24" w:after="0" w:line="240" w:lineRule="auto"/>
              <w:jc w:val="right"/>
              <w:rPr>
                <w:rFonts w:ascii="Arial" w:hAnsi="Arial" w:cs="Arial"/>
                <w:sz w:val="16"/>
                <w:szCs w:val="16"/>
              </w:rPr>
            </w:pPr>
            <w:r w:rsidRPr="004C24C6">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000000" w:fill="D9D9D9"/>
            <w:hideMark/>
          </w:tcPr>
          <w:p w14:paraId="76E4DB95" w14:textId="7FD16065" w:rsidR="004C24C6" w:rsidRPr="004C24C6" w:rsidRDefault="004D0F4A" w:rsidP="004D0F4A">
            <w:pPr>
              <w:spacing w:before="24" w:after="0" w:line="240" w:lineRule="auto"/>
              <w:jc w:val="right"/>
              <w:rPr>
                <w:rFonts w:ascii="Arial" w:hAnsi="Arial" w:cs="Arial"/>
                <w:b/>
                <w:bCs/>
                <w:sz w:val="16"/>
                <w:szCs w:val="16"/>
              </w:rPr>
            </w:pPr>
            <w:r>
              <w:rPr>
                <w:rFonts w:ascii="Arial" w:hAnsi="Arial" w:cs="Arial"/>
                <w:b/>
                <w:bCs/>
                <w:sz w:val="16"/>
                <w:szCs w:val="16"/>
              </w:rPr>
              <w:t>2023–</w:t>
            </w:r>
            <w:r w:rsidR="004C24C6" w:rsidRPr="004C24C6">
              <w:rPr>
                <w:rFonts w:ascii="Arial" w:hAnsi="Arial" w:cs="Arial"/>
                <w:b/>
                <w:bCs/>
                <w:sz w:val="16"/>
                <w:szCs w:val="16"/>
              </w:rPr>
              <w:t xml:space="preserve">24 </w:t>
            </w:r>
            <w:r w:rsidR="004C24C6" w:rsidRPr="004C24C6">
              <w:rPr>
                <w:rFonts w:ascii="Arial" w:hAnsi="Arial" w:cs="Arial"/>
                <w:b/>
                <w:bCs/>
                <w:sz w:val="16"/>
                <w:szCs w:val="16"/>
              </w:rPr>
              <w:br/>
            </w:r>
            <w:r w:rsidR="004C24C6" w:rsidRPr="004C24C6">
              <w:rPr>
                <w:rFonts w:ascii="Arial" w:hAnsi="Arial" w:cs="Arial"/>
                <w:bCs/>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44C8C882" w14:textId="698BC2F1" w:rsidR="004C24C6" w:rsidRPr="004C24C6" w:rsidRDefault="004D0F4A" w:rsidP="004D0F4A">
            <w:pPr>
              <w:spacing w:before="24" w:after="0" w:line="240" w:lineRule="auto"/>
              <w:jc w:val="right"/>
              <w:rPr>
                <w:rFonts w:ascii="Arial" w:hAnsi="Arial" w:cs="Arial"/>
                <w:b/>
                <w:bCs/>
                <w:sz w:val="16"/>
                <w:szCs w:val="16"/>
              </w:rPr>
            </w:pPr>
            <w:r>
              <w:rPr>
                <w:rFonts w:ascii="Arial" w:hAnsi="Arial" w:cs="Arial"/>
                <w:b/>
                <w:bCs/>
                <w:sz w:val="16"/>
                <w:szCs w:val="16"/>
              </w:rPr>
              <w:t>2024–</w:t>
            </w:r>
            <w:r w:rsidR="004C24C6" w:rsidRPr="004C24C6">
              <w:rPr>
                <w:rFonts w:ascii="Arial" w:hAnsi="Arial" w:cs="Arial"/>
                <w:b/>
                <w:bCs/>
                <w:sz w:val="16"/>
                <w:szCs w:val="16"/>
              </w:rPr>
              <w:t xml:space="preserve">25 </w:t>
            </w:r>
            <w:r w:rsidR="004C24C6" w:rsidRPr="004C24C6">
              <w:rPr>
                <w:rFonts w:ascii="Arial" w:hAnsi="Arial" w:cs="Arial"/>
                <w:b/>
                <w:bCs/>
                <w:sz w:val="16"/>
                <w:szCs w:val="16"/>
              </w:rPr>
              <w:br/>
            </w:r>
            <w:r w:rsidR="004C24C6" w:rsidRPr="004C24C6">
              <w:rPr>
                <w:rFonts w:ascii="Arial" w:hAnsi="Arial" w:cs="Arial"/>
                <w:bCs/>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65C0F3EC" w14:textId="785C3D10" w:rsidR="004C24C6" w:rsidRPr="004C24C6" w:rsidRDefault="004D0F4A" w:rsidP="004D0F4A">
            <w:pPr>
              <w:spacing w:before="24" w:after="0" w:line="240" w:lineRule="auto"/>
              <w:jc w:val="right"/>
              <w:rPr>
                <w:rFonts w:ascii="Arial" w:hAnsi="Arial" w:cs="Arial"/>
                <w:b/>
                <w:bCs/>
                <w:sz w:val="16"/>
                <w:szCs w:val="16"/>
              </w:rPr>
            </w:pPr>
            <w:r>
              <w:rPr>
                <w:rFonts w:ascii="Arial" w:hAnsi="Arial" w:cs="Arial"/>
                <w:b/>
                <w:bCs/>
                <w:sz w:val="16"/>
                <w:szCs w:val="16"/>
              </w:rPr>
              <w:t>2025–</w:t>
            </w:r>
            <w:r w:rsidR="004C24C6" w:rsidRPr="004C24C6">
              <w:rPr>
                <w:rFonts w:ascii="Arial" w:hAnsi="Arial" w:cs="Arial"/>
                <w:b/>
                <w:bCs/>
                <w:sz w:val="16"/>
                <w:szCs w:val="16"/>
              </w:rPr>
              <w:t xml:space="preserve">26 </w:t>
            </w:r>
            <w:r w:rsidR="004C24C6" w:rsidRPr="004C24C6">
              <w:rPr>
                <w:rFonts w:ascii="Arial" w:hAnsi="Arial" w:cs="Arial"/>
                <w:b/>
                <w:bCs/>
                <w:sz w:val="16"/>
                <w:szCs w:val="16"/>
              </w:rPr>
              <w:br/>
            </w:r>
            <w:r w:rsidR="004C24C6" w:rsidRPr="004C24C6">
              <w:rPr>
                <w:rFonts w:ascii="Arial" w:hAnsi="Arial" w:cs="Arial"/>
                <w:bCs/>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365A96A0" w14:textId="2546FBB4" w:rsidR="004C24C6" w:rsidRPr="004C24C6" w:rsidRDefault="004D0F4A" w:rsidP="004D0F4A">
            <w:pPr>
              <w:spacing w:before="24" w:after="0" w:line="240" w:lineRule="auto"/>
              <w:jc w:val="right"/>
              <w:rPr>
                <w:rFonts w:ascii="Arial" w:hAnsi="Arial" w:cs="Arial"/>
                <w:b/>
                <w:bCs/>
                <w:sz w:val="16"/>
                <w:szCs w:val="16"/>
              </w:rPr>
            </w:pPr>
            <w:r>
              <w:rPr>
                <w:rFonts w:ascii="Arial" w:hAnsi="Arial" w:cs="Arial"/>
                <w:b/>
                <w:bCs/>
                <w:sz w:val="16"/>
                <w:szCs w:val="16"/>
              </w:rPr>
              <w:t>2026–</w:t>
            </w:r>
            <w:r w:rsidR="004C24C6" w:rsidRPr="004C24C6">
              <w:rPr>
                <w:rFonts w:ascii="Arial" w:hAnsi="Arial" w:cs="Arial"/>
                <w:b/>
                <w:bCs/>
                <w:sz w:val="16"/>
                <w:szCs w:val="16"/>
              </w:rPr>
              <w:t>27</w:t>
            </w:r>
            <w:r w:rsidR="004C24C6" w:rsidRPr="004C24C6">
              <w:rPr>
                <w:rFonts w:ascii="Arial" w:hAnsi="Arial" w:cs="Arial"/>
                <w:b/>
                <w:bCs/>
                <w:sz w:val="16"/>
                <w:szCs w:val="16"/>
              </w:rPr>
              <w:br/>
            </w:r>
            <w:r w:rsidR="004C24C6" w:rsidRPr="004C24C6">
              <w:rPr>
                <w:rFonts w:ascii="Arial" w:hAnsi="Arial" w:cs="Arial"/>
                <w:sz w:val="16"/>
                <w:szCs w:val="16"/>
              </w:rPr>
              <w:t>$'000</w:t>
            </w:r>
          </w:p>
        </w:tc>
      </w:tr>
      <w:tr w:rsidR="004C24C6" w:rsidRPr="004C24C6" w14:paraId="72AE1D8E" w14:textId="77777777" w:rsidTr="006A1872">
        <w:trPr>
          <w:trHeight w:val="454"/>
        </w:trPr>
        <w:tc>
          <w:tcPr>
            <w:tcW w:w="7660" w:type="dxa"/>
            <w:gridSpan w:val="5"/>
            <w:tcBorders>
              <w:top w:val="nil"/>
              <w:left w:val="nil"/>
              <w:bottom w:val="nil"/>
              <w:right w:val="nil"/>
            </w:tcBorders>
            <w:shd w:val="clear" w:color="auto" w:fill="auto"/>
            <w:vAlign w:val="bottom"/>
            <w:hideMark/>
          </w:tcPr>
          <w:p w14:paraId="674C3C31" w14:textId="77777777" w:rsidR="004C24C6" w:rsidRPr="004C24C6" w:rsidRDefault="004C24C6" w:rsidP="004C24C6">
            <w:pPr>
              <w:spacing w:before="0" w:after="0" w:line="240" w:lineRule="auto"/>
              <w:rPr>
                <w:rFonts w:ascii="Arial" w:hAnsi="Arial" w:cs="Arial"/>
                <w:b/>
                <w:bCs/>
                <w:sz w:val="16"/>
                <w:szCs w:val="16"/>
              </w:rPr>
            </w:pPr>
            <w:r w:rsidRPr="004C24C6">
              <w:rPr>
                <w:rFonts w:ascii="Arial" w:hAnsi="Arial" w:cs="Arial"/>
                <w:b/>
                <w:bCs/>
                <w:sz w:val="16"/>
                <w:szCs w:val="16"/>
              </w:rPr>
              <w:t>Program 1.1: Safeguarding the Integrity of the Medicare Program and Pharmaceutical Benefits Scheme</w:t>
            </w:r>
          </w:p>
        </w:tc>
      </w:tr>
      <w:tr w:rsidR="004C24C6" w:rsidRPr="004C24C6" w14:paraId="03A1CF10" w14:textId="77777777" w:rsidTr="004D0F4A">
        <w:trPr>
          <w:trHeight w:val="283"/>
        </w:trPr>
        <w:tc>
          <w:tcPr>
            <w:tcW w:w="4060" w:type="dxa"/>
            <w:tcBorders>
              <w:top w:val="nil"/>
              <w:left w:val="nil"/>
              <w:bottom w:val="nil"/>
              <w:right w:val="nil"/>
            </w:tcBorders>
            <w:shd w:val="clear" w:color="auto" w:fill="auto"/>
            <w:noWrap/>
            <w:vAlign w:val="bottom"/>
            <w:hideMark/>
          </w:tcPr>
          <w:p w14:paraId="1CB0D729" w14:textId="77777777" w:rsidR="004C24C6" w:rsidRPr="004C24C6" w:rsidRDefault="004C24C6" w:rsidP="004C24C6">
            <w:pPr>
              <w:spacing w:before="0" w:after="0" w:line="240" w:lineRule="auto"/>
              <w:rPr>
                <w:rFonts w:ascii="Arial" w:hAnsi="Arial" w:cs="Arial"/>
                <w:b/>
                <w:bCs/>
                <w:sz w:val="16"/>
                <w:szCs w:val="16"/>
              </w:rPr>
            </w:pPr>
            <w:r w:rsidRPr="004C24C6">
              <w:rPr>
                <w:rFonts w:ascii="Arial" w:hAnsi="Arial"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14:paraId="473AFC10" w14:textId="77777777" w:rsidR="004C24C6" w:rsidRPr="004C24C6" w:rsidRDefault="004C24C6" w:rsidP="004C24C6">
            <w:pPr>
              <w:spacing w:before="0" w:after="0" w:line="240" w:lineRule="auto"/>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3CE4C62F" w14:textId="77777777" w:rsidR="004C24C6" w:rsidRPr="004C24C6" w:rsidRDefault="004C24C6" w:rsidP="004C24C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2F93C0C8" w14:textId="77777777" w:rsidR="004C24C6" w:rsidRPr="004C24C6" w:rsidRDefault="004C24C6" w:rsidP="004C24C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52578BFA" w14:textId="77777777" w:rsidR="004C24C6" w:rsidRPr="004C24C6" w:rsidRDefault="004C24C6" w:rsidP="004C24C6">
            <w:pPr>
              <w:spacing w:before="0" w:after="0" w:line="240" w:lineRule="auto"/>
              <w:jc w:val="right"/>
              <w:rPr>
                <w:rFonts w:ascii="Times New Roman" w:hAnsi="Times New Roman"/>
                <w:sz w:val="20"/>
              </w:rPr>
            </w:pPr>
          </w:p>
        </w:tc>
      </w:tr>
      <w:tr w:rsidR="004C24C6" w:rsidRPr="004C24C6" w14:paraId="2713589C" w14:textId="77777777" w:rsidTr="004D0F4A">
        <w:trPr>
          <w:trHeight w:val="283"/>
        </w:trPr>
        <w:tc>
          <w:tcPr>
            <w:tcW w:w="4060" w:type="dxa"/>
            <w:tcBorders>
              <w:top w:val="nil"/>
              <w:left w:val="nil"/>
              <w:bottom w:val="nil"/>
              <w:right w:val="nil"/>
            </w:tcBorders>
            <w:shd w:val="clear" w:color="auto" w:fill="auto"/>
            <w:noWrap/>
            <w:vAlign w:val="bottom"/>
            <w:hideMark/>
          </w:tcPr>
          <w:p w14:paraId="71915919" w14:textId="77777777" w:rsidR="004C24C6" w:rsidRPr="004C24C6" w:rsidRDefault="004C24C6" w:rsidP="004C24C6">
            <w:pPr>
              <w:spacing w:before="0" w:after="0" w:line="240" w:lineRule="auto"/>
              <w:rPr>
                <w:rFonts w:ascii="Arial" w:hAnsi="Arial" w:cs="Arial"/>
                <w:sz w:val="16"/>
                <w:szCs w:val="16"/>
              </w:rPr>
            </w:pPr>
            <w:r w:rsidRPr="004C24C6">
              <w:rPr>
                <w:rFonts w:ascii="Arial" w:hAnsi="Arial" w:cs="Arial"/>
                <w:sz w:val="16"/>
                <w:szCs w:val="16"/>
              </w:rPr>
              <w:t>Appropriation Bill (No. 3)</w:t>
            </w:r>
          </w:p>
        </w:tc>
        <w:tc>
          <w:tcPr>
            <w:tcW w:w="900" w:type="dxa"/>
            <w:tcBorders>
              <w:top w:val="nil"/>
              <w:left w:val="nil"/>
              <w:bottom w:val="nil"/>
              <w:right w:val="nil"/>
            </w:tcBorders>
            <w:shd w:val="clear" w:color="000000" w:fill="D9D9D9"/>
            <w:noWrap/>
            <w:vAlign w:val="bottom"/>
            <w:hideMark/>
          </w:tcPr>
          <w:p w14:paraId="70140E70"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C7AD05A" w14:textId="77777777" w:rsidR="004C24C6" w:rsidRPr="004C24C6" w:rsidRDefault="004C24C6" w:rsidP="004C24C6">
            <w:pPr>
              <w:spacing w:before="0" w:after="0" w:line="240" w:lineRule="auto"/>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E97FBAB" w14:textId="77777777" w:rsidR="004C24C6" w:rsidRPr="004C24C6" w:rsidRDefault="004C24C6" w:rsidP="004C24C6">
            <w:pPr>
              <w:spacing w:before="0" w:after="0" w:line="240" w:lineRule="auto"/>
              <w:jc w:val="right"/>
              <w:rPr>
                <w:rFonts w:ascii="Times New Roman" w:hAnsi="Times New Roman"/>
                <w:sz w:val="20"/>
              </w:rPr>
            </w:pPr>
          </w:p>
        </w:tc>
        <w:tc>
          <w:tcPr>
            <w:tcW w:w="900" w:type="dxa"/>
            <w:tcBorders>
              <w:top w:val="nil"/>
              <w:left w:val="nil"/>
              <w:bottom w:val="nil"/>
              <w:right w:val="nil"/>
            </w:tcBorders>
            <w:shd w:val="clear" w:color="auto" w:fill="auto"/>
            <w:noWrap/>
            <w:vAlign w:val="bottom"/>
            <w:hideMark/>
          </w:tcPr>
          <w:p w14:paraId="479E82F9" w14:textId="77777777" w:rsidR="004C24C6" w:rsidRPr="004C24C6" w:rsidRDefault="004C24C6" w:rsidP="004C24C6">
            <w:pPr>
              <w:spacing w:before="0" w:after="0" w:line="240" w:lineRule="auto"/>
              <w:jc w:val="right"/>
              <w:rPr>
                <w:rFonts w:ascii="Times New Roman" w:hAnsi="Times New Roman"/>
                <w:sz w:val="20"/>
              </w:rPr>
            </w:pPr>
          </w:p>
        </w:tc>
      </w:tr>
      <w:tr w:rsidR="004C24C6" w:rsidRPr="004C24C6" w14:paraId="690F5B71" w14:textId="77777777" w:rsidTr="004D0F4A">
        <w:trPr>
          <w:trHeight w:val="283"/>
        </w:trPr>
        <w:tc>
          <w:tcPr>
            <w:tcW w:w="4060" w:type="dxa"/>
            <w:tcBorders>
              <w:top w:val="nil"/>
              <w:left w:val="nil"/>
              <w:bottom w:val="nil"/>
              <w:right w:val="nil"/>
            </w:tcBorders>
            <w:shd w:val="clear" w:color="auto" w:fill="auto"/>
            <w:vAlign w:val="bottom"/>
            <w:hideMark/>
          </w:tcPr>
          <w:p w14:paraId="2C3B1D75" w14:textId="77777777" w:rsidR="004C24C6" w:rsidRPr="004C24C6" w:rsidRDefault="004C24C6" w:rsidP="004C24C6">
            <w:pPr>
              <w:spacing w:before="0" w:after="0" w:line="240" w:lineRule="auto"/>
              <w:rPr>
                <w:rFonts w:ascii="Arial" w:hAnsi="Arial" w:cs="Arial"/>
                <w:sz w:val="16"/>
                <w:szCs w:val="16"/>
              </w:rPr>
            </w:pPr>
            <w:r w:rsidRPr="004C24C6">
              <w:rPr>
                <w:rFonts w:ascii="Arial" w:hAnsi="Arial" w:cs="Arial"/>
                <w:sz w:val="16"/>
                <w:szCs w:val="16"/>
              </w:rPr>
              <w:t>Reclassification of funding to DCB</w:t>
            </w:r>
          </w:p>
        </w:tc>
        <w:tc>
          <w:tcPr>
            <w:tcW w:w="900" w:type="dxa"/>
            <w:tcBorders>
              <w:top w:val="nil"/>
              <w:left w:val="nil"/>
              <w:bottom w:val="nil"/>
              <w:right w:val="nil"/>
            </w:tcBorders>
            <w:shd w:val="clear" w:color="000000" w:fill="D9D9D9"/>
            <w:noWrap/>
            <w:vAlign w:val="bottom"/>
            <w:hideMark/>
          </w:tcPr>
          <w:p w14:paraId="72E5E199"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500 </w:t>
            </w:r>
          </w:p>
        </w:tc>
        <w:tc>
          <w:tcPr>
            <w:tcW w:w="900" w:type="dxa"/>
            <w:tcBorders>
              <w:top w:val="nil"/>
              <w:left w:val="nil"/>
              <w:bottom w:val="nil"/>
              <w:right w:val="nil"/>
            </w:tcBorders>
            <w:shd w:val="clear" w:color="auto" w:fill="auto"/>
            <w:noWrap/>
            <w:vAlign w:val="bottom"/>
            <w:hideMark/>
          </w:tcPr>
          <w:p w14:paraId="780CB173"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A00872F"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214EDA09"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r>
      <w:tr w:rsidR="004C24C6" w:rsidRPr="004C24C6" w14:paraId="4291D40E" w14:textId="77777777" w:rsidTr="004D0F4A">
        <w:trPr>
          <w:trHeight w:val="283"/>
        </w:trPr>
        <w:tc>
          <w:tcPr>
            <w:tcW w:w="4060" w:type="dxa"/>
            <w:tcBorders>
              <w:top w:val="nil"/>
              <w:left w:val="nil"/>
              <w:bottom w:val="nil"/>
              <w:right w:val="nil"/>
            </w:tcBorders>
            <w:shd w:val="clear" w:color="auto" w:fill="auto"/>
            <w:vAlign w:val="bottom"/>
            <w:hideMark/>
          </w:tcPr>
          <w:p w14:paraId="0D33E588" w14:textId="77777777" w:rsidR="004C24C6" w:rsidRPr="004C24C6" w:rsidRDefault="004C24C6" w:rsidP="004C24C6">
            <w:pPr>
              <w:spacing w:before="0" w:after="0" w:line="240" w:lineRule="auto"/>
              <w:rPr>
                <w:rFonts w:ascii="Arial" w:hAnsi="Arial" w:cs="Arial"/>
                <w:sz w:val="16"/>
                <w:szCs w:val="16"/>
              </w:rPr>
            </w:pPr>
            <w:r w:rsidRPr="004C24C6">
              <w:rPr>
                <w:rFonts w:ascii="Arial" w:hAnsi="Arial" w:cs="Arial"/>
                <w:sz w:val="16"/>
                <w:szCs w:val="16"/>
              </w:rPr>
              <w:t>Reclassification of funding from operating</w:t>
            </w:r>
          </w:p>
        </w:tc>
        <w:tc>
          <w:tcPr>
            <w:tcW w:w="900" w:type="dxa"/>
            <w:tcBorders>
              <w:top w:val="nil"/>
              <w:left w:val="nil"/>
              <w:bottom w:val="nil"/>
              <w:right w:val="nil"/>
            </w:tcBorders>
            <w:shd w:val="clear" w:color="000000" w:fill="D9D9D9"/>
            <w:noWrap/>
            <w:vAlign w:val="bottom"/>
            <w:hideMark/>
          </w:tcPr>
          <w:p w14:paraId="1AF93FF7"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(500)</w:t>
            </w:r>
          </w:p>
        </w:tc>
        <w:tc>
          <w:tcPr>
            <w:tcW w:w="900" w:type="dxa"/>
            <w:tcBorders>
              <w:top w:val="nil"/>
              <w:left w:val="nil"/>
              <w:bottom w:val="nil"/>
              <w:right w:val="nil"/>
            </w:tcBorders>
            <w:shd w:val="clear" w:color="auto" w:fill="auto"/>
            <w:noWrap/>
            <w:vAlign w:val="bottom"/>
            <w:hideMark/>
          </w:tcPr>
          <w:p w14:paraId="6717AAFD"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120797F6"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485D68FF"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r>
      <w:tr w:rsidR="004C24C6" w:rsidRPr="004C24C6" w14:paraId="042C6333" w14:textId="77777777" w:rsidTr="004D0F4A">
        <w:trPr>
          <w:trHeight w:val="283"/>
        </w:trPr>
        <w:tc>
          <w:tcPr>
            <w:tcW w:w="4060" w:type="dxa"/>
            <w:tcBorders>
              <w:top w:val="nil"/>
              <w:left w:val="nil"/>
              <w:bottom w:val="nil"/>
              <w:right w:val="nil"/>
            </w:tcBorders>
            <w:shd w:val="clear" w:color="000000" w:fill="FFFFFF"/>
            <w:noWrap/>
            <w:vAlign w:val="bottom"/>
            <w:hideMark/>
          </w:tcPr>
          <w:p w14:paraId="6F80F99F" w14:textId="77777777" w:rsidR="004C24C6" w:rsidRPr="004C24C6" w:rsidRDefault="004C24C6" w:rsidP="004C24C6">
            <w:pPr>
              <w:spacing w:before="0" w:after="0" w:line="240" w:lineRule="auto"/>
              <w:rPr>
                <w:rFonts w:ascii="Arial" w:hAnsi="Arial" w:cs="Arial"/>
                <w:sz w:val="16"/>
                <w:szCs w:val="16"/>
              </w:rPr>
            </w:pPr>
            <w:r w:rsidRPr="004C24C6">
              <w:rPr>
                <w:rFonts w:ascii="Arial" w:hAnsi="Arial" w:cs="Arial"/>
                <w:sz w:val="16"/>
                <w:szCs w:val="16"/>
              </w:rPr>
              <w:t xml:space="preserve">Price parameter adjustments </w:t>
            </w:r>
            <w:r w:rsidRPr="004C24C6">
              <w:rPr>
                <w:rFonts w:ascii="Arial" w:hAnsi="Arial" w:cs="Arial"/>
                <w:sz w:val="16"/>
                <w:szCs w:val="16"/>
                <w:vertAlign w:val="superscript"/>
              </w:rPr>
              <w:t>(a)</w:t>
            </w:r>
          </w:p>
        </w:tc>
        <w:tc>
          <w:tcPr>
            <w:tcW w:w="900" w:type="dxa"/>
            <w:tcBorders>
              <w:top w:val="nil"/>
              <w:left w:val="nil"/>
              <w:bottom w:val="nil"/>
              <w:right w:val="nil"/>
            </w:tcBorders>
            <w:shd w:val="clear" w:color="000000" w:fill="D9D9D9"/>
            <w:noWrap/>
            <w:vAlign w:val="bottom"/>
            <w:hideMark/>
          </w:tcPr>
          <w:p w14:paraId="41F52F1D"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 </w:t>
            </w:r>
          </w:p>
        </w:tc>
        <w:tc>
          <w:tcPr>
            <w:tcW w:w="900" w:type="dxa"/>
            <w:tcBorders>
              <w:top w:val="nil"/>
              <w:left w:val="nil"/>
              <w:bottom w:val="nil"/>
              <w:right w:val="nil"/>
            </w:tcBorders>
            <w:shd w:val="clear" w:color="auto" w:fill="auto"/>
            <w:noWrap/>
            <w:vAlign w:val="bottom"/>
            <w:hideMark/>
          </w:tcPr>
          <w:p w14:paraId="761D4A2B"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15 </w:t>
            </w:r>
          </w:p>
        </w:tc>
        <w:tc>
          <w:tcPr>
            <w:tcW w:w="900" w:type="dxa"/>
            <w:tcBorders>
              <w:top w:val="nil"/>
              <w:left w:val="nil"/>
              <w:bottom w:val="nil"/>
              <w:right w:val="nil"/>
            </w:tcBorders>
            <w:shd w:val="clear" w:color="auto" w:fill="auto"/>
            <w:noWrap/>
            <w:vAlign w:val="bottom"/>
            <w:hideMark/>
          </w:tcPr>
          <w:p w14:paraId="5CB33D45"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48 </w:t>
            </w:r>
          </w:p>
        </w:tc>
        <w:tc>
          <w:tcPr>
            <w:tcW w:w="900" w:type="dxa"/>
            <w:tcBorders>
              <w:top w:val="nil"/>
              <w:left w:val="nil"/>
              <w:bottom w:val="nil"/>
              <w:right w:val="nil"/>
            </w:tcBorders>
            <w:shd w:val="clear" w:color="auto" w:fill="auto"/>
            <w:noWrap/>
            <w:vAlign w:val="bottom"/>
            <w:hideMark/>
          </w:tcPr>
          <w:p w14:paraId="63425E66" w14:textId="77777777" w:rsidR="004C24C6" w:rsidRPr="004C24C6" w:rsidRDefault="004C24C6" w:rsidP="004C24C6">
            <w:pPr>
              <w:spacing w:before="0" w:after="0" w:line="240" w:lineRule="auto"/>
              <w:jc w:val="right"/>
              <w:rPr>
                <w:rFonts w:ascii="Arial" w:hAnsi="Arial" w:cs="Arial"/>
                <w:sz w:val="16"/>
                <w:szCs w:val="16"/>
              </w:rPr>
            </w:pPr>
            <w:r w:rsidRPr="004C24C6">
              <w:rPr>
                <w:rFonts w:ascii="Arial" w:hAnsi="Arial" w:cs="Arial"/>
                <w:sz w:val="16"/>
                <w:szCs w:val="16"/>
              </w:rPr>
              <w:t xml:space="preserve">50 </w:t>
            </w:r>
          </w:p>
        </w:tc>
      </w:tr>
      <w:tr w:rsidR="004C24C6" w:rsidRPr="004C24C6" w14:paraId="2BCCACE6" w14:textId="77777777" w:rsidTr="004D0F4A">
        <w:trPr>
          <w:trHeight w:val="283"/>
        </w:trPr>
        <w:tc>
          <w:tcPr>
            <w:tcW w:w="4060" w:type="dxa"/>
            <w:tcBorders>
              <w:top w:val="nil"/>
              <w:left w:val="nil"/>
              <w:bottom w:val="single" w:sz="4" w:space="0" w:color="auto"/>
              <w:right w:val="nil"/>
            </w:tcBorders>
            <w:shd w:val="clear" w:color="auto" w:fill="auto"/>
            <w:noWrap/>
            <w:vAlign w:val="bottom"/>
            <w:hideMark/>
          </w:tcPr>
          <w:p w14:paraId="35E63D79" w14:textId="77777777" w:rsidR="004C24C6" w:rsidRPr="004C24C6" w:rsidRDefault="004C24C6" w:rsidP="004C24C6">
            <w:pPr>
              <w:spacing w:before="0" w:after="0" w:line="240" w:lineRule="auto"/>
              <w:rPr>
                <w:rFonts w:ascii="Arial" w:hAnsi="Arial" w:cs="Arial"/>
                <w:b/>
                <w:bCs/>
                <w:sz w:val="16"/>
                <w:szCs w:val="16"/>
              </w:rPr>
            </w:pPr>
            <w:r w:rsidRPr="004C24C6">
              <w:rPr>
                <w:rFonts w:ascii="Arial" w:hAnsi="Arial" w:cs="Arial"/>
                <w:b/>
                <w:bCs/>
                <w:sz w:val="16"/>
                <w:szCs w:val="16"/>
              </w:rPr>
              <w:t>Total</w:t>
            </w:r>
          </w:p>
        </w:tc>
        <w:tc>
          <w:tcPr>
            <w:tcW w:w="900" w:type="dxa"/>
            <w:tcBorders>
              <w:top w:val="single" w:sz="4" w:space="0" w:color="auto"/>
              <w:left w:val="nil"/>
              <w:bottom w:val="single" w:sz="4" w:space="0" w:color="auto"/>
              <w:right w:val="nil"/>
            </w:tcBorders>
            <w:shd w:val="clear" w:color="000000" w:fill="D9D9D9"/>
            <w:noWrap/>
            <w:vAlign w:val="bottom"/>
            <w:hideMark/>
          </w:tcPr>
          <w:p w14:paraId="5CD1094C" w14:textId="77777777" w:rsidR="004C24C6" w:rsidRPr="004C24C6" w:rsidRDefault="004C24C6" w:rsidP="004C24C6">
            <w:pPr>
              <w:spacing w:before="0" w:after="0" w:line="240" w:lineRule="auto"/>
              <w:jc w:val="right"/>
              <w:rPr>
                <w:rFonts w:ascii="Arial" w:hAnsi="Arial" w:cs="Arial"/>
                <w:b/>
                <w:bCs/>
                <w:sz w:val="16"/>
                <w:szCs w:val="16"/>
              </w:rPr>
            </w:pPr>
            <w:r w:rsidRPr="004C24C6">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5A5E873E" w14:textId="77777777" w:rsidR="004C24C6" w:rsidRPr="004C24C6" w:rsidRDefault="004C24C6" w:rsidP="004C24C6">
            <w:pPr>
              <w:spacing w:before="0" w:after="0" w:line="240" w:lineRule="auto"/>
              <w:jc w:val="right"/>
              <w:rPr>
                <w:rFonts w:ascii="Arial" w:hAnsi="Arial" w:cs="Arial"/>
                <w:b/>
                <w:bCs/>
                <w:sz w:val="16"/>
                <w:szCs w:val="16"/>
              </w:rPr>
            </w:pPr>
            <w:r w:rsidRPr="004C24C6">
              <w:rPr>
                <w:rFonts w:ascii="Arial" w:hAnsi="Arial" w:cs="Arial"/>
                <w:b/>
                <w:bCs/>
                <w:sz w:val="16"/>
                <w:szCs w:val="16"/>
              </w:rPr>
              <w:t xml:space="preserve">15 </w:t>
            </w:r>
          </w:p>
        </w:tc>
        <w:tc>
          <w:tcPr>
            <w:tcW w:w="900" w:type="dxa"/>
            <w:tcBorders>
              <w:top w:val="single" w:sz="4" w:space="0" w:color="auto"/>
              <w:left w:val="nil"/>
              <w:bottom w:val="single" w:sz="4" w:space="0" w:color="auto"/>
              <w:right w:val="nil"/>
            </w:tcBorders>
            <w:shd w:val="clear" w:color="auto" w:fill="auto"/>
            <w:noWrap/>
            <w:vAlign w:val="bottom"/>
            <w:hideMark/>
          </w:tcPr>
          <w:p w14:paraId="77773F2B" w14:textId="77777777" w:rsidR="004C24C6" w:rsidRPr="004C24C6" w:rsidRDefault="004C24C6" w:rsidP="004C24C6">
            <w:pPr>
              <w:spacing w:before="0" w:after="0" w:line="240" w:lineRule="auto"/>
              <w:jc w:val="right"/>
              <w:rPr>
                <w:rFonts w:ascii="Arial" w:hAnsi="Arial" w:cs="Arial"/>
                <w:b/>
                <w:bCs/>
                <w:sz w:val="16"/>
                <w:szCs w:val="16"/>
              </w:rPr>
            </w:pPr>
            <w:r w:rsidRPr="004C24C6">
              <w:rPr>
                <w:rFonts w:ascii="Arial" w:hAnsi="Arial" w:cs="Arial"/>
                <w:b/>
                <w:bCs/>
                <w:sz w:val="16"/>
                <w:szCs w:val="16"/>
              </w:rPr>
              <w:t xml:space="preserve">48 </w:t>
            </w:r>
          </w:p>
        </w:tc>
        <w:tc>
          <w:tcPr>
            <w:tcW w:w="900" w:type="dxa"/>
            <w:tcBorders>
              <w:top w:val="single" w:sz="4" w:space="0" w:color="auto"/>
              <w:left w:val="nil"/>
              <w:bottom w:val="single" w:sz="4" w:space="0" w:color="auto"/>
              <w:right w:val="nil"/>
            </w:tcBorders>
            <w:shd w:val="clear" w:color="auto" w:fill="auto"/>
            <w:noWrap/>
            <w:vAlign w:val="bottom"/>
            <w:hideMark/>
          </w:tcPr>
          <w:p w14:paraId="34BF592C" w14:textId="77777777" w:rsidR="004C24C6" w:rsidRPr="004C24C6" w:rsidRDefault="004C24C6" w:rsidP="004C24C6">
            <w:pPr>
              <w:spacing w:before="0" w:after="0" w:line="240" w:lineRule="auto"/>
              <w:jc w:val="right"/>
              <w:rPr>
                <w:rFonts w:ascii="Arial" w:hAnsi="Arial" w:cs="Arial"/>
                <w:b/>
                <w:bCs/>
                <w:sz w:val="16"/>
                <w:szCs w:val="16"/>
              </w:rPr>
            </w:pPr>
            <w:r w:rsidRPr="004C24C6">
              <w:rPr>
                <w:rFonts w:ascii="Arial" w:hAnsi="Arial" w:cs="Arial"/>
                <w:b/>
                <w:bCs/>
                <w:sz w:val="16"/>
                <w:szCs w:val="16"/>
              </w:rPr>
              <w:t xml:space="preserve">50 </w:t>
            </w:r>
          </w:p>
        </w:tc>
      </w:tr>
    </w:tbl>
    <w:p w14:paraId="4B7AA0B5" w14:textId="74D490F7" w:rsidR="006D24A8" w:rsidRDefault="006D24A8" w:rsidP="004D0F4A">
      <w:pPr>
        <w:pStyle w:val="FootnoteText"/>
        <w:spacing w:before="120"/>
        <w:rPr>
          <w:vertAlign w:val="superscript"/>
        </w:rPr>
      </w:pPr>
      <w:r w:rsidRPr="004C24C6">
        <w:rPr>
          <w:rFonts w:cs="Arial"/>
          <w:szCs w:val="16"/>
        </w:rPr>
        <w:t>DCB</w:t>
      </w:r>
      <w:r>
        <w:rPr>
          <w:rFonts w:cs="Arial"/>
          <w:szCs w:val="16"/>
        </w:rPr>
        <w:t xml:space="preserve"> = Departmental Capital Budget</w:t>
      </w:r>
    </w:p>
    <w:p w14:paraId="5A9C37DB" w14:textId="7FDC8F83" w:rsidR="006D24A8" w:rsidRDefault="004D0F4A" w:rsidP="004D0F4A">
      <w:pPr>
        <w:pStyle w:val="FootnoteText"/>
        <w:spacing w:before="120"/>
      </w:pPr>
      <w:r w:rsidRPr="004D0F4A">
        <w:rPr>
          <w:vertAlign w:val="superscript"/>
        </w:rPr>
        <w:t>(a)</w:t>
      </w:r>
      <w:r w:rsidR="005762DC">
        <w:tab/>
      </w:r>
      <w:r w:rsidRPr="004D0F4A">
        <w:t>See explanation in Portfolio Glossary</w:t>
      </w:r>
    </w:p>
    <w:p w14:paraId="6D0C2E9D" w14:textId="764A666E" w:rsidR="008C73CD" w:rsidRDefault="008C73CD" w:rsidP="004D0F4A">
      <w:pPr>
        <w:pStyle w:val="FootnoteText"/>
        <w:spacing w:before="120"/>
        <w:rPr>
          <w:b/>
          <w:sz w:val="20"/>
        </w:rPr>
      </w:pPr>
      <w:r>
        <w:br w:type="page"/>
      </w:r>
    </w:p>
    <w:p w14:paraId="07652AF5" w14:textId="3994A7BD" w:rsidR="008C73CD" w:rsidRPr="00564C0F" w:rsidRDefault="00F552F6" w:rsidP="008C73CD">
      <w:pPr>
        <w:pStyle w:val="Heading3"/>
        <w:ind w:right="-156"/>
      </w:pPr>
      <w:r>
        <w:fldChar w:fldCharType="begin"/>
      </w:r>
      <w:r>
        <w:instrText xml:space="preserve"> </w:instrText>
      </w:r>
      <w:proofErr w:type="gramStart"/>
      <w:r>
        <w:instrText>TC  "</w:instrText>
      </w:r>
      <w:bookmarkStart w:id="545" w:name="_Toc157520615"/>
      <w:proofErr w:type="gramEnd"/>
      <w:r>
        <w:instrText>1.5</w:instrText>
      </w:r>
      <w:r>
        <w:tab/>
        <w:instrText>Breakdown of additional estimates by appropriation bill</w:instrText>
      </w:r>
      <w:bookmarkEnd w:id="545"/>
      <w:r>
        <w:instrText xml:space="preserve">" \f </w:instrText>
      </w:r>
      <w:proofErr w:type="spellStart"/>
      <w:r>
        <w:instrText>psr</w:instrText>
      </w:r>
      <w:proofErr w:type="spellEnd"/>
      <w:r>
        <w:instrText xml:space="preserve"> \l 2 </w:instrText>
      </w:r>
      <w:r>
        <w:fldChar w:fldCharType="end"/>
      </w:r>
      <w:bookmarkStart w:id="546" w:name="_Toc157592039"/>
      <w:bookmarkStart w:id="547" w:name="_Toc157592222"/>
      <w:r w:rsidR="008C73CD">
        <w:t>1.5</w:t>
      </w:r>
      <w:r w:rsidR="008C73CD">
        <w:tab/>
      </w:r>
      <w:r w:rsidR="008C73CD" w:rsidRPr="00564C0F">
        <w:t>Breakdown of additional estimates by appropriation bill</w:t>
      </w:r>
      <w:bookmarkEnd w:id="546"/>
      <w:bookmarkEnd w:id="547"/>
    </w:p>
    <w:p w14:paraId="4F2DBE76" w14:textId="4AA955FF" w:rsidR="008C73CD" w:rsidRPr="005B7E04" w:rsidRDefault="008C73CD" w:rsidP="008C73CD">
      <w:pPr>
        <w:rPr>
          <w:sz w:val="20"/>
        </w:rPr>
      </w:pPr>
      <w:r w:rsidRPr="005B7E04">
        <w:rPr>
          <w:sz w:val="20"/>
        </w:rPr>
        <w:t>The following tables detail the Additional Estimates sought for</w:t>
      </w:r>
      <w:r w:rsidR="00B03A3D">
        <w:rPr>
          <w:sz w:val="20"/>
        </w:rPr>
        <w:t xml:space="preserve"> PSR through Appropriation Bill</w:t>
      </w:r>
      <w:r w:rsidRPr="005B7E04">
        <w:rPr>
          <w:sz w:val="20"/>
        </w:rPr>
        <w:t xml:space="preserve"> </w:t>
      </w:r>
      <w:r w:rsidR="00B03A3D">
        <w:rPr>
          <w:sz w:val="20"/>
        </w:rPr>
        <w:t>(No</w:t>
      </w:r>
      <w:r w:rsidRPr="005B7E04">
        <w:rPr>
          <w:sz w:val="20"/>
        </w:rPr>
        <w:t>. 3</w:t>
      </w:r>
      <w:r w:rsidR="00B03A3D">
        <w:rPr>
          <w:sz w:val="20"/>
        </w:rPr>
        <w:t>)</w:t>
      </w:r>
      <w:r w:rsidRPr="005B7E04">
        <w:rPr>
          <w:sz w:val="20"/>
        </w:rPr>
        <w:t xml:space="preserve"> and </w:t>
      </w:r>
      <w:r w:rsidR="00B03A3D">
        <w:rPr>
          <w:sz w:val="20"/>
        </w:rPr>
        <w:t xml:space="preserve">(No. </w:t>
      </w:r>
      <w:r w:rsidRPr="005B7E04">
        <w:rPr>
          <w:sz w:val="20"/>
        </w:rPr>
        <w:t>4</w:t>
      </w:r>
      <w:r w:rsidR="00B03A3D">
        <w:rPr>
          <w:sz w:val="20"/>
        </w:rPr>
        <w:t>)</w:t>
      </w:r>
      <w:r w:rsidRPr="005B7E04">
        <w:rPr>
          <w:sz w:val="20"/>
        </w:rPr>
        <w:t>.</w:t>
      </w:r>
    </w:p>
    <w:p w14:paraId="28F09D52" w14:textId="77777777" w:rsidR="008C73CD" w:rsidRPr="00A20823" w:rsidRDefault="008C73CD" w:rsidP="008C73CD">
      <w:pPr>
        <w:pStyle w:val="TableHeading"/>
      </w:pPr>
      <w:r>
        <w:t>Table 1.4</w:t>
      </w:r>
      <w:r w:rsidRPr="00564C0F">
        <w:t xml:space="preserve">: Appropriation Bill (No. 3) </w:t>
      </w:r>
      <w:r>
        <w:t>2023–2024</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C46F58" w:rsidRPr="00A20823" w14:paraId="76267541" w14:textId="77777777" w:rsidTr="00255841">
        <w:trPr>
          <w:trHeight w:val="567"/>
          <w:jc w:val="center"/>
        </w:trPr>
        <w:tc>
          <w:tcPr>
            <w:tcW w:w="3080" w:type="dxa"/>
            <w:tcBorders>
              <w:top w:val="single" w:sz="4" w:space="0" w:color="000000"/>
              <w:left w:val="nil"/>
              <w:bottom w:val="nil"/>
              <w:right w:val="nil"/>
            </w:tcBorders>
            <w:shd w:val="clear" w:color="auto" w:fill="auto"/>
            <w:noWrap/>
            <w:hideMark/>
          </w:tcPr>
          <w:p w14:paraId="31D00E35" w14:textId="54E992B8" w:rsidR="00C46F58" w:rsidRPr="00A20823" w:rsidRDefault="00C46F58" w:rsidP="00C46F58">
            <w:pPr>
              <w:spacing w:before="24" w:after="0" w:line="240" w:lineRule="auto"/>
              <w:jc w:val="right"/>
              <w:rPr>
                <w:rFonts w:ascii="Arial" w:hAnsi="Arial" w:cs="Arial"/>
                <w:sz w:val="16"/>
                <w:szCs w:val="16"/>
              </w:rPr>
            </w:pPr>
            <w:r>
              <w:rPr>
                <w:rFonts w:ascii="Arial" w:hAnsi="Arial" w:cs="Arial"/>
                <w:sz w:val="16"/>
                <w:szCs w:val="16"/>
              </w:rPr>
              <w:t> </w:t>
            </w:r>
          </w:p>
        </w:tc>
        <w:tc>
          <w:tcPr>
            <w:tcW w:w="960" w:type="dxa"/>
            <w:tcBorders>
              <w:top w:val="single" w:sz="4" w:space="0" w:color="000000"/>
              <w:left w:val="nil"/>
              <w:bottom w:val="single" w:sz="4" w:space="0" w:color="000000"/>
              <w:right w:val="nil"/>
            </w:tcBorders>
            <w:shd w:val="clear" w:color="auto" w:fill="auto"/>
            <w:tcMar>
              <w:left w:w="0" w:type="dxa"/>
            </w:tcMar>
            <w:hideMark/>
          </w:tcPr>
          <w:p w14:paraId="15BDE2AB" w14:textId="74643729" w:rsidR="00C46F58" w:rsidRPr="00A20823" w:rsidRDefault="00CC3D08" w:rsidP="00C46F58">
            <w:pPr>
              <w:spacing w:before="24" w:after="0" w:line="240" w:lineRule="auto"/>
              <w:jc w:val="right"/>
              <w:rPr>
                <w:rFonts w:ascii="Arial" w:hAnsi="Arial" w:cs="Arial"/>
                <w:b/>
                <w:bCs/>
                <w:sz w:val="16"/>
                <w:szCs w:val="16"/>
              </w:rPr>
            </w:pPr>
            <w:r>
              <w:rPr>
                <w:rFonts w:ascii="Arial" w:hAnsi="Arial" w:cs="Arial"/>
                <w:b/>
                <w:bCs/>
                <w:sz w:val="16"/>
                <w:szCs w:val="16"/>
              </w:rPr>
              <w:t>2022–</w:t>
            </w:r>
            <w:r w:rsidR="00255841">
              <w:rPr>
                <w:rFonts w:ascii="Arial" w:hAnsi="Arial" w:cs="Arial"/>
                <w:b/>
                <w:bCs/>
                <w:sz w:val="16"/>
                <w:szCs w:val="16"/>
              </w:rPr>
              <w:t>23</w:t>
            </w:r>
            <w:r w:rsidR="00255841">
              <w:rPr>
                <w:rFonts w:ascii="Arial" w:hAnsi="Arial" w:cs="Arial"/>
                <w:b/>
                <w:bCs/>
                <w:sz w:val="16"/>
                <w:szCs w:val="16"/>
              </w:rPr>
              <w:br/>
              <w:t>Available</w:t>
            </w:r>
            <w:r w:rsidR="00C46F58">
              <w:rPr>
                <w:rFonts w:ascii="Arial" w:hAnsi="Arial" w:cs="Arial"/>
                <w:b/>
                <w:bCs/>
                <w:sz w:val="16"/>
                <w:szCs w:val="16"/>
                <w:vertAlign w:val="superscript"/>
              </w:rPr>
              <w:t>(a)</w:t>
            </w:r>
            <w:r w:rsidR="00255841">
              <w:rPr>
                <w:rFonts w:ascii="Arial" w:hAnsi="Arial" w:cs="Arial"/>
                <w:sz w:val="16"/>
                <w:szCs w:val="16"/>
              </w:rPr>
              <w:br/>
            </w:r>
            <w:r w:rsidR="00C46F58">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30AD84AD" w14:textId="6413ED01" w:rsidR="00C46F58" w:rsidRPr="00A20823" w:rsidRDefault="00CC3D08" w:rsidP="00C46F58">
            <w:pPr>
              <w:spacing w:before="24" w:after="0" w:line="240" w:lineRule="auto"/>
              <w:jc w:val="right"/>
              <w:rPr>
                <w:rFonts w:ascii="Arial" w:hAnsi="Arial" w:cs="Arial"/>
                <w:b/>
                <w:bCs/>
                <w:sz w:val="16"/>
                <w:szCs w:val="16"/>
              </w:rPr>
            </w:pPr>
            <w:r>
              <w:rPr>
                <w:rFonts w:ascii="Arial" w:hAnsi="Arial" w:cs="Arial"/>
                <w:b/>
                <w:bCs/>
                <w:sz w:val="16"/>
                <w:szCs w:val="16"/>
              </w:rPr>
              <w:t>2023–</w:t>
            </w:r>
            <w:r w:rsidR="00255841">
              <w:rPr>
                <w:rFonts w:ascii="Arial" w:hAnsi="Arial" w:cs="Arial"/>
                <w:b/>
                <w:bCs/>
                <w:sz w:val="16"/>
                <w:szCs w:val="16"/>
              </w:rPr>
              <w:t>24</w:t>
            </w:r>
            <w:r w:rsidR="00255841">
              <w:rPr>
                <w:rFonts w:ascii="Arial" w:hAnsi="Arial" w:cs="Arial"/>
                <w:b/>
                <w:bCs/>
                <w:sz w:val="16"/>
                <w:szCs w:val="16"/>
              </w:rPr>
              <w:br/>
              <w:t>Budget</w:t>
            </w:r>
            <w:r w:rsidR="00C46F58">
              <w:rPr>
                <w:rFonts w:ascii="Arial" w:hAnsi="Arial" w:cs="Arial"/>
                <w:b/>
                <w:bCs/>
                <w:sz w:val="16"/>
                <w:szCs w:val="16"/>
              </w:rPr>
              <w:br/>
            </w:r>
            <w:r w:rsidR="00C46F58">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0BC7B06D" w14:textId="343479B4" w:rsidR="00C46F58" w:rsidRPr="00A20823" w:rsidRDefault="00CC3D08" w:rsidP="00C46F58">
            <w:pPr>
              <w:spacing w:before="24" w:after="0" w:line="240" w:lineRule="auto"/>
              <w:jc w:val="right"/>
              <w:rPr>
                <w:rFonts w:ascii="Arial" w:hAnsi="Arial" w:cs="Arial"/>
                <w:b/>
                <w:bCs/>
                <w:sz w:val="16"/>
                <w:szCs w:val="16"/>
              </w:rPr>
            </w:pPr>
            <w:r>
              <w:rPr>
                <w:rFonts w:ascii="Arial" w:hAnsi="Arial" w:cs="Arial"/>
                <w:b/>
                <w:bCs/>
                <w:sz w:val="16"/>
                <w:szCs w:val="16"/>
              </w:rPr>
              <w:t>2023–</w:t>
            </w:r>
            <w:r w:rsidR="00255841">
              <w:rPr>
                <w:rFonts w:ascii="Arial" w:hAnsi="Arial" w:cs="Arial"/>
                <w:b/>
                <w:bCs/>
                <w:sz w:val="16"/>
                <w:szCs w:val="16"/>
              </w:rPr>
              <w:t>24</w:t>
            </w:r>
            <w:r w:rsidR="00255841">
              <w:rPr>
                <w:rFonts w:ascii="Arial" w:hAnsi="Arial" w:cs="Arial"/>
                <w:b/>
                <w:bCs/>
                <w:sz w:val="16"/>
                <w:szCs w:val="16"/>
              </w:rPr>
              <w:br/>
              <w:t>Revised</w:t>
            </w:r>
            <w:r w:rsidR="00C46F58">
              <w:rPr>
                <w:rFonts w:ascii="Arial" w:hAnsi="Arial" w:cs="Arial"/>
                <w:b/>
                <w:bCs/>
                <w:sz w:val="16"/>
                <w:szCs w:val="16"/>
              </w:rPr>
              <w:br/>
            </w:r>
            <w:r w:rsidR="00C46F58">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000000" w:fill="D9D9D9"/>
            <w:tcMar>
              <w:left w:w="0" w:type="dxa"/>
            </w:tcMar>
            <w:hideMark/>
          </w:tcPr>
          <w:p w14:paraId="06C7F555" w14:textId="01F22B09" w:rsidR="00C46F58" w:rsidRPr="00A20823" w:rsidRDefault="00255841" w:rsidP="00C46F58">
            <w:pPr>
              <w:spacing w:before="24" w:after="0" w:line="240" w:lineRule="auto"/>
              <w:jc w:val="right"/>
              <w:rPr>
                <w:rFonts w:ascii="Arial" w:hAnsi="Arial" w:cs="Arial"/>
                <w:b/>
                <w:bCs/>
                <w:sz w:val="16"/>
                <w:szCs w:val="16"/>
              </w:rPr>
            </w:pPr>
            <w:r>
              <w:rPr>
                <w:rFonts w:ascii="Arial" w:hAnsi="Arial" w:cs="Arial"/>
                <w:b/>
                <w:bCs/>
                <w:sz w:val="16"/>
                <w:szCs w:val="16"/>
              </w:rPr>
              <w:t>Additional</w:t>
            </w:r>
            <w:r>
              <w:rPr>
                <w:rFonts w:ascii="Arial" w:hAnsi="Arial" w:cs="Arial"/>
                <w:b/>
                <w:bCs/>
                <w:sz w:val="16"/>
                <w:szCs w:val="16"/>
              </w:rPr>
              <w:br/>
              <w:t>estimates</w:t>
            </w:r>
            <w:r w:rsidR="00C46F58">
              <w:rPr>
                <w:rFonts w:ascii="Arial" w:hAnsi="Arial" w:cs="Arial"/>
                <w:b/>
                <w:bCs/>
                <w:sz w:val="16"/>
                <w:szCs w:val="16"/>
              </w:rPr>
              <w:br/>
            </w:r>
            <w:r w:rsidR="00C46F58">
              <w:rPr>
                <w:rFonts w:ascii="Arial" w:hAnsi="Arial" w:cs="Arial"/>
                <w:sz w:val="16"/>
                <w:szCs w:val="16"/>
              </w:rPr>
              <w:t>$'000</w:t>
            </w:r>
          </w:p>
        </w:tc>
        <w:tc>
          <w:tcPr>
            <w:tcW w:w="960" w:type="dxa"/>
            <w:tcBorders>
              <w:top w:val="single" w:sz="4" w:space="0" w:color="000000"/>
              <w:left w:val="nil"/>
              <w:bottom w:val="single" w:sz="4" w:space="0" w:color="000000"/>
              <w:right w:val="nil"/>
            </w:tcBorders>
            <w:shd w:val="clear" w:color="auto" w:fill="auto"/>
            <w:hideMark/>
          </w:tcPr>
          <w:p w14:paraId="401B660A" w14:textId="317BA7BC" w:rsidR="00C46F58" w:rsidRPr="00A20823" w:rsidRDefault="00255841" w:rsidP="00C46F58">
            <w:pPr>
              <w:spacing w:before="24" w:after="0" w:line="240" w:lineRule="auto"/>
              <w:jc w:val="right"/>
              <w:rPr>
                <w:rFonts w:ascii="Arial" w:hAnsi="Arial" w:cs="Arial"/>
                <w:b/>
                <w:bCs/>
                <w:sz w:val="16"/>
                <w:szCs w:val="16"/>
              </w:rPr>
            </w:pPr>
            <w:r>
              <w:rPr>
                <w:rFonts w:ascii="Arial" w:hAnsi="Arial" w:cs="Arial"/>
                <w:b/>
                <w:bCs/>
                <w:sz w:val="16"/>
                <w:szCs w:val="16"/>
              </w:rPr>
              <w:t>Reduced</w:t>
            </w:r>
            <w:r>
              <w:rPr>
                <w:rFonts w:ascii="Arial" w:hAnsi="Arial" w:cs="Arial"/>
                <w:b/>
                <w:bCs/>
                <w:sz w:val="16"/>
                <w:szCs w:val="16"/>
              </w:rPr>
              <w:br/>
              <w:t>estimates</w:t>
            </w:r>
            <w:r w:rsidR="00C46F58">
              <w:rPr>
                <w:rFonts w:ascii="Arial" w:hAnsi="Arial" w:cs="Arial"/>
                <w:sz w:val="16"/>
                <w:szCs w:val="16"/>
              </w:rPr>
              <w:br/>
              <w:t>$'000</w:t>
            </w:r>
          </w:p>
        </w:tc>
      </w:tr>
      <w:tr w:rsidR="00C46F58" w:rsidRPr="00A20823" w14:paraId="74DC3AE2" w14:textId="77777777" w:rsidTr="00C46F58">
        <w:trPr>
          <w:trHeight w:val="227"/>
          <w:jc w:val="center"/>
        </w:trPr>
        <w:tc>
          <w:tcPr>
            <w:tcW w:w="3080" w:type="dxa"/>
            <w:tcBorders>
              <w:top w:val="nil"/>
              <w:left w:val="nil"/>
              <w:bottom w:val="nil"/>
              <w:right w:val="nil"/>
            </w:tcBorders>
            <w:shd w:val="clear" w:color="auto" w:fill="auto"/>
            <w:noWrap/>
            <w:vAlign w:val="bottom"/>
            <w:hideMark/>
          </w:tcPr>
          <w:p w14:paraId="3C6D46D5" w14:textId="7329E072" w:rsidR="00C46F58" w:rsidRPr="00A20823" w:rsidRDefault="00C46F58" w:rsidP="00C46F58">
            <w:pPr>
              <w:spacing w:before="0" w:after="0" w:line="240" w:lineRule="auto"/>
              <w:rPr>
                <w:rFonts w:ascii="Arial" w:hAnsi="Arial" w:cs="Arial"/>
                <w:b/>
                <w:bCs/>
                <w:sz w:val="16"/>
                <w:szCs w:val="16"/>
              </w:rPr>
            </w:pPr>
            <w:r>
              <w:rPr>
                <w:rFonts w:ascii="Arial" w:hAnsi="Arial" w:cs="Arial"/>
                <w:b/>
                <w:bCs/>
                <w:sz w:val="16"/>
                <w:szCs w:val="16"/>
              </w:rPr>
              <w:t xml:space="preserve">Departmental </w:t>
            </w:r>
          </w:p>
        </w:tc>
        <w:tc>
          <w:tcPr>
            <w:tcW w:w="960" w:type="dxa"/>
            <w:tcBorders>
              <w:top w:val="nil"/>
              <w:left w:val="nil"/>
              <w:bottom w:val="nil"/>
              <w:right w:val="nil"/>
            </w:tcBorders>
            <w:shd w:val="clear" w:color="auto" w:fill="auto"/>
            <w:noWrap/>
            <w:vAlign w:val="bottom"/>
            <w:hideMark/>
          </w:tcPr>
          <w:p w14:paraId="47433BE9" w14:textId="77777777" w:rsidR="00C46F58" w:rsidRPr="00A20823" w:rsidRDefault="00C46F58" w:rsidP="00C46F58">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795E2E03" w14:textId="77777777" w:rsidR="00C46F58" w:rsidRPr="00A20823" w:rsidRDefault="00C46F58" w:rsidP="00C46F5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D181729" w14:textId="77777777" w:rsidR="00C46F58" w:rsidRPr="00A20823" w:rsidRDefault="00C46F58" w:rsidP="00C46F5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000000" w:fill="D9D9D9"/>
            <w:noWrap/>
            <w:vAlign w:val="bottom"/>
            <w:hideMark/>
          </w:tcPr>
          <w:p w14:paraId="103D534B" w14:textId="5ED92987"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BB11E18" w14:textId="77777777" w:rsidR="00C46F58" w:rsidRPr="00A20823" w:rsidRDefault="00C46F58" w:rsidP="00C46F58">
            <w:pPr>
              <w:spacing w:before="0" w:after="0" w:line="240" w:lineRule="auto"/>
              <w:jc w:val="right"/>
              <w:rPr>
                <w:rFonts w:ascii="Arial" w:hAnsi="Arial" w:cs="Arial"/>
                <w:sz w:val="16"/>
                <w:szCs w:val="16"/>
              </w:rPr>
            </w:pPr>
          </w:p>
        </w:tc>
      </w:tr>
      <w:tr w:rsidR="00C46F58" w:rsidRPr="00A20823" w14:paraId="12649A67" w14:textId="77777777" w:rsidTr="00C46F58">
        <w:trPr>
          <w:trHeight w:val="283"/>
          <w:jc w:val="center"/>
        </w:trPr>
        <w:tc>
          <w:tcPr>
            <w:tcW w:w="3080" w:type="dxa"/>
            <w:tcBorders>
              <w:top w:val="nil"/>
              <w:left w:val="nil"/>
              <w:bottom w:val="nil"/>
              <w:right w:val="nil"/>
            </w:tcBorders>
            <w:shd w:val="clear" w:color="auto" w:fill="auto"/>
            <w:noWrap/>
            <w:vAlign w:val="bottom"/>
            <w:hideMark/>
          </w:tcPr>
          <w:p w14:paraId="3FCBEAD6" w14:textId="451320B1" w:rsidR="00C46F58" w:rsidRPr="00A20823" w:rsidRDefault="00C46F58" w:rsidP="00C46F58">
            <w:pPr>
              <w:spacing w:before="0" w:after="0" w:line="240" w:lineRule="auto"/>
              <w:ind w:leftChars="75" w:left="143"/>
              <w:rPr>
                <w:rFonts w:ascii="Arial" w:hAnsi="Arial" w:cs="Arial"/>
                <w:b/>
                <w:bCs/>
                <w:sz w:val="16"/>
                <w:szCs w:val="16"/>
              </w:rPr>
            </w:pPr>
            <w:r>
              <w:rPr>
                <w:rFonts w:ascii="Arial" w:hAnsi="Arial" w:cs="Arial"/>
                <w:b/>
                <w:bCs/>
                <w:sz w:val="16"/>
                <w:szCs w:val="16"/>
              </w:rPr>
              <w:t>Outcome 1</w:t>
            </w:r>
          </w:p>
        </w:tc>
        <w:tc>
          <w:tcPr>
            <w:tcW w:w="960" w:type="dxa"/>
            <w:tcBorders>
              <w:top w:val="nil"/>
              <w:left w:val="nil"/>
              <w:bottom w:val="nil"/>
              <w:right w:val="nil"/>
            </w:tcBorders>
            <w:shd w:val="clear" w:color="auto" w:fill="auto"/>
            <w:noWrap/>
            <w:vAlign w:val="bottom"/>
            <w:hideMark/>
          </w:tcPr>
          <w:p w14:paraId="0CFCDB9A" w14:textId="77777777" w:rsidR="00C46F58" w:rsidRPr="00A20823" w:rsidRDefault="00C46F58" w:rsidP="00C46F58">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5B815DD6" w14:textId="77777777" w:rsidR="00C46F58" w:rsidRPr="00A20823" w:rsidRDefault="00C46F58" w:rsidP="00C46F5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CF9D21B" w14:textId="77777777" w:rsidR="00C46F58" w:rsidRPr="00A20823" w:rsidRDefault="00C46F58" w:rsidP="00C46F5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000000" w:fill="D9D9D9"/>
            <w:noWrap/>
            <w:vAlign w:val="bottom"/>
            <w:hideMark/>
          </w:tcPr>
          <w:p w14:paraId="66FE16D8" w14:textId="0B5E1597"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3CBF4FC9" w14:textId="77777777" w:rsidR="00C46F58" w:rsidRPr="00A20823" w:rsidRDefault="00C46F58" w:rsidP="00C46F58">
            <w:pPr>
              <w:spacing w:before="0" w:after="0" w:line="240" w:lineRule="auto"/>
              <w:jc w:val="right"/>
              <w:rPr>
                <w:rFonts w:ascii="Arial" w:hAnsi="Arial" w:cs="Arial"/>
                <w:sz w:val="16"/>
                <w:szCs w:val="16"/>
              </w:rPr>
            </w:pPr>
          </w:p>
        </w:tc>
      </w:tr>
      <w:tr w:rsidR="00C46F58" w:rsidRPr="00A20823" w14:paraId="45F6C75F" w14:textId="77777777" w:rsidTr="00C46F58">
        <w:trPr>
          <w:trHeight w:val="595"/>
          <w:jc w:val="center"/>
        </w:trPr>
        <w:tc>
          <w:tcPr>
            <w:tcW w:w="3080" w:type="dxa"/>
            <w:tcBorders>
              <w:top w:val="nil"/>
              <w:left w:val="nil"/>
              <w:bottom w:val="nil"/>
              <w:right w:val="nil"/>
            </w:tcBorders>
            <w:shd w:val="clear" w:color="auto" w:fill="auto"/>
            <w:vAlign w:val="center"/>
            <w:hideMark/>
          </w:tcPr>
          <w:p w14:paraId="388426BA" w14:textId="42E62E21" w:rsidR="00C46F58" w:rsidRPr="00A20823" w:rsidRDefault="00C46F58" w:rsidP="00C46F58">
            <w:pPr>
              <w:spacing w:before="0" w:after="0" w:line="240" w:lineRule="auto"/>
              <w:ind w:leftChars="150" w:left="285"/>
              <w:rPr>
                <w:rFonts w:ascii="Arial" w:hAnsi="Arial" w:cs="Arial"/>
                <w:sz w:val="16"/>
                <w:szCs w:val="16"/>
              </w:rPr>
            </w:pPr>
            <w:r>
              <w:rPr>
                <w:rFonts w:ascii="Arial" w:hAnsi="Arial" w:cs="Arial"/>
                <w:sz w:val="16"/>
                <w:szCs w:val="16"/>
              </w:rPr>
              <w:t>Safeguarding the Integrity of the Medicare Program and Pharmaceutical Benefits Scheme</w:t>
            </w:r>
          </w:p>
        </w:tc>
        <w:tc>
          <w:tcPr>
            <w:tcW w:w="960" w:type="dxa"/>
            <w:tcBorders>
              <w:top w:val="nil"/>
              <w:left w:val="nil"/>
              <w:bottom w:val="single" w:sz="4" w:space="0" w:color="auto"/>
              <w:right w:val="nil"/>
            </w:tcBorders>
            <w:shd w:val="clear" w:color="auto" w:fill="auto"/>
            <w:noWrap/>
            <w:vAlign w:val="bottom"/>
            <w:hideMark/>
          </w:tcPr>
          <w:p w14:paraId="40CE8815" w14:textId="5C58E07D"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xml:space="preserve">14,542 </w:t>
            </w:r>
          </w:p>
        </w:tc>
        <w:tc>
          <w:tcPr>
            <w:tcW w:w="960" w:type="dxa"/>
            <w:tcBorders>
              <w:top w:val="nil"/>
              <w:left w:val="nil"/>
              <w:bottom w:val="single" w:sz="4" w:space="0" w:color="auto"/>
              <w:right w:val="nil"/>
            </w:tcBorders>
            <w:shd w:val="clear" w:color="auto" w:fill="auto"/>
            <w:noWrap/>
            <w:vAlign w:val="bottom"/>
            <w:hideMark/>
          </w:tcPr>
          <w:p w14:paraId="4E4777A7" w14:textId="686A60AA"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xml:space="preserve">15,841 </w:t>
            </w:r>
          </w:p>
        </w:tc>
        <w:tc>
          <w:tcPr>
            <w:tcW w:w="960" w:type="dxa"/>
            <w:tcBorders>
              <w:top w:val="nil"/>
              <w:left w:val="nil"/>
              <w:bottom w:val="single" w:sz="4" w:space="0" w:color="auto"/>
              <w:right w:val="nil"/>
            </w:tcBorders>
            <w:shd w:val="clear" w:color="auto" w:fill="auto"/>
            <w:noWrap/>
            <w:vAlign w:val="bottom"/>
            <w:hideMark/>
          </w:tcPr>
          <w:p w14:paraId="26C61C55" w14:textId="50EBF688"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xml:space="preserve">15,841 </w:t>
            </w:r>
          </w:p>
        </w:tc>
        <w:tc>
          <w:tcPr>
            <w:tcW w:w="960" w:type="dxa"/>
            <w:tcBorders>
              <w:top w:val="nil"/>
              <w:left w:val="nil"/>
              <w:bottom w:val="single" w:sz="4" w:space="0" w:color="auto"/>
              <w:right w:val="nil"/>
            </w:tcBorders>
            <w:shd w:val="clear" w:color="000000" w:fill="D9D9D9"/>
            <w:noWrap/>
            <w:vAlign w:val="bottom"/>
            <w:hideMark/>
          </w:tcPr>
          <w:p w14:paraId="1939BA7A" w14:textId="2ECF6069"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14:paraId="56B3ACBE" w14:textId="2C038621" w:rsidR="00C46F58" w:rsidRPr="00A20823" w:rsidRDefault="00C46F58" w:rsidP="00C46F58">
            <w:pPr>
              <w:spacing w:before="0" w:after="0" w:line="240" w:lineRule="auto"/>
              <w:jc w:val="right"/>
              <w:rPr>
                <w:rFonts w:ascii="Arial" w:hAnsi="Arial" w:cs="Arial"/>
                <w:sz w:val="16"/>
                <w:szCs w:val="16"/>
              </w:rPr>
            </w:pPr>
            <w:r>
              <w:rPr>
                <w:rFonts w:ascii="Arial" w:hAnsi="Arial" w:cs="Arial"/>
                <w:sz w:val="16"/>
                <w:szCs w:val="16"/>
              </w:rPr>
              <w:t xml:space="preserve">- </w:t>
            </w:r>
          </w:p>
        </w:tc>
      </w:tr>
      <w:tr w:rsidR="00C46F58" w:rsidRPr="00A20823" w14:paraId="426B8BF7" w14:textId="77777777" w:rsidTr="00C46F58">
        <w:trPr>
          <w:trHeight w:val="454"/>
          <w:jc w:val="center"/>
        </w:trPr>
        <w:tc>
          <w:tcPr>
            <w:tcW w:w="3080" w:type="dxa"/>
            <w:tcBorders>
              <w:top w:val="nil"/>
              <w:left w:val="nil"/>
              <w:bottom w:val="single" w:sz="4" w:space="0" w:color="auto"/>
              <w:right w:val="nil"/>
            </w:tcBorders>
            <w:shd w:val="clear" w:color="auto" w:fill="auto"/>
            <w:vAlign w:val="bottom"/>
            <w:hideMark/>
          </w:tcPr>
          <w:p w14:paraId="274B52E4" w14:textId="32DFE095" w:rsidR="00C46F58" w:rsidRPr="00A20823" w:rsidRDefault="00C46F58" w:rsidP="00C46F58">
            <w:pPr>
              <w:spacing w:before="0" w:after="0" w:line="240" w:lineRule="auto"/>
              <w:ind w:leftChars="75" w:left="143"/>
              <w:rPr>
                <w:rFonts w:ascii="Arial" w:hAnsi="Arial" w:cs="Arial"/>
                <w:b/>
                <w:bCs/>
                <w:sz w:val="16"/>
                <w:szCs w:val="16"/>
              </w:rPr>
            </w:pPr>
            <w:r>
              <w:rPr>
                <w:rFonts w:ascii="Arial" w:hAnsi="Arial" w:cs="Arial"/>
                <w:b/>
                <w:bCs/>
                <w:sz w:val="16"/>
                <w:szCs w:val="16"/>
              </w:rPr>
              <w:t>Total Appropriation Bill (No. 3) departmental</w:t>
            </w:r>
          </w:p>
        </w:tc>
        <w:tc>
          <w:tcPr>
            <w:tcW w:w="960" w:type="dxa"/>
            <w:tcBorders>
              <w:top w:val="nil"/>
              <w:left w:val="nil"/>
              <w:bottom w:val="single" w:sz="4" w:space="0" w:color="auto"/>
              <w:right w:val="nil"/>
            </w:tcBorders>
            <w:shd w:val="clear" w:color="auto" w:fill="auto"/>
            <w:noWrap/>
            <w:vAlign w:val="bottom"/>
            <w:hideMark/>
          </w:tcPr>
          <w:p w14:paraId="0FB7C455" w14:textId="095E19D0" w:rsidR="00C46F58" w:rsidRPr="00A20823" w:rsidRDefault="00C46F58" w:rsidP="00C46F58">
            <w:pPr>
              <w:spacing w:before="0" w:after="0" w:line="240" w:lineRule="auto"/>
              <w:jc w:val="right"/>
              <w:rPr>
                <w:rFonts w:ascii="Arial" w:hAnsi="Arial" w:cs="Arial"/>
                <w:b/>
                <w:bCs/>
                <w:sz w:val="16"/>
                <w:szCs w:val="16"/>
              </w:rPr>
            </w:pPr>
            <w:r>
              <w:rPr>
                <w:rFonts w:ascii="Arial" w:hAnsi="Arial" w:cs="Arial"/>
                <w:b/>
                <w:bCs/>
                <w:sz w:val="16"/>
                <w:szCs w:val="16"/>
              </w:rPr>
              <w:t xml:space="preserve">14,542 </w:t>
            </w:r>
          </w:p>
        </w:tc>
        <w:tc>
          <w:tcPr>
            <w:tcW w:w="960" w:type="dxa"/>
            <w:tcBorders>
              <w:top w:val="nil"/>
              <w:left w:val="nil"/>
              <w:bottom w:val="single" w:sz="4" w:space="0" w:color="auto"/>
              <w:right w:val="nil"/>
            </w:tcBorders>
            <w:shd w:val="clear" w:color="auto" w:fill="auto"/>
            <w:noWrap/>
            <w:vAlign w:val="bottom"/>
            <w:hideMark/>
          </w:tcPr>
          <w:p w14:paraId="17F399A5" w14:textId="78748988" w:rsidR="00C46F58" w:rsidRPr="00A20823" w:rsidRDefault="00C46F58" w:rsidP="00C46F58">
            <w:pPr>
              <w:spacing w:before="0" w:after="0" w:line="240" w:lineRule="auto"/>
              <w:jc w:val="right"/>
              <w:rPr>
                <w:rFonts w:ascii="Arial" w:hAnsi="Arial" w:cs="Arial"/>
                <w:b/>
                <w:bCs/>
                <w:sz w:val="16"/>
                <w:szCs w:val="16"/>
              </w:rPr>
            </w:pPr>
            <w:r>
              <w:rPr>
                <w:rFonts w:ascii="Arial" w:hAnsi="Arial" w:cs="Arial"/>
                <w:b/>
                <w:bCs/>
                <w:sz w:val="16"/>
                <w:szCs w:val="16"/>
              </w:rPr>
              <w:t xml:space="preserve">15,841 </w:t>
            </w:r>
          </w:p>
        </w:tc>
        <w:tc>
          <w:tcPr>
            <w:tcW w:w="960" w:type="dxa"/>
            <w:tcBorders>
              <w:top w:val="nil"/>
              <w:left w:val="nil"/>
              <w:bottom w:val="single" w:sz="4" w:space="0" w:color="auto"/>
              <w:right w:val="nil"/>
            </w:tcBorders>
            <w:shd w:val="clear" w:color="auto" w:fill="auto"/>
            <w:noWrap/>
            <w:vAlign w:val="bottom"/>
            <w:hideMark/>
          </w:tcPr>
          <w:p w14:paraId="7759FB39" w14:textId="3F8B3231" w:rsidR="00C46F58" w:rsidRPr="00A20823" w:rsidRDefault="00C46F58" w:rsidP="00C46F58">
            <w:pPr>
              <w:spacing w:before="0" w:after="0" w:line="240" w:lineRule="auto"/>
              <w:jc w:val="right"/>
              <w:rPr>
                <w:rFonts w:ascii="Arial" w:hAnsi="Arial" w:cs="Arial"/>
                <w:b/>
                <w:bCs/>
                <w:sz w:val="16"/>
                <w:szCs w:val="16"/>
              </w:rPr>
            </w:pPr>
            <w:r>
              <w:rPr>
                <w:rFonts w:ascii="Arial" w:hAnsi="Arial" w:cs="Arial"/>
                <w:b/>
                <w:bCs/>
                <w:sz w:val="16"/>
                <w:szCs w:val="16"/>
              </w:rPr>
              <w:t xml:space="preserve">15,841 </w:t>
            </w:r>
          </w:p>
        </w:tc>
        <w:tc>
          <w:tcPr>
            <w:tcW w:w="960" w:type="dxa"/>
            <w:tcBorders>
              <w:top w:val="nil"/>
              <w:left w:val="nil"/>
              <w:bottom w:val="single" w:sz="4" w:space="0" w:color="auto"/>
              <w:right w:val="nil"/>
            </w:tcBorders>
            <w:shd w:val="clear" w:color="000000" w:fill="D9D9D9"/>
            <w:noWrap/>
            <w:vAlign w:val="bottom"/>
            <w:hideMark/>
          </w:tcPr>
          <w:p w14:paraId="5207A0F5" w14:textId="68FDBCD7" w:rsidR="00C46F58" w:rsidRPr="00A20823" w:rsidRDefault="00C46F58" w:rsidP="00C46F58">
            <w:pPr>
              <w:spacing w:before="0" w:after="0" w:line="240" w:lineRule="auto"/>
              <w:jc w:val="right"/>
              <w:rPr>
                <w:rFonts w:ascii="Arial" w:hAnsi="Arial" w:cs="Arial"/>
                <w:b/>
                <w:bCs/>
                <w:sz w:val="16"/>
                <w:szCs w:val="16"/>
              </w:rPr>
            </w:pPr>
            <w:r>
              <w:rPr>
                <w:rFonts w:ascii="Arial" w:hAnsi="Arial"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14:paraId="09B6BC89" w14:textId="353CDA81" w:rsidR="00C46F58" w:rsidRPr="00A20823" w:rsidRDefault="00C46F58" w:rsidP="00C46F58">
            <w:pPr>
              <w:spacing w:before="0" w:after="0" w:line="240" w:lineRule="auto"/>
              <w:jc w:val="right"/>
              <w:rPr>
                <w:rFonts w:ascii="Arial" w:hAnsi="Arial" w:cs="Arial"/>
                <w:b/>
                <w:bCs/>
                <w:sz w:val="16"/>
                <w:szCs w:val="16"/>
              </w:rPr>
            </w:pPr>
            <w:r>
              <w:rPr>
                <w:rFonts w:ascii="Arial" w:hAnsi="Arial" w:cs="Arial"/>
                <w:b/>
                <w:bCs/>
                <w:sz w:val="16"/>
                <w:szCs w:val="16"/>
              </w:rPr>
              <w:t xml:space="preserve">- </w:t>
            </w:r>
          </w:p>
        </w:tc>
      </w:tr>
    </w:tbl>
    <w:p w14:paraId="32E5656A" w14:textId="77777777" w:rsidR="008C73CD" w:rsidRPr="00A20823" w:rsidRDefault="008C73CD" w:rsidP="006A45F7">
      <w:pPr>
        <w:pStyle w:val="FootnoteText"/>
        <w:spacing w:before="120"/>
        <w:rPr>
          <w:rFonts w:cs="Arial"/>
        </w:rPr>
      </w:pPr>
      <w:r w:rsidRPr="00A20823">
        <w:rPr>
          <w:rFonts w:cs="Arial"/>
          <w:vertAlign w:val="superscript"/>
        </w:rPr>
        <w:t>(a)</w:t>
      </w:r>
      <w:r w:rsidRPr="006A45F7">
        <w:rPr>
          <w:rStyle w:val="FootnoteTextChar"/>
        </w:rPr>
        <w:tab/>
      </w:r>
      <w:r w:rsidRPr="00C46F58">
        <w:rPr>
          <w:rStyle w:val="FootnoteTextChar"/>
          <w:szCs w:val="16"/>
        </w:rPr>
        <w:t>The 2022–</w:t>
      </w:r>
      <w:r w:rsidRPr="00C46F58">
        <w:rPr>
          <w:rStyle w:val="FootnoteTextChar"/>
          <w:szCs w:val="16"/>
        </w:rPr>
        <w:softHyphen/>
        <w:t xml:space="preserve">23 available appropriation is included to allow a comparison of this year's appropriation with what was made available for use in the previous year. Available appropriation is the amount available to be drawn </w:t>
      </w:r>
      <w:proofErr w:type="gramStart"/>
      <w:r w:rsidRPr="00C46F58">
        <w:rPr>
          <w:rStyle w:val="FootnoteTextChar"/>
          <w:szCs w:val="16"/>
        </w:rPr>
        <w:t>down, and</w:t>
      </w:r>
      <w:proofErr w:type="gramEnd"/>
      <w:r w:rsidRPr="00C46F58">
        <w:rPr>
          <w:rStyle w:val="FootnoteTextChar"/>
          <w:szCs w:val="16"/>
        </w:rPr>
        <w:t xml:space="preserve"> is equal to: Budget Appropriation + Additional Estimates Appropriation + Advance to the Finance Minister - section 51 withholdings</w:t>
      </w:r>
      <w:r w:rsidRPr="00C46F58">
        <w:rPr>
          <w:rFonts w:cs="Arial"/>
          <w:szCs w:val="16"/>
        </w:rPr>
        <w:t xml:space="preserve"> - administrative quarantines +/- Machinery of Government transfers.</w:t>
      </w:r>
    </w:p>
    <w:p w14:paraId="25704F74" w14:textId="76122282" w:rsidR="008C73CD" w:rsidRDefault="008C73CD" w:rsidP="008C73CD">
      <w:pPr>
        <w:spacing w:after="0" w:line="240" w:lineRule="auto"/>
      </w:pPr>
    </w:p>
    <w:p w14:paraId="60A4D49A" w14:textId="77777777" w:rsidR="008C73CD" w:rsidRDefault="008C73CD" w:rsidP="008C73CD">
      <w:pPr>
        <w:pStyle w:val="TableHeading"/>
        <w:rPr>
          <w:rFonts w:ascii="Book Antiqua" w:hAnsi="Book Antiqua"/>
          <w:bCs/>
          <w:color w:val="0000FF"/>
          <w:sz w:val="19"/>
        </w:rPr>
      </w:pPr>
      <w:r w:rsidRPr="00564C0F">
        <w:t>Table 1.5: Appropriation B</w:t>
      </w:r>
      <w:r>
        <w:t>ill (No. 4</w:t>
      </w:r>
      <w:r w:rsidRPr="00564C0F">
        <w:t xml:space="preserve">) </w:t>
      </w:r>
      <w:r>
        <w:t>2023–2024</w:t>
      </w:r>
    </w:p>
    <w:p w14:paraId="2E7D1261" w14:textId="5A050FA2" w:rsidR="008C73CD" w:rsidRPr="005B7E04" w:rsidRDefault="008C73CD" w:rsidP="008C73CD">
      <w:pPr>
        <w:pStyle w:val="TableGraphic"/>
        <w:spacing w:before="120"/>
        <w:rPr>
          <w:sz w:val="20"/>
        </w:rPr>
      </w:pPr>
      <w:r w:rsidRPr="005B7E04">
        <w:rPr>
          <w:sz w:val="20"/>
        </w:rPr>
        <w:t>This table i</w:t>
      </w:r>
      <w:r w:rsidR="00CC3D08">
        <w:rPr>
          <w:sz w:val="20"/>
        </w:rPr>
        <w:t>s not applicable to PSR in 2023</w:t>
      </w:r>
      <w:r w:rsidR="00CC3D08">
        <w:rPr>
          <w:rFonts w:ascii="Arial" w:hAnsi="Arial" w:cs="Arial"/>
          <w:b/>
          <w:bCs/>
          <w:sz w:val="16"/>
          <w:szCs w:val="16"/>
        </w:rPr>
        <w:t>–</w:t>
      </w:r>
      <w:r w:rsidRPr="005B7E04">
        <w:rPr>
          <w:sz w:val="20"/>
        </w:rPr>
        <w:t>24.</w:t>
      </w:r>
      <w:r w:rsidR="00CC3D08">
        <w:rPr>
          <w:sz w:val="20"/>
        </w:rPr>
        <w:t xml:space="preserve"> </w:t>
      </w:r>
    </w:p>
    <w:p w14:paraId="6F040741" w14:textId="77777777" w:rsidR="006A45F7" w:rsidRDefault="006A45F7">
      <w:pPr>
        <w:spacing w:before="0" w:after="0" w:line="240" w:lineRule="auto"/>
        <w:rPr>
          <w:rFonts w:ascii="Arial" w:hAnsi="Arial"/>
          <w:b/>
          <w:sz w:val="30"/>
        </w:rPr>
      </w:pPr>
      <w:r>
        <w:br w:type="page"/>
      </w:r>
    </w:p>
    <w:p w14:paraId="0F36E570" w14:textId="40746C6C" w:rsidR="008C73CD" w:rsidRPr="00E41681" w:rsidRDefault="00F552F6" w:rsidP="008C73CD">
      <w:pPr>
        <w:pStyle w:val="Heading2-TOC"/>
      </w:pPr>
      <w:r>
        <w:fldChar w:fldCharType="begin"/>
      </w:r>
      <w:r>
        <w:instrText xml:space="preserve"> </w:instrText>
      </w:r>
      <w:proofErr w:type="gramStart"/>
      <w:r>
        <w:instrText>TC  "</w:instrText>
      </w:r>
      <w:bookmarkStart w:id="548" w:name="_Toc157520616"/>
      <w:proofErr w:type="gramEnd"/>
      <w:r>
        <w:instrText>Section 2: Revisions to outcomes and planned performance</w:instrText>
      </w:r>
      <w:bookmarkEnd w:id="548"/>
      <w:r>
        <w:instrText xml:space="preserve">" \f </w:instrText>
      </w:r>
      <w:proofErr w:type="spellStart"/>
      <w:r>
        <w:instrText>psr</w:instrText>
      </w:r>
      <w:proofErr w:type="spellEnd"/>
      <w:r>
        <w:instrText xml:space="preserve"> \l 1 </w:instrText>
      </w:r>
      <w:r>
        <w:fldChar w:fldCharType="end"/>
      </w:r>
      <w:bookmarkStart w:id="549" w:name="_Toc157592040"/>
      <w:bookmarkStart w:id="550" w:name="_Toc157592223"/>
      <w:r w:rsidR="008C73CD" w:rsidRPr="00E41681">
        <w:t>Section 2: Revisions to outcomes and planned performance</w:t>
      </w:r>
      <w:bookmarkEnd w:id="549"/>
      <w:bookmarkEnd w:id="550"/>
    </w:p>
    <w:p w14:paraId="625BE5E3" w14:textId="0A9E6081" w:rsidR="008C73CD" w:rsidRDefault="00F552F6" w:rsidP="006A45F7">
      <w:pPr>
        <w:pStyle w:val="Heading3"/>
        <w:spacing w:after="240"/>
      </w:pPr>
      <w:r>
        <w:fldChar w:fldCharType="begin"/>
      </w:r>
      <w:r>
        <w:instrText xml:space="preserve"> </w:instrText>
      </w:r>
      <w:proofErr w:type="gramStart"/>
      <w:r>
        <w:instrText>TC  "</w:instrText>
      </w:r>
      <w:bookmarkStart w:id="551" w:name="_Toc157520617"/>
      <w:proofErr w:type="gramEnd"/>
      <w:r>
        <w:instrText>2.1</w:instrText>
      </w:r>
      <w:r>
        <w:tab/>
        <w:instrText>Budgeted expenses and performance for Outcome 1</w:instrText>
      </w:r>
      <w:bookmarkEnd w:id="551"/>
      <w:r>
        <w:instrText xml:space="preserve">" \f </w:instrText>
      </w:r>
      <w:proofErr w:type="spellStart"/>
      <w:r>
        <w:instrText>psr</w:instrText>
      </w:r>
      <w:proofErr w:type="spellEnd"/>
      <w:r>
        <w:instrText xml:space="preserve"> \l 2 </w:instrText>
      </w:r>
      <w:r>
        <w:fldChar w:fldCharType="end"/>
      </w:r>
      <w:bookmarkStart w:id="552" w:name="_Toc157592041"/>
      <w:bookmarkStart w:id="553" w:name="_Toc157592224"/>
      <w:r w:rsidR="008C73CD">
        <w:t>2.</w:t>
      </w:r>
      <w:r w:rsidR="006A45F7">
        <w:t>1</w:t>
      </w:r>
      <w:r w:rsidR="008C73CD">
        <w:tab/>
        <w:t>Budgeted expens</w:t>
      </w:r>
      <w:r w:rsidR="006A45F7">
        <w:t>es and performance for Outcome 1</w:t>
      </w:r>
      <w:bookmarkEnd w:id="552"/>
      <w:bookmarkEnd w:id="55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8C73CD" w:rsidRPr="005E6F2B" w14:paraId="42BA6C1F" w14:textId="77777777" w:rsidTr="006A45F7">
        <w:tc>
          <w:tcPr>
            <w:tcW w:w="7705" w:type="dxa"/>
            <w:shd w:val="clear" w:color="auto" w:fill="E6E6E6"/>
          </w:tcPr>
          <w:p w14:paraId="41FDDAA9" w14:textId="08D30EFE" w:rsidR="008C73CD" w:rsidRPr="005E6F2B" w:rsidRDefault="008C73CD" w:rsidP="006A45F7">
            <w:pPr>
              <w:pStyle w:val="TableColumnHeadingLeft"/>
              <w:spacing w:before="24" w:after="24"/>
            </w:pPr>
            <w:r w:rsidRPr="00F862B3">
              <w:rPr>
                <w:sz w:val="20"/>
              </w:rPr>
              <w:t xml:space="preserve">Outcome </w:t>
            </w:r>
            <w:r w:rsidR="006A45F7">
              <w:rPr>
                <w:sz w:val="20"/>
              </w:rPr>
              <w:t>1</w:t>
            </w:r>
            <w:r w:rsidRPr="00F862B3">
              <w:rPr>
                <w:sz w:val="20"/>
              </w:rPr>
              <w:t xml:space="preserve">: </w:t>
            </w:r>
            <w:r w:rsidR="006A45F7" w:rsidRPr="006A45F7">
              <w:rPr>
                <w:rFonts w:ascii="Arial" w:hAnsi="Arial" w:cs="Arial"/>
                <w:b w:val="0"/>
                <w:sz w:val="20"/>
              </w:rPr>
              <w:t>A reduction of the risks to patients and costs to the Australian Government of inappropriate</w:t>
            </w:r>
            <w:r w:rsidR="006A45F7">
              <w:rPr>
                <w:rFonts w:ascii="Arial" w:hAnsi="Arial" w:cs="Arial"/>
                <w:b w:val="0"/>
                <w:sz w:val="20"/>
              </w:rPr>
              <w:t xml:space="preserve"> </w:t>
            </w:r>
            <w:r w:rsidR="006A45F7" w:rsidRPr="006A45F7">
              <w:rPr>
                <w:rFonts w:ascii="Arial" w:hAnsi="Arial" w:cs="Arial"/>
                <w:b w:val="0"/>
                <w:sz w:val="20"/>
              </w:rPr>
              <w:t>practice, including through investigating health services claimed under the Medicare and</w:t>
            </w:r>
            <w:r w:rsidR="006A45F7">
              <w:rPr>
                <w:rFonts w:ascii="Arial" w:hAnsi="Arial" w:cs="Arial"/>
                <w:b w:val="0"/>
                <w:sz w:val="20"/>
              </w:rPr>
              <w:t xml:space="preserve"> </w:t>
            </w:r>
            <w:r w:rsidR="006A45F7" w:rsidRPr="006A45F7">
              <w:rPr>
                <w:rFonts w:ascii="Arial" w:hAnsi="Arial" w:cs="Arial"/>
                <w:b w:val="0"/>
                <w:sz w:val="20"/>
              </w:rPr>
              <w:t>Pharmaceutical benefits schemes.</w:t>
            </w:r>
          </w:p>
        </w:tc>
      </w:tr>
    </w:tbl>
    <w:p w14:paraId="04D2BC3B" w14:textId="77777777" w:rsidR="008C73CD" w:rsidRPr="005E6F2B" w:rsidRDefault="008C73CD" w:rsidP="008C73CD">
      <w:pPr>
        <w:pStyle w:val="NoSpacing"/>
      </w:pPr>
    </w:p>
    <w:p w14:paraId="6045BE05" w14:textId="12A6EF82" w:rsidR="008C73CD" w:rsidRPr="009C37FF" w:rsidRDefault="006A45F7" w:rsidP="008C73CD">
      <w:pPr>
        <w:pStyle w:val="Heading5"/>
        <w:rPr>
          <w:b/>
          <w:i w:val="0"/>
        </w:rPr>
      </w:pPr>
      <w:r w:rsidRPr="009C37FF">
        <w:rPr>
          <w:b/>
          <w:i w:val="0"/>
        </w:rPr>
        <w:t>Budgeted expenses for Outcome 1</w:t>
      </w:r>
    </w:p>
    <w:p w14:paraId="6E979F94" w14:textId="77777777" w:rsidR="008C73CD" w:rsidRPr="009C37FF" w:rsidRDefault="008C73CD" w:rsidP="008C73CD">
      <w:pPr>
        <w:rPr>
          <w:sz w:val="20"/>
        </w:rPr>
      </w:pPr>
      <w:r w:rsidRPr="009C37FF">
        <w:rPr>
          <w:sz w:val="20"/>
        </w:rPr>
        <w:t>This table shows how much the entity intends to spend (on an accrual basis) on achieving the outcome, broken down by program, as well as by Administered and Departmental funding sources.</w:t>
      </w:r>
    </w:p>
    <w:p w14:paraId="49D1E1D5" w14:textId="77777777" w:rsidR="008C73CD" w:rsidRPr="00140AFB" w:rsidRDefault="008C73CD" w:rsidP="008C73CD">
      <w:pPr>
        <w:pStyle w:val="TableHeading"/>
      </w:pPr>
      <w:r w:rsidRPr="00D93D96">
        <w:t>Table 2.</w:t>
      </w:r>
      <w:r>
        <w:t>1.</w:t>
      </w:r>
      <w:r w:rsidRPr="00D93D96">
        <w:t>1 Budgeted expenses</w:t>
      </w:r>
      <w:r>
        <w:t xml:space="preserve"> for</w:t>
      </w:r>
      <w:r w:rsidRPr="00D93D96">
        <w:t xml:space="preserve"> Outcome </w:t>
      </w:r>
      <w:r>
        <w:t>1</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FD721C" w:rsidRPr="00FD721C" w14:paraId="5BF436B4" w14:textId="77777777" w:rsidTr="00995354">
        <w:trPr>
          <w:trHeight w:val="737"/>
          <w:jc w:val="center"/>
        </w:trPr>
        <w:tc>
          <w:tcPr>
            <w:tcW w:w="3000" w:type="dxa"/>
            <w:tcBorders>
              <w:top w:val="single" w:sz="4" w:space="0" w:color="auto"/>
              <w:left w:val="nil"/>
              <w:bottom w:val="nil"/>
              <w:right w:val="nil"/>
            </w:tcBorders>
            <w:shd w:val="clear" w:color="auto" w:fill="auto"/>
            <w:hideMark/>
          </w:tcPr>
          <w:p w14:paraId="0CC8D8D5" w14:textId="77777777" w:rsidR="00FD721C" w:rsidRPr="00FD721C" w:rsidRDefault="00FD721C" w:rsidP="00FD721C">
            <w:pPr>
              <w:spacing w:before="24" w:after="0" w:line="240" w:lineRule="auto"/>
              <w:jc w:val="right"/>
              <w:rPr>
                <w:rFonts w:ascii="Arial" w:hAnsi="Arial" w:cs="Arial"/>
                <w:b/>
                <w:bCs/>
                <w:sz w:val="16"/>
                <w:szCs w:val="16"/>
              </w:rPr>
            </w:pPr>
            <w:r w:rsidRPr="00FD721C">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10332B9D" w14:textId="4895F2A1" w:rsidR="00FD721C" w:rsidRPr="00FD721C" w:rsidRDefault="0026429F" w:rsidP="00FD721C">
            <w:pPr>
              <w:spacing w:before="24" w:after="0" w:line="240" w:lineRule="auto"/>
              <w:jc w:val="right"/>
              <w:rPr>
                <w:rFonts w:ascii="Arial" w:hAnsi="Arial" w:cs="Arial"/>
                <w:b/>
                <w:bCs/>
                <w:sz w:val="16"/>
                <w:szCs w:val="16"/>
              </w:rPr>
            </w:pPr>
            <w:r>
              <w:rPr>
                <w:rFonts w:ascii="Arial" w:hAnsi="Arial" w:cs="Arial"/>
                <w:b/>
                <w:bCs/>
                <w:sz w:val="16"/>
                <w:szCs w:val="16"/>
              </w:rPr>
              <w:t>2022–</w:t>
            </w:r>
            <w:r w:rsidR="00FD721C" w:rsidRPr="00FD721C">
              <w:rPr>
                <w:rFonts w:ascii="Arial" w:hAnsi="Arial" w:cs="Arial"/>
                <w:b/>
                <w:bCs/>
                <w:sz w:val="16"/>
                <w:szCs w:val="16"/>
              </w:rPr>
              <w:t>23</w:t>
            </w:r>
            <w:r w:rsidR="00FD721C" w:rsidRPr="00FD721C">
              <w:rPr>
                <w:rFonts w:ascii="Arial" w:hAnsi="Arial" w:cs="Arial"/>
                <w:b/>
                <w:bCs/>
                <w:sz w:val="16"/>
                <w:szCs w:val="16"/>
              </w:rPr>
              <w:br/>
              <w:t>Actual</w:t>
            </w:r>
            <w:r w:rsidR="00FD721C" w:rsidRPr="00FD721C">
              <w:rPr>
                <w:rFonts w:ascii="Arial" w:hAnsi="Arial" w:cs="Arial"/>
                <w:b/>
                <w:bCs/>
                <w:sz w:val="16"/>
                <w:szCs w:val="16"/>
              </w:rPr>
              <w:br/>
            </w:r>
            <w:r w:rsidR="00FD721C" w:rsidRPr="00FD721C">
              <w:rPr>
                <w:rFonts w:ascii="Arial" w:hAnsi="Arial" w:cs="Arial"/>
                <w:b/>
                <w:bCs/>
                <w:sz w:val="16"/>
                <w:szCs w:val="16"/>
              </w:rPr>
              <w:br/>
            </w:r>
            <w:r w:rsidR="00FD721C" w:rsidRPr="00FD721C">
              <w:rPr>
                <w:rFonts w:ascii="Arial" w:hAnsi="Arial"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14:paraId="161CDD69" w14:textId="5C090EC1" w:rsidR="00FD721C" w:rsidRPr="00FD721C" w:rsidRDefault="0026429F" w:rsidP="00FD721C">
            <w:pPr>
              <w:spacing w:before="24" w:after="0" w:line="240" w:lineRule="auto"/>
              <w:jc w:val="right"/>
              <w:rPr>
                <w:rFonts w:ascii="Arial" w:hAnsi="Arial" w:cs="Arial"/>
                <w:b/>
                <w:bCs/>
                <w:sz w:val="16"/>
                <w:szCs w:val="16"/>
              </w:rPr>
            </w:pPr>
            <w:r>
              <w:rPr>
                <w:rFonts w:ascii="Arial" w:hAnsi="Arial" w:cs="Arial"/>
                <w:b/>
                <w:bCs/>
                <w:sz w:val="16"/>
                <w:szCs w:val="16"/>
              </w:rPr>
              <w:t>2023–</w:t>
            </w:r>
            <w:r w:rsidR="00FD721C" w:rsidRPr="00FD721C">
              <w:rPr>
                <w:rFonts w:ascii="Arial" w:hAnsi="Arial" w:cs="Arial"/>
                <w:b/>
                <w:bCs/>
                <w:sz w:val="16"/>
                <w:szCs w:val="16"/>
              </w:rPr>
              <w:t>24</w:t>
            </w:r>
            <w:r w:rsidR="00FD721C" w:rsidRPr="00FD721C">
              <w:rPr>
                <w:rFonts w:ascii="Arial" w:hAnsi="Arial" w:cs="Arial"/>
                <w:b/>
                <w:bCs/>
                <w:sz w:val="16"/>
                <w:szCs w:val="16"/>
              </w:rPr>
              <w:br/>
              <w:t>Revised</w:t>
            </w:r>
            <w:r w:rsidR="00FD721C" w:rsidRPr="00FD721C">
              <w:rPr>
                <w:rFonts w:ascii="Arial" w:hAnsi="Arial" w:cs="Arial"/>
                <w:b/>
                <w:bCs/>
                <w:sz w:val="16"/>
                <w:szCs w:val="16"/>
              </w:rPr>
              <w:br/>
              <w:t>Budget</w:t>
            </w:r>
            <w:r w:rsidR="00FD721C" w:rsidRPr="00FD721C">
              <w:rPr>
                <w:rFonts w:ascii="Arial" w:hAnsi="Arial" w:cs="Arial"/>
                <w:b/>
                <w:bCs/>
                <w:sz w:val="16"/>
                <w:szCs w:val="16"/>
              </w:rPr>
              <w:br/>
            </w:r>
            <w:r w:rsidR="00FD721C" w:rsidRPr="00FD721C">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6C66C189" w14:textId="7575275A" w:rsidR="00FD721C" w:rsidRPr="00FD721C" w:rsidRDefault="0026429F" w:rsidP="00FD721C">
            <w:pPr>
              <w:spacing w:before="24" w:after="0" w:line="240" w:lineRule="auto"/>
              <w:jc w:val="right"/>
              <w:rPr>
                <w:rFonts w:ascii="Arial" w:hAnsi="Arial" w:cs="Arial"/>
                <w:b/>
                <w:bCs/>
                <w:sz w:val="16"/>
                <w:szCs w:val="16"/>
              </w:rPr>
            </w:pPr>
            <w:r>
              <w:rPr>
                <w:rFonts w:ascii="Arial" w:hAnsi="Arial" w:cs="Arial"/>
                <w:b/>
                <w:bCs/>
                <w:sz w:val="16"/>
                <w:szCs w:val="16"/>
              </w:rPr>
              <w:t>2024–</w:t>
            </w:r>
            <w:r w:rsidR="00FD721C" w:rsidRPr="00FD721C">
              <w:rPr>
                <w:rFonts w:ascii="Arial" w:hAnsi="Arial" w:cs="Arial"/>
                <w:b/>
                <w:bCs/>
                <w:sz w:val="16"/>
                <w:szCs w:val="16"/>
              </w:rPr>
              <w:t>25 Forward estimate</w:t>
            </w:r>
            <w:r w:rsidR="00FD721C" w:rsidRPr="00FD721C">
              <w:rPr>
                <w:rFonts w:ascii="Arial" w:hAnsi="Arial" w:cs="Arial"/>
                <w:b/>
                <w:bCs/>
                <w:sz w:val="16"/>
                <w:szCs w:val="16"/>
              </w:rPr>
              <w:br/>
            </w:r>
            <w:r w:rsidR="00FD721C" w:rsidRPr="00FD721C">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3D1B8E0B" w14:textId="0C9D1DDE" w:rsidR="00FD721C" w:rsidRPr="00FD721C" w:rsidRDefault="0026429F" w:rsidP="00FD721C">
            <w:pPr>
              <w:spacing w:before="24" w:after="0" w:line="240" w:lineRule="auto"/>
              <w:jc w:val="right"/>
              <w:rPr>
                <w:rFonts w:ascii="Arial" w:hAnsi="Arial" w:cs="Arial"/>
                <w:b/>
                <w:bCs/>
                <w:sz w:val="16"/>
                <w:szCs w:val="16"/>
              </w:rPr>
            </w:pPr>
            <w:r>
              <w:rPr>
                <w:rFonts w:ascii="Arial" w:hAnsi="Arial" w:cs="Arial"/>
                <w:b/>
                <w:bCs/>
                <w:sz w:val="16"/>
                <w:szCs w:val="16"/>
              </w:rPr>
              <w:t>2025–</w:t>
            </w:r>
            <w:r w:rsidR="00FD721C" w:rsidRPr="00FD721C">
              <w:rPr>
                <w:rFonts w:ascii="Arial" w:hAnsi="Arial" w:cs="Arial"/>
                <w:b/>
                <w:bCs/>
                <w:sz w:val="16"/>
                <w:szCs w:val="16"/>
              </w:rPr>
              <w:t>26 Forward estimate</w:t>
            </w:r>
            <w:r w:rsidR="00FD721C" w:rsidRPr="00FD721C">
              <w:rPr>
                <w:rFonts w:ascii="Arial" w:hAnsi="Arial" w:cs="Arial"/>
                <w:b/>
                <w:bCs/>
                <w:sz w:val="16"/>
                <w:szCs w:val="16"/>
              </w:rPr>
              <w:br/>
            </w:r>
            <w:r w:rsidR="00FD721C" w:rsidRPr="00FD721C">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65251DC7" w14:textId="58A31B67" w:rsidR="00FD721C" w:rsidRPr="00FD721C" w:rsidRDefault="0026429F" w:rsidP="00FD721C">
            <w:pPr>
              <w:spacing w:before="24" w:after="0" w:line="240" w:lineRule="auto"/>
              <w:jc w:val="right"/>
              <w:rPr>
                <w:rFonts w:ascii="Arial" w:hAnsi="Arial" w:cs="Arial"/>
                <w:b/>
                <w:bCs/>
                <w:sz w:val="16"/>
                <w:szCs w:val="16"/>
              </w:rPr>
            </w:pPr>
            <w:r>
              <w:rPr>
                <w:rFonts w:ascii="Arial" w:hAnsi="Arial" w:cs="Arial"/>
                <w:b/>
                <w:bCs/>
                <w:sz w:val="16"/>
                <w:szCs w:val="16"/>
              </w:rPr>
              <w:t>2026–</w:t>
            </w:r>
            <w:r w:rsidR="00FD721C" w:rsidRPr="00FD721C">
              <w:rPr>
                <w:rFonts w:ascii="Arial" w:hAnsi="Arial" w:cs="Arial"/>
                <w:b/>
                <w:bCs/>
                <w:sz w:val="16"/>
                <w:szCs w:val="16"/>
              </w:rPr>
              <w:t>27 Forward estimate</w:t>
            </w:r>
            <w:r w:rsidR="00FD721C" w:rsidRPr="00FD721C">
              <w:rPr>
                <w:rFonts w:ascii="Arial" w:hAnsi="Arial" w:cs="Arial"/>
                <w:b/>
                <w:bCs/>
                <w:sz w:val="16"/>
                <w:szCs w:val="16"/>
              </w:rPr>
              <w:br/>
            </w:r>
            <w:r w:rsidR="00FD721C" w:rsidRPr="00FD721C">
              <w:rPr>
                <w:rFonts w:ascii="Arial" w:hAnsi="Arial" w:cs="Arial"/>
                <w:sz w:val="16"/>
                <w:szCs w:val="16"/>
              </w:rPr>
              <w:t>$'000</w:t>
            </w:r>
          </w:p>
        </w:tc>
      </w:tr>
      <w:tr w:rsidR="00FD721C" w:rsidRPr="00FD721C" w14:paraId="2DF10E46" w14:textId="77777777" w:rsidTr="00FD721C">
        <w:trPr>
          <w:trHeight w:val="454"/>
          <w:jc w:val="center"/>
        </w:trPr>
        <w:tc>
          <w:tcPr>
            <w:tcW w:w="7700" w:type="dxa"/>
            <w:gridSpan w:val="6"/>
            <w:tcBorders>
              <w:top w:val="nil"/>
              <w:left w:val="nil"/>
              <w:bottom w:val="nil"/>
              <w:right w:val="nil"/>
            </w:tcBorders>
            <w:shd w:val="clear" w:color="auto" w:fill="auto"/>
            <w:vAlign w:val="bottom"/>
            <w:hideMark/>
          </w:tcPr>
          <w:p w14:paraId="42E3884F" w14:textId="77777777" w:rsidR="00FD721C" w:rsidRPr="00FD721C" w:rsidRDefault="00FD721C" w:rsidP="00FD721C">
            <w:pPr>
              <w:spacing w:before="0" w:after="0" w:line="240" w:lineRule="auto"/>
              <w:rPr>
                <w:rFonts w:ascii="Arial" w:hAnsi="Arial" w:cs="Arial"/>
                <w:b/>
                <w:bCs/>
                <w:sz w:val="16"/>
                <w:szCs w:val="16"/>
              </w:rPr>
            </w:pPr>
            <w:r w:rsidRPr="00FD721C">
              <w:rPr>
                <w:rFonts w:ascii="Arial" w:hAnsi="Arial" w:cs="Arial"/>
                <w:b/>
                <w:bCs/>
                <w:sz w:val="16"/>
                <w:szCs w:val="16"/>
              </w:rPr>
              <w:t xml:space="preserve">Program 1.1: Safeguarding the Integrity of the Medicare Program and </w:t>
            </w:r>
            <w:r w:rsidRPr="00FD721C">
              <w:rPr>
                <w:rFonts w:ascii="Arial" w:hAnsi="Arial" w:cs="Arial"/>
                <w:b/>
                <w:bCs/>
                <w:sz w:val="16"/>
                <w:szCs w:val="16"/>
              </w:rPr>
              <w:br/>
              <w:t>Pharmaceutical Benefits Scheme</w:t>
            </w:r>
          </w:p>
        </w:tc>
      </w:tr>
      <w:tr w:rsidR="00FD721C" w:rsidRPr="00FD721C" w14:paraId="38E63C43" w14:textId="77777777" w:rsidTr="00FD721C">
        <w:trPr>
          <w:trHeight w:val="227"/>
          <w:jc w:val="center"/>
        </w:trPr>
        <w:tc>
          <w:tcPr>
            <w:tcW w:w="3000" w:type="dxa"/>
            <w:tcBorders>
              <w:top w:val="nil"/>
              <w:left w:val="nil"/>
              <w:bottom w:val="nil"/>
              <w:right w:val="nil"/>
            </w:tcBorders>
            <w:shd w:val="clear" w:color="auto" w:fill="auto"/>
            <w:noWrap/>
            <w:vAlign w:val="bottom"/>
            <w:hideMark/>
          </w:tcPr>
          <w:p w14:paraId="13BD6986" w14:textId="77777777" w:rsidR="00FD721C" w:rsidRPr="00FD721C" w:rsidRDefault="00FD721C" w:rsidP="00FD721C">
            <w:pPr>
              <w:spacing w:before="0" w:after="0" w:line="240" w:lineRule="auto"/>
              <w:ind w:firstLineChars="100" w:firstLine="160"/>
              <w:rPr>
                <w:rFonts w:ascii="Arial" w:hAnsi="Arial" w:cs="Arial"/>
                <w:sz w:val="16"/>
                <w:szCs w:val="16"/>
              </w:rPr>
            </w:pPr>
            <w:r w:rsidRPr="00FD721C">
              <w:rPr>
                <w:rFonts w:ascii="Arial" w:hAnsi="Arial" w:cs="Arial"/>
                <w:sz w:val="16"/>
                <w:szCs w:val="16"/>
              </w:rPr>
              <w:t>Departmental expenses</w:t>
            </w:r>
          </w:p>
        </w:tc>
        <w:tc>
          <w:tcPr>
            <w:tcW w:w="940" w:type="dxa"/>
            <w:tcBorders>
              <w:top w:val="nil"/>
              <w:left w:val="nil"/>
              <w:bottom w:val="nil"/>
              <w:right w:val="nil"/>
            </w:tcBorders>
            <w:shd w:val="clear" w:color="auto" w:fill="auto"/>
            <w:vAlign w:val="bottom"/>
            <w:hideMark/>
          </w:tcPr>
          <w:p w14:paraId="64860834" w14:textId="77777777" w:rsidR="00FD721C" w:rsidRPr="00FD721C" w:rsidRDefault="00FD721C" w:rsidP="00FD721C">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04F59A85"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 </w:t>
            </w:r>
          </w:p>
        </w:tc>
        <w:tc>
          <w:tcPr>
            <w:tcW w:w="940" w:type="dxa"/>
            <w:tcBorders>
              <w:top w:val="nil"/>
              <w:left w:val="nil"/>
              <w:bottom w:val="nil"/>
              <w:right w:val="nil"/>
            </w:tcBorders>
            <w:shd w:val="clear" w:color="auto" w:fill="auto"/>
            <w:vAlign w:val="bottom"/>
            <w:hideMark/>
          </w:tcPr>
          <w:p w14:paraId="5D359BCF" w14:textId="77777777" w:rsidR="00FD721C" w:rsidRPr="00FD721C" w:rsidRDefault="00FD721C" w:rsidP="00FD721C">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vAlign w:val="bottom"/>
            <w:hideMark/>
          </w:tcPr>
          <w:p w14:paraId="6CA73694" w14:textId="77777777" w:rsidR="00FD721C" w:rsidRPr="00FD721C" w:rsidRDefault="00FD721C" w:rsidP="00FD721C">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vAlign w:val="bottom"/>
            <w:hideMark/>
          </w:tcPr>
          <w:p w14:paraId="65E5B88F" w14:textId="77777777" w:rsidR="00FD721C" w:rsidRPr="00FD721C" w:rsidRDefault="00FD721C" w:rsidP="00FD721C">
            <w:pPr>
              <w:spacing w:before="0" w:after="0" w:line="240" w:lineRule="auto"/>
              <w:jc w:val="right"/>
              <w:rPr>
                <w:rFonts w:ascii="Times New Roman" w:hAnsi="Times New Roman"/>
                <w:sz w:val="20"/>
              </w:rPr>
            </w:pPr>
          </w:p>
        </w:tc>
      </w:tr>
      <w:tr w:rsidR="00FD721C" w:rsidRPr="00FD721C" w14:paraId="3985A520" w14:textId="77777777" w:rsidTr="00FD721C">
        <w:trPr>
          <w:trHeight w:val="225"/>
          <w:jc w:val="center"/>
        </w:trPr>
        <w:tc>
          <w:tcPr>
            <w:tcW w:w="3000" w:type="dxa"/>
            <w:tcBorders>
              <w:top w:val="nil"/>
              <w:left w:val="nil"/>
              <w:bottom w:val="nil"/>
              <w:right w:val="nil"/>
            </w:tcBorders>
            <w:shd w:val="clear" w:color="auto" w:fill="auto"/>
            <w:noWrap/>
            <w:vAlign w:val="bottom"/>
            <w:hideMark/>
          </w:tcPr>
          <w:p w14:paraId="73A2A8E8" w14:textId="77777777" w:rsidR="00FD721C" w:rsidRPr="00FD721C" w:rsidRDefault="00FD721C" w:rsidP="000D1EF7">
            <w:pPr>
              <w:spacing w:before="0" w:after="0" w:line="240" w:lineRule="auto"/>
              <w:ind w:leftChars="150" w:left="285"/>
              <w:rPr>
                <w:rFonts w:ascii="Arial" w:hAnsi="Arial" w:cs="Arial"/>
                <w:sz w:val="16"/>
                <w:szCs w:val="16"/>
              </w:rPr>
            </w:pPr>
            <w:r w:rsidRPr="00FD721C">
              <w:rPr>
                <w:rFonts w:ascii="Arial" w:hAnsi="Arial" w:cs="Arial"/>
                <w:sz w:val="16"/>
                <w:szCs w:val="16"/>
              </w:rPr>
              <w:t>Departmental appropriation</w:t>
            </w:r>
            <w:r w:rsidRPr="00FD721C">
              <w:rPr>
                <w:rFonts w:ascii="Arial" w:hAnsi="Arial"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14:paraId="4236D2ED"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13,451</w:t>
            </w:r>
          </w:p>
        </w:tc>
        <w:tc>
          <w:tcPr>
            <w:tcW w:w="940" w:type="dxa"/>
            <w:tcBorders>
              <w:top w:val="nil"/>
              <w:left w:val="nil"/>
              <w:bottom w:val="nil"/>
              <w:right w:val="nil"/>
            </w:tcBorders>
            <w:shd w:val="clear" w:color="000000" w:fill="D9D9D9"/>
            <w:noWrap/>
            <w:vAlign w:val="bottom"/>
            <w:hideMark/>
          </w:tcPr>
          <w:p w14:paraId="4C46B7AC"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12,679</w:t>
            </w:r>
          </w:p>
        </w:tc>
        <w:tc>
          <w:tcPr>
            <w:tcW w:w="940" w:type="dxa"/>
            <w:tcBorders>
              <w:top w:val="nil"/>
              <w:left w:val="nil"/>
              <w:bottom w:val="nil"/>
              <w:right w:val="nil"/>
            </w:tcBorders>
            <w:shd w:val="clear" w:color="auto" w:fill="auto"/>
            <w:noWrap/>
            <w:vAlign w:val="bottom"/>
            <w:hideMark/>
          </w:tcPr>
          <w:p w14:paraId="500118B3"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15,493</w:t>
            </w:r>
          </w:p>
        </w:tc>
        <w:tc>
          <w:tcPr>
            <w:tcW w:w="940" w:type="dxa"/>
            <w:tcBorders>
              <w:top w:val="nil"/>
              <w:left w:val="nil"/>
              <w:bottom w:val="nil"/>
              <w:right w:val="nil"/>
            </w:tcBorders>
            <w:shd w:val="clear" w:color="auto" w:fill="auto"/>
            <w:noWrap/>
            <w:vAlign w:val="bottom"/>
            <w:hideMark/>
          </w:tcPr>
          <w:p w14:paraId="551D755A"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15,722</w:t>
            </w:r>
          </w:p>
        </w:tc>
        <w:tc>
          <w:tcPr>
            <w:tcW w:w="940" w:type="dxa"/>
            <w:tcBorders>
              <w:top w:val="nil"/>
              <w:left w:val="nil"/>
              <w:bottom w:val="nil"/>
              <w:right w:val="nil"/>
            </w:tcBorders>
            <w:shd w:val="clear" w:color="auto" w:fill="auto"/>
            <w:noWrap/>
            <w:vAlign w:val="bottom"/>
            <w:hideMark/>
          </w:tcPr>
          <w:p w14:paraId="662BCDDE"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16,169</w:t>
            </w:r>
          </w:p>
        </w:tc>
      </w:tr>
      <w:tr w:rsidR="00FD721C" w:rsidRPr="00FD721C" w14:paraId="72E87DCF" w14:textId="77777777" w:rsidTr="00FD721C">
        <w:trPr>
          <w:trHeight w:val="425"/>
          <w:jc w:val="center"/>
        </w:trPr>
        <w:tc>
          <w:tcPr>
            <w:tcW w:w="3000" w:type="dxa"/>
            <w:tcBorders>
              <w:top w:val="nil"/>
              <w:left w:val="nil"/>
              <w:bottom w:val="nil"/>
              <w:right w:val="nil"/>
            </w:tcBorders>
            <w:shd w:val="clear" w:color="auto" w:fill="auto"/>
            <w:vAlign w:val="bottom"/>
            <w:hideMark/>
          </w:tcPr>
          <w:p w14:paraId="571C908B" w14:textId="77777777" w:rsidR="00FD721C" w:rsidRPr="00FD721C" w:rsidRDefault="00FD721C" w:rsidP="000D1EF7">
            <w:pPr>
              <w:spacing w:before="0" w:after="0" w:line="240" w:lineRule="auto"/>
              <w:ind w:leftChars="150" w:left="285"/>
              <w:rPr>
                <w:rFonts w:ascii="Arial" w:hAnsi="Arial" w:cs="Arial"/>
                <w:sz w:val="16"/>
                <w:szCs w:val="16"/>
              </w:rPr>
            </w:pPr>
            <w:r w:rsidRPr="00FD721C">
              <w:rPr>
                <w:rFonts w:ascii="Arial" w:hAnsi="Arial" w:cs="Arial"/>
                <w:sz w:val="16"/>
                <w:szCs w:val="16"/>
              </w:rPr>
              <w:t>Expenses not requiring appropriation in the Budget year</w:t>
            </w:r>
            <w:r w:rsidRPr="00FD721C">
              <w:rPr>
                <w:rFonts w:ascii="Arial" w:hAnsi="Arial" w:cs="Arial"/>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14:paraId="7DE20F1E"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855</w:t>
            </w:r>
          </w:p>
        </w:tc>
        <w:tc>
          <w:tcPr>
            <w:tcW w:w="940" w:type="dxa"/>
            <w:tcBorders>
              <w:top w:val="nil"/>
              <w:left w:val="nil"/>
              <w:bottom w:val="nil"/>
              <w:right w:val="nil"/>
            </w:tcBorders>
            <w:shd w:val="clear" w:color="000000" w:fill="D9D9D9"/>
            <w:noWrap/>
            <w:vAlign w:val="bottom"/>
            <w:hideMark/>
          </w:tcPr>
          <w:p w14:paraId="646ADDF1"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1,449</w:t>
            </w:r>
          </w:p>
        </w:tc>
        <w:tc>
          <w:tcPr>
            <w:tcW w:w="940" w:type="dxa"/>
            <w:tcBorders>
              <w:top w:val="nil"/>
              <w:left w:val="nil"/>
              <w:bottom w:val="nil"/>
              <w:right w:val="nil"/>
            </w:tcBorders>
            <w:shd w:val="clear" w:color="auto" w:fill="auto"/>
            <w:noWrap/>
            <w:vAlign w:val="bottom"/>
            <w:hideMark/>
          </w:tcPr>
          <w:p w14:paraId="72D1640E"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892</w:t>
            </w:r>
          </w:p>
        </w:tc>
        <w:tc>
          <w:tcPr>
            <w:tcW w:w="940" w:type="dxa"/>
            <w:tcBorders>
              <w:top w:val="nil"/>
              <w:left w:val="nil"/>
              <w:bottom w:val="nil"/>
              <w:right w:val="nil"/>
            </w:tcBorders>
            <w:shd w:val="clear" w:color="auto" w:fill="auto"/>
            <w:noWrap/>
            <w:vAlign w:val="bottom"/>
            <w:hideMark/>
          </w:tcPr>
          <w:p w14:paraId="65F85070"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941</w:t>
            </w:r>
          </w:p>
        </w:tc>
        <w:tc>
          <w:tcPr>
            <w:tcW w:w="940" w:type="dxa"/>
            <w:tcBorders>
              <w:top w:val="nil"/>
              <w:left w:val="nil"/>
              <w:bottom w:val="nil"/>
              <w:right w:val="nil"/>
            </w:tcBorders>
            <w:shd w:val="clear" w:color="auto" w:fill="auto"/>
            <w:noWrap/>
            <w:vAlign w:val="bottom"/>
            <w:hideMark/>
          </w:tcPr>
          <w:p w14:paraId="0232D380"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941</w:t>
            </w:r>
          </w:p>
        </w:tc>
      </w:tr>
      <w:tr w:rsidR="00FD721C" w:rsidRPr="00FD721C" w14:paraId="21147069" w14:textId="77777777" w:rsidTr="00FD721C">
        <w:trPr>
          <w:trHeight w:val="225"/>
          <w:jc w:val="center"/>
        </w:trPr>
        <w:tc>
          <w:tcPr>
            <w:tcW w:w="3000" w:type="dxa"/>
            <w:tcBorders>
              <w:top w:val="nil"/>
              <w:left w:val="nil"/>
              <w:bottom w:val="nil"/>
              <w:right w:val="nil"/>
            </w:tcBorders>
            <w:shd w:val="clear" w:color="auto" w:fill="auto"/>
            <w:noWrap/>
            <w:vAlign w:val="bottom"/>
            <w:hideMark/>
          </w:tcPr>
          <w:p w14:paraId="5C2F63C3" w14:textId="77777777" w:rsidR="00FD721C" w:rsidRPr="00FD721C" w:rsidRDefault="00FD721C" w:rsidP="000D1EF7">
            <w:pPr>
              <w:spacing w:before="0" w:after="0" w:line="240" w:lineRule="auto"/>
              <w:ind w:leftChars="150" w:left="285"/>
              <w:rPr>
                <w:rFonts w:ascii="Arial" w:hAnsi="Arial" w:cs="Arial"/>
                <w:sz w:val="16"/>
                <w:szCs w:val="16"/>
              </w:rPr>
            </w:pPr>
            <w:r w:rsidRPr="00FD721C">
              <w:rPr>
                <w:rFonts w:ascii="Arial" w:hAnsi="Arial" w:cs="Arial"/>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14:paraId="21132076"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(3,139)</w:t>
            </w:r>
          </w:p>
        </w:tc>
        <w:tc>
          <w:tcPr>
            <w:tcW w:w="940" w:type="dxa"/>
            <w:tcBorders>
              <w:top w:val="nil"/>
              <w:left w:val="nil"/>
              <w:bottom w:val="single" w:sz="4" w:space="0" w:color="auto"/>
              <w:right w:val="nil"/>
            </w:tcBorders>
            <w:shd w:val="clear" w:color="000000" w:fill="D9D9D9"/>
            <w:noWrap/>
            <w:vAlign w:val="bottom"/>
            <w:hideMark/>
          </w:tcPr>
          <w:p w14:paraId="75D10291"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6E5C5B40"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682599B6"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w:t>
            </w:r>
          </w:p>
        </w:tc>
        <w:tc>
          <w:tcPr>
            <w:tcW w:w="940" w:type="dxa"/>
            <w:tcBorders>
              <w:top w:val="nil"/>
              <w:left w:val="nil"/>
              <w:bottom w:val="single" w:sz="4" w:space="0" w:color="auto"/>
              <w:right w:val="nil"/>
            </w:tcBorders>
            <w:shd w:val="clear" w:color="auto" w:fill="auto"/>
            <w:noWrap/>
            <w:vAlign w:val="bottom"/>
            <w:hideMark/>
          </w:tcPr>
          <w:p w14:paraId="0586D7E0"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w:t>
            </w:r>
          </w:p>
        </w:tc>
      </w:tr>
      <w:tr w:rsidR="00FD721C" w:rsidRPr="00FD721C" w14:paraId="7DB89871" w14:textId="77777777" w:rsidTr="00FD721C">
        <w:trPr>
          <w:trHeight w:val="283"/>
          <w:jc w:val="center"/>
        </w:trPr>
        <w:tc>
          <w:tcPr>
            <w:tcW w:w="3000" w:type="dxa"/>
            <w:tcBorders>
              <w:top w:val="nil"/>
              <w:left w:val="nil"/>
              <w:bottom w:val="nil"/>
              <w:right w:val="nil"/>
            </w:tcBorders>
            <w:shd w:val="clear" w:color="auto" w:fill="auto"/>
            <w:noWrap/>
            <w:vAlign w:val="bottom"/>
            <w:hideMark/>
          </w:tcPr>
          <w:p w14:paraId="2829434A" w14:textId="77777777" w:rsidR="00FD721C" w:rsidRPr="00FD721C" w:rsidRDefault="00FD721C" w:rsidP="00FD721C">
            <w:pPr>
              <w:spacing w:before="0" w:after="0" w:line="240" w:lineRule="auto"/>
              <w:ind w:firstLineChars="100" w:firstLine="161"/>
              <w:rPr>
                <w:rFonts w:ascii="Arial" w:hAnsi="Arial" w:cs="Arial"/>
                <w:b/>
                <w:bCs/>
                <w:sz w:val="16"/>
                <w:szCs w:val="16"/>
              </w:rPr>
            </w:pPr>
            <w:r w:rsidRPr="00FD721C">
              <w:rPr>
                <w:rFonts w:ascii="Arial" w:hAnsi="Arial"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14:paraId="52072AE0"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11,167</w:t>
            </w:r>
          </w:p>
        </w:tc>
        <w:tc>
          <w:tcPr>
            <w:tcW w:w="940" w:type="dxa"/>
            <w:tcBorders>
              <w:top w:val="nil"/>
              <w:left w:val="nil"/>
              <w:bottom w:val="single" w:sz="4" w:space="0" w:color="auto"/>
              <w:right w:val="nil"/>
            </w:tcBorders>
            <w:shd w:val="clear" w:color="000000" w:fill="D9D9D9"/>
            <w:noWrap/>
            <w:vAlign w:val="bottom"/>
            <w:hideMark/>
          </w:tcPr>
          <w:p w14:paraId="7804A7AB"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14,128</w:t>
            </w:r>
          </w:p>
        </w:tc>
        <w:tc>
          <w:tcPr>
            <w:tcW w:w="940" w:type="dxa"/>
            <w:tcBorders>
              <w:top w:val="nil"/>
              <w:left w:val="nil"/>
              <w:bottom w:val="single" w:sz="4" w:space="0" w:color="auto"/>
              <w:right w:val="nil"/>
            </w:tcBorders>
            <w:shd w:val="clear" w:color="auto" w:fill="auto"/>
            <w:noWrap/>
            <w:vAlign w:val="bottom"/>
            <w:hideMark/>
          </w:tcPr>
          <w:p w14:paraId="65A13238"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16,385</w:t>
            </w:r>
          </w:p>
        </w:tc>
        <w:tc>
          <w:tcPr>
            <w:tcW w:w="940" w:type="dxa"/>
            <w:tcBorders>
              <w:top w:val="nil"/>
              <w:left w:val="nil"/>
              <w:bottom w:val="single" w:sz="4" w:space="0" w:color="auto"/>
              <w:right w:val="nil"/>
            </w:tcBorders>
            <w:shd w:val="clear" w:color="auto" w:fill="auto"/>
            <w:noWrap/>
            <w:vAlign w:val="bottom"/>
            <w:hideMark/>
          </w:tcPr>
          <w:p w14:paraId="74108C25"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16,663</w:t>
            </w:r>
          </w:p>
        </w:tc>
        <w:tc>
          <w:tcPr>
            <w:tcW w:w="940" w:type="dxa"/>
            <w:tcBorders>
              <w:top w:val="nil"/>
              <w:left w:val="nil"/>
              <w:bottom w:val="single" w:sz="4" w:space="0" w:color="auto"/>
              <w:right w:val="nil"/>
            </w:tcBorders>
            <w:shd w:val="clear" w:color="auto" w:fill="auto"/>
            <w:noWrap/>
            <w:vAlign w:val="bottom"/>
            <w:hideMark/>
          </w:tcPr>
          <w:p w14:paraId="39DD66AC"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17,110</w:t>
            </w:r>
          </w:p>
        </w:tc>
      </w:tr>
      <w:tr w:rsidR="00FD721C" w:rsidRPr="00FD721C" w14:paraId="0F4D5F7C" w14:textId="77777777" w:rsidTr="00FD721C">
        <w:trPr>
          <w:trHeight w:val="283"/>
          <w:jc w:val="center"/>
        </w:trPr>
        <w:tc>
          <w:tcPr>
            <w:tcW w:w="3000" w:type="dxa"/>
            <w:tcBorders>
              <w:top w:val="nil"/>
              <w:left w:val="nil"/>
              <w:bottom w:val="single" w:sz="4" w:space="0" w:color="auto"/>
              <w:right w:val="nil"/>
            </w:tcBorders>
            <w:shd w:val="clear" w:color="auto" w:fill="auto"/>
            <w:noWrap/>
            <w:vAlign w:val="bottom"/>
            <w:hideMark/>
          </w:tcPr>
          <w:p w14:paraId="2DBD1D97" w14:textId="77777777" w:rsidR="00FD721C" w:rsidRPr="00FD721C" w:rsidRDefault="00FD721C" w:rsidP="00FD721C">
            <w:pPr>
              <w:spacing w:before="0" w:after="0" w:line="240" w:lineRule="auto"/>
              <w:rPr>
                <w:rFonts w:ascii="Arial" w:hAnsi="Arial" w:cs="Arial"/>
                <w:b/>
                <w:bCs/>
                <w:color w:val="000000"/>
                <w:sz w:val="16"/>
                <w:szCs w:val="16"/>
              </w:rPr>
            </w:pPr>
            <w:r w:rsidRPr="00FD721C">
              <w:rPr>
                <w:rFonts w:ascii="Arial" w:hAnsi="Arial"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14:paraId="4B24EB1E"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11,167</w:t>
            </w:r>
          </w:p>
        </w:tc>
        <w:tc>
          <w:tcPr>
            <w:tcW w:w="940" w:type="dxa"/>
            <w:tcBorders>
              <w:top w:val="nil"/>
              <w:left w:val="nil"/>
              <w:bottom w:val="single" w:sz="4" w:space="0" w:color="auto"/>
              <w:right w:val="nil"/>
            </w:tcBorders>
            <w:shd w:val="clear" w:color="000000" w:fill="D9D9D9"/>
            <w:noWrap/>
            <w:vAlign w:val="bottom"/>
            <w:hideMark/>
          </w:tcPr>
          <w:p w14:paraId="625CBFC1"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14,128</w:t>
            </w:r>
          </w:p>
        </w:tc>
        <w:tc>
          <w:tcPr>
            <w:tcW w:w="940" w:type="dxa"/>
            <w:tcBorders>
              <w:top w:val="nil"/>
              <w:left w:val="nil"/>
              <w:bottom w:val="single" w:sz="4" w:space="0" w:color="auto"/>
              <w:right w:val="nil"/>
            </w:tcBorders>
            <w:shd w:val="clear" w:color="auto" w:fill="auto"/>
            <w:noWrap/>
            <w:vAlign w:val="bottom"/>
            <w:hideMark/>
          </w:tcPr>
          <w:p w14:paraId="1B35317F"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16,385</w:t>
            </w:r>
          </w:p>
        </w:tc>
        <w:tc>
          <w:tcPr>
            <w:tcW w:w="940" w:type="dxa"/>
            <w:tcBorders>
              <w:top w:val="nil"/>
              <w:left w:val="nil"/>
              <w:bottom w:val="single" w:sz="4" w:space="0" w:color="auto"/>
              <w:right w:val="nil"/>
            </w:tcBorders>
            <w:shd w:val="clear" w:color="auto" w:fill="auto"/>
            <w:noWrap/>
            <w:vAlign w:val="bottom"/>
            <w:hideMark/>
          </w:tcPr>
          <w:p w14:paraId="62B89B91"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16,663</w:t>
            </w:r>
          </w:p>
        </w:tc>
        <w:tc>
          <w:tcPr>
            <w:tcW w:w="940" w:type="dxa"/>
            <w:tcBorders>
              <w:top w:val="nil"/>
              <w:left w:val="nil"/>
              <w:bottom w:val="single" w:sz="4" w:space="0" w:color="auto"/>
              <w:right w:val="nil"/>
            </w:tcBorders>
            <w:shd w:val="clear" w:color="auto" w:fill="auto"/>
            <w:noWrap/>
            <w:vAlign w:val="bottom"/>
            <w:hideMark/>
          </w:tcPr>
          <w:p w14:paraId="5F34FFFC" w14:textId="77777777" w:rsidR="00FD721C" w:rsidRPr="00FD721C" w:rsidRDefault="00FD721C" w:rsidP="00FD721C">
            <w:pPr>
              <w:spacing w:before="0" w:after="0" w:line="240" w:lineRule="auto"/>
              <w:jc w:val="right"/>
              <w:rPr>
                <w:rFonts w:ascii="Arial" w:hAnsi="Arial" w:cs="Arial"/>
                <w:b/>
                <w:bCs/>
                <w:sz w:val="16"/>
                <w:szCs w:val="16"/>
              </w:rPr>
            </w:pPr>
            <w:r w:rsidRPr="00FD721C">
              <w:rPr>
                <w:rFonts w:ascii="Arial" w:hAnsi="Arial" w:cs="Arial"/>
                <w:b/>
                <w:bCs/>
                <w:sz w:val="16"/>
                <w:szCs w:val="16"/>
              </w:rPr>
              <w:t>17,110</w:t>
            </w:r>
          </w:p>
        </w:tc>
      </w:tr>
      <w:tr w:rsidR="00FD721C" w:rsidRPr="00FD721C" w14:paraId="2D11357D" w14:textId="77777777" w:rsidTr="00FD721C">
        <w:trPr>
          <w:trHeight w:val="225"/>
          <w:jc w:val="center"/>
        </w:trPr>
        <w:tc>
          <w:tcPr>
            <w:tcW w:w="3000" w:type="dxa"/>
            <w:tcBorders>
              <w:top w:val="nil"/>
              <w:left w:val="nil"/>
              <w:bottom w:val="single" w:sz="4" w:space="0" w:color="auto"/>
              <w:right w:val="nil"/>
            </w:tcBorders>
            <w:shd w:val="clear" w:color="auto" w:fill="auto"/>
            <w:noWrap/>
            <w:vAlign w:val="bottom"/>
            <w:hideMark/>
          </w:tcPr>
          <w:p w14:paraId="2654D1F8" w14:textId="77777777" w:rsidR="00FD721C" w:rsidRPr="00FD721C" w:rsidRDefault="00FD721C" w:rsidP="00FD721C">
            <w:pPr>
              <w:spacing w:before="0" w:after="0" w:line="240" w:lineRule="auto"/>
              <w:ind w:firstLineChars="100" w:firstLine="160"/>
              <w:rPr>
                <w:rFonts w:ascii="Arial" w:hAnsi="Arial" w:cs="Arial"/>
                <w:sz w:val="16"/>
                <w:szCs w:val="16"/>
              </w:rPr>
            </w:pPr>
            <w:r w:rsidRPr="00FD721C">
              <w:rPr>
                <w:rFonts w:ascii="Arial" w:hAnsi="Arial" w:cs="Arial"/>
                <w:sz w:val="16"/>
                <w:szCs w:val="16"/>
              </w:rPr>
              <w:t> </w:t>
            </w:r>
          </w:p>
        </w:tc>
        <w:tc>
          <w:tcPr>
            <w:tcW w:w="940" w:type="dxa"/>
            <w:tcBorders>
              <w:top w:val="nil"/>
              <w:left w:val="nil"/>
              <w:bottom w:val="single" w:sz="4" w:space="0" w:color="auto"/>
              <w:right w:val="nil"/>
            </w:tcBorders>
            <w:shd w:val="clear" w:color="auto" w:fill="auto"/>
            <w:noWrap/>
            <w:vAlign w:val="bottom"/>
            <w:hideMark/>
          </w:tcPr>
          <w:p w14:paraId="1F07DA3B" w14:textId="77777777" w:rsidR="00FD721C" w:rsidRPr="00FD721C" w:rsidRDefault="00FD721C" w:rsidP="00FD721C">
            <w:pPr>
              <w:spacing w:before="0" w:after="0" w:line="240" w:lineRule="auto"/>
              <w:jc w:val="right"/>
              <w:rPr>
                <w:rFonts w:ascii="Arial" w:hAnsi="Arial" w:cs="Arial"/>
                <w:color w:val="000000"/>
                <w:sz w:val="16"/>
                <w:szCs w:val="16"/>
              </w:rPr>
            </w:pPr>
            <w:r w:rsidRPr="00FD721C">
              <w:rPr>
                <w:rFonts w:ascii="Arial" w:hAnsi="Arial" w:cs="Arial"/>
                <w:color w:val="000000"/>
                <w:sz w:val="16"/>
                <w:szCs w:val="16"/>
              </w:rPr>
              <w:t> </w:t>
            </w:r>
          </w:p>
        </w:tc>
        <w:tc>
          <w:tcPr>
            <w:tcW w:w="940" w:type="dxa"/>
            <w:tcBorders>
              <w:top w:val="nil"/>
              <w:left w:val="nil"/>
              <w:bottom w:val="single" w:sz="4" w:space="0" w:color="auto"/>
              <w:right w:val="nil"/>
            </w:tcBorders>
            <w:shd w:val="clear" w:color="auto" w:fill="auto"/>
            <w:noWrap/>
            <w:vAlign w:val="bottom"/>
            <w:hideMark/>
          </w:tcPr>
          <w:p w14:paraId="0B4BD9AF" w14:textId="77777777" w:rsidR="00FD721C" w:rsidRPr="00FD721C" w:rsidRDefault="00FD721C" w:rsidP="00FD721C">
            <w:pPr>
              <w:spacing w:before="0" w:after="0" w:line="240" w:lineRule="auto"/>
              <w:jc w:val="right"/>
              <w:rPr>
                <w:rFonts w:ascii="Arial" w:hAnsi="Arial" w:cs="Arial"/>
                <w:sz w:val="16"/>
                <w:szCs w:val="16"/>
              </w:rPr>
            </w:pPr>
            <w:r w:rsidRPr="00FD721C">
              <w:rPr>
                <w:rFonts w:ascii="Arial" w:hAnsi="Arial" w:cs="Arial"/>
                <w:sz w:val="16"/>
                <w:szCs w:val="16"/>
              </w:rPr>
              <w:t> </w:t>
            </w:r>
          </w:p>
        </w:tc>
        <w:tc>
          <w:tcPr>
            <w:tcW w:w="940" w:type="dxa"/>
            <w:tcBorders>
              <w:top w:val="nil"/>
              <w:left w:val="nil"/>
              <w:bottom w:val="nil"/>
              <w:right w:val="nil"/>
            </w:tcBorders>
            <w:shd w:val="clear" w:color="auto" w:fill="auto"/>
            <w:noWrap/>
            <w:vAlign w:val="center"/>
            <w:hideMark/>
          </w:tcPr>
          <w:p w14:paraId="77EAD6A7" w14:textId="77777777" w:rsidR="00FD721C" w:rsidRPr="00FD721C" w:rsidRDefault="00FD721C" w:rsidP="00FD721C">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0739BAD5" w14:textId="77777777" w:rsidR="00FD721C" w:rsidRPr="00FD721C" w:rsidRDefault="00FD721C" w:rsidP="00FD721C">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4CC14216" w14:textId="77777777" w:rsidR="00FD721C" w:rsidRPr="00FD721C" w:rsidRDefault="00FD721C" w:rsidP="00FD721C">
            <w:pPr>
              <w:spacing w:before="0" w:after="0" w:line="240" w:lineRule="auto"/>
              <w:rPr>
                <w:rFonts w:ascii="Times New Roman" w:hAnsi="Times New Roman"/>
                <w:sz w:val="20"/>
              </w:rPr>
            </w:pPr>
          </w:p>
        </w:tc>
      </w:tr>
      <w:tr w:rsidR="00FD721C" w:rsidRPr="00FD721C" w14:paraId="195CBBA8" w14:textId="77777777" w:rsidTr="00FD721C">
        <w:trPr>
          <w:trHeight w:val="225"/>
          <w:jc w:val="center"/>
        </w:trPr>
        <w:tc>
          <w:tcPr>
            <w:tcW w:w="3000" w:type="dxa"/>
            <w:tcBorders>
              <w:top w:val="nil"/>
              <w:left w:val="nil"/>
              <w:bottom w:val="nil"/>
              <w:right w:val="nil"/>
            </w:tcBorders>
            <w:shd w:val="clear" w:color="auto" w:fill="auto"/>
            <w:noWrap/>
            <w:vAlign w:val="bottom"/>
            <w:hideMark/>
          </w:tcPr>
          <w:p w14:paraId="083DBAAE" w14:textId="77777777" w:rsidR="00FD721C" w:rsidRPr="00FD721C" w:rsidRDefault="00FD721C" w:rsidP="00FD721C">
            <w:pPr>
              <w:spacing w:before="0" w:after="0" w:line="240" w:lineRule="auto"/>
              <w:rPr>
                <w:rFonts w:ascii="Times New Roman" w:hAnsi="Times New Roman"/>
                <w:sz w:val="20"/>
              </w:rPr>
            </w:pPr>
          </w:p>
        </w:tc>
        <w:tc>
          <w:tcPr>
            <w:tcW w:w="940" w:type="dxa"/>
            <w:tcBorders>
              <w:top w:val="nil"/>
              <w:left w:val="nil"/>
              <w:bottom w:val="single" w:sz="4" w:space="0" w:color="000000"/>
              <w:right w:val="nil"/>
            </w:tcBorders>
            <w:shd w:val="clear" w:color="auto" w:fill="auto"/>
            <w:noWrap/>
            <w:vAlign w:val="bottom"/>
            <w:hideMark/>
          </w:tcPr>
          <w:p w14:paraId="432F5684" w14:textId="17B30D72" w:rsidR="00FD721C" w:rsidRPr="00FD721C" w:rsidRDefault="0026429F" w:rsidP="00FD721C">
            <w:pPr>
              <w:spacing w:before="0" w:after="0" w:line="240" w:lineRule="auto"/>
              <w:jc w:val="right"/>
              <w:rPr>
                <w:rFonts w:ascii="Arial" w:hAnsi="Arial" w:cs="Arial"/>
                <w:b/>
                <w:bCs/>
                <w:sz w:val="16"/>
                <w:szCs w:val="16"/>
              </w:rPr>
            </w:pPr>
            <w:r>
              <w:rPr>
                <w:rFonts w:ascii="Arial" w:hAnsi="Arial" w:cs="Arial"/>
                <w:b/>
                <w:bCs/>
                <w:sz w:val="16"/>
                <w:szCs w:val="16"/>
              </w:rPr>
              <w:t>2022–</w:t>
            </w:r>
            <w:r w:rsidR="00FD721C" w:rsidRPr="00FD721C">
              <w:rPr>
                <w:rFonts w:ascii="Arial" w:hAnsi="Arial" w:cs="Arial"/>
                <w:b/>
                <w:bCs/>
                <w:sz w:val="16"/>
                <w:szCs w:val="16"/>
              </w:rPr>
              <w:t>23</w:t>
            </w:r>
          </w:p>
        </w:tc>
        <w:tc>
          <w:tcPr>
            <w:tcW w:w="940" w:type="dxa"/>
            <w:tcBorders>
              <w:top w:val="nil"/>
              <w:left w:val="nil"/>
              <w:bottom w:val="single" w:sz="4" w:space="0" w:color="000000"/>
              <w:right w:val="nil"/>
            </w:tcBorders>
            <w:shd w:val="clear" w:color="000000" w:fill="D9D9D9"/>
            <w:noWrap/>
            <w:vAlign w:val="bottom"/>
            <w:hideMark/>
          </w:tcPr>
          <w:p w14:paraId="0A16CD5D" w14:textId="229256D9" w:rsidR="00FD721C" w:rsidRPr="00FD721C" w:rsidRDefault="0026429F" w:rsidP="00FD721C">
            <w:pPr>
              <w:spacing w:before="0" w:after="0" w:line="240" w:lineRule="auto"/>
              <w:jc w:val="right"/>
              <w:rPr>
                <w:rFonts w:ascii="Arial" w:hAnsi="Arial" w:cs="Arial"/>
                <w:b/>
                <w:bCs/>
                <w:sz w:val="16"/>
                <w:szCs w:val="16"/>
              </w:rPr>
            </w:pPr>
            <w:r>
              <w:rPr>
                <w:rFonts w:ascii="Arial" w:hAnsi="Arial" w:cs="Arial"/>
                <w:b/>
                <w:bCs/>
                <w:sz w:val="16"/>
                <w:szCs w:val="16"/>
              </w:rPr>
              <w:t>2023–</w:t>
            </w:r>
            <w:r w:rsidR="00FD721C" w:rsidRPr="00FD721C">
              <w:rPr>
                <w:rFonts w:ascii="Arial" w:hAnsi="Arial" w:cs="Arial"/>
                <w:b/>
                <w:bCs/>
                <w:sz w:val="16"/>
                <w:szCs w:val="16"/>
              </w:rPr>
              <w:t>24</w:t>
            </w:r>
          </w:p>
        </w:tc>
        <w:tc>
          <w:tcPr>
            <w:tcW w:w="940" w:type="dxa"/>
            <w:tcBorders>
              <w:top w:val="nil"/>
              <w:left w:val="nil"/>
              <w:bottom w:val="nil"/>
              <w:right w:val="nil"/>
            </w:tcBorders>
            <w:shd w:val="clear" w:color="auto" w:fill="auto"/>
            <w:noWrap/>
            <w:vAlign w:val="center"/>
            <w:hideMark/>
          </w:tcPr>
          <w:p w14:paraId="27D1203C" w14:textId="77777777" w:rsidR="00FD721C" w:rsidRPr="00FD721C" w:rsidRDefault="00FD721C" w:rsidP="00FD721C">
            <w:pPr>
              <w:spacing w:before="0"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14:paraId="1CCE6129" w14:textId="77777777" w:rsidR="00FD721C" w:rsidRPr="00FD721C" w:rsidRDefault="00FD721C" w:rsidP="00FD721C">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347220AF" w14:textId="77777777" w:rsidR="00FD721C" w:rsidRPr="00FD721C" w:rsidRDefault="00FD721C" w:rsidP="00FD721C">
            <w:pPr>
              <w:spacing w:before="0" w:after="0" w:line="240" w:lineRule="auto"/>
              <w:rPr>
                <w:rFonts w:ascii="Times New Roman" w:hAnsi="Times New Roman"/>
                <w:sz w:val="20"/>
              </w:rPr>
            </w:pPr>
          </w:p>
        </w:tc>
      </w:tr>
      <w:tr w:rsidR="00FD721C" w:rsidRPr="00FD721C" w14:paraId="11F92E41" w14:textId="77777777" w:rsidTr="00FD721C">
        <w:trPr>
          <w:trHeight w:val="225"/>
          <w:jc w:val="center"/>
        </w:trPr>
        <w:tc>
          <w:tcPr>
            <w:tcW w:w="3000" w:type="dxa"/>
            <w:tcBorders>
              <w:top w:val="nil"/>
              <w:left w:val="nil"/>
              <w:bottom w:val="single" w:sz="4" w:space="0" w:color="auto"/>
              <w:right w:val="nil"/>
            </w:tcBorders>
            <w:shd w:val="clear" w:color="auto" w:fill="auto"/>
            <w:noWrap/>
            <w:vAlign w:val="bottom"/>
            <w:hideMark/>
          </w:tcPr>
          <w:p w14:paraId="1597ECF5" w14:textId="77777777" w:rsidR="00FD721C" w:rsidRPr="00FD721C" w:rsidRDefault="00FD721C" w:rsidP="00FD721C">
            <w:pPr>
              <w:spacing w:before="0" w:after="0" w:line="240" w:lineRule="auto"/>
              <w:rPr>
                <w:rFonts w:ascii="Arial" w:hAnsi="Arial" w:cs="Arial"/>
                <w:b/>
                <w:bCs/>
                <w:color w:val="000000"/>
                <w:sz w:val="16"/>
                <w:szCs w:val="16"/>
              </w:rPr>
            </w:pPr>
            <w:r w:rsidRPr="00FD721C">
              <w:rPr>
                <w:rFonts w:ascii="Arial" w:hAnsi="Arial" w:cs="Arial"/>
                <w:b/>
                <w:bCs/>
                <w:color w:val="000000"/>
                <w:sz w:val="16"/>
                <w:szCs w:val="16"/>
              </w:rPr>
              <w:t xml:space="preserve">Average </w:t>
            </w:r>
            <w:r w:rsidRPr="00FD721C">
              <w:rPr>
                <w:rFonts w:ascii="Arial" w:hAnsi="Arial" w:cs="Arial"/>
                <w:b/>
                <w:bCs/>
                <w:sz w:val="16"/>
                <w:szCs w:val="16"/>
              </w:rPr>
              <w:t>s</w:t>
            </w:r>
            <w:r w:rsidRPr="00FD721C">
              <w:rPr>
                <w:rFonts w:ascii="Arial" w:hAnsi="Arial" w:cs="Arial"/>
                <w:b/>
                <w:bCs/>
                <w:color w:val="000000"/>
                <w:sz w:val="16"/>
                <w:szCs w:val="16"/>
              </w:rPr>
              <w:t xml:space="preserve">taffing </w:t>
            </w:r>
            <w:r w:rsidRPr="00FD721C">
              <w:rPr>
                <w:rFonts w:ascii="Arial" w:hAnsi="Arial" w:cs="Arial"/>
                <w:b/>
                <w:bCs/>
                <w:sz w:val="16"/>
                <w:szCs w:val="16"/>
              </w:rPr>
              <w:t>l</w:t>
            </w:r>
            <w:r w:rsidRPr="00FD721C">
              <w:rPr>
                <w:rFonts w:ascii="Arial" w:hAnsi="Arial" w:cs="Arial"/>
                <w:b/>
                <w:bCs/>
                <w:color w:val="000000"/>
                <w:sz w:val="16"/>
                <w:szCs w:val="16"/>
              </w:rPr>
              <w:t>evel (number)</w:t>
            </w:r>
          </w:p>
        </w:tc>
        <w:tc>
          <w:tcPr>
            <w:tcW w:w="940" w:type="dxa"/>
            <w:tcBorders>
              <w:top w:val="nil"/>
              <w:left w:val="nil"/>
              <w:bottom w:val="single" w:sz="4" w:space="0" w:color="auto"/>
              <w:right w:val="nil"/>
            </w:tcBorders>
            <w:shd w:val="clear" w:color="auto" w:fill="auto"/>
            <w:noWrap/>
            <w:vAlign w:val="bottom"/>
            <w:hideMark/>
          </w:tcPr>
          <w:p w14:paraId="006A2D14" w14:textId="77777777" w:rsidR="00FD721C" w:rsidRPr="00FD721C" w:rsidRDefault="00FD721C" w:rsidP="00FD721C">
            <w:pPr>
              <w:spacing w:before="0" w:after="0" w:line="240" w:lineRule="auto"/>
              <w:jc w:val="right"/>
              <w:rPr>
                <w:rFonts w:ascii="Arial" w:hAnsi="Arial" w:cs="Arial"/>
                <w:color w:val="000000"/>
                <w:sz w:val="16"/>
                <w:szCs w:val="16"/>
              </w:rPr>
            </w:pPr>
            <w:r w:rsidRPr="00FD721C">
              <w:rPr>
                <w:rFonts w:ascii="Arial" w:hAnsi="Arial" w:cs="Arial"/>
                <w:color w:val="000000"/>
                <w:sz w:val="16"/>
                <w:szCs w:val="16"/>
              </w:rPr>
              <w:t>31</w:t>
            </w:r>
          </w:p>
        </w:tc>
        <w:tc>
          <w:tcPr>
            <w:tcW w:w="940" w:type="dxa"/>
            <w:tcBorders>
              <w:top w:val="nil"/>
              <w:left w:val="nil"/>
              <w:bottom w:val="single" w:sz="4" w:space="0" w:color="auto"/>
              <w:right w:val="nil"/>
            </w:tcBorders>
            <w:shd w:val="clear" w:color="000000" w:fill="D9D9D9"/>
            <w:noWrap/>
            <w:vAlign w:val="bottom"/>
            <w:hideMark/>
          </w:tcPr>
          <w:p w14:paraId="045002FB" w14:textId="77777777" w:rsidR="00FD721C" w:rsidRPr="00FD721C" w:rsidRDefault="00FD721C" w:rsidP="00FD721C">
            <w:pPr>
              <w:spacing w:before="0" w:after="0" w:line="240" w:lineRule="auto"/>
              <w:jc w:val="right"/>
              <w:rPr>
                <w:rFonts w:ascii="Arial" w:hAnsi="Arial" w:cs="Arial"/>
                <w:color w:val="000000"/>
                <w:sz w:val="16"/>
                <w:szCs w:val="16"/>
              </w:rPr>
            </w:pPr>
            <w:r w:rsidRPr="00FD721C">
              <w:rPr>
                <w:rFonts w:ascii="Arial" w:hAnsi="Arial" w:cs="Arial"/>
                <w:color w:val="000000"/>
                <w:sz w:val="16"/>
                <w:szCs w:val="16"/>
              </w:rPr>
              <w:t>33</w:t>
            </w:r>
          </w:p>
        </w:tc>
        <w:tc>
          <w:tcPr>
            <w:tcW w:w="940" w:type="dxa"/>
            <w:tcBorders>
              <w:top w:val="nil"/>
              <w:left w:val="nil"/>
              <w:bottom w:val="nil"/>
              <w:right w:val="nil"/>
            </w:tcBorders>
            <w:shd w:val="clear" w:color="auto" w:fill="auto"/>
            <w:noWrap/>
            <w:vAlign w:val="center"/>
            <w:hideMark/>
          </w:tcPr>
          <w:p w14:paraId="0C8EF8D5" w14:textId="77777777" w:rsidR="00FD721C" w:rsidRPr="00FD721C" w:rsidRDefault="00FD721C" w:rsidP="00FD721C">
            <w:pPr>
              <w:spacing w:before="0"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14:paraId="63ECB157" w14:textId="77777777" w:rsidR="00FD721C" w:rsidRPr="00FD721C" w:rsidRDefault="00FD721C" w:rsidP="00FD721C">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0A5C4CC1" w14:textId="77777777" w:rsidR="00FD721C" w:rsidRPr="00FD721C" w:rsidRDefault="00FD721C" w:rsidP="00FD721C">
            <w:pPr>
              <w:spacing w:before="0" w:after="0" w:line="240" w:lineRule="auto"/>
              <w:rPr>
                <w:rFonts w:ascii="Times New Roman" w:hAnsi="Times New Roman"/>
                <w:sz w:val="20"/>
              </w:rPr>
            </w:pPr>
          </w:p>
        </w:tc>
      </w:tr>
    </w:tbl>
    <w:p w14:paraId="5874FB18" w14:textId="38507632" w:rsidR="00255841" w:rsidRPr="00255841" w:rsidRDefault="00255841" w:rsidP="00255841">
      <w:pPr>
        <w:pStyle w:val="FootnoteText"/>
        <w:spacing w:before="120"/>
      </w:pPr>
      <w:r w:rsidRPr="00255841">
        <w:rPr>
          <w:vertAlign w:val="superscript"/>
        </w:rPr>
        <w:t>(a)</w:t>
      </w:r>
      <w:r w:rsidRPr="00255841">
        <w:tab/>
        <w:t>Departmental appropriation combines 'Ordinary annual services (Appropriation Bill (No. 1</w:t>
      </w:r>
      <w:r>
        <w:t>)</w:t>
      </w:r>
      <w:r w:rsidRPr="00255841">
        <w:t>)' and 'Revenue from independent sources (s74)'.</w:t>
      </w:r>
    </w:p>
    <w:p w14:paraId="4F6289EF" w14:textId="51C3D531" w:rsidR="00FD721C" w:rsidRDefault="00255841" w:rsidP="00255841">
      <w:pPr>
        <w:pStyle w:val="FootnoteText"/>
      </w:pPr>
      <w:r w:rsidRPr="00255841">
        <w:rPr>
          <w:vertAlign w:val="superscript"/>
        </w:rPr>
        <w:t>(b)</w:t>
      </w:r>
      <w:r w:rsidRPr="00255841">
        <w:tab/>
        <w:t xml:space="preserve">Expenses not requiring appropriation in the Budget year are made up of depreciation expense, amortisation expense, makegood expense and audit fees.  </w:t>
      </w:r>
    </w:p>
    <w:p w14:paraId="2B2FACA3" w14:textId="77777777" w:rsidR="00255841" w:rsidRDefault="00255841" w:rsidP="008C73CD">
      <w:pPr>
        <w:spacing w:after="0" w:line="240" w:lineRule="auto"/>
        <w:rPr>
          <w:rFonts w:ascii="Arial" w:hAnsi="Arial"/>
          <w:b/>
          <w:bCs/>
          <w:iCs/>
          <w:szCs w:val="26"/>
          <w:lang w:val="x-none"/>
        </w:rPr>
      </w:pPr>
    </w:p>
    <w:p w14:paraId="23CD9ADB" w14:textId="45C83A7F" w:rsidR="008C73CD" w:rsidRPr="009F6003" w:rsidRDefault="008C73CD" w:rsidP="008C73CD">
      <w:pPr>
        <w:pStyle w:val="Heading5"/>
        <w:rPr>
          <w:b/>
          <w:i w:val="0"/>
        </w:rPr>
      </w:pPr>
      <w:r w:rsidRPr="009F6003">
        <w:rPr>
          <w:b/>
          <w:i w:val="0"/>
        </w:rPr>
        <w:t>Performance measure f</w:t>
      </w:r>
      <w:r w:rsidR="006A45F7" w:rsidRPr="009F6003">
        <w:rPr>
          <w:b/>
          <w:i w:val="0"/>
        </w:rPr>
        <w:t xml:space="preserve">or </w:t>
      </w:r>
      <w:r w:rsidR="00B6537D">
        <w:rPr>
          <w:b/>
          <w:i w:val="0"/>
        </w:rPr>
        <w:t>the PSR</w:t>
      </w:r>
    </w:p>
    <w:p w14:paraId="0D9CC1B9" w14:textId="43D48640" w:rsidR="008C73CD" w:rsidRPr="00A174F3" w:rsidRDefault="006A45F7" w:rsidP="00A174F3">
      <w:pPr>
        <w:autoSpaceDE w:val="0"/>
        <w:autoSpaceDN w:val="0"/>
        <w:adjustRightInd w:val="0"/>
        <w:spacing w:before="0" w:after="0" w:line="240" w:lineRule="auto"/>
        <w:rPr>
          <w:sz w:val="20"/>
        </w:rPr>
      </w:pPr>
      <w:r w:rsidRPr="009F6003">
        <w:rPr>
          <w:rFonts w:cs="BookAntiqua"/>
          <w:sz w:val="20"/>
        </w:rPr>
        <w:t xml:space="preserve">There have been no changes to performance information for the PSR since the </w:t>
      </w:r>
      <w:r w:rsidR="001B647E">
        <w:rPr>
          <w:rFonts w:cs="BookAntiqua"/>
          <w:sz w:val="20"/>
        </w:rPr>
        <w:br/>
      </w:r>
      <w:r w:rsidRPr="009F6003">
        <w:rPr>
          <w:rFonts w:cs="BookAntiqua"/>
          <w:sz w:val="20"/>
        </w:rPr>
        <w:t>2023–24</w:t>
      </w:r>
      <w:r w:rsidR="001B647E">
        <w:rPr>
          <w:rFonts w:cs="BookAntiqua"/>
          <w:sz w:val="20"/>
        </w:rPr>
        <w:t> </w:t>
      </w:r>
      <w:r w:rsidRPr="009F6003">
        <w:rPr>
          <w:rFonts w:cs="BookAntiqua"/>
          <w:sz w:val="20"/>
        </w:rPr>
        <w:t xml:space="preserve">Budget which require new </w:t>
      </w:r>
      <w:r w:rsidR="00E7637B">
        <w:rPr>
          <w:rFonts w:cs="BookAntiqua"/>
          <w:sz w:val="20"/>
        </w:rPr>
        <w:t xml:space="preserve">or modified performance </w:t>
      </w:r>
      <w:r w:rsidR="00E7637B" w:rsidRPr="00A76841">
        <w:rPr>
          <w:rFonts w:cs="BookAntiqua"/>
          <w:sz w:val="20"/>
        </w:rPr>
        <w:t>measures</w:t>
      </w:r>
      <w:r w:rsidRPr="009F6003">
        <w:rPr>
          <w:rFonts w:cs="BookAntiqua"/>
          <w:sz w:val="20"/>
        </w:rPr>
        <w:t xml:space="preserve">. Refer page 428 of the </w:t>
      </w:r>
      <w:r w:rsidRPr="009F6003">
        <w:rPr>
          <w:rFonts w:cs="BookAntiqua-Italic"/>
          <w:i/>
          <w:iCs/>
          <w:sz w:val="20"/>
        </w:rPr>
        <w:t>Health</w:t>
      </w:r>
      <w:r w:rsidR="001B647E">
        <w:rPr>
          <w:rFonts w:cs="BookAntiqua-Italic"/>
          <w:i/>
          <w:iCs/>
          <w:sz w:val="20"/>
        </w:rPr>
        <w:t xml:space="preserve"> and Aged Care</w:t>
      </w:r>
      <w:r w:rsidRPr="009F6003">
        <w:rPr>
          <w:rFonts w:cs="BookAntiqua-Italic"/>
          <w:i/>
          <w:iCs/>
          <w:sz w:val="20"/>
        </w:rPr>
        <w:t xml:space="preserve"> Portfolio Budget Statements 2023–24 </w:t>
      </w:r>
      <w:r w:rsidRPr="009F6003">
        <w:rPr>
          <w:rFonts w:cs="BookAntiqua"/>
          <w:sz w:val="20"/>
        </w:rPr>
        <w:t>for current performance information.</w:t>
      </w:r>
      <w:r w:rsidR="00E7637B">
        <w:rPr>
          <w:rFonts w:cs="BookAntiqua"/>
          <w:sz w:val="20"/>
        </w:rPr>
        <w:t xml:space="preserve"> </w:t>
      </w:r>
    </w:p>
    <w:p w14:paraId="51C094D9" w14:textId="1413D505" w:rsidR="008C73CD" w:rsidRPr="00E41681" w:rsidRDefault="008C73CD" w:rsidP="008C73CD">
      <w:pPr>
        <w:pStyle w:val="Heading2-TOC"/>
      </w:pPr>
      <w:r>
        <w:rPr>
          <w:lang w:val="en-GB"/>
        </w:rPr>
        <w:br w:type="page"/>
      </w:r>
      <w:r w:rsidR="00F552F6">
        <w:fldChar w:fldCharType="begin"/>
      </w:r>
      <w:r w:rsidR="00F552F6">
        <w:instrText xml:space="preserve"> </w:instrText>
      </w:r>
      <w:proofErr w:type="gramStart"/>
      <w:r w:rsidR="00F552F6">
        <w:instrText>TC  "</w:instrText>
      </w:r>
      <w:bookmarkStart w:id="554" w:name="_Toc157520618"/>
      <w:proofErr w:type="gramEnd"/>
      <w:r w:rsidR="00F552F6">
        <w:instrText>Section 3: Special account flows and budgeted financial statements</w:instrText>
      </w:r>
      <w:bookmarkEnd w:id="554"/>
      <w:r w:rsidR="00F552F6">
        <w:instrText xml:space="preserve">" \f </w:instrText>
      </w:r>
      <w:proofErr w:type="spellStart"/>
      <w:r w:rsidR="00F552F6">
        <w:instrText>psr</w:instrText>
      </w:r>
      <w:proofErr w:type="spellEnd"/>
      <w:r w:rsidR="00F552F6">
        <w:instrText xml:space="preserve"> \l 1 </w:instrText>
      </w:r>
      <w:r w:rsidR="00F552F6">
        <w:fldChar w:fldCharType="end"/>
      </w:r>
      <w:bookmarkStart w:id="555" w:name="_Toc157592042"/>
      <w:bookmarkStart w:id="556" w:name="_Toc157592225"/>
      <w:r w:rsidRPr="00E41681">
        <w:t>Section 3: Special account flows and budgeted financial statements</w:t>
      </w:r>
      <w:bookmarkEnd w:id="555"/>
      <w:bookmarkEnd w:id="556"/>
    </w:p>
    <w:p w14:paraId="641B1CFA" w14:textId="52EB14C8" w:rsidR="008C73CD" w:rsidRPr="004D3E2B" w:rsidRDefault="00F552F6" w:rsidP="008C73CD">
      <w:pPr>
        <w:pStyle w:val="Heading3"/>
      </w:pPr>
      <w:r>
        <w:fldChar w:fldCharType="begin"/>
      </w:r>
      <w:r>
        <w:instrText xml:space="preserve"> </w:instrText>
      </w:r>
      <w:proofErr w:type="gramStart"/>
      <w:r>
        <w:instrText>TC  "</w:instrText>
      </w:r>
      <w:bookmarkStart w:id="557" w:name="_Toc157520619"/>
      <w:proofErr w:type="gramEnd"/>
      <w:r>
        <w:instrText>3.1</w:instrText>
      </w:r>
      <w:r>
        <w:tab/>
        <w:instrText>Special account flows and balances</w:instrText>
      </w:r>
      <w:bookmarkEnd w:id="557"/>
      <w:r>
        <w:instrText xml:space="preserve">" \f </w:instrText>
      </w:r>
      <w:proofErr w:type="spellStart"/>
      <w:r>
        <w:instrText>psr</w:instrText>
      </w:r>
      <w:proofErr w:type="spellEnd"/>
      <w:r>
        <w:instrText xml:space="preserve"> \l 2 </w:instrText>
      </w:r>
      <w:r>
        <w:fldChar w:fldCharType="end"/>
      </w:r>
      <w:bookmarkStart w:id="558" w:name="_Toc157592043"/>
      <w:bookmarkStart w:id="559" w:name="_Toc157592226"/>
      <w:r w:rsidR="008C73CD" w:rsidRPr="004D3E2B">
        <w:t>3.1</w:t>
      </w:r>
      <w:r w:rsidR="008C73CD" w:rsidRPr="004D3E2B">
        <w:tab/>
        <w:t>Special account flows</w:t>
      </w:r>
      <w:r w:rsidR="008C73CD">
        <w:t xml:space="preserve"> and balances</w:t>
      </w:r>
      <w:bookmarkEnd w:id="558"/>
      <w:bookmarkEnd w:id="559"/>
    </w:p>
    <w:p w14:paraId="7F337BFB" w14:textId="77777777" w:rsidR="008C73CD" w:rsidRDefault="008C73CD" w:rsidP="008C73CD">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796AD965" w14:textId="5B910546" w:rsidR="008C73CD" w:rsidRDefault="006A45F7" w:rsidP="006A45F7">
      <w:pPr>
        <w:pStyle w:val="Heading3"/>
      </w:pPr>
      <w:bookmarkStart w:id="560" w:name="_Toc157592044"/>
      <w:bookmarkStart w:id="561" w:name="_Toc157592227"/>
      <w:r w:rsidRPr="006A45F7">
        <w:rPr>
          <w:rFonts w:ascii="Book Antiqua" w:hAnsi="Book Antiqua"/>
          <w:b w:val="0"/>
          <w:sz w:val="20"/>
        </w:rPr>
        <w:t xml:space="preserve">Table 3.1 is not applicable to the </w:t>
      </w:r>
      <w:r>
        <w:rPr>
          <w:rFonts w:ascii="Book Antiqua" w:hAnsi="Book Antiqua"/>
          <w:b w:val="0"/>
          <w:sz w:val="20"/>
        </w:rPr>
        <w:t>PSR</w:t>
      </w:r>
      <w:r w:rsidRPr="006A45F7">
        <w:rPr>
          <w:rFonts w:ascii="Book Antiqua" w:hAnsi="Book Antiqua"/>
          <w:b w:val="0"/>
          <w:sz w:val="20"/>
        </w:rPr>
        <w:t xml:space="preserve"> in 202</w:t>
      </w:r>
      <w:r>
        <w:rPr>
          <w:rFonts w:ascii="Book Antiqua" w:hAnsi="Book Antiqua"/>
          <w:b w:val="0"/>
          <w:sz w:val="20"/>
        </w:rPr>
        <w:t>3–24</w:t>
      </w:r>
      <w:r w:rsidRPr="006A45F7">
        <w:rPr>
          <w:rFonts w:ascii="Book Antiqua" w:hAnsi="Book Antiqua"/>
          <w:b w:val="0"/>
          <w:sz w:val="20"/>
        </w:rPr>
        <w:t xml:space="preserve"> as it</w:t>
      </w:r>
      <w:r>
        <w:rPr>
          <w:rFonts w:ascii="Book Antiqua" w:hAnsi="Book Antiqua"/>
          <w:b w:val="0"/>
          <w:sz w:val="20"/>
        </w:rPr>
        <w:t xml:space="preserve"> </w:t>
      </w:r>
      <w:r w:rsidRPr="006A45F7">
        <w:rPr>
          <w:rFonts w:ascii="Book Antiqua" w:hAnsi="Book Antiqua"/>
          <w:b w:val="0"/>
          <w:sz w:val="20"/>
        </w:rPr>
        <w:t>does not manage any special accounts.</w:t>
      </w:r>
      <w:bookmarkEnd w:id="560"/>
      <w:bookmarkEnd w:id="561"/>
    </w:p>
    <w:p w14:paraId="1322EAEF" w14:textId="448C2AC1" w:rsidR="008C73CD" w:rsidRDefault="00F552F6" w:rsidP="006A45F7">
      <w:pPr>
        <w:pStyle w:val="Heading3"/>
        <w:spacing w:before="240"/>
      </w:pPr>
      <w:r>
        <w:fldChar w:fldCharType="begin"/>
      </w:r>
      <w:r>
        <w:instrText xml:space="preserve"> </w:instrText>
      </w:r>
      <w:proofErr w:type="gramStart"/>
      <w:r>
        <w:instrText>TC  "</w:instrText>
      </w:r>
      <w:bookmarkStart w:id="562" w:name="_Toc157520620"/>
      <w:proofErr w:type="gramEnd"/>
      <w:r>
        <w:instrText>3.2</w:instrText>
      </w:r>
      <w:r>
        <w:tab/>
        <w:instrText>Budgeted financial statements</w:instrText>
      </w:r>
      <w:bookmarkEnd w:id="562"/>
      <w:r>
        <w:instrText xml:space="preserve">" \f </w:instrText>
      </w:r>
      <w:proofErr w:type="spellStart"/>
      <w:r>
        <w:instrText>psr</w:instrText>
      </w:r>
      <w:proofErr w:type="spellEnd"/>
      <w:r>
        <w:instrText xml:space="preserve"> \l 2 </w:instrText>
      </w:r>
      <w:r>
        <w:fldChar w:fldCharType="end"/>
      </w:r>
      <w:bookmarkStart w:id="563" w:name="_Toc157592045"/>
      <w:bookmarkStart w:id="564" w:name="_Toc157592228"/>
      <w:r w:rsidR="008C73CD" w:rsidRPr="005554F9">
        <w:t>3.2</w:t>
      </w:r>
      <w:r w:rsidR="008C73CD">
        <w:tab/>
        <w:t>Budgeted financial statements</w:t>
      </w:r>
      <w:bookmarkEnd w:id="563"/>
      <w:bookmarkEnd w:id="564"/>
    </w:p>
    <w:p w14:paraId="3D9B9463" w14:textId="77777777" w:rsidR="008C73CD" w:rsidRPr="004928FF" w:rsidRDefault="008C73CD" w:rsidP="008C73CD">
      <w:pPr>
        <w:pStyle w:val="Heading4"/>
      </w:pPr>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p>
    <w:p w14:paraId="25871F17" w14:textId="77777777" w:rsidR="00FC209E" w:rsidRPr="008B08DB" w:rsidRDefault="00FC209E" w:rsidP="00FC209E">
      <w:pPr>
        <w:pStyle w:val="Heading5"/>
        <w:spacing w:before="120"/>
        <w:rPr>
          <w:rFonts w:cs="Arial"/>
          <w:b/>
          <w:i w:val="0"/>
          <w:sz w:val="22"/>
          <w:szCs w:val="20"/>
        </w:rPr>
      </w:pPr>
      <w:r w:rsidRPr="008B08DB">
        <w:rPr>
          <w:rFonts w:cs="Arial"/>
          <w:b/>
          <w:i w:val="0"/>
          <w:sz w:val="22"/>
          <w:szCs w:val="20"/>
        </w:rPr>
        <w:t>Departmental resources</w:t>
      </w:r>
    </w:p>
    <w:p w14:paraId="4BC08E72" w14:textId="77777777" w:rsidR="00FC209E" w:rsidRPr="008B08DB" w:rsidRDefault="00FC209E" w:rsidP="00FC209E">
      <w:pPr>
        <w:pStyle w:val="Heading6"/>
        <w:spacing w:before="120"/>
        <w:rPr>
          <w:rFonts w:cs="Arial"/>
          <w:b/>
          <w:szCs w:val="20"/>
        </w:rPr>
      </w:pPr>
      <w:r w:rsidRPr="008B08DB">
        <w:rPr>
          <w:rFonts w:cs="Arial"/>
          <w:b/>
          <w:szCs w:val="20"/>
        </w:rPr>
        <w:t>Comprehensive Income Statement</w:t>
      </w:r>
    </w:p>
    <w:p w14:paraId="35258421" w14:textId="77777777" w:rsidR="00FC209E" w:rsidRPr="00FC209E" w:rsidRDefault="00FC209E" w:rsidP="00FC209E">
      <w:pPr>
        <w:spacing w:before="120" w:after="120" w:line="276" w:lineRule="auto"/>
        <w:rPr>
          <w:sz w:val="20"/>
        </w:rPr>
      </w:pPr>
      <w:r w:rsidRPr="00FC209E">
        <w:rPr>
          <w:sz w:val="20"/>
        </w:rPr>
        <w:t>The PSR is anticipating a break-even position for the Budget and forward years. The Budget year and forward years have been adjusted for unfunded depreciation and amortisation expenses.</w:t>
      </w:r>
    </w:p>
    <w:p w14:paraId="7B4AC239" w14:textId="77777777" w:rsidR="00FC209E" w:rsidRPr="008B08DB" w:rsidRDefault="00FC209E" w:rsidP="00FC209E">
      <w:pPr>
        <w:pStyle w:val="Heading6"/>
        <w:spacing w:before="120"/>
        <w:rPr>
          <w:rFonts w:cs="Arial"/>
          <w:b/>
          <w:szCs w:val="20"/>
        </w:rPr>
      </w:pPr>
      <w:r w:rsidRPr="008B08DB">
        <w:rPr>
          <w:rFonts w:cs="Arial"/>
          <w:b/>
          <w:szCs w:val="20"/>
        </w:rPr>
        <w:t>Balance Sheet</w:t>
      </w:r>
    </w:p>
    <w:p w14:paraId="14987156" w14:textId="39CA07AC" w:rsidR="006F485B" w:rsidRDefault="00FC209E" w:rsidP="00FC209E">
      <w:pPr>
        <w:spacing w:before="120" w:after="120" w:line="276" w:lineRule="auto"/>
        <w:rPr>
          <w:sz w:val="20"/>
        </w:rPr>
      </w:pPr>
      <w:r w:rsidRPr="00FC209E">
        <w:rPr>
          <w:sz w:val="20"/>
        </w:rPr>
        <w:t xml:space="preserve">The PSR’s net assets are expected to remain relatively stable over the forward years. </w:t>
      </w:r>
    </w:p>
    <w:p w14:paraId="0263597B" w14:textId="60E21E52" w:rsidR="00766BBC" w:rsidRPr="00FC209E" w:rsidRDefault="006F485B" w:rsidP="006F485B">
      <w:pPr>
        <w:spacing w:before="0" w:after="0" w:line="240" w:lineRule="auto"/>
        <w:rPr>
          <w:sz w:val="20"/>
        </w:rPr>
      </w:pPr>
      <w:r>
        <w:rPr>
          <w:sz w:val="20"/>
        </w:rPr>
        <w:br w:type="page"/>
      </w:r>
    </w:p>
    <w:p w14:paraId="37409BC7" w14:textId="77777777" w:rsidR="008C73CD" w:rsidRPr="004928FF" w:rsidRDefault="008C73CD" w:rsidP="008C73CD">
      <w:pPr>
        <w:pStyle w:val="Heading4"/>
      </w:pPr>
      <w:r w:rsidRPr="00EC73D1">
        <w:t>3.2.2</w:t>
      </w:r>
      <w:r>
        <w:tab/>
      </w:r>
      <w:r w:rsidRPr="004928FF">
        <w:t xml:space="preserve">Budgeted </w:t>
      </w:r>
      <w:r>
        <w:t>f</w:t>
      </w:r>
      <w:r w:rsidRPr="004928FF">
        <w:t xml:space="preserve">inancial </w:t>
      </w:r>
      <w:r>
        <w:t>s</w:t>
      </w:r>
      <w:r w:rsidRPr="004928FF">
        <w:t>tatements</w:t>
      </w:r>
    </w:p>
    <w:p w14:paraId="44A4E939" w14:textId="77777777" w:rsidR="008C73CD" w:rsidRDefault="008C73CD" w:rsidP="008C73CD">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711" w:type="dxa"/>
        <w:jc w:val="center"/>
        <w:tblLayout w:type="fixed"/>
        <w:tblLook w:val="04A0" w:firstRow="1" w:lastRow="0" w:firstColumn="1" w:lastColumn="0" w:noHBand="0" w:noVBand="1"/>
      </w:tblPr>
      <w:tblGrid>
        <w:gridCol w:w="2945"/>
        <w:gridCol w:w="51"/>
        <w:gridCol w:w="912"/>
        <w:gridCol w:w="28"/>
        <w:gridCol w:w="940"/>
        <w:gridCol w:w="940"/>
        <w:gridCol w:w="24"/>
        <w:gridCol w:w="916"/>
        <w:gridCol w:w="48"/>
        <w:gridCol w:w="892"/>
        <w:gridCol w:w="15"/>
      </w:tblGrid>
      <w:tr w:rsidR="00D27302" w:rsidRPr="002943D2" w14:paraId="5455E009" w14:textId="77777777" w:rsidTr="00257ACF">
        <w:trPr>
          <w:trHeight w:val="737"/>
          <w:jc w:val="center"/>
        </w:trPr>
        <w:tc>
          <w:tcPr>
            <w:tcW w:w="2945" w:type="dxa"/>
            <w:tcBorders>
              <w:top w:val="single" w:sz="4" w:space="0" w:color="auto"/>
              <w:left w:val="nil"/>
              <w:bottom w:val="nil"/>
              <w:right w:val="nil"/>
            </w:tcBorders>
            <w:shd w:val="clear" w:color="auto" w:fill="auto"/>
            <w:hideMark/>
          </w:tcPr>
          <w:p w14:paraId="059417F0" w14:textId="667C8CA7" w:rsidR="00D27302" w:rsidRPr="002943D2" w:rsidRDefault="00D27302" w:rsidP="00257ACF">
            <w:pPr>
              <w:spacing w:before="24" w:after="0" w:line="240" w:lineRule="auto"/>
              <w:jc w:val="right"/>
              <w:rPr>
                <w:rFonts w:ascii="Arial" w:hAnsi="Arial" w:cs="Arial"/>
                <w:b/>
                <w:bCs/>
                <w:sz w:val="16"/>
                <w:szCs w:val="16"/>
              </w:rPr>
            </w:pPr>
            <w:r>
              <w:rPr>
                <w:rFonts w:ascii="Arial" w:hAnsi="Arial" w:cs="Arial"/>
                <w:b/>
                <w:bCs/>
                <w:sz w:val="16"/>
                <w:szCs w:val="16"/>
              </w:rPr>
              <w:t> </w:t>
            </w:r>
          </w:p>
        </w:tc>
        <w:tc>
          <w:tcPr>
            <w:tcW w:w="963" w:type="dxa"/>
            <w:gridSpan w:val="2"/>
            <w:tcBorders>
              <w:top w:val="single" w:sz="4" w:space="0" w:color="auto"/>
              <w:left w:val="nil"/>
              <w:bottom w:val="single" w:sz="4" w:space="0" w:color="auto"/>
              <w:right w:val="nil"/>
            </w:tcBorders>
            <w:shd w:val="clear" w:color="auto" w:fill="auto"/>
            <w:hideMark/>
          </w:tcPr>
          <w:p w14:paraId="1D66F8B4" w14:textId="59C5403F" w:rsidR="00D27302" w:rsidRPr="002943D2" w:rsidRDefault="00257ACF" w:rsidP="00257ACF">
            <w:pPr>
              <w:spacing w:before="24" w:after="0" w:line="240" w:lineRule="auto"/>
              <w:jc w:val="right"/>
              <w:rPr>
                <w:rFonts w:ascii="Arial" w:hAnsi="Arial" w:cs="Arial"/>
                <w:b/>
                <w:bCs/>
                <w:sz w:val="16"/>
                <w:szCs w:val="16"/>
              </w:rPr>
            </w:pPr>
            <w:r>
              <w:rPr>
                <w:rFonts w:ascii="Arial" w:hAnsi="Arial" w:cs="Arial"/>
                <w:b/>
                <w:bCs/>
                <w:sz w:val="16"/>
                <w:szCs w:val="16"/>
              </w:rPr>
              <w:t>2022–</w:t>
            </w:r>
            <w:r w:rsidR="00D27302">
              <w:rPr>
                <w:rFonts w:ascii="Arial" w:hAnsi="Arial" w:cs="Arial"/>
                <w:b/>
                <w:bCs/>
                <w:sz w:val="16"/>
                <w:szCs w:val="16"/>
              </w:rPr>
              <w:t>23</w:t>
            </w:r>
            <w:r w:rsidR="00D27302">
              <w:rPr>
                <w:rFonts w:ascii="Arial" w:hAnsi="Arial" w:cs="Arial"/>
                <w:b/>
                <w:bCs/>
                <w:sz w:val="16"/>
                <w:szCs w:val="16"/>
              </w:rPr>
              <w:br/>
              <w:t>Actual</w:t>
            </w:r>
            <w:r w:rsidR="00D27302">
              <w:rPr>
                <w:rFonts w:ascii="Arial" w:hAnsi="Arial" w:cs="Arial"/>
                <w:b/>
                <w:bCs/>
                <w:sz w:val="16"/>
                <w:szCs w:val="16"/>
              </w:rPr>
              <w:br/>
            </w:r>
            <w:r w:rsidR="00D27302">
              <w:rPr>
                <w:rFonts w:ascii="Arial" w:hAnsi="Arial" w:cs="Arial"/>
                <w:b/>
                <w:bCs/>
                <w:sz w:val="16"/>
                <w:szCs w:val="16"/>
              </w:rPr>
              <w:br/>
            </w:r>
            <w:r w:rsidR="00D27302">
              <w:rPr>
                <w:rFonts w:ascii="Arial" w:hAnsi="Arial" w:cs="Arial"/>
                <w:sz w:val="16"/>
                <w:szCs w:val="16"/>
              </w:rPr>
              <w:t>$'000</w:t>
            </w:r>
          </w:p>
        </w:tc>
        <w:tc>
          <w:tcPr>
            <w:tcW w:w="968" w:type="dxa"/>
            <w:gridSpan w:val="2"/>
            <w:tcBorders>
              <w:top w:val="single" w:sz="4" w:space="0" w:color="auto"/>
              <w:left w:val="nil"/>
              <w:bottom w:val="single" w:sz="4" w:space="0" w:color="auto"/>
              <w:right w:val="nil"/>
            </w:tcBorders>
            <w:shd w:val="clear" w:color="000000" w:fill="D9D9D9"/>
            <w:hideMark/>
          </w:tcPr>
          <w:p w14:paraId="125FD2CE" w14:textId="5CAB7981" w:rsidR="00D27302" w:rsidRPr="002943D2" w:rsidRDefault="00257ACF" w:rsidP="00257ACF">
            <w:pPr>
              <w:spacing w:before="24" w:after="0" w:line="240" w:lineRule="auto"/>
              <w:jc w:val="right"/>
              <w:rPr>
                <w:rFonts w:ascii="Arial" w:hAnsi="Arial" w:cs="Arial"/>
                <w:b/>
                <w:bCs/>
                <w:sz w:val="16"/>
                <w:szCs w:val="16"/>
              </w:rPr>
            </w:pPr>
            <w:r>
              <w:rPr>
                <w:rFonts w:ascii="Arial" w:hAnsi="Arial" w:cs="Arial"/>
                <w:b/>
                <w:bCs/>
                <w:sz w:val="16"/>
                <w:szCs w:val="16"/>
              </w:rPr>
              <w:t>2023–</w:t>
            </w:r>
            <w:r w:rsidR="00D27302">
              <w:rPr>
                <w:rFonts w:ascii="Arial" w:hAnsi="Arial" w:cs="Arial"/>
                <w:b/>
                <w:bCs/>
                <w:sz w:val="16"/>
                <w:szCs w:val="16"/>
              </w:rPr>
              <w:t>24</w:t>
            </w:r>
            <w:r w:rsidR="00D27302">
              <w:rPr>
                <w:rFonts w:ascii="Arial" w:hAnsi="Arial" w:cs="Arial"/>
                <w:b/>
                <w:bCs/>
                <w:sz w:val="16"/>
                <w:szCs w:val="16"/>
              </w:rPr>
              <w:br/>
              <w:t>Revised</w:t>
            </w:r>
            <w:r w:rsidR="00D27302">
              <w:rPr>
                <w:rFonts w:ascii="Arial" w:hAnsi="Arial" w:cs="Arial"/>
                <w:b/>
                <w:bCs/>
                <w:sz w:val="16"/>
                <w:szCs w:val="16"/>
              </w:rPr>
              <w:br/>
              <w:t>Budget</w:t>
            </w:r>
            <w:r w:rsidR="00D27302">
              <w:rPr>
                <w:rFonts w:ascii="Arial" w:hAnsi="Arial" w:cs="Arial"/>
                <w:b/>
                <w:bCs/>
                <w:sz w:val="16"/>
                <w:szCs w:val="16"/>
              </w:rPr>
              <w:br/>
            </w:r>
            <w:r w:rsidR="00D27302">
              <w:rPr>
                <w:rFonts w:ascii="Arial" w:hAnsi="Arial" w:cs="Arial"/>
                <w:sz w:val="16"/>
                <w:szCs w:val="16"/>
              </w:rPr>
              <w:t>$'000</w:t>
            </w:r>
          </w:p>
        </w:tc>
        <w:tc>
          <w:tcPr>
            <w:tcW w:w="964" w:type="dxa"/>
            <w:gridSpan w:val="2"/>
            <w:tcBorders>
              <w:top w:val="single" w:sz="4" w:space="0" w:color="auto"/>
              <w:left w:val="nil"/>
              <w:bottom w:val="single" w:sz="4" w:space="0" w:color="auto"/>
              <w:right w:val="nil"/>
            </w:tcBorders>
            <w:shd w:val="clear" w:color="auto" w:fill="auto"/>
            <w:hideMark/>
          </w:tcPr>
          <w:p w14:paraId="0126F245" w14:textId="79EFB64E" w:rsidR="00D27302" w:rsidRPr="002943D2" w:rsidRDefault="00257ACF" w:rsidP="00257ACF">
            <w:pPr>
              <w:spacing w:before="24" w:after="0" w:line="240" w:lineRule="auto"/>
              <w:jc w:val="right"/>
              <w:rPr>
                <w:rFonts w:ascii="Arial" w:hAnsi="Arial" w:cs="Arial"/>
                <w:b/>
                <w:bCs/>
                <w:sz w:val="16"/>
                <w:szCs w:val="16"/>
              </w:rPr>
            </w:pPr>
            <w:r>
              <w:rPr>
                <w:rFonts w:ascii="Arial" w:hAnsi="Arial" w:cs="Arial"/>
                <w:b/>
                <w:bCs/>
                <w:sz w:val="16"/>
                <w:szCs w:val="16"/>
              </w:rPr>
              <w:t>2024–</w:t>
            </w:r>
            <w:r w:rsidR="00D27302">
              <w:rPr>
                <w:rFonts w:ascii="Arial" w:hAnsi="Arial" w:cs="Arial"/>
                <w:b/>
                <w:bCs/>
                <w:sz w:val="16"/>
                <w:szCs w:val="16"/>
              </w:rPr>
              <w:t>25 Forward estimate</w:t>
            </w:r>
            <w:r w:rsidR="00D27302">
              <w:rPr>
                <w:rFonts w:ascii="Arial" w:hAnsi="Arial" w:cs="Arial"/>
                <w:b/>
                <w:bCs/>
                <w:sz w:val="16"/>
                <w:szCs w:val="16"/>
              </w:rPr>
              <w:br/>
            </w:r>
            <w:r w:rsidR="00D27302" w:rsidRPr="00EC3E20">
              <w:rPr>
                <w:rFonts w:ascii="Arial" w:hAnsi="Arial" w:cs="Arial"/>
                <w:bCs/>
                <w:sz w:val="16"/>
                <w:szCs w:val="16"/>
              </w:rPr>
              <w:t>$'000</w:t>
            </w:r>
          </w:p>
        </w:tc>
        <w:tc>
          <w:tcPr>
            <w:tcW w:w="964" w:type="dxa"/>
            <w:gridSpan w:val="2"/>
            <w:tcBorders>
              <w:top w:val="single" w:sz="4" w:space="0" w:color="auto"/>
              <w:left w:val="nil"/>
              <w:bottom w:val="single" w:sz="4" w:space="0" w:color="auto"/>
              <w:right w:val="nil"/>
            </w:tcBorders>
            <w:shd w:val="clear" w:color="auto" w:fill="auto"/>
            <w:hideMark/>
          </w:tcPr>
          <w:p w14:paraId="4E28F4D7" w14:textId="6A75D111" w:rsidR="00D27302" w:rsidRPr="002943D2" w:rsidRDefault="00257ACF" w:rsidP="00257ACF">
            <w:pPr>
              <w:spacing w:before="24" w:after="0" w:line="240" w:lineRule="auto"/>
              <w:jc w:val="right"/>
              <w:rPr>
                <w:rFonts w:ascii="Arial" w:hAnsi="Arial" w:cs="Arial"/>
                <w:b/>
                <w:bCs/>
                <w:sz w:val="16"/>
                <w:szCs w:val="16"/>
              </w:rPr>
            </w:pPr>
            <w:r>
              <w:rPr>
                <w:rFonts w:ascii="Arial" w:hAnsi="Arial" w:cs="Arial"/>
                <w:b/>
                <w:bCs/>
                <w:sz w:val="16"/>
                <w:szCs w:val="16"/>
              </w:rPr>
              <w:t>2025–</w:t>
            </w:r>
            <w:r w:rsidR="00D27302">
              <w:rPr>
                <w:rFonts w:ascii="Arial" w:hAnsi="Arial" w:cs="Arial"/>
                <w:b/>
                <w:bCs/>
                <w:sz w:val="16"/>
                <w:szCs w:val="16"/>
              </w:rPr>
              <w:t>26 Forward estimate</w:t>
            </w:r>
            <w:r w:rsidR="00D27302">
              <w:rPr>
                <w:rFonts w:ascii="Arial" w:hAnsi="Arial" w:cs="Arial"/>
                <w:b/>
                <w:bCs/>
                <w:sz w:val="16"/>
                <w:szCs w:val="16"/>
              </w:rPr>
              <w:br/>
            </w:r>
            <w:r w:rsidR="00D27302" w:rsidRPr="00EC3E20">
              <w:rPr>
                <w:rFonts w:ascii="Arial" w:hAnsi="Arial" w:cs="Arial"/>
                <w:bCs/>
                <w:sz w:val="16"/>
                <w:szCs w:val="16"/>
              </w:rPr>
              <w:t>$'000</w:t>
            </w:r>
          </w:p>
        </w:tc>
        <w:tc>
          <w:tcPr>
            <w:tcW w:w="907" w:type="dxa"/>
            <w:gridSpan w:val="2"/>
            <w:tcBorders>
              <w:top w:val="single" w:sz="4" w:space="0" w:color="auto"/>
              <w:left w:val="nil"/>
              <w:bottom w:val="single" w:sz="4" w:space="0" w:color="auto"/>
              <w:right w:val="nil"/>
            </w:tcBorders>
            <w:shd w:val="clear" w:color="auto" w:fill="auto"/>
            <w:hideMark/>
          </w:tcPr>
          <w:p w14:paraId="1445C9A8" w14:textId="03CE2C89" w:rsidR="00D27302" w:rsidRPr="002943D2" w:rsidRDefault="00257ACF" w:rsidP="00257ACF">
            <w:pPr>
              <w:spacing w:before="24" w:after="0" w:line="240" w:lineRule="auto"/>
              <w:jc w:val="right"/>
              <w:rPr>
                <w:rFonts w:ascii="Arial" w:hAnsi="Arial" w:cs="Arial"/>
                <w:b/>
                <w:bCs/>
                <w:sz w:val="16"/>
                <w:szCs w:val="16"/>
              </w:rPr>
            </w:pPr>
            <w:r>
              <w:rPr>
                <w:rFonts w:ascii="Arial" w:hAnsi="Arial" w:cs="Arial"/>
                <w:b/>
                <w:bCs/>
                <w:sz w:val="16"/>
                <w:szCs w:val="16"/>
              </w:rPr>
              <w:t>2026–</w:t>
            </w:r>
            <w:r w:rsidR="00D27302">
              <w:rPr>
                <w:rFonts w:ascii="Arial" w:hAnsi="Arial" w:cs="Arial"/>
                <w:b/>
                <w:bCs/>
                <w:sz w:val="16"/>
                <w:szCs w:val="16"/>
              </w:rPr>
              <w:t>27 Forward estimate</w:t>
            </w:r>
            <w:r w:rsidR="00D27302">
              <w:rPr>
                <w:rFonts w:ascii="Arial" w:hAnsi="Arial" w:cs="Arial"/>
                <w:b/>
                <w:bCs/>
                <w:sz w:val="16"/>
                <w:szCs w:val="16"/>
              </w:rPr>
              <w:br/>
            </w:r>
            <w:r w:rsidR="00D27302">
              <w:rPr>
                <w:rFonts w:ascii="Arial" w:hAnsi="Arial" w:cs="Arial"/>
                <w:sz w:val="16"/>
                <w:szCs w:val="16"/>
              </w:rPr>
              <w:t>$'000</w:t>
            </w:r>
          </w:p>
        </w:tc>
      </w:tr>
      <w:tr w:rsidR="00D27302" w:rsidRPr="002943D2" w14:paraId="7256CFAE"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7D80A756" w14:textId="282AC830" w:rsidR="00D27302" w:rsidRPr="002943D2" w:rsidRDefault="00D27302" w:rsidP="00D27302">
            <w:pPr>
              <w:spacing w:before="0" w:after="0" w:line="240" w:lineRule="auto"/>
              <w:rPr>
                <w:rFonts w:ascii="Arial" w:hAnsi="Arial" w:cs="Arial"/>
                <w:b/>
                <w:bCs/>
                <w:sz w:val="16"/>
                <w:szCs w:val="16"/>
              </w:rPr>
            </w:pPr>
            <w:r>
              <w:rPr>
                <w:rFonts w:ascii="Arial" w:hAnsi="Arial" w:cs="Arial"/>
                <w:b/>
                <w:bCs/>
                <w:sz w:val="16"/>
                <w:szCs w:val="16"/>
              </w:rPr>
              <w:t>EXPENSES</w:t>
            </w:r>
          </w:p>
        </w:tc>
        <w:tc>
          <w:tcPr>
            <w:tcW w:w="963" w:type="dxa"/>
            <w:gridSpan w:val="2"/>
            <w:tcBorders>
              <w:top w:val="nil"/>
              <w:left w:val="nil"/>
              <w:bottom w:val="nil"/>
              <w:right w:val="nil"/>
            </w:tcBorders>
            <w:shd w:val="clear" w:color="auto" w:fill="auto"/>
            <w:noWrap/>
            <w:vAlign w:val="bottom"/>
            <w:hideMark/>
          </w:tcPr>
          <w:p w14:paraId="4BA087ED" w14:textId="77777777" w:rsidR="00D27302" w:rsidRPr="002943D2" w:rsidRDefault="00D27302" w:rsidP="00D27302">
            <w:pPr>
              <w:spacing w:before="0" w:after="0" w:line="240" w:lineRule="auto"/>
              <w:rPr>
                <w:rFonts w:ascii="Arial" w:hAnsi="Arial" w:cs="Arial"/>
                <w:b/>
                <w:bCs/>
                <w:sz w:val="16"/>
                <w:szCs w:val="16"/>
              </w:rPr>
            </w:pPr>
          </w:p>
        </w:tc>
        <w:tc>
          <w:tcPr>
            <w:tcW w:w="968" w:type="dxa"/>
            <w:gridSpan w:val="2"/>
            <w:tcBorders>
              <w:top w:val="nil"/>
              <w:left w:val="nil"/>
              <w:bottom w:val="nil"/>
              <w:right w:val="nil"/>
            </w:tcBorders>
            <w:shd w:val="clear" w:color="000000" w:fill="D9D9D9"/>
            <w:noWrap/>
            <w:vAlign w:val="bottom"/>
            <w:hideMark/>
          </w:tcPr>
          <w:p w14:paraId="688B6856" w14:textId="410A0A6F"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 </w:t>
            </w:r>
          </w:p>
        </w:tc>
        <w:tc>
          <w:tcPr>
            <w:tcW w:w="964" w:type="dxa"/>
            <w:gridSpan w:val="2"/>
            <w:tcBorders>
              <w:top w:val="nil"/>
              <w:left w:val="nil"/>
              <w:bottom w:val="nil"/>
              <w:right w:val="nil"/>
            </w:tcBorders>
            <w:shd w:val="clear" w:color="auto" w:fill="auto"/>
            <w:noWrap/>
            <w:vAlign w:val="bottom"/>
            <w:hideMark/>
          </w:tcPr>
          <w:p w14:paraId="472E91E5" w14:textId="77777777" w:rsidR="00D27302" w:rsidRPr="002943D2" w:rsidRDefault="00D27302" w:rsidP="00D27302">
            <w:pPr>
              <w:spacing w:before="0" w:after="0" w:line="240" w:lineRule="auto"/>
              <w:jc w:val="right"/>
              <w:rPr>
                <w:rFonts w:ascii="Arial" w:hAnsi="Arial" w:cs="Arial"/>
                <w:sz w:val="16"/>
                <w:szCs w:val="16"/>
              </w:rPr>
            </w:pPr>
          </w:p>
        </w:tc>
        <w:tc>
          <w:tcPr>
            <w:tcW w:w="964" w:type="dxa"/>
            <w:gridSpan w:val="2"/>
            <w:tcBorders>
              <w:top w:val="nil"/>
              <w:left w:val="nil"/>
              <w:bottom w:val="nil"/>
              <w:right w:val="nil"/>
            </w:tcBorders>
            <w:shd w:val="clear" w:color="auto" w:fill="auto"/>
            <w:noWrap/>
            <w:vAlign w:val="bottom"/>
            <w:hideMark/>
          </w:tcPr>
          <w:p w14:paraId="609FD22F" w14:textId="77777777" w:rsidR="00D27302" w:rsidRPr="002943D2" w:rsidRDefault="00D27302" w:rsidP="00D27302">
            <w:pPr>
              <w:spacing w:before="0" w:after="0" w:line="240" w:lineRule="auto"/>
              <w:jc w:val="right"/>
              <w:rPr>
                <w:rFonts w:ascii="Times New Roman" w:hAnsi="Times New Roman"/>
                <w:sz w:val="20"/>
              </w:rPr>
            </w:pPr>
          </w:p>
        </w:tc>
        <w:tc>
          <w:tcPr>
            <w:tcW w:w="907" w:type="dxa"/>
            <w:gridSpan w:val="2"/>
            <w:tcBorders>
              <w:top w:val="nil"/>
              <w:left w:val="nil"/>
              <w:bottom w:val="nil"/>
              <w:right w:val="nil"/>
            </w:tcBorders>
            <w:shd w:val="clear" w:color="auto" w:fill="auto"/>
            <w:noWrap/>
            <w:vAlign w:val="bottom"/>
            <w:hideMark/>
          </w:tcPr>
          <w:p w14:paraId="6E4F46AA" w14:textId="77777777" w:rsidR="00D27302" w:rsidRPr="002943D2" w:rsidRDefault="00D27302" w:rsidP="00D27302">
            <w:pPr>
              <w:spacing w:before="0" w:after="0" w:line="240" w:lineRule="auto"/>
              <w:jc w:val="right"/>
              <w:rPr>
                <w:rFonts w:ascii="Times New Roman" w:hAnsi="Times New Roman"/>
                <w:sz w:val="20"/>
              </w:rPr>
            </w:pPr>
          </w:p>
        </w:tc>
      </w:tr>
      <w:tr w:rsidR="00D27302" w:rsidRPr="002943D2" w14:paraId="1F90B074"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076A4405" w14:textId="43195E17" w:rsidR="00D27302" w:rsidRPr="002943D2" w:rsidRDefault="00D27302" w:rsidP="00281A13">
            <w:pPr>
              <w:spacing w:before="0" w:after="0" w:line="240" w:lineRule="auto"/>
              <w:ind w:leftChars="75" w:left="143"/>
              <w:rPr>
                <w:rFonts w:ascii="Arial" w:hAnsi="Arial" w:cs="Arial"/>
                <w:sz w:val="16"/>
                <w:szCs w:val="16"/>
              </w:rPr>
            </w:pPr>
            <w:r>
              <w:rPr>
                <w:rFonts w:ascii="Arial" w:hAnsi="Arial" w:cs="Arial"/>
                <w:sz w:val="16"/>
                <w:szCs w:val="16"/>
              </w:rPr>
              <w:t>Employee benefits</w:t>
            </w:r>
          </w:p>
        </w:tc>
        <w:tc>
          <w:tcPr>
            <w:tcW w:w="963" w:type="dxa"/>
            <w:gridSpan w:val="2"/>
            <w:tcBorders>
              <w:top w:val="nil"/>
              <w:left w:val="nil"/>
              <w:bottom w:val="nil"/>
              <w:right w:val="nil"/>
            </w:tcBorders>
            <w:shd w:val="clear" w:color="auto" w:fill="auto"/>
            <w:noWrap/>
            <w:vAlign w:val="bottom"/>
            <w:hideMark/>
          </w:tcPr>
          <w:p w14:paraId="12C02665" w14:textId="63FDD7D6"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4,602</w:t>
            </w:r>
          </w:p>
        </w:tc>
        <w:tc>
          <w:tcPr>
            <w:tcW w:w="968" w:type="dxa"/>
            <w:gridSpan w:val="2"/>
            <w:tcBorders>
              <w:top w:val="nil"/>
              <w:left w:val="nil"/>
              <w:bottom w:val="nil"/>
              <w:right w:val="nil"/>
            </w:tcBorders>
            <w:shd w:val="clear" w:color="000000" w:fill="D9D9D9"/>
            <w:noWrap/>
            <w:vAlign w:val="bottom"/>
            <w:hideMark/>
          </w:tcPr>
          <w:p w14:paraId="708DBB78" w14:textId="7D9AD788"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5,367</w:t>
            </w:r>
          </w:p>
        </w:tc>
        <w:tc>
          <w:tcPr>
            <w:tcW w:w="964" w:type="dxa"/>
            <w:gridSpan w:val="2"/>
            <w:tcBorders>
              <w:top w:val="nil"/>
              <w:left w:val="nil"/>
              <w:bottom w:val="nil"/>
              <w:right w:val="nil"/>
            </w:tcBorders>
            <w:shd w:val="clear" w:color="auto" w:fill="auto"/>
            <w:noWrap/>
            <w:vAlign w:val="bottom"/>
            <w:hideMark/>
          </w:tcPr>
          <w:p w14:paraId="085DCF14" w14:textId="4290C313"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5,915</w:t>
            </w:r>
          </w:p>
        </w:tc>
        <w:tc>
          <w:tcPr>
            <w:tcW w:w="964" w:type="dxa"/>
            <w:gridSpan w:val="2"/>
            <w:tcBorders>
              <w:top w:val="nil"/>
              <w:left w:val="nil"/>
              <w:bottom w:val="nil"/>
              <w:right w:val="nil"/>
            </w:tcBorders>
            <w:shd w:val="clear" w:color="auto" w:fill="auto"/>
            <w:noWrap/>
            <w:vAlign w:val="bottom"/>
            <w:hideMark/>
          </w:tcPr>
          <w:p w14:paraId="11DDD5B6" w14:textId="651FAD3C"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6,061</w:t>
            </w:r>
          </w:p>
        </w:tc>
        <w:tc>
          <w:tcPr>
            <w:tcW w:w="907" w:type="dxa"/>
            <w:gridSpan w:val="2"/>
            <w:tcBorders>
              <w:top w:val="nil"/>
              <w:left w:val="nil"/>
              <w:bottom w:val="nil"/>
              <w:right w:val="nil"/>
            </w:tcBorders>
            <w:shd w:val="clear" w:color="auto" w:fill="auto"/>
            <w:noWrap/>
            <w:vAlign w:val="bottom"/>
            <w:hideMark/>
          </w:tcPr>
          <w:p w14:paraId="065C5760" w14:textId="1108502B"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6,199</w:t>
            </w:r>
          </w:p>
        </w:tc>
      </w:tr>
      <w:tr w:rsidR="00D27302" w:rsidRPr="002943D2" w14:paraId="29CD64B7"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0CCE1CEC" w14:textId="7A75F91F" w:rsidR="00D27302" w:rsidRPr="002943D2" w:rsidRDefault="00D27302" w:rsidP="00281A13">
            <w:pPr>
              <w:spacing w:before="0" w:after="0" w:line="240" w:lineRule="auto"/>
              <w:ind w:leftChars="75" w:left="143"/>
              <w:rPr>
                <w:rFonts w:ascii="Arial" w:hAnsi="Arial" w:cs="Arial"/>
                <w:sz w:val="16"/>
                <w:szCs w:val="16"/>
              </w:rPr>
            </w:pPr>
            <w:r>
              <w:rPr>
                <w:rFonts w:ascii="Arial" w:hAnsi="Arial" w:cs="Arial"/>
                <w:sz w:val="16"/>
                <w:szCs w:val="16"/>
              </w:rPr>
              <w:t>Supplier expenses</w:t>
            </w:r>
          </w:p>
        </w:tc>
        <w:tc>
          <w:tcPr>
            <w:tcW w:w="963" w:type="dxa"/>
            <w:gridSpan w:val="2"/>
            <w:tcBorders>
              <w:top w:val="nil"/>
              <w:left w:val="nil"/>
              <w:bottom w:val="nil"/>
              <w:right w:val="nil"/>
            </w:tcBorders>
            <w:shd w:val="clear" w:color="auto" w:fill="auto"/>
            <w:noWrap/>
            <w:vAlign w:val="bottom"/>
            <w:hideMark/>
          </w:tcPr>
          <w:p w14:paraId="5A3847D9" w14:textId="161EF189"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5,810</w:t>
            </w:r>
          </w:p>
        </w:tc>
        <w:tc>
          <w:tcPr>
            <w:tcW w:w="968" w:type="dxa"/>
            <w:gridSpan w:val="2"/>
            <w:tcBorders>
              <w:top w:val="nil"/>
              <w:left w:val="nil"/>
              <w:bottom w:val="nil"/>
              <w:right w:val="nil"/>
            </w:tcBorders>
            <w:shd w:val="clear" w:color="000000" w:fill="D9D9D9"/>
            <w:noWrap/>
            <w:vAlign w:val="bottom"/>
            <w:hideMark/>
          </w:tcPr>
          <w:p w14:paraId="3C293FED" w14:textId="695C937B"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7,253</w:t>
            </w:r>
          </w:p>
        </w:tc>
        <w:tc>
          <w:tcPr>
            <w:tcW w:w="964" w:type="dxa"/>
            <w:gridSpan w:val="2"/>
            <w:tcBorders>
              <w:top w:val="nil"/>
              <w:left w:val="nil"/>
              <w:bottom w:val="nil"/>
              <w:right w:val="nil"/>
            </w:tcBorders>
            <w:shd w:val="clear" w:color="auto" w:fill="auto"/>
            <w:noWrap/>
            <w:vAlign w:val="bottom"/>
            <w:hideMark/>
          </w:tcPr>
          <w:p w14:paraId="158636C0" w14:textId="5BB1BED7"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9,526</w:t>
            </w:r>
          </w:p>
        </w:tc>
        <w:tc>
          <w:tcPr>
            <w:tcW w:w="964" w:type="dxa"/>
            <w:gridSpan w:val="2"/>
            <w:tcBorders>
              <w:top w:val="nil"/>
              <w:left w:val="nil"/>
              <w:bottom w:val="nil"/>
              <w:right w:val="nil"/>
            </w:tcBorders>
            <w:shd w:val="clear" w:color="auto" w:fill="auto"/>
            <w:noWrap/>
            <w:vAlign w:val="bottom"/>
            <w:hideMark/>
          </w:tcPr>
          <w:p w14:paraId="58EF1A72" w14:textId="24B992C9"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9,623</w:t>
            </w:r>
          </w:p>
        </w:tc>
        <w:tc>
          <w:tcPr>
            <w:tcW w:w="907" w:type="dxa"/>
            <w:gridSpan w:val="2"/>
            <w:tcBorders>
              <w:top w:val="nil"/>
              <w:left w:val="nil"/>
              <w:bottom w:val="nil"/>
              <w:right w:val="nil"/>
            </w:tcBorders>
            <w:shd w:val="clear" w:color="auto" w:fill="auto"/>
            <w:noWrap/>
            <w:vAlign w:val="bottom"/>
            <w:hideMark/>
          </w:tcPr>
          <w:p w14:paraId="67D6782E" w14:textId="1E066FE2"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9,947</w:t>
            </w:r>
          </w:p>
        </w:tc>
      </w:tr>
      <w:tr w:rsidR="00D27302" w:rsidRPr="002943D2" w14:paraId="5D232E88"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479D7874" w14:textId="09B34682" w:rsidR="00D27302" w:rsidRPr="002943D2" w:rsidRDefault="00D27302" w:rsidP="00281A13">
            <w:pPr>
              <w:spacing w:before="0" w:after="0" w:line="240" w:lineRule="auto"/>
              <w:ind w:leftChars="75" w:left="143"/>
              <w:rPr>
                <w:rFonts w:ascii="Arial" w:hAnsi="Arial" w:cs="Arial"/>
                <w:sz w:val="16"/>
                <w:szCs w:val="16"/>
              </w:rPr>
            </w:pPr>
            <w:r>
              <w:rPr>
                <w:rFonts w:ascii="Arial" w:hAnsi="Arial" w:cs="Arial"/>
                <w:sz w:val="16"/>
                <w:szCs w:val="16"/>
              </w:rPr>
              <w:t>Depreciation and amortisation</w:t>
            </w:r>
          </w:p>
        </w:tc>
        <w:tc>
          <w:tcPr>
            <w:tcW w:w="963" w:type="dxa"/>
            <w:gridSpan w:val="2"/>
            <w:tcBorders>
              <w:top w:val="nil"/>
              <w:left w:val="nil"/>
              <w:bottom w:val="nil"/>
              <w:right w:val="nil"/>
            </w:tcBorders>
            <w:shd w:val="clear" w:color="auto" w:fill="auto"/>
            <w:noWrap/>
            <w:vAlign w:val="bottom"/>
            <w:hideMark/>
          </w:tcPr>
          <w:p w14:paraId="7F22C7EA" w14:textId="708C6682"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732</w:t>
            </w:r>
          </w:p>
        </w:tc>
        <w:tc>
          <w:tcPr>
            <w:tcW w:w="968" w:type="dxa"/>
            <w:gridSpan w:val="2"/>
            <w:tcBorders>
              <w:top w:val="nil"/>
              <w:left w:val="nil"/>
              <w:bottom w:val="nil"/>
              <w:right w:val="nil"/>
            </w:tcBorders>
            <w:shd w:val="clear" w:color="000000" w:fill="D9D9D9"/>
            <w:noWrap/>
            <w:vAlign w:val="bottom"/>
            <w:hideMark/>
          </w:tcPr>
          <w:p w14:paraId="745C4AAD" w14:textId="63550525"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1,404</w:t>
            </w:r>
          </w:p>
        </w:tc>
        <w:tc>
          <w:tcPr>
            <w:tcW w:w="964" w:type="dxa"/>
            <w:gridSpan w:val="2"/>
            <w:tcBorders>
              <w:top w:val="nil"/>
              <w:left w:val="nil"/>
              <w:bottom w:val="nil"/>
              <w:right w:val="nil"/>
            </w:tcBorders>
            <w:shd w:val="clear" w:color="auto" w:fill="auto"/>
            <w:noWrap/>
            <w:vAlign w:val="bottom"/>
            <w:hideMark/>
          </w:tcPr>
          <w:p w14:paraId="13A9B3A1" w14:textId="29951590"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847</w:t>
            </w:r>
          </w:p>
        </w:tc>
        <w:tc>
          <w:tcPr>
            <w:tcW w:w="964" w:type="dxa"/>
            <w:gridSpan w:val="2"/>
            <w:tcBorders>
              <w:top w:val="nil"/>
              <w:left w:val="nil"/>
              <w:bottom w:val="nil"/>
              <w:right w:val="nil"/>
            </w:tcBorders>
            <w:shd w:val="clear" w:color="auto" w:fill="auto"/>
            <w:noWrap/>
            <w:vAlign w:val="bottom"/>
            <w:hideMark/>
          </w:tcPr>
          <w:p w14:paraId="705CE6CD" w14:textId="7143E1B2"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896</w:t>
            </w:r>
          </w:p>
        </w:tc>
        <w:tc>
          <w:tcPr>
            <w:tcW w:w="907" w:type="dxa"/>
            <w:gridSpan w:val="2"/>
            <w:tcBorders>
              <w:top w:val="nil"/>
              <w:left w:val="nil"/>
              <w:bottom w:val="nil"/>
              <w:right w:val="nil"/>
            </w:tcBorders>
            <w:shd w:val="clear" w:color="auto" w:fill="auto"/>
            <w:noWrap/>
            <w:vAlign w:val="bottom"/>
            <w:hideMark/>
          </w:tcPr>
          <w:p w14:paraId="370F32F8" w14:textId="4440B593"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896</w:t>
            </w:r>
          </w:p>
        </w:tc>
      </w:tr>
      <w:tr w:rsidR="00D27302" w:rsidRPr="002943D2" w14:paraId="6FFD1A65"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29BCFA77" w14:textId="0A6923C7" w:rsidR="00D27302" w:rsidRPr="002943D2" w:rsidRDefault="00D27302" w:rsidP="00281A13">
            <w:pPr>
              <w:spacing w:before="0" w:after="0" w:line="240" w:lineRule="auto"/>
              <w:ind w:leftChars="75" w:left="143"/>
              <w:rPr>
                <w:rFonts w:ascii="Arial" w:hAnsi="Arial" w:cs="Arial"/>
                <w:sz w:val="16"/>
                <w:szCs w:val="16"/>
              </w:rPr>
            </w:pPr>
            <w:r>
              <w:rPr>
                <w:rFonts w:ascii="Arial" w:hAnsi="Arial" w:cs="Arial"/>
                <w:sz w:val="16"/>
                <w:szCs w:val="16"/>
              </w:rPr>
              <w:t xml:space="preserve">Interest on </w:t>
            </w:r>
            <w:proofErr w:type="spellStart"/>
            <w:r>
              <w:rPr>
                <w:rFonts w:ascii="Arial" w:hAnsi="Arial" w:cs="Arial"/>
                <w:sz w:val="16"/>
                <w:szCs w:val="16"/>
              </w:rPr>
              <w:t>RoU</w:t>
            </w:r>
            <w:proofErr w:type="spellEnd"/>
          </w:p>
        </w:tc>
        <w:tc>
          <w:tcPr>
            <w:tcW w:w="963" w:type="dxa"/>
            <w:gridSpan w:val="2"/>
            <w:tcBorders>
              <w:top w:val="nil"/>
              <w:left w:val="nil"/>
              <w:bottom w:val="nil"/>
              <w:right w:val="nil"/>
            </w:tcBorders>
            <w:shd w:val="clear" w:color="auto" w:fill="auto"/>
            <w:noWrap/>
            <w:vAlign w:val="bottom"/>
            <w:hideMark/>
          </w:tcPr>
          <w:p w14:paraId="51E15FA7" w14:textId="3347FD06"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20</w:t>
            </w:r>
          </w:p>
        </w:tc>
        <w:tc>
          <w:tcPr>
            <w:tcW w:w="968" w:type="dxa"/>
            <w:gridSpan w:val="2"/>
            <w:tcBorders>
              <w:top w:val="nil"/>
              <w:left w:val="nil"/>
              <w:bottom w:val="nil"/>
              <w:right w:val="nil"/>
            </w:tcBorders>
            <w:shd w:val="clear" w:color="000000" w:fill="D9D9D9"/>
            <w:noWrap/>
            <w:vAlign w:val="bottom"/>
            <w:hideMark/>
          </w:tcPr>
          <w:p w14:paraId="4E1F5AE4" w14:textId="23E10D40"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101</w:t>
            </w:r>
          </w:p>
        </w:tc>
        <w:tc>
          <w:tcPr>
            <w:tcW w:w="964" w:type="dxa"/>
            <w:gridSpan w:val="2"/>
            <w:tcBorders>
              <w:top w:val="nil"/>
              <w:left w:val="nil"/>
              <w:bottom w:val="nil"/>
              <w:right w:val="nil"/>
            </w:tcBorders>
            <w:shd w:val="clear" w:color="auto" w:fill="auto"/>
            <w:noWrap/>
            <w:vAlign w:val="bottom"/>
            <w:hideMark/>
          </w:tcPr>
          <w:p w14:paraId="23EEB2C6" w14:textId="4BB40CC0"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88</w:t>
            </w:r>
          </w:p>
        </w:tc>
        <w:tc>
          <w:tcPr>
            <w:tcW w:w="964" w:type="dxa"/>
            <w:gridSpan w:val="2"/>
            <w:tcBorders>
              <w:top w:val="nil"/>
              <w:left w:val="nil"/>
              <w:bottom w:val="nil"/>
              <w:right w:val="nil"/>
            </w:tcBorders>
            <w:shd w:val="clear" w:color="auto" w:fill="auto"/>
            <w:noWrap/>
            <w:vAlign w:val="bottom"/>
            <w:hideMark/>
          </w:tcPr>
          <w:p w14:paraId="174D1685" w14:textId="7B62BB81"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74</w:t>
            </w:r>
          </w:p>
        </w:tc>
        <w:tc>
          <w:tcPr>
            <w:tcW w:w="907" w:type="dxa"/>
            <w:gridSpan w:val="2"/>
            <w:tcBorders>
              <w:top w:val="nil"/>
              <w:left w:val="nil"/>
              <w:bottom w:val="nil"/>
              <w:right w:val="nil"/>
            </w:tcBorders>
            <w:shd w:val="clear" w:color="auto" w:fill="auto"/>
            <w:noWrap/>
            <w:vAlign w:val="bottom"/>
            <w:hideMark/>
          </w:tcPr>
          <w:p w14:paraId="0365B5D3" w14:textId="0896393E"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59</w:t>
            </w:r>
          </w:p>
        </w:tc>
      </w:tr>
      <w:tr w:rsidR="00D27302" w:rsidRPr="002943D2" w14:paraId="3570B690"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5BEA7E1D" w14:textId="61C6042E" w:rsidR="00D27302" w:rsidRPr="002943D2" w:rsidRDefault="00D27302" w:rsidP="00281A13">
            <w:pPr>
              <w:spacing w:before="0" w:after="0" w:line="240" w:lineRule="auto"/>
              <w:ind w:leftChars="75" w:left="143"/>
              <w:rPr>
                <w:rFonts w:ascii="Arial" w:hAnsi="Arial" w:cs="Arial"/>
                <w:sz w:val="16"/>
                <w:szCs w:val="16"/>
              </w:rPr>
            </w:pPr>
            <w:r>
              <w:rPr>
                <w:rFonts w:ascii="Arial" w:hAnsi="Arial" w:cs="Arial"/>
                <w:sz w:val="16"/>
                <w:szCs w:val="16"/>
              </w:rPr>
              <w:t>Other expenses</w:t>
            </w:r>
          </w:p>
        </w:tc>
        <w:tc>
          <w:tcPr>
            <w:tcW w:w="963" w:type="dxa"/>
            <w:gridSpan w:val="2"/>
            <w:tcBorders>
              <w:top w:val="nil"/>
              <w:left w:val="nil"/>
              <w:bottom w:val="nil"/>
              <w:right w:val="nil"/>
            </w:tcBorders>
            <w:shd w:val="clear" w:color="auto" w:fill="auto"/>
            <w:noWrap/>
            <w:vAlign w:val="bottom"/>
            <w:hideMark/>
          </w:tcPr>
          <w:p w14:paraId="4DF50E41" w14:textId="5416D88E"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3</w:t>
            </w:r>
          </w:p>
        </w:tc>
        <w:tc>
          <w:tcPr>
            <w:tcW w:w="968" w:type="dxa"/>
            <w:gridSpan w:val="2"/>
            <w:tcBorders>
              <w:top w:val="nil"/>
              <w:left w:val="nil"/>
              <w:bottom w:val="nil"/>
              <w:right w:val="nil"/>
            </w:tcBorders>
            <w:shd w:val="clear" w:color="000000" w:fill="D9D9D9"/>
            <w:noWrap/>
            <w:vAlign w:val="bottom"/>
            <w:hideMark/>
          </w:tcPr>
          <w:p w14:paraId="4D30A6C9" w14:textId="11AE6956"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3</w:t>
            </w:r>
          </w:p>
        </w:tc>
        <w:tc>
          <w:tcPr>
            <w:tcW w:w="964" w:type="dxa"/>
            <w:gridSpan w:val="2"/>
            <w:tcBorders>
              <w:top w:val="nil"/>
              <w:left w:val="nil"/>
              <w:bottom w:val="nil"/>
              <w:right w:val="nil"/>
            </w:tcBorders>
            <w:shd w:val="clear" w:color="auto" w:fill="auto"/>
            <w:noWrap/>
            <w:vAlign w:val="bottom"/>
            <w:hideMark/>
          </w:tcPr>
          <w:p w14:paraId="5E7B3852" w14:textId="3B3EBE40"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w:t>
            </w:r>
          </w:p>
        </w:tc>
        <w:tc>
          <w:tcPr>
            <w:tcW w:w="964" w:type="dxa"/>
            <w:gridSpan w:val="2"/>
            <w:tcBorders>
              <w:top w:val="nil"/>
              <w:left w:val="nil"/>
              <w:bottom w:val="nil"/>
              <w:right w:val="nil"/>
            </w:tcBorders>
            <w:shd w:val="clear" w:color="auto" w:fill="auto"/>
            <w:noWrap/>
            <w:vAlign w:val="bottom"/>
            <w:hideMark/>
          </w:tcPr>
          <w:p w14:paraId="382C90AF" w14:textId="5EFC853C"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w:t>
            </w:r>
          </w:p>
        </w:tc>
        <w:tc>
          <w:tcPr>
            <w:tcW w:w="907" w:type="dxa"/>
            <w:gridSpan w:val="2"/>
            <w:tcBorders>
              <w:top w:val="nil"/>
              <w:left w:val="nil"/>
              <w:bottom w:val="nil"/>
              <w:right w:val="nil"/>
            </w:tcBorders>
            <w:shd w:val="clear" w:color="auto" w:fill="auto"/>
            <w:noWrap/>
            <w:vAlign w:val="bottom"/>
            <w:hideMark/>
          </w:tcPr>
          <w:p w14:paraId="20B75CD2" w14:textId="6E4E3D0E"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9</w:t>
            </w:r>
          </w:p>
        </w:tc>
      </w:tr>
      <w:tr w:rsidR="00D27302" w:rsidRPr="002943D2" w14:paraId="432F9BC0"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401876B9" w14:textId="0DBE2E46" w:rsidR="00D27302" w:rsidRPr="002943D2" w:rsidRDefault="00D27302" w:rsidP="00281A13">
            <w:pPr>
              <w:spacing w:before="0" w:after="0" w:line="240" w:lineRule="auto"/>
              <w:ind w:leftChars="75" w:left="143"/>
              <w:rPr>
                <w:rFonts w:ascii="Arial" w:hAnsi="Arial" w:cs="Arial"/>
                <w:b/>
                <w:bCs/>
                <w:sz w:val="16"/>
                <w:szCs w:val="16"/>
              </w:rPr>
            </w:pPr>
            <w:r>
              <w:rPr>
                <w:rFonts w:ascii="Arial" w:hAnsi="Arial" w:cs="Arial"/>
                <w:b/>
                <w:bCs/>
                <w:sz w:val="16"/>
                <w:szCs w:val="16"/>
              </w:rPr>
              <w:t>Total expenses</w:t>
            </w:r>
          </w:p>
        </w:tc>
        <w:tc>
          <w:tcPr>
            <w:tcW w:w="963" w:type="dxa"/>
            <w:gridSpan w:val="2"/>
            <w:tcBorders>
              <w:top w:val="nil"/>
              <w:left w:val="nil"/>
              <w:bottom w:val="single" w:sz="4" w:space="0" w:color="auto"/>
              <w:right w:val="nil"/>
            </w:tcBorders>
            <w:shd w:val="clear" w:color="auto" w:fill="auto"/>
            <w:noWrap/>
            <w:vAlign w:val="bottom"/>
            <w:hideMark/>
          </w:tcPr>
          <w:p w14:paraId="058F6AD5" w14:textId="67158EAF"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11,167</w:t>
            </w:r>
          </w:p>
        </w:tc>
        <w:tc>
          <w:tcPr>
            <w:tcW w:w="968" w:type="dxa"/>
            <w:gridSpan w:val="2"/>
            <w:tcBorders>
              <w:top w:val="nil"/>
              <w:left w:val="nil"/>
              <w:bottom w:val="single" w:sz="4" w:space="0" w:color="auto"/>
              <w:right w:val="nil"/>
            </w:tcBorders>
            <w:shd w:val="clear" w:color="000000" w:fill="D9D9D9"/>
            <w:noWrap/>
            <w:vAlign w:val="bottom"/>
            <w:hideMark/>
          </w:tcPr>
          <w:p w14:paraId="6A0215C3" w14:textId="1615FD4E"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14,128</w:t>
            </w:r>
          </w:p>
        </w:tc>
        <w:tc>
          <w:tcPr>
            <w:tcW w:w="964" w:type="dxa"/>
            <w:gridSpan w:val="2"/>
            <w:tcBorders>
              <w:top w:val="nil"/>
              <w:left w:val="nil"/>
              <w:bottom w:val="single" w:sz="4" w:space="0" w:color="auto"/>
              <w:right w:val="nil"/>
            </w:tcBorders>
            <w:shd w:val="clear" w:color="auto" w:fill="auto"/>
            <w:noWrap/>
            <w:vAlign w:val="bottom"/>
            <w:hideMark/>
          </w:tcPr>
          <w:p w14:paraId="6D09D65E" w14:textId="6939688D"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16,385</w:t>
            </w:r>
          </w:p>
        </w:tc>
        <w:tc>
          <w:tcPr>
            <w:tcW w:w="964" w:type="dxa"/>
            <w:gridSpan w:val="2"/>
            <w:tcBorders>
              <w:top w:val="nil"/>
              <w:left w:val="nil"/>
              <w:bottom w:val="single" w:sz="4" w:space="0" w:color="auto"/>
              <w:right w:val="nil"/>
            </w:tcBorders>
            <w:shd w:val="clear" w:color="auto" w:fill="auto"/>
            <w:noWrap/>
            <w:vAlign w:val="bottom"/>
            <w:hideMark/>
          </w:tcPr>
          <w:p w14:paraId="2D71D002" w14:textId="1A44A5D2"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16,663</w:t>
            </w:r>
          </w:p>
        </w:tc>
        <w:tc>
          <w:tcPr>
            <w:tcW w:w="907" w:type="dxa"/>
            <w:gridSpan w:val="2"/>
            <w:tcBorders>
              <w:top w:val="nil"/>
              <w:left w:val="nil"/>
              <w:bottom w:val="single" w:sz="4" w:space="0" w:color="auto"/>
              <w:right w:val="nil"/>
            </w:tcBorders>
            <w:shd w:val="clear" w:color="auto" w:fill="auto"/>
            <w:noWrap/>
            <w:vAlign w:val="bottom"/>
            <w:hideMark/>
          </w:tcPr>
          <w:p w14:paraId="024599F2" w14:textId="75DA887F"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17,110</w:t>
            </w:r>
          </w:p>
        </w:tc>
      </w:tr>
      <w:tr w:rsidR="00D27302" w:rsidRPr="002943D2" w14:paraId="2D594320" w14:textId="77777777" w:rsidTr="00257ACF">
        <w:trPr>
          <w:trHeight w:val="283"/>
          <w:jc w:val="center"/>
        </w:trPr>
        <w:tc>
          <w:tcPr>
            <w:tcW w:w="2945" w:type="dxa"/>
            <w:tcBorders>
              <w:top w:val="nil"/>
              <w:left w:val="nil"/>
              <w:bottom w:val="nil"/>
              <w:right w:val="nil"/>
            </w:tcBorders>
            <w:shd w:val="clear" w:color="auto" w:fill="auto"/>
            <w:noWrap/>
            <w:vAlign w:val="bottom"/>
            <w:hideMark/>
          </w:tcPr>
          <w:p w14:paraId="1476EF7E" w14:textId="0AEFCDB4" w:rsidR="00D27302" w:rsidRPr="002943D2" w:rsidRDefault="00D27302" w:rsidP="00D27302">
            <w:pPr>
              <w:spacing w:before="0" w:after="0" w:line="240" w:lineRule="auto"/>
              <w:rPr>
                <w:rFonts w:ascii="Arial" w:hAnsi="Arial" w:cs="Arial"/>
                <w:b/>
                <w:bCs/>
                <w:sz w:val="16"/>
                <w:szCs w:val="16"/>
              </w:rPr>
            </w:pPr>
            <w:r>
              <w:rPr>
                <w:rFonts w:ascii="Arial" w:hAnsi="Arial" w:cs="Arial"/>
                <w:b/>
                <w:bCs/>
                <w:sz w:val="16"/>
                <w:szCs w:val="16"/>
              </w:rPr>
              <w:t xml:space="preserve">LESS: </w:t>
            </w:r>
          </w:p>
        </w:tc>
        <w:tc>
          <w:tcPr>
            <w:tcW w:w="963" w:type="dxa"/>
            <w:gridSpan w:val="2"/>
            <w:tcBorders>
              <w:top w:val="nil"/>
              <w:left w:val="nil"/>
              <w:bottom w:val="nil"/>
              <w:right w:val="nil"/>
            </w:tcBorders>
            <w:shd w:val="clear" w:color="auto" w:fill="auto"/>
            <w:noWrap/>
            <w:vAlign w:val="bottom"/>
            <w:hideMark/>
          </w:tcPr>
          <w:p w14:paraId="31CE7DFB" w14:textId="77777777" w:rsidR="00D27302" w:rsidRPr="002943D2" w:rsidRDefault="00D27302" w:rsidP="00D27302">
            <w:pPr>
              <w:spacing w:before="0" w:after="0" w:line="240" w:lineRule="auto"/>
              <w:rPr>
                <w:rFonts w:ascii="Arial" w:hAnsi="Arial" w:cs="Arial"/>
                <w:b/>
                <w:bCs/>
                <w:sz w:val="16"/>
                <w:szCs w:val="16"/>
              </w:rPr>
            </w:pPr>
          </w:p>
        </w:tc>
        <w:tc>
          <w:tcPr>
            <w:tcW w:w="968" w:type="dxa"/>
            <w:gridSpan w:val="2"/>
            <w:tcBorders>
              <w:top w:val="nil"/>
              <w:left w:val="nil"/>
              <w:bottom w:val="nil"/>
              <w:right w:val="nil"/>
            </w:tcBorders>
            <w:shd w:val="clear" w:color="000000" w:fill="D9D9D9"/>
            <w:noWrap/>
            <w:vAlign w:val="bottom"/>
            <w:hideMark/>
          </w:tcPr>
          <w:p w14:paraId="59C3CB6B" w14:textId="6EB53358"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 </w:t>
            </w:r>
          </w:p>
        </w:tc>
        <w:tc>
          <w:tcPr>
            <w:tcW w:w="964" w:type="dxa"/>
            <w:gridSpan w:val="2"/>
            <w:tcBorders>
              <w:top w:val="nil"/>
              <w:left w:val="nil"/>
              <w:bottom w:val="nil"/>
              <w:right w:val="nil"/>
            </w:tcBorders>
            <w:shd w:val="clear" w:color="auto" w:fill="auto"/>
            <w:noWrap/>
            <w:vAlign w:val="bottom"/>
            <w:hideMark/>
          </w:tcPr>
          <w:p w14:paraId="475F9B6B" w14:textId="77777777" w:rsidR="00D27302" w:rsidRPr="002943D2" w:rsidRDefault="00D27302" w:rsidP="00D27302">
            <w:pPr>
              <w:spacing w:before="0" w:after="0" w:line="240" w:lineRule="auto"/>
              <w:jc w:val="right"/>
              <w:rPr>
                <w:rFonts w:ascii="Arial" w:hAnsi="Arial" w:cs="Arial"/>
                <w:b/>
                <w:bCs/>
                <w:sz w:val="16"/>
                <w:szCs w:val="16"/>
              </w:rPr>
            </w:pPr>
          </w:p>
        </w:tc>
        <w:tc>
          <w:tcPr>
            <w:tcW w:w="964" w:type="dxa"/>
            <w:gridSpan w:val="2"/>
            <w:tcBorders>
              <w:top w:val="nil"/>
              <w:left w:val="nil"/>
              <w:bottom w:val="nil"/>
              <w:right w:val="nil"/>
            </w:tcBorders>
            <w:shd w:val="clear" w:color="auto" w:fill="auto"/>
            <w:noWrap/>
            <w:vAlign w:val="bottom"/>
            <w:hideMark/>
          </w:tcPr>
          <w:p w14:paraId="39DA1FA7" w14:textId="77777777" w:rsidR="00D27302" w:rsidRPr="002943D2" w:rsidRDefault="00D27302" w:rsidP="00D27302">
            <w:pPr>
              <w:spacing w:before="0" w:after="0" w:line="240" w:lineRule="auto"/>
              <w:jc w:val="right"/>
              <w:rPr>
                <w:rFonts w:ascii="Times New Roman" w:hAnsi="Times New Roman"/>
                <w:sz w:val="20"/>
              </w:rPr>
            </w:pPr>
          </w:p>
        </w:tc>
        <w:tc>
          <w:tcPr>
            <w:tcW w:w="907" w:type="dxa"/>
            <w:gridSpan w:val="2"/>
            <w:tcBorders>
              <w:top w:val="nil"/>
              <w:left w:val="nil"/>
              <w:bottom w:val="nil"/>
              <w:right w:val="nil"/>
            </w:tcBorders>
            <w:shd w:val="clear" w:color="auto" w:fill="auto"/>
            <w:noWrap/>
            <w:vAlign w:val="bottom"/>
            <w:hideMark/>
          </w:tcPr>
          <w:p w14:paraId="7FFD23F4" w14:textId="77777777" w:rsidR="00D27302" w:rsidRPr="002943D2" w:rsidRDefault="00D27302" w:rsidP="00D27302">
            <w:pPr>
              <w:spacing w:before="0" w:after="0" w:line="240" w:lineRule="auto"/>
              <w:jc w:val="right"/>
              <w:rPr>
                <w:rFonts w:ascii="Times New Roman" w:hAnsi="Times New Roman"/>
                <w:sz w:val="20"/>
              </w:rPr>
            </w:pPr>
          </w:p>
        </w:tc>
      </w:tr>
      <w:tr w:rsidR="00D27302" w:rsidRPr="002943D2" w14:paraId="2CBA5B31"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5470E34A" w14:textId="16834615" w:rsidR="00D27302" w:rsidRPr="002943D2" w:rsidRDefault="00D27302" w:rsidP="00D27302">
            <w:pPr>
              <w:spacing w:before="0" w:after="0" w:line="240" w:lineRule="auto"/>
              <w:rPr>
                <w:rFonts w:ascii="Arial" w:hAnsi="Arial" w:cs="Arial"/>
                <w:b/>
                <w:bCs/>
                <w:sz w:val="16"/>
                <w:szCs w:val="16"/>
              </w:rPr>
            </w:pPr>
            <w:r>
              <w:rPr>
                <w:rFonts w:ascii="Arial" w:hAnsi="Arial" w:cs="Arial"/>
                <w:b/>
                <w:bCs/>
                <w:sz w:val="16"/>
                <w:szCs w:val="16"/>
              </w:rPr>
              <w:t>OWN-SOURCE INCOME</w:t>
            </w:r>
          </w:p>
        </w:tc>
        <w:tc>
          <w:tcPr>
            <w:tcW w:w="963" w:type="dxa"/>
            <w:gridSpan w:val="2"/>
            <w:tcBorders>
              <w:top w:val="nil"/>
              <w:left w:val="nil"/>
              <w:bottom w:val="nil"/>
              <w:right w:val="nil"/>
            </w:tcBorders>
            <w:shd w:val="clear" w:color="auto" w:fill="auto"/>
            <w:noWrap/>
            <w:vAlign w:val="bottom"/>
            <w:hideMark/>
          </w:tcPr>
          <w:p w14:paraId="09CC5E5C" w14:textId="77777777" w:rsidR="00D27302" w:rsidRPr="002943D2" w:rsidRDefault="00D27302" w:rsidP="00D27302">
            <w:pPr>
              <w:spacing w:before="0" w:after="0" w:line="240" w:lineRule="auto"/>
              <w:rPr>
                <w:rFonts w:ascii="Arial" w:hAnsi="Arial" w:cs="Arial"/>
                <w:b/>
                <w:bCs/>
                <w:sz w:val="16"/>
                <w:szCs w:val="16"/>
              </w:rPr>
            </w:pPr>
          </w:p>
        </w:tc>
        <w:tc>
          <w:tcPr>
            <w:tcW w:w="968" w:type="dxa"/>
            <w:gridSpan w:val="2"/>
            <w:tcBorders>
              <w:top w:val="nil"/>
              <w:left w:val="nil"/>
              <w:bottom w:val="nil"/>
              <w:right w:val="nil"/>
            </w:tcBorders>
            <w:shd w:val="clear" w:color="000000" w:fill="D9D9D9"/>
            <w:noWrap/>
            <w:vAlign w:val="bottom"/>
            <w:hideMark/>
          </w:tcPr>
          <w:p w14:paraId="004CA60C" w14:textId="1CC2BD3B"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 </w:t>
            </w:r>
          </w:p>
        </w:tc>
        <w:tc>
          <w:tcPr>
            <w:tcW w:w="964" w:type="dxa"/>
            <w:gridSpan w:val="2"/>
            <w:tcBorders>
              <w:top w:val="nil"/>
              <w:left w:val="nil"/>
              <w:bottom w:val="nil"/>
              <w:right w:val="nil"/>
            </w:tcBorders>
            <w:shd w:val="clear" w:color="auto" w:fill="auto"/>
            <w:noWrap/>
            <w:vAlign w:val="bottom"/>
            <w:hideMark/>
          </w:tcPr>
          <w:p w14:paraId="178ADDCC" w14:textId="77777777" w:rsidR="00D27302" w:rsidRPr="002943D2" w:rsidRDefault="00D27302" w:rsidP="00D27302">
            <w:pPr>
              <w:spacing w:before="0" w:after="0" w:line="240" w:lineRule="auto"/>
              <w:jc w:val="right"/>
              <w:rPr>
                <w:rFonts w:ascii="Arial" w:hAnsi="Arial" w:cs="Arial"/>
                <w:b/>
                <w:bCs/>
                <w:sz w:val="16"/>
                <w:szCs w:val="16"/>
              </w:rPr>
            </w:pPr>
          </w:p>
        </w:tc>
        <w:tc>
          <w:tcPr>
            <w:tcW w:w="964" w:type="dxa"/>
            <w:gridSpan w:val="2"/>
            <w:tcBorders>
              <w:top w:val="nil"/>
              <w:left w:val="nil"/>
              <w:bottom w:val="nil"/>
              <w:right w:val="nil"/>
            </w:tcBorders>
            <w:shd w:val="clear" w:color="auto" w:fill="auto"/>
            <w:noWrap/>
            <w:vAlign w:val="bottom"/>
            <w:hideMark/>
          </w:tcPr>
          <w:p w14:paraId="456BA0DE" w14:textId="77777777" w:rsidR="00D27302" w:rsidRPr="002943D2" w:rsidRDefault="00D27302" w:rsidP="00D27302">
            <w:pPr>
              <w:spacing w:before="0" w:after="0" w:line="240" w:lineRule="auto"/>
              <w:jc w:val="right"/>
              <w:rPr>
                <w:rFonts w:ascii="Times New Roman" w:hAnsi="Times New Roman"/>
                <w:sz w:val="20"/>
              </w:rPr>
            </w:pPr>
          </w:p>
        </w:tc>
        <w:tc>
          <w:tcPr>
            <w:tcW w:w="907" w:type="dxa"/>
            <w:gridSpan w:val="2"/>
            <w:tcBorders>
              <w:top w:val="nil"/>
              <w:left w:val="nil"/>
              <w:bottom w:val="nil"/>
              <w:right w:val="nil"/>
            </w:tcBorders>
            <w:shd w:val="clear" w:color="auto" w:fill="auto"/>
            <w:noWrap/>
            <w:vAlign w:val="bottom"/>
            <w:hideMark/>
          </w:tcPr>
          <w:p w14:paraId="4D0750FA" w14:textId="77777777" w:rsidR="00D27302" w:rsidRPr="002943D2" w:rsidRDefault="00D27302" w:rsidP="00D27302">
            <w:pPr>
              <w:spacing w:before="0" w:after="0" w:line="240" w:lineRule="auto"/>
              <w:jc w:val="right"/>
              <w:rPr>
                <w:rFonts w:ascii="Times New Roman" w:hAnsi="Times New Roman"/>
                <w:sz w:val="20"/>
              </w:rPr>
            </w:pPr>
          </w:p>
        </w:tc>
      </w:tr>
      <w:tr w:rsidR="00D27302" w:rsidRPr="002943D2" w14:paraId="63A5A688"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04492E83" w14:textId="059FF8C6" w:rsidR="00D27302" w:rsidRPr="002943D2" w:rsidRDefault="00D27302" w:rsidP="00D27302">
            <w:pPr>
              <w:spacing w:before="0" w:after="0" w:line="240" w:lineRule="auto"/>
              <w:ind w:firstLineChars="100" w:firstLine="161"/>
              <w:rPr>
                <w:rFonts w:ascii="Arial" w:hAnsi="Arial" w:cs="Arial"/>
                <w:b/>
                <w:bCs/>
                <w:sz w:val="16"/>
                <w:szCs w:val="16"/>
              </w:rPr>
            </w:pPr>
            <w:r>
              <w:rPr>
                <w:rFonts w:ascii="Arial" w:hAnsi="Arial" w:cs="Arial"/>
                <w:b/>
                <w:bCs/>
                <w:sz w:val="16"/>
                <w:szCs w:val="16"/>
              </w:rPr>
              <w:t>Revenue</w:t>
            </w:r>
          </w:p>
        </w:tc>
        <w:tc>
          <w:tcPr>
            <w:tcW w:w="963" w:type="dxa"/>
            <w:gridSpan w:val="2"/>
            <w:tcBorders>
              <w:top w:val="nil"/>
              <w:left w:val="nil"/>
              <w:bottom w:val="nil"/>
              <w:right w:val="nil"/>
            </w:tcBorders>
            <w:shd w:val="clear" w:color="auto" w:fill="auto"/>
            <w:noWrap/>
            <w:vAlign w:val="bottom"/>
            <w:hideMark/>
          </w:tcPr>
          <w:p w14:paraId="068A048D" w14:textId="77777777" w:rsidR="00D27302" w:rsidRPr="002943D2" w:rsidRDefault="00D27302" w:rsidP="00D27302">
            <w:pPr>
              <w:spacing w:before="0" w:after="0" w:line="240" w:lineRule="auto"/>
              <w:ind w:firstLineChars="100" w:firstLine="161"/>
              <w:rPr>
                <w:rFonts w:ascii="Arial" w:hAnsi="Arial" w:cs="Arial"/>
                <w:b/>
                <w:bCs/>
                <w:sz w:val="16"/>
                <w:szCs w:val="16"/>
              </w:rPr>
            </w:pPr>
          </w:p>
        </w:tc>
        <w:tc>
          <w:tcPr>
            <w:tcW w:w="968" w:type="dxa"/>
            <w:gridSpan w:val="2"/>
            <w:tcBorders>
              <w:top w:val="nil"/>
              <w:left w:val="nil"/>
              <w:bottom w:val="nil"/>
              <w:right w:val="nil"/>
            </w:tcBorders>
            <w:shd w:val="clear" w:color="000000" w:fill="D9D9D9"/>
            <w:noWrap/>
            <w:vAlign w:val="bottom"/>
            <w:hideMark/>
          </w:tcPr>
          <w:p w14:paraId="77DD4819" w14:textId="4E4739BB"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 </w:t>
            </w:r>
          </w:p>
        </w:tc>
        <w:tc>
          <w:tcPr>
            <w:tcW w:w="964" w:type="dxa"/>
            <w:gridSpan w:val="2"/>
            <w:tcBorders>
              <w:top w:val="nil"/>
              <w:left w:val="nil"/>
              <w:bottom w:val="nil"/>
              <w:right w:val="nil"/>
            </w:tcBorders>
            <w:shd w:val="clear" w:color="auto" w:fill="auto"/>
            <w:noWrap/>
            <w:vAlign w:val="bottom"/>
            <w:hideMark/>
          </w:tcPr>
          <w:p w14:paraId="7F23CDBB" w14:textId="77777777" w:rsidR="00D27302" w:rsidRPr="002943D2" w:rsidRDefault="00D27302" w:rsidP="00D27302">
            <w:pPr>
              <w:spacing w:before="0" w:after="0" w:line="240" w:lineRule="auto"/>
              <w:jc w:val="right"/>
              <w:rPr>
                <w:rFonts w:ascii="Arial" w:hAnsi="Arial" w:cs="Arial"/>
                <w:b/>
                <w:bCs/>
                <w:sz w:val="16"/>
                <w:szCs w:val="16"/>
              </w:rPr>
            </w:pPr>
          </w:p>
        </w:tc>
        <w:tc>
          <w:tcPr>
            <w:tcW w:w="964" w:type="dxa"/>
            <w:gridSpan w:val="2"/>
            <w:tcBorders>
              <w:top w:val="nil"/>
              <w:left w:val="nil"/>
              <w:bottom w:val="nil"/>
              <w:right w:val="nil"/>
            </w:tcBorders>
            <w:shd w:val="clear" w:color="auto" w:fill="auto"/>
            <w:noWrap/>
            <w:vAlign w:val="bottom"/>
            <w:hideMark/>
          </w:tcPr>
          <w:p w14:paraId="1B987972" w14:textId="77777777" w:rsidR="00D27302" w:rsidRPr="002943D2" w:rsidRDefault="00D27302" w:rsidP="00D27302">
            <w:pPr>
              <w:spacing w:before="0" w:after="0" w:line="240" w:lineRule="auto"/>
              <w:jc w:val="right"/>
              <w:rPr>
                <w:rFonts w:ascii="Times New Roman" w:hAnsi="Times New Roman"/>
                <w:sz w:val="20"/>
              </w:rPr>
            </w:pPr>
          </w:p>
        </w:tc>
        <w:tc>
          <w:tcPr>
            <w:tcW w:w="907" w:type="dxa"/>
            <w:gridSpan w:val="2"/>
            <w:tcBorders>
              <w:top w:val="nil"/>
              <w:left w:val="nil"/>
              <w:bottom w:val="nil"/>
              <w:right w:val="nil"/>
            </w:tcBorders>
            <w:shd w:val="clear" w:color="auto" w:fill="auto"/>
            <w:noWrap/>
            <w:vAlign w:val="bottom"/>
            <w:hideMark/>
          </w:tcPr>
          <w:p w14:paraId="4377BD4A" w14:textId="77777777" w:rsidR="00D27302" w:rsidRPr="002943D2" w:rsidRDefault="00D27302" w:rsidP="00D27302">
            <w:pPr>
              <w:spacing w:before="0" w:after="0" w:line="240" w:lineRule="auto"/>
              <w:jc w:val="right"/>
              <w:rPr>
                <w:rFonts w:ascii="Times New Roman" w:hAnsi="Times New Roman"/>
                <w:sz w:val="20"/>
              </w:rPr>
            </w:pPr>
          </w:p>
        </w:tc>
      </w:tr>
      <w:tr w:rsidR="00D27302" w:rsidRPr="002943D2" w14:paraId="41F1424E" w14:textId="77777777" w:rsidTr="00257ACF">
        <w:trPr>
          <w:trHeight w:val="425"/>
          <w:jc w:val="center"/>
        </w:trPr>
        <w:tc>
          <w:tcPr>
            <w:tcW w:w="2945" w:type="dxa"/>
            <w:tcBorders>
              <w:top w:val="nil"/>
              <w:left w:val="nil"/>
              <w:bottom w:val="nil"/>
              <w:right w:val="nil"/>
            </w:tcBorders>
            <w:shd w:val="clear" w:color="auto" w:fill="auto"/>
            <w:vAlign w:val="bottom"/>
            <w:hideMark/>
          </w:tcPr>
          <w:p w14:paraId="64F2A9C3" w14:textId="1DFB6C23" w:rsidR="00D27302" w:rsidRPr="002943D2" w:rsidRDefault="00D27302" w:rsidP="00281A13">
            <w:pPr>
              <w:spacing w:before="0" w:after="0" w:line="240" w:lineRule="auto"/>
              <w:ind w:leftChars="150" w:left="285"/>
              <w:rPr>
                <w:rFonts w:ascii="Arial" w:hAnsi="Arial" w:cs="Arial"/>
                <w:sz w:val="16"/>
                <w:szCs w:val="16"/>
              </w:rPr>
            </w:pPr>
            <w:r>
              <w:rPr>
                <w:rFonts w:ascii="Arial" w:hAnsi="Arial" w:cs="Arial"/>
                <w:sz w:val="16"/>
                <w:szCs w:val="16"/>
              </w:rPr>
              <w:t>Sale of goods and rendering of services</w:t>
            </w:r>
          </w:p>
        </w:tc>
        <w:tc>
          <w:tcPr>
            <w:tcW w:w="963" w:type="dxa"/>
            <w:gridSpan w:val="2"/>
            <w:tcBorders>
              <w:top w:val="nil"/>
              <w:left w:val="nil"/>
              <w:bottom w:val="nil"/>
              <w:right w:val="nil"/>
            </w:tcBorders>
            <w:shd w:val="clear" w:color="auto" w:fill="auto"/>
            <w:noWrap/>
            <w:vAlign w:val="bottom"/>
            <w:hideMark/>
          </w:tcPr>
          <w:p w14:paraId="4C678F6E" w14:textId="588ED520"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220</w:t>
            </w:r>
          </w:p>
        </w:tc>
        <w:tc>
          <w:tcPr>
            <w:tcW w:w="968" w:type="dxa"/>
            <w:gridSpan w:val="2"/>
            <w:tcBorders>
              <w:top w:val="nil"/>
              <w:left w:val="nil"/>
              <w:bottom w:val="nil"/>
              <w:right w:val="nil"/>
            </w:tcBorders>
            <w:shd w:val="clear" w:color="000000" w:fill="D9D9D9"/>
            <w:noWrap/>
            <w:vAlign w:val="bottom"/>
            <w:hideMark/>
          </w:tcPr>
          <w:p w14:paraId="3BF656E3" w14:textId="77B07AC7"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64" w:type="dxa"/>
            <w:gridSpan w:val="2"/>
            <w:tcBorders>
              <w:top w:val="nil"/>
              <w:left w:val="nil"/>
              <w:bottom w:val="nil"/>
              <w:right w:val="nil"/>
            </w:tcBorders>
            <w:shd w:val="clear" w:color="auto" w:fill="auto"/>
            <w:noWrap/>
            <w:vAlign w:val="bottom"/>
            <w:hideMark/>
          </w:tcPr>
          <w:p w14:paraId="747019D4" w14:textId="1A659CF6"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64" w:type="dxa"/>
            <w:gridSpan w:val="2"/>
            <w:tcBorders>
              <w:top w:val="nil"/>
              <w:left w:val="nil"/>
              <w:bottom w:val="nil"/>
              <w:right w:val="nil"/>
            </w:tcBorders>
            <w:shd w:val="clear" w:color="auto" w:fill="auto"/>
            <w:noWrap/>
            <w:vAlign w:val="bottom"/>
            <w:hideMark/>
          </w:tcPr>
          <w:p w14:paraId="0B9BD247" w14:textId="7B118A29"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07" w:type="dxa"/>
            <w:gridSpan w:val="2"/>
            <w:tcBorders>
              <w:top w:val="nil"/>
              <w:left w:val="nil"/>
              <w:bottom w:val="nil"/>
              <w:right w:val="nil"/>
            </w:tcBorders>
            <w:shd w:val="clear" w:color="auto" w:fill="auto"/>
            <w:noWrap/>
            <w:vAlign w:val="bottom"/>
            <w:hideMark/>
          </w:tcPr>
          <w:p w14:paraId="73DEB5CC" w14:textId="527DB801"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r>
      <w:tr w:rsidR="00D27302" w:rsidRPr="002943D2" w14:paraId="248B5D6D"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5F897317" w14:textId="39A31CD7" w:rsidR="00D27302" w:rsidRPr="002943D2" w:rsidRDefault="00D27302" w:rsidP="00281A13">
            <w:pPr>
              <w:spacing w:before="0" w:after="0" w:line="240" w:lineRule="auto"/>
              <w:ind w:leftChars="150" w:left="285"/>
              <w:rPr>
                <w:rFonts w:ascii="Arial" w:hAnsi="Arial" w:cs="Arial"/>
                <w:sz w:val="16"/>
                <w:szCs w:val="16"/>
              </w:rPr>
            </w:pPr>
            <w:r>
              <w:rPr>
                <w:rFonts w:ascii="Arial" w:hAnsi="Arial" w:cs="Arial"/>
                <w:sz w:val="16"/>
                <w:szCs w:val="16"/>
              </w:rPr>
              <w:t>Other revenue</w:t>
            </w:r>
          </w:p>
        </w:tc>
        <w:tc>
          <w:tcPr>
            <w:tcW w:w="963" w:type="dxa"/>
            <w:gridSpan w:val="2"/>
            <w:tcBorders>
              <w:top w:val="nil"/>
              <w:left w:val="nil"/>
              <w:bottom w:val="nil"/>
              <w:right w:val="nil"/>
            </w:tcBorders>
            <w:shd w:val="clear" w:color="auto" w:fill="auto"/>
            <w:noWrap/>
            <w:vAlign w:val="bottom"/>
            <w:hideMark/>
          </w:tcPr>
          <w:p w14:paraId="37112182" w14:textId="3B0A07A4"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43</w:t>
            </w:r>
          </w:p>
        </w:tc>
        <w:tc>
          <w:tcPr>
            <w:tcW w:w="968" w:type="dxa"/>
            <w:gridSpan w:val="2"/>
            <w:tcBorders>
              <w:top w:val="nil"/>
              <w:left w:val="nil"/>
              <w:bottom w:val="nil"/>
              <w:right w:val="nil"/>
            </w:tcBorders>
            <w:shd w:val="clear" w:color="000000" w:fill="D9D9D9"/>
            <w:noWrap/>
            <w:vAlign w:val="bottom"/>
            <w:hideMark/>
          </w:tcPr>
          <w:p w14:paraId="273F3E23" w14:textId="7E199321"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64" w:type="dxa"/>
            <w:gridSpan w:val="2"/>
            <w:tcBorders>
              <w:top w:val="nil"/>
              <w:left w:val="nil"/>
              <w:bottom w:val="nil"/>
              <w:right w:val="nil"/>
            </w:tcBorders>
            <w:shd w:val="clear" w:color="auto" w:fill="auto"/>
            <w:noWrap/>
            <w:vAlign w:val="bottom"/>
            <w:hideMark/>
          </w:tcPr>
          <w:p w14:paraId="403F8A40" w14:textId="2B76BAAB"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64" w:type="dxa"/>
            <w:gridSpan w:val="2"/>
            <w:tcBorders>
              <w:top w:val="nil"/>
              <w:left w:val="nil"/>
              <w:bottom w:val="nil"/>
              <w:right w:val="nil"/>
            </w:tcBorders>
            <w:shd w:val="clear" w:color="auto" w:fill="auto"/>
            <w:noWrap/>
            <w:vAlign w:val="bottom"/>
            <w:hideMark/>
          </w:tcPr>
          <w:p w14:paraId="60A7824E" w14:textId="3B5E1188"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c>
          <w:tcPr>
            <w:tcW w:w="907" w:type="dxa"/>
            <w:gridSpan w:val="2"/>
            <w:tcBorders>
              <w:top w:val="nil"/>
              <w:left w:val="nil"/>
              <w:bottom w:val="nil"/>
              <w:right w:val="nil"/>
            </w:tcBorders>
            <w:shd w:val="clear" w:color="auto" w:fill="auto"/>
            <w:noWrap/>
            <w:vAlign w:val="bottom"/>
            <w:hideMark/>
          </w:tcPr>
          <w:p w14:paraId="153EC800" w14:textId="22AF31EF"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w:t>
            </w:r>
          </w:p>
        </w:tc>
      </w:tr>
      <w:tr w:rsidR="00D27302" w:rsidRPr="002943D2" w14:paraId="4130E46A"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118BE5A2" w14:textId="51AEA146" w:rsidR="00D27302" w:rsidRPr="002943D2" w:rsidRDefault="00D27302" w:rsidP="00281A13">
            <w:pPr>
              <w:spacing w:before="0" w:after="0" w:line="240" w:lineRule="auto"/>
              <w:ind w:leftChars="150" w:left="285"/>
              <w:rPr>
                <w:rFonts w:ascii="Arial" w:hAnsi="Arial" w:cs="Arial"/>
                <w:b/>
                <w:bCs/>
                <w:sz w:val="16"/>
                <w:szCs w:val="16"/>
              </w:rPr>
            </w:pPr>
            <w:r>
              <w:rPr>
                <w:rFonts w:ascii="Arial" w:hAnsi="Arial" w:cs="Arial"/>
                <w:b/>
                <w:bCs/>
                <w:sz w:val="16"/>
                <w:szCs w:val="16"/>
              </w:rPr>
              <w:t>Total revenue</w:t>
            </w:r>
          </w:p>
        </w:tc>
        <w:tc>
          <w:tcPr>
            <w:tcW w:w="963" w:type="dxa"/>
            <w:gridSpan w:val="2"/>
            <w:tcBorders>
              <w:top w:val="nil"/>
              <w:left w:val="nil"/>
              <w:bottom w:val="single" w:sz="4" w:space="0" w:color="auto"/>
              <w:right w:val="nil"/>
            </w:tcBorders>
            <w:shd w:val="clear" w:color="auto" w:fill="auto"/>
            <w:noWrap/>
            <w:vAlign w:val="bottom"/>
            <w:hideMark/>
          </w:tcPr>
          <w:p w14:paraId="3EF532D2" w14:textId="16AED5AA"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263</w:t>
            </w:r>
          </w:p>
        </w:tc>
        <w:tc>
          <w:tcPr>
            <w:tcW w:w="968" w:type="dxa"/>
            <w:gridSpan w:val="2"/>
            <w:tcBorders>
              <w:top w:val="nil"/>
              <w:left w:val="nil"/>
              <w:bottom w:val="single" w:sz="4" w:space="0" w:color="auto"/>
              <w:right w:val="nil"/>
            </w:tcBorders>
            <w:shd w:val="clear" w:color="000000" w:fill="D9D9D9"/>
            <w:noWrap/>
            <w:vAlign w:val="bottom"/>
            <w:hideMark/>
          </w:tcPr>
          <w:p w14:paraId="5FAB7A41" w14:textId="7275AAF4"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w:t>
            </w:r>
          </w:p>
        </w:tc>
        <w:tc>
          <w:tcPr>
            <w:tcW w:w="964" w:type="dxa"/>
            <w:gridSpan w:val="2"/>
            <w:tcBorders>
              <w:top w:val="nil"/>
              <w:left w:val="nil"/>
              <w:bottom w:val="single" w:sz="4" w:space="0" w:color="auto"/>
              <w:right w:val="nil"/>
            </w:tcBorders>
            <w:shd w:val="clear" w:color="auto" w:fill="auto"/>
            <w:noWrap/>
            <w:vAlign w:val="bottom"/>
            <w:hideMark/>
          </w:tcPr>
          <w:p w14:paraId="507DF2E5" w14:textId="6A421C7D"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w:t>
            </w:r>
          </w:p>
        </w:tc>
        <w:tc>
          <w:tcPr>
            <w:tcW w:w="964" w:type="dxa"/>
            <w:gridSpan w:val="2"/>
            <w:tcBorders>
              <w:top w:val="nil"/>
              <w:left w:val="nil"/>
              <w:bottom w:val="single" w:sz="4" w:space="0" w:color="auto"/>
              <w:right w:val="nil"/>
            </w:tcBorders>
            <w:shd w:val="clear" w:color="auto" w:fill="auto"/>
            <w:noWrap/>
            <w:vAlign w:val="bottom"/>
            <w:hideMark/>
          </w:tcPr>
          <w:p w14:paraId="0ADC0885" w14:textId="47471A27"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w:t>
            </w:r>
          </w:p>
        </w:tc>
        <w:tc>
          <w:tcPr>
            <w:tcW w:w="907" w:type="dxa"/>
            <w:gridSpan w:val="2"/>
            <w:tcBorders>
              <w:top w:val="nil"/>
              <w:left w:val="nil"/>
              <w:bottom w:val="single" w:sz="4" w:space="0" w:color="auto"/>
              <w:right w:val="nil"/>
            </w:tcBorders>
            <w:shd w:val="clear" w:color="auto" w:fill="auto"/>
            <w:noWrap/>
            <w:vAlign w:val="bottom"/>
            <w:hideMark/>
          </w:tcPr>
          <w:p w14:paraId="363F9B2D" w14:textId="1382844E"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w:t>
            </w:r>
          </w:p>
        </w:tc>
      </w:tr>
      <w:tr w:rsidR="00D27302" w:rsidRPr="002943D2" w14:paraId="3906F630" w14:textId="77777777" w:rsidTr="00257ACF">
        <w:trPr>
          <w:trHeight w:val="283"/>
          <w:jc w:val="center"/>
        </w:trPr>
        <w:tc>
          <w:tcPr>
            <w:tcW w:w="2945" w:type="dxa"/>
            <w:tcBorders>
              <w:top w:val="nil"/>
              <w:left w:val="nil"/>
              <w:bottom w:val="nil"/>
              <w:right w:val="nil"/>
            </w:tcBorders>
            <w:shd w:val="clear" w:color="auto" w:fill="auto"/>
            <w:noWrap/>
            <w:vAlign w:val="bottom"/>
            <w:hideMark/>
          </w:tcPr>
          <w:p w14:paraId="0BB792E6" w14:textId="3C42A5BE" w:rsidR="00D27302" w:rsidRPr="002943D2" w:rsidRDefault="00D27302" w:rsidP="00D27302">
            <w:pPr>
              <w:spacing w:before="0" w:after="0" w:line="240" w:lineRule="auto"/>
              <w:ind w:firstLineChars="100" w:firstLine="161"/>
              <w:rPr>
                <w:rFonts w:ascii="Arial" w:hAnsi="Arial" w:cs="Arial"/>
                <w:b/>
                <w:bCs/>
                <w:sz w:val="16"/>
                <w:szCs w:val="16"/>
              </w:rPr>
            </w:pPr>
            <w:r>
              <w:rPr>
                <w:rFonts w:ascii="Arial" w:hAnsi="Arial" w:cs="Arial"/>
                <w:b/>
                <w:bCs/>
                <w:sz w:val="16"/>
                <w:szCs w:val="16"/>
              </w:rPr>
              <w:t>Gains</w:t>
            </w:r>
          </w:p>
        </w:tc>
        <w:tc>
          <w:tcPr>
            <w:tcW w:w="963" w:type="dxa"/>
            <w:gridSpan w:val="2"/>
            <w:tcBorders>
              <w:top w:val="nil"/>
              <w:left w:val="nil"/>
              <w:bottom w:val="nil"/>
              <w:right w:val="nil"/>
            </w:tcBorders>
            <w:shd w:val="clear" w:color="auto" w:fill="auto"/>
            <w:noWrap/>
            <w:vAlign w:val="bottom"/>
            <w:hideMark/>
          </w:tcPr>
          <w:p w14:paraId="1C8B339C" w14:textId="77777777" w:rsidR="00D27302" w:rsidRPr="002943D2" w:rsidRDefault="00D27302" w:rsidP="00D27302">
            <w:pPr>
              <w:spacing w:before="0" w:after="0" w:line="240" w:lineRule="auto"/>
              <w:ind w:firstLineChars="100" w:firstLine="161"/>
              <w:rPr>
                <w:rFonts w:ascii="Arial" w:hAnsi="Arial" w:cs="Arial"/>
                <w:b/>
                <w:bCs/>
                <w:sz w:val="16"/>
                <w:szCs w:val="16"/>
              </w:rPr>
            </w:pPr>
          </w:p>
        </w:tc>
        <w:tc>
          <w:tcPr>
            <w:tcW w:w="968" w:type="dxa"/>
            <w:gridSpan w:val="2"/>
            <w:tcBorders>
              <w:top w:val="nil"/>
              <w:left w:val="nil"/>
              <w:bottom w:val="nil"/>
              <w:right w:val="nil"/>
            </w:tcBorders>
            <w:shd w:val="clear" w:color="000000" w:fill="D9D9D9"/>
            <w:noWrap/>
            <w:vAlign w:val="bottom"/>
            <w:hideMark/>
          </w:tcPr>
          <w:p w14:paraId="2347A80A" w14:textId="385C3FA9"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 </w:t>
            </w:r>
          </w:p>
        </w:tc>
        <w:tc>
          <w:tcPr>
            <w:tcW w:w="964" w:type="dxa"/>
            <w:gridSpan w:val="2"/>
            <w:tcBorders>
              <w:top w:val="nil"/>
              <w:left w:val="nil"/>
              <w:bottom w:val="nil"/>
              <w:right w:val="nil"/>
            </w:tcBorders>
            <w:shd w:val="clear" w:color="auto" w:fill="auto"/>
            <w:noWrap/>
            <w:vAlign w:val="bottom"/>
            <w:hideMark/>
          </w:tcPr>
          <w:p w14:paraId="0F063C3C" w14:textId="77777777" w:rsidR="00D27302" w:rsidRPr="002943D2" w:rsidRDefault="00D27302" w:rsidP="00D27302">
            <w:pPr>
              <w:spacing w:before="0" w:after="0" w:line="240" w:lineRule="auto"/>
              <w:jc w:val="right"/>
              <w:rPr>
                <w:rFonts w:ascii="Arial" w:hAnsi="Arial" w:cs="Arial"/>
                <w:b/>
                <w:bCs/>
                <w:sz w:val="16"/>
                <w:szCs w:val="16"/>
              </w:rPr>
            </w:pPr>
          </w:p>
        </w:tc>
        <w:tc>
          <w:tcPr>
            <w:tcW w:w="964" w:type="dxa"/>
            <w:gridSpan w:val="2"/>
            <w:tcBorders>
              <w:top w:val="nil"/>
              <w:left w:val="nil"/>
              <w:bottom w:val="nil"/>
              <w:right w:val="nil"/>
            </w:tcBorders>
            <w:shd w:val="clear" w:color="auto" w:fill="auto"/>
            <w:noWrap/>
            <w:vAlign w:val="bottom"/>
            <w:hideMark/>
          </w:tcPr>
          <w:p w14:paraId="7D4190E7" w14:textId="77777777" w:rsidR="00D27302" w:rsidRPr="002943D2" w:rsidRDefault="00D27302" w:rsidP="00D27302">
            <w:pPr>
              <w:spacing w:before="0" w:after="0" w:line="240" w:lineRule="auto"/>
              <w:jc w:val="right"/>
              <w:rPr>
                <w:rFonts w:ascii="Times New Roman" w:hAnsi="Times New Roman"/>
                <w:sz w:val="20"/>
              </w:rPr>
            </w:pPr>
          </w:p>
        </w:tc>
        <w:tc>
          <w:tcPr>
            <w:tcW w:w="907" w:type="dxa"/>
            <w:gridSpan w:val="2"/>
            <w:tcBorders>
              <w:top w:val="nil"/>
              <w:left w:val="nil"/>
              <w:bottom w:val="nil"/>
              <w:right w:val="nil"/>
            </w:tcBorders>
            <w:shd w:val="clear" w:color="auto" w:fill="auto"/>
            <w:noWrap/>
            <w:vAlign w:val="bottom"/>
            <w:hideMark/>
          </w:tcPr>
          <w:p w14:paraId="5760D638" w14:textId="77777777" w:rsidR="00D27302" w:rsidRPr="002943D2" w:rsidRDefault="00D27302" w:rsidP="00D27302">
            <w:pPr>
              <w:spacing w:before="0" w:after="0" w:line="240" w:lineRule="auto"/>
              <w:jc w:val="right"/>
              <w:rPr>
                <w:rFonts w:ascii="Times New Roman" w:hAnsi="Times New Roman"/>
                <w:sz w:val="20"/>
              </w:rPr>
            </w:pPr>
          </w:p>
        </w:tc>
      </w:tr>
      <w:tr w:rsidR="00D27302" w:rsidRPr="002943D2" w14:paraId="47389E2D" w14:textId="77777777" w:rsidTr="00257ACF">
        <w:trPr>
          <w:trHeight w:val="227"/>
          <w:jc w:val="center"/>
        </w:trPr>
        <w:tc>
          <w:tcPr>
            <w:tcW w:w="2945" w:type="dxa"/>
            <w:tcBorders>
              <w:top w:val="nil"/>
              <w:left w:val="nil"/>
              <w:bottom w:val="nil"/>
              <w:right w:val="nil"/>
            </w:tcBorders>
            <w:shd w:val="clear" w:color="auto" w:fill="auto"/>
            <w:noWrap/>
            <w:vAlign w:val="bottom"/>
            <w:hideMark/>
          </w:tcPr>
          <w:p w14:paraId="5B1F7317" w14:textId="7BBB602F" w:rsidR="00D27302" w:rsidRPr="002943D2" w:rsidRDefault="00D27302" w:rsidP="00281A13">
            <w:pPr>
              <w:spacing w:before="0" w:after="0" w:line="240" w:lineRule="auto"/>
              <w:ind w:leftChars="150" w:left="285"/>
              <w:rPr>
                <w:rFonts w:ascii="Arial" w:hAnsi="Arial" w:cs="Arial"/>
                <w:sz w:val="16"/>
                <w:szCs w:val="16"/>
              </w:rPr>
            </w:pPr>
            <w:r>
              <w:rPr>
                <w:rFonts w:ascii="Arial" w:hAnsi="Arial" w:cs="Arial"/>
                <w:sz w:val="16"/>
                <w:szCs w:val="16"/>
              </w:rPr>
              <w:t>Other</w:t>
            </w:r>
          </w:p>
        </w:tc>
        <w:tc>
          <w:tcPr>
            <w:tcW w:w="963" w:type="dxa"/>
            <w:gridSpan w:val="2"/>
            <w:tcBorders>
              <w:top w:val="nil"/>
              <w:left w:val="nil"/>
              <w:bottom w:val="nil"/>
              <w:right w:val="nil"/>
            </w:tcBorders>
            <w:shd w:val="clear" w:color="auto" w:fill="auto"/>
            <w:noWrap/>
            <w:vAlign w:val="bottom"/>
            <w:hideMark/>
          </w:tcPr>
          <w:p w14:paraId="608F2985" w14:textId="07F4297A"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2</w:t>
            </w:r>
          </w:p>
        </w:tc>
        <w:tc>
          <w:tcPr>
            <w:tcW w:w="968" w:type="dxa"/>
            <w:gridSpan w:val="2"/>
            <w:tcBorders>
              <w:top w:val="nil"/>
              <w:left w:val="nil"/>
              <w:bottom w:val="nil"/>
              <w:right w:val="nil"/>
            </w:tcBorders>
            <w:shd w:val="clear" w:color="000000" w:fill="D9D9D9"/>
            <w:noWrap/>
            <w:vAlign w:val="bottom"/>
            <w:hideMark/>
          </w:tcPr>
          <w:p w14:paraId="6F38D04B" w14:textId="25D5ED39"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45</w:t>
            </w:r>
          </w:p>
        </w:tc>
        <w:tc>
          <w:tcPr>
            <w:tcW w:w="964" w:type="dxa"/>
            <w:gridSpan w:val="2"/>
            <w:tcBorders>
              <w:top w:val="nil"/>
              <w:left w:val="nil"/>
              <w:bottom w:val="nil"/>
              <w:right w:val="nil"/>
            </w:tcBorders>
            <w:shd w:val="clear" w:color="auto" w:fill="auto"/>
            <w:noWrap/>
            <w:vAlign w:val="bottom"/>
            <w:hideMark/>
          </w:tcPr>
          <w:p w14:paraId="719BCC8C" w14:textId="15B520C9"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45</w:t>
            </w:r>
          </w:p>
        </w:tc>
        <w:tc>
          <w:tcPr>
            <w:tcW w:w="964" w:type="dxa"/>
            <w:gridSpan w:val="2"/>
            <w:tcBorders>
              <w:top w:val="nil"/>
              <w:left w:val="nil"/>
              <w:bottom w:val="nil"/>
              <w:right w:val="nil"/>
            </w:tcBorders>
            <w:shd w:val="clear" w:color="auto" w:fill="auto"/>
            <w:noWrap/>
            <w:vAlign w:val="bottom"/>
            <w:hideMark/>
          </w:tcPr>
          <w:p w14:paraId="01030815" w14:textId="7A9BCDB1"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45</w:t>
            </w:r>
          </w:p>
        </w:tc>
        <w:tc>
          <w:tcPr>
            <w:tcW w:w="907" w:type="dxa"/>
            <w:gridSpan w:val="2"/>
            <w:tcBorders>
              <w:top w:val="nil"/>
              <w:left w:val="nil"/>
              <w:bottom w:val="nil"/>
              <w:right w:val="nil"/>
            </w:tcBorders>
            <w:shd w:val="clear" w:color="auto" w:fill="auto"/>
            <w:noWrap/>
            <w:vAlign w:val="bottom"/>
            <w:hideMark/>
          </w:tcPr>
          <w:p w14:paraId="6C59AC6C" w14:textId="11DC42C2" w:rsidR="00D27302" w:rsidRPr="002943D2" w:rsidRDefault="00D27302" w:rsidP="00D27302">
            <w:pPr>
              <w:spacing w:before="0" w:after="0" w:line="240" w:lineRule="auto"/>
              <w:jc w:val="right"/>
              <w:rPr>
                <w:rFonts w:ascii="Arial" w:hAnsi="Arial" w:cs="Arial"/>
                <w:sz w:val="16"/>
                <w:szCs w:val="16"/>
              </w:rPr>
            </w:pPr>
            <w:r>
              <w:rPr>
                <w:rFonts w:ascii="Arial" w:hAnsi="Arial" w:cs="Arial"/>
                <w:sz w:val="16"/>
                <w:szCs w:val="16"/>
              </w:rPr>
              <w:t>45</w:t>
            </w:r>
          </w:p>
        </w:tc>
      </w:tr>
      <w:tr w:rsidR="00D27302" w:rsidRPr="002943D2" w14:paraId="7E6F2631" w14:textId="77777777" w:rsidTr="00257ACF">
        <w:trPr>
          <w:trHeight w:val="227"/>
          <w:jc w:val="center"/>
        </w:trPr>
        <w:tc>
          <w:tcPr>
            <w:tcW w:w="2945" w:type="dxa"/>
            <w:tcBorders>
              <w:top w:val="nil"/>
              <w:left w:val="nil"/>
              <w:bottom w:val="nil"/>
              <w:right w:val="nil"/>
            </w:tcBorders>
            <w:shd w:val="clear" w:color="auto" w:fill="auto"/>
            <w:noWrap/>
            <w:vAlign w:val="bottom"/>
            <w:hideMark/>
          </w:tcPr>
          <w:p w14:paraId="6218FBCA" w14:textId="0CE6E995" w:rsidR="00D27302" w:rsidRPr="002943D2" w:rsidRDefault="00D27302" w:rsidP="00281A13">
            <w:pPr>
              <w:spacing w:before="0" w:after="0" w:line="240" w:lineRule="auto"/>
              <w:ind w:leftChars="150" w:left="285"/>
              <w:rPr>
                <w:rFonts w:ascii="Arial" w:hAnsi="Arial" w:cs="Arial"/>
                <w:b/>
                <w:bCs/>
                <w:sz w:val="16"/>
                <w:szCs w:val="16"/>
              </w:rPr>
            </w:pPr>
            <w:r>
              <w:rPr>
                <w:rFonts w:ascii="Arial" w:hAnsi="Arial" w:cs="Arial"/>
                <w:b/>
                <w:bCs/>
                <w:sz w:val="16"/>
                <w:szCs w:val="16"/>
              </w:rPr>
              <w:t>Total gains</w:t>
            </w:r>
          </w:p>
        </w:tc>
        <w:tc>
          <w:tcPr>
            <w:tcW w:w="963" w:type="dxa"/>
            <w:gridSpan w:val="2"/>
            <w:tcBorders>
              <w:top w:val="nil"/>
              <w:left w:val="nil"/>
              <w:bottom w:val="single" w:sz="4" w:space="0" w:color="auto"/>
              <w:right w:val="nil"/>
            </w:tcBorders>
            <w:shd w:val="clear" w:color="auto" w:fill="auto"/>
            <w:noWrap/>
            <w:vAlign w:val="bottom"/>
            <w:hideMark/>
          </w:tcPr>
          <w:p w14:paraId="73804D3F" w14:textId="1F4A44AD"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2</w:t>
            </w:r>
          </w:p>
        </w:tc>
        <w:tc>
          <w:tcPr>
            <w:tcW w:w="968" w:type="dxa"/>
            <w:gridSpan w:val="2"/>
            <w:tcBorders>
              <w:top w:val="nil"/>
              <w:left w:val="nil"/>
              <w:bottom w:val="single" w:sz="4" w:space="0" w:color="auto"/>
              <w:right w:val="nil"/>
            </w:tcBorders>
            <w:shd w:val="clear" w:color="000000" w:fill="D9D9D9"/>
            <w:noWrap/>
            <w:vAlign w:val="bottom"/>
            <w:hideMark/>
          </w:tcPr>
          <w:p w14:paraId="1C205410" w14:textId="593339FB"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64" w:type="dxa"/>
            <w:gridSpan w:val="2"/>
            <w:tcBorders>
              <w:top w:val="nil"/>
              <w:left w:val="nil"/>
              <w:bottom w:val="single" w:sz="4" w:space="0" w:color="auto"/>
              <w:right w:val="nil"/>
            </w:tcBorders>
            <w:shd w:val="clear" w:color="auto" w:fill="auto"/>
            <w:noWrap/>
            <w:vAlign w:val="bottom"/>
            <w:hideMark/>
          </w:tcPr>
          <w:p w14:paraId="1F45AC20" w14:textId="5EA6CDD4"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64" w:type="dxa"/>
            <w:gridSpan w:val="2"/>
            <w:tcBorders>
              <w:top w:val="nil"/>
              <w:left w:val="nil"/>
              <w:bottom w:val="single" w:sz="4" w:space="0" w:color="auto"/>
              <w:right w:val="nil"/>
            </w:tcBorders>
            <w:shd w:val="clear" w:color="auto" w:fill="auto"/>
            <w:noWrap/>
            <w:vAlign w:val="bottom"/>
            <w:hideMark/>
          </w:tcPr>
          <w:p w14:paraId="4EE917F3" w14:textId="057CE356"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07" w:type="dxa"/>
            <w:gridSpan w:val="2"/>
            <w:tcBorders>
              <w:top w:val="nil"/>
              <w:left w:val="nil"/>
              <w:bottom w:val="single" w:sz="4" w:space="0" w:color="auto"/>
              <w:right w:val="nil"/>
            </w:tcBorders>
            <w:shd w:val="clear" w:color="auto" w:fill="auto"/>
            <w:noWrap/>
            <w:vAlign w:val="bottom"/>
            <w:hideMark/>
          </w:tcPr>
          <w:p w14:paraId="5F489453" w14:textId="1D51F50E"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r>
      <w:tr w:rsidR="00D27302" w:rsidRPr="002943D2" w14:paraId="288B2650" w14:textId="77777777" w:rsidTr="00257ACF">
        <w:trPr>
          <w:trHeight w:val="225"/>
          <w:jc w:val="center"/>
        </w:trPr>
        <w:tc>
          <w:tcPr>
            <w:tcW w:w="2945" w:type="dxa"/>
            <w:tcBorders>
              <w:top w:val="nil"/>
              <w:left w:val="nil"/>
              <w:bottom w:val="nil"/>
              <w:right w:val="nil"/>
            </w:tcBorders>
            <w:shd w:val="clear" w:color="auto" w:fill="auto"/>
            <w:noWrap/>
            <w:vAlign w:val="bottom"/>
            <w:hideMark/>
          </w:tcPr>
          <w:p w14:paraId="0919112D" w14:textId="771E3B4A" w:rsidR="00D27302" w:rsidRPr="002943D2" w:rsidRDefault="00D27302" w:rsidP="00D27302">
            <w:pPr>
              <w:spacing w:before="0" w:after="0" w:line="240" w:lineRule="auto"/>
              <w:ind w:firstLineChars="100" w:firstLine="161"/>
              <w:rPr>
                <w:rFonts w:ascii="Arial" w:hAnsi="Arial" w:cs="Arial"/>
                <w:b/>
                <w:bCs/>
                <w:sz w:val="16"/>
                <w:szCs w:val="16"/>
              </w:rPr>
            </w:pPr>
            <w:r>
              <w:rPr>
                <w:rFonts w:ascii="Arial" w:hAnsi="Arial" w:cs="Arial"/>
                <w:b/>
                <w:bCs/>
                <w:sz w:val="16"/>
                <w:szCs w:val="16"/>
              </w:rPr>
              <w:t>Total own-source income</w:t>
            </w:r>
          </w:p>
        </w:tc>
        <w:tc>
          <w:tcPr>
            <w:tcW w:w="963" w:type="dxa"/>
            <w:gridSpan w:val="2"/>
            <w:tcBorders>
              <w:top w:val="nil"/>
              <w:left w:val="nil"/>
              <w:bottom w:val="single" w:sz="4" w:space="0" w:color="auto"/>
              <w:right w:val="nil"/>
            </w:tcBorders>
            <w:shd w:val="clear" w:color="auto" w:fill="auto"/>
            <w:noWrap/>
            <w:vAlign w:val="bottom"/>
            <w:hideMark/>
          </w:tcPr>
          <w:p w14:paraId="21B4AA11" w14:textId="5FBFF731"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265</w:t>
            </w:r>
          </w:p>
        </w:tc>
        <w:tc>
          <w:tcPr>
            <w:tcW w:w="968" w:type="dxa"/>
            <w:gridSpan w:val="2"/>
            <w:tcBorders>
              <w:top w:val="nil"/>
              <w:left w:val="nil"/>
              <w:bottom w:val="single" w:sz="4" w:space="0" w:color="auto"/>
              <w:right w:val="nil"/>
            </w:tcBorders>
            <w:shd w:val="clear" w:color="000000" w:fill="D9D9D9"/>
            <w:noWrap/>
            <w:vAlign w:val="bottom"/>
            <w:hideMark/>
          </w:tcPr>
          <w:p w14:paraId="2AED02ED" w14:textId="22592FCB"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64" w:type="dxa"/>
            <w:gridSpan w:val="2"/>
            <w:tcBorders>
              <w:top w:val="nil"/>
              <w:left w:val="nil"/>
              <w:bottom w:val="single" w:sz="4" w:space="0" w:color="auto"/>
              <w:right w:val="nil"/>
            </w:tcBorders>
            <w:shd w:val="clear" w:color="auto" w:fill="auto"/>
            <w:noWrap/>
            <w:vAlign w:val="bottom"/>
            <w:hideMark/>
          </w:tcPr>
          <w:p w14:paraId="61961324" w14:textId="43DE462D"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64" w:type="dxa"/>
            <w:gridSpan w:val="2"/>
            <w:tcBorders>
              <w:top w:val="nil"/>
              <w:left w:val="nil"/>
              <w:bottom w:val="single" w:sz="4" w:space="0" w:color="auto"/>
              <w:right w:val="nil"/>
            </w:tcBorders>
            <w:shd w:val="clear" w:color="auto" w:fill="auto"/>
            <w:noWrap/>
            <w:vAlign w:val="bottom"/>
            <w:hideMark/>
          </w:tcPr>
          <w:p w14:paraId="55692C23" w14:textId="7856C133"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c>
          <w:tcPr>
            <w:tcW w:w="907" w:type="dxa"/>
            <w:gridSpan w:val="2"/>
            <w:tcBorders>
              <w:top w:val="nil"/>
              <w:left w:val="nil"/>
              <w:bottom w:val="single" w:sz="4" w:space="0" w:color="auto"/>
              <w:right w:val="nil"/>
            </w:tcBorders>
            <w:shd w:val="clear" w:color="auto" w:fill="auto"/>
            <w:noWrap/>
            <w:vAlign w:val="bottom"/>
            <w:hideMark/>
          </w:tcPr>
          <w:p w14:paraId="3ECF0F4F" w14:textId="0850637B" w:rsidR="00D27302" w:rsidRPr="002943D2" w:rsidRDefault="00D27302" w:rsidP="00D27302">
            <w:pPr>
              <w:spacing w:before="0" w:after="0" w:line="240" w:lineRule="auto"/>
              <w:jc w:val="right"/>
              <w:rPr>
                <w:rFonts w:ascii="Arial" w:hAnsi="Arial" w:cs="Arial"/>
                <w:b/>
                <w:bCs/>
                <w:sz w:val="16"/>
                <w:szCs w:val="16"/>
              </w:rPr>
            </w:pPr>
            <w:r>
              <w:rPr>
                <w:rFonts w:ascii="Arial" w:hAnsi="Arial" w:cs="Arial"/>
                <w:b/>
                <w:bCs/>
                <w:sz w:val="16"/>
                <w:szCs w:val="16"/>
              </w:rPr>
              <w:t>45</w:t>
            </w:r>
          </w:p>
        </w:tc>
      </w:tr>
      <w:tr w:rsidR="006F485B" w:rsidRPr="006F485B" w14:paraId="085D294C" w14:textId="77777777" w:rsidTr="00257ACF">
        <w:trPr>
          <w:gridAfter w:val="1"/>
          <w:wAfter w:w="15" w:type="dxa"/>
          <w:trHeight w:val="454"/>
          <w:jc w:val="center"/>
        </w:trPr>
        <w:tc>
          <w:tcPr>
            <w:tcW w:w="2996" w:type="dxa"/>
            <w:gridSpan w:val="2"/>
            <w:tcBorders>
              <w:top w:val="nil"/>
              <w:left w:val="nil"/>
              <w:bottom w:val="nil"/>
              <w:right w:val="nil"/>
            </w:tcBorders>
            <w:shd w:val="clear" w:color="auto" w:fill="auto"/>
            <w:vAlign w:val="bottom"/>
            <w:hideMark/>
          </w:tcPr>
          <w:p w14:paraId="4BA2B3DC" w14:textId="77777777" w:rsidR="006F485B" w:rsidRPr="006F485B" w:rsidRDefault="006F485B" w:rsidP="006F485B">
            <w:pPr>
              <w:spacing w:before="0" w:after="0" w:line="240" w:lineRule="auto"/>
              <w:rPr>
                <w:rFonts w:ascii="Arial" w:hAnsi="Arial" w:cs="Arial"/>
                <w:b/>
                <w:bCs/>
                <w:sz w:val="16"/>
                <w:szCs w:val="16"/>
              </w:rPr>
            </w:pPr>
            <w:r w:rsidRPr="006F485B">
              <w:rPr>
                <w:rFonts w:ascii="Arial" w:hAnsi="Arial" w:cs="Arial"/>
                <w:b/>
                <w:bCs/>
                <w:sz w:val="16"/>
                <w:szCs w:val="16"/>
              </w:rPr>
              <w:t xml:space="preserve">Net cost of (contribution by) services </w:t>
            </w:r>
          </w:p>
        </w:tc>
        <w:tc>
          <w:tcPr>
            <w:tcW w:w="940" w:type="dxa"/>
            <w:gridSpan w:val="2"/>
            <w:tcBorders>
              <w:top w:val="nil"/>
              <w:left w:val="nil"/>
              <w:bottom w:val="single" w:sz="4" w:space="0" w:color="auto"/>
              <w:right w:val="nil"/>
            </w:tcBorders>
            <w:shd w:val="clear" w:color="auto" w:fill="auto"/>
            <w:noWrap/>
            <w:vAlign w:val="bottom"/>
            <w:hideMark/>
          </w:tcPr>
          <w:p w14:paraId="3BDAE9C5"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10,902</w:t>
            </w:r>
          </w:p>
        </w:tc>
        <w:tc>
          <w:tcPr>
            <w:tcW w:w="940" w:type="dxa"/>
            <w:tcBorders>
              <w:top w:val="nil"/>
              <w:left w:val="nil"/>
              <w:bottom w:val="single" w:sz="4" w:space="0" w:color="auto"/>
              <w:right w:val="nil"/>
            </w:tcBorders>
            <w:shd w:val="clear" w:color="000000" w:fill="D9D9D9"/>
            <w:noWrap/>
            <w:vAlign w:val="bottom"/>
            <w:hideMark/>
          </w:tcPr>
          <w:p w14:paraId="58470527"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14,083</w:t>
            </w:r>
          </w:p>
        </w:tc>
        <w:tc>
          <w:tcPr>
            <w:tcW w:w="940" w:type="dxa"/>
            <w:tcBorders>
              <w:top w:val="nil"/>
              <w:left w:val="nil"/>
              <w:bottom w:val="single" w:sz="4" w:space="0" w:color="auto"/>
              <w:right w:val="nil"/>
            </w:tcBorders>
            <w:shd w:val="clear" w:color="auto" w:fill="auto"/>
            <w:noWrap/>
            <w:vAlign w:val="bottom"/>
            <w:hideMark/>
          </w:tcPr>
          <w:p w14:paraId="379D9A29"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16,340</w:t>
            </w:r>
          </w:p>
        </w:tc>
        <w:tc>
          <w:tcPr>
            <w:tcW w:w="940" w:type="dxa"/>
            <w:gridSpan w:val="2"/>
            <w:tcBorders>
              <w:top w:val="nil"/>
              <w:left w:val="nil"/>
              <w:bottom w:val="single" w:sz="4" w:space="0" w:color="auto"/>
              <w:right w:val="nil"/>
            </w:tcBorders>
            <w:shd w:val="clear" w:color="auto" w:fill="auto"/>
            <w:noWrap/>
            <w:vAlign w:val="bottom"/>
            <w:hideMark/>
          </w:tcPr>
          <w:p w14:paraId="342FED70"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16,618</w:t>
            </w:r>
          </w:p>
        </w:tc>
        <w:tc>
          <w:tcPr>
            <w:tcW w:w="940" w:type="dxa"/>
            <w:gridSpan w:val="2"/>
            <w:tcBorders>
              <w:top w:val="nil"/>
              <w:left w:val="nil"/>
              <w:bottom w:val="single" w:sz="4" w:space="0" w:color="auto"/>
              <w:right w:val="nil"/>
            </w:tcBorders>
            <w:shd w:val="clear" w:color="auto" w:fill="auto"/>
            <w:noWrap/>
            <w:vAlign w:val="bottom"/>
            <w:hideMark/>
          </w:tcPr>
          <w:p w14:paraId="2DB4B3A9"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17,065</w:t>
            </w:r>
          </w:p>
        </w:tc>
      </w:tr>
      <w:tr w:rsidR="006F485B" w:rsidRPr="006F485B" w14:paraId="41B642F1" w14:textId="77777777" w:rsidTr="00257ACF">
        <w:trPr>
          <w:gridAfter w:val="1"/>
          <w:wAfter w:w="15" w:type="dxa"/>
          <w:trHeight w:val="283"/>
          <w:jc w:val="center"/>
        </w:trPr>
        <w:tc>
          <w:tcPr>
            <w:tcW w:w="2996" w:type="dxa"/>
            <w:gridSpan w:val="2"/>
            <w:tcBorders>
              <w:top w:val="nil"/>
              <w:left w:val="nil"/>
              <w:bottom w:val="nil"/>
              <w:right w:val="nil"/>
            </w:tcBorders>
            <w:shd w:val="clear" w:color="auto" w:fill="auto"/>
            <w:noWrap/>
            <w:vAlign w:val="bottom"/>
            <w:hideMark/>
          </w:tcPr>
          <w:p w14:paraId="79060659" w14:textId="77777777" w:rsidR="006F485B" w:rsidRPr="006F485B" w:rsidRDefault="006F485B" w:rsidP="00281A13">
            <w:pPr>
              <w:spacing w:before="0" w:after="0" w:line="240" w:lineRule="auto"/>
              <w:ind w:leftChars="75" w:left="143"/>
              <w:rPr>
                <w:rFonts w:ascii="Arial" w:hAnsi="Arial" w:cs="Arial"/>
                <w:sz w:val="16"/>
                <w:szCs w:val="16"/>
              </w:rPr>
            </w:pPr>
            <w:r w:rsidRPr="006F485B">
              <w:rPr>
                <w:rFonts w:ascii="Arial" w:hAnsi="Arial" w:cs="Arial"/>
                <w:sz w:val="16"/>
                <w:szCs w:val="16"/>
              </w:rPr>
              <w:t>Revenue from Government</w:t>
            </w:r>
          </w:p>
        </w:tc>
        <w:tc>
          <w:tcPr>
            <w:tcW w:w="940" w:type="dxa"/>
            <w:gridSpan w:val="2"/>
            <w:tcBorders>
              <w:top w:val="nil"/>
              <w:left w:val="nil"/>
              <w:bottom w:val="nil"/>
              <w:right w:val="nil"/>
            </w:tcBorders>
            <w:shd w:val="clear" w:color="auto" w:fill="auto"/>
            <w:noWrap/>
            <w:vAlign w:val="bottom"/>
            <w:hideMark/>
          </w:tcPr>
          <w:p w14:paraId="772E77F1"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13,588</w:t>
            </w:r>
          </w:p>
        </w:tc>
        <w:tc>
          <w:tcPr>
            <w:tcW w:w="940" w:type="dxa"/>
            <w:tcBorders>
              <w:top w:val="nil"/>
              <w:left w:val="nil"/>
              <w:bottom w:val="nil"/>
              <w:right w:val="nil"/>
            </w:tcBorders>
            <w:shd w:val="clear" w:color="000000" w:fill="D9D9D9"/>
            <w:noWrap/>
            <w:vAlign w:val="bottom"/>
            <w:hideMark/>
          </w:tcPr>
          <w:p w14:paraId="4CBC633E"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13,205</w:t>
            </w:r>
          </w:p>
        </w:tc>
        <w:tc>
          <w:tcPr>
            <w:tcW w:w="940" w:type="dxa"/>
            <w:tcBorders>
              <w:top w:val="nil"/>
              <w:left w:val="nil"/>
              <w:bottom w:val="nil"/>
              <w:right w:val="nil"/>
            </w:tcBorders>
            <w:shd w:val="clear" w:color="auto" w:fill="auto"/>
            <w:noWrap/>
            <w:vAlign w:val="bottom"/>
            <w:hideMark/>
          </w:tcPr>
          <w:p w14:paraId="723823C0"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16,015</w:t>
            </w:r>
          </w:p>
        </w:tc>
        <w:tc>
          <w:tcPr>
            <w:tcW w:w="940" w:type="dxa"/>
            <w:gridSpan w:val="2"/>
            <w:tcBorders>
              <w:top w:val="nil"/>
              <w:left w:val="nil"/>
              <w:bottom w:val="nil"/>
              <w:right w:val="nil"/>
            </w:tcBorders>
            <w:shd w:val="clear" w:color="auto" w:fill="auto"/>
            <w:noWrap/>
            <w:vAlign w:val="bottom"/>
            <w:hideMark/>
          </w:tcPr>
          <w:p w14:paraId="6EC081F8"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16,265</w:t>
            </w:r>
          </w:p>
        </w:tc>
        <w:tc>
          <w:tcPr>
            <w:tcW w:w="940" w:type="dxa"/>
            <w:gridSpan w:val="2"/>
            <w:tcBorders>
              <w:top w:val="nil"/>
              <w:left w:val="nil"/>
              <w:bottom w:val="nil"/>
              <w:right w:val="nil"/>
            </w:tcBorders>
            <w:shd w:val="clear" w:color="auto" w:fill="auto"/>
            <w:noWrap/>
            <w:vAlign w:val="bottom"/>
            <w:hideMark/>
          </w:tcPr>
          <w:p w14:paraId="6A4705CC"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16,733</w:t>
            </w:r>
          </w:p>
        </w:tc>
      </w:tr>
      <w:tr w:rsidR="006F485B" w:rsidRPr="006F485B" w14:paraId="54183430" w14:textId="77777777" w:rsidTr="00257ACF">
        <w:trPr>
          <w:gridAfter w:val="1"/>
          <w:wAfter w:w="15" w:type="dxa"/>
          <w:trHeight w:val="283"/>
          <w:jc w:val="center"/>
        </w:trPr>
        <w:tc>
          <w:tcPr>
            <w:tcW w:w="2996" w:type="dxa"/>
            <w:gridSpan w:val="2"/>
            <w:tcBorders>
              <w:top w:val="nil"/>
              <w:left w:val="nil"/>
              <w:bottom w:val="nil"/>
              <w:right w:val="nil"/>
            </w:tcBorders>
            <w:shd w:val="clear" w:color="auto" w:fill="auto"/>
            <w:noWrap/>
            <w:vAlign w:val="bottom"/>
            <w:hideMark/>
          </w:tcPr>
          <w:p w14:paraId="0832FD9B" w14:textId="77777777" w:rsidR="006F485B" w:rsidRPr="006F485B" w:rsidRDefault="006F485B" w:rsidP="006F485B">
            <w:pPr>
              <w:spacing w:before="0" w:after="0" w:line="240" w:lineRule="auto"/>
              <w:rPr>
                <w:rFonts w:ascii="Arial" w:hAnsi="Arial" w:cs="Arial"/>
                <w:b/>
                <w:bCs/>
                <w:sz w:val="16"/>
                <w:szCs w:val="16"/>
              </w:rPr>
            </w:pPr>
            <w:r w:rsidRPr="006F485B">
              <w:rPr>
                <w:rFonts w:ascii="Arial" w:hAnsi="Arial" w:cs="Arial"/>
                <w:b/>
                <w:bCs/>
                <w:sz w:val="16"/>
                <w:szCs w:val="16"/>
              </w:rPr>
              <w:t>Surplus (deficit)</w:t>
            </w:r>
          </w:p>
        </w:tc>
        <w:tc>
          <w:tcPr>
            <w:tcW w:w="940" w:type="dxa"/>
            <w:gridSpan w:val="2"/>
            <w:tcBorders>
              <w:top w:val="nil"/>
              <w:left w:val="nil"/>
              <w:bottom w:val="single" w:sz="4" w:space="0" w:color="auto"/>
              <w:right w:val="nil"/>
            </w:tcBorders>
            <w:shd w:val="clear" w:color="auto" w:fill="auto"/>
            <w:noWrap/>
            <w:vAlign w:val="bottom"/>
            <w:hideMark/>
          </w:tcPr>
          <w:p w14:paraId="2737E5E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2,686</w:t>
            </w:r>
          </w:p>
        </w:tc>
        <w:tc>
          <w:tcPr>
            <w:tcW w:w="940" w:type="dxa"/>
            <w:tcBorders>
              <w:top w:val="nil"/>
              <w:left w:val="nil"/>
              <w:bottom w:val="single" w:sz="4" w:space="0" w:color="auto"/>
              <w:right w:val="nil"/>
            </w:tcBorders>
            <w:shd w:val="clear" w:color="000000" w:fill="D9D9D9"/>
            <w:noWrap/>
            <w:vAlign w:val="bottom"/>
            <w:hideMark/>
          </w:tcPr>
          <w:p w14:paraId="267C5492"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(878)</w:t>
            </w:r>
          </w:p>
        </w:tc>
        <w:tc>
          <w:tcPr>
            <w:tcW w:w="940" w:type="dxa"/>
            <w:tcBorders>
              <w:top w:val="nil"/>
              <w:left w:val="nil"/>
              <w:bottom w:val="single" w:sz="4" w:space="0" w:color="auto"/>
              <w:right w:val="nil"/>
            </w:tcBorders>
            <w:shd w:val="clear" w:color="auto" w:fill="auto"/>
            <w:noWrap/>
            <w:vAlign w:val="bottom"/>
            <w:hideMark/>
          </w:tcPr>
          <w:p w14:paraId="0AC5239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(325)</w:t>
            </w:r>
          </w:p>
        </w:tc>
        <w:tc>
          <w:tcPr>
            <w:tcW w:w="940" w:type="dxa"/>
            <w:gridSpan w:val="2"/>
            <w:tcBorders>
              <w:top w:val="nil"/>
              <w:left w:val="nil"/>
              <w:bottom w:val="single" w:sz="4" w:space="0" w:color="auto"/>
              <w:right w:val="nil"/>
            </w:tcBorders>
            <w:shd w:val="clear" w:color="auto" w:fill="auto"/>
            <w:noWrap/>
            <w:vAlign w:val="bottom"/>
            <w:hideMark/>
          </w:tcPr>
          <w:p w14:paraId="47F3BE7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(353)</w:t>
            </w:r>
          </w:p>
        </w:tc>
        <w:tc>
          <w:tcPr>
            <w:tcW w:w="940" w:type="dxa"/>
            <w:gridSpan w:val="2"/>
            <w:tcBorders>
              <w:top w:val="nil"/>
              <w:left w:val="nil"/>
              <w:bottom w:val="single" w:sz="4" w:space="0" w:color="auto"/>
              <w:right w:val="nil"/>
            </w:tcBorders>
            <w:shd w:val="clear" w:color="auto" w:fill="auto"/>
            <w:noWrap/>
            <w:vAlign w:val="bottom"/>
            <w:hideMark/>
          </w:tcPr>
          <w:p w14:paraId="6CDF7855"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(332)</w:t>
            </w:r>
          </w:p>
        </w:tc>
      </w:tr>
      <w:tr w:rsidR="006F485B" w:rsidRPr="006F485B" w14:paraId="71CF19E2" w14:textId="77777777" w:rsidTr="00257ACF">
        <w:trPr>
          <w:gridAfter w:val="1"/>
          <w:wAfter w:w="15" w:type="dxa"/>
          <w:trHeight w:val="454"/>
          <w:jc w:val="center"/>
        </w:trPr>
        <w:tc>
          <w:tcPr>
            <w:tcW w:w="2996" w:type="dxa"/>
            <w:gridSpan w:val="2"/>
            <w:tcBorders>
              <w:top w:val="nil"/>
              <w:left w:val="nil"/>
              <w:bottom w:val="nil"/>
              <w:right w:val="nil"/>
            </w:tcBorders>
            <w:shd w:val="clear" w:color="auto" w:fill="auto"/>
            <w:vAlign w:val="bottom"/>
            <w:hideMark/>
          </w:tcPr>
          <w:p w14:paraId="3F96F113" w14:textId="77777777" w:rsidR="006F485B" w:rsidRPr="006F485B" w:rsidRDefault="006F485B" w:rsidP="006F485B">
            <w:pPr>
              <w:spacing w:before="0" w:after="0" w:line="240" w:lineRule="auto"/>
              <w:rPr>
                <w:rFonts w:ascii="Arial" w:hAnsi="Arial" w:cs="Arial"/>
                <w:b/>
                <w:bCs/>
                <w:sz w:val="16"/>
                <w:szCs w:val="16"/>
              </w:rPr>
            </w:pPr>
            <w:r w:rsidRPr="006F485B">
              <w:rPr>
                <w:rFonts w:ascii="Arial" w:hAnsi="Arial" w:cs="Arial"/>
                <w:b/>
                <w:bCs/>
                <w:sz w:val="16"/>
                <w:szCs w:val="16"/>
              </w:rPr>
              <w:t>Surplus (deficit) attributable to the Australian Government</w:t>
            </w:r>
          </w:p>
        </w:tc>
        <w:tc>
          <w:tcPr>
            <w:tcW w:w="940" w:type="dxa"/>
            <w:gridSpan w:val="2"/>
            <w:tcBorders>
              <w:top w:val="nil"/>
              <w:left w:val="nil"/>
              <w:bottom w:val="single" w:sz="4" w:space="0" w:color="auto"/>
              <w:right w:val="nil"/>
            </w:tcBorders>
            <w:shd w:val="clear" w:color="auto" w:fill="auto"/>
            <w:noWrap/>
            <w:vAlign w:val="bottom"/>
            <w:hideMark/>
          </w:tcPr>
          <w:p w14:paraId="1CAB455D"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2,686</w:t>
            </w:r>
          </w:p>
        </w:tc>
        <w:tc>
          <w:tcPr>
            <w:tcW w:w="940" w:type="dxa"/>
            <w:tcBorders>
              <w:top w:val="nil"/>
              <w:left w:val="nil"/>
              <w:bottom w:val="single" w:sz="4" w:space="0" w:color="auto"/>
              <w:right w:val="nil"/>
            </w:tcBorders>
            <w:shd w:val="clear" w:color="000000" w:fill="D9D9D9"/>
            <w:noWrap/>
            <w:vAlign w:val="bottom"/>
            <w:hideMark/>
          </w:tcPr>
          <w:p w14:paraId="7190C3FE"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(878)</w:t>
            </w:r>
          </w:p>
        </w:tc>
        <w:tc>
          <w:tcPr>
            <w:tcW w:w="940" w:type="dxa"/>
            <w:tcBorders>
              <w:top w:val="nil"/>
              <w:left w:val="nil"/>
              <w:bottom w:val="single" w:sz="4" w:space="0" w:color="auto"/>
              <w:right w:val="nil"/>
            </w:tcBorders>
            <w:shd w:val="clear" w:color="auto" w:fill="auto"/>
            <w:noWrap/>
            <w:vAlign w:val="bottom"/>
            <w:hideMark/>
          </w:tcPr>
          <w:p w14:paraId="59BBE4DA"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(325)</w:t>
            </w:r>
          </w:p>
        </w:tc>
        <w:tc>
          <w:tcPr>
            <w:tcW w:w="940" w:type="dxa"/>
            <w:gridSpan w:val="2"/>
            <w:tcBorders>
              <w:top w:val="nil"/>
              <w:left w:val="nil"/>
              <w:bottom w:val="single" w:sz="4" w:space="0" w:color="auto"/>
              <w:right w:val="nil"/>
            </w:tcBorders>
            <w:shd w:val="clear" w:color="auto" w:fill="auto"/>
            <w:noWrap/>
            <w:vAlign w:val="bottom"/>
            <w:hideMark/>
          </w:tcPr>
          <w:p w14:paraId="18476985"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(353)</w:t>
            </w:r>
          </w:p>
        </w:tc>
        <w:tc>
          <w:tcPr>
            <w:tcW w:w="940" w:type="dxa"/>
            <w:gridSpan w:val="2"/>
            <w:tcBorders>
              <w:top w:val="nil"/>
              <w:left w:val="nil"/>
              <w:bottom w:val="single" w:sz="4" w:space="0" w:color="auto"/>
              <w:right w:val="nil"/>
            </w:tcBorders>
            <w:shd w:val="clear" w:color="auto" w:fill="auto"/>
            <w:noWrap/>
            <w:vAlign w:val="bottom"/>
            <w:hideMark/>
          </w:tcPr>
          <w:p w14:paraId="06A7E37E"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(332)</w:t>
            </w:r>
          </w:p>
        </w:tc>
      </w:tr>
      <w:tr w:rsidR="006F485B" w:rsidRPr="006F485B" w14:paraId="51D8DEA9" w14:textId="77777777" w:rsidTr="00257ACF">
        <w:trPr>
          <w:gridAfter w:val="1"/>
          <w:wAfter w:w="15" w:type="dxa"/>
          <w:trHeight w:val="283"/>
          <w:jc w:val="center"/>
        </w:trPr>
        <w:tc>
          <w:tcPr>
            <w:tcW w:w="2996" w:type="dxa"/>
            <w:gridSpan w:val="2"/>
            <w:tcBorders>
              <w:top w:val="nil"/>
              <w:left w:val="nil"/>
              <w:bottom w:val="nil"/>
              <w:right w:val="nil"/>
            </w:tcBorders>
            <w:shd w:val="clear" w:color="auto" w:fill="auto"/>
            <w:vAlign w:val="bottom"/>
            <w:hideMark/>
          </w:tcPr>
          <w:p w14:paraId="3120ED63" w14:textId="77777777" w:rsidR="006F485B" w:rsidRPr="006F485B" w:rsidRDefault="006F485B" w:rsidP="006F485B">
            <w:pPr>
              <w:spacing w:before="0" w:after="0" w:line="240" w:lineRule="auto"/>
              <w:rPr>
                <w:rFonts w:ascii="Arial" w:hAnsi="Arial" w:cs="Arial"/>
                <w:b/>
                <w:bCs/>
                <w:sz w:val="16"/>
                <w:szCs w:val="16"/>
              </w:rPr>
            </w:pPr>
            <w:r w:rsidRPr="006F485B">
              <w:rPr>
                <w:rFonts w:ascii="Arial" w:hAnsi="Arial" w:cs="Arial"/>
                <w:b/>
                <w:bCs/>
                <w:sz w:val="16"/>
                <w:szCs w:val="16"/>
              </w:rPr>
              <w:t>OTHER COMPREHENSIVE INCOME</w:t>
            </w:r>
          </w:p>
        </w:tc>
        <w:tc>
          <w:tcPr>
            <w:tcW w:w="940" w:type="dxa"/>
            <w:gridSpan w:val="2"/>
            <w:tcBorders>
              <w:top w:val="nil"/>
              <w:left w:val="nil"/>
              <w:bottom w:val="nil"/>
              <w:right w:val="nil"/>
            </w:tcBorders>
            <w:shd w:val="clear" w:color="auto" w:fill="auto"/>
            <w:noWrap/>
            <w:vAlign w:val="bottom"/>
            <w:hideMark/>
          </w:tcPr>
          <w:p w14:paraId="573FB339" w14:textId="77777777" w:rsidR="006F485B" w:rsidRPr="006F485B" w:rsidRDefault="006F485B" w:rsidP="006F485B">
            <w:pPr>
              <w:spacing w:before="0" w:after="0" w:line="240" w:lineRule="auto"/>
              <w:rPr>
                <w:rFonts w:ascii="Arial" w:hAnsi="Arial" w:cs="Arial"/>
                <w:b/>
                <w:bCs/>
                <w:sz w:val="16"/>
                <w:szCs w:val="16"/>
              </w:rPr>
            </w:pPr>
          </w:p>
        </w:tc>
        <w:tc>
          <w:tcPr>
            <w:tcW w:w="940" w:type="dxa"/>
            <w:tcBorders>
              <w:top w:val="nil"/>
              <w:left w:val="nil"/>
              <w:bottom w:val="nil"/>
              <w:right w:val="nil"/>
            </w:tcBorders>
            <w:shd w:val="clear" w:color="000000" w:fill="D9D9D9"/>
            <w:noWrap/>
            <w:vAlign w:val="bottom"/>
            <w:hideMark/>
          </w:tcPr>
          <w:p w14:paraId="41CB7DC1"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 </w:t>
            </w:r>
          </w:p>
        </w:tc>
        <w:tc>
          <w:tcPr>
            <w:tcW w:w="940" w:type="dxa"/>
            <w:tcBorders>
              <w:top w:val="nil"/>
              <w:left w:val="nil"/>
              <w:bottom w:val="nil"/>
              <w:right w:val="nil"/>
            </w:tcBorders>
            <w:shd w:val="clear" w:color="auto" w:fill="auto"/>
            <w:noWrap/>
            <w:vAlign w:val="bottom"/>
            <w:hideMark/>
          </w:tcPr>
          <w:p w14:paraId="36A42C1B" w14:textId="77777777" w:rsidR="006F485B" w:rsidRPr="006F485B" w:rsidRDefault="006F485B" w:rsidP="006F485B">
            <w:pPr>
              <w:spacing w:before="0" w:after="0" w:line="240" w:lineRule="auto"/>
              <w:jc w:val="right"/>
              <w:rPr>
                <w:rFonts w:ascii="Arial" w:hAnsi="Arial" w:cs="Arial"/>
                <w:b/>
                <w:bCs/>
                <w:sz w:val="16"/>
                <w:szCs w:val="16"/>
              </w:rPr>
            </w:pPr>
          </w:p>
        </w:tc>
        <w:tc>
          <w:tcPr>
            <w:tcW w:w="940" w:type="dxa"/>
            <w:gridSpan w:val="2"/>
            <w:tcBorders>
              <w:top w:val="nil"/>
              <w:left w:val="nil"/>
              <w:bottom w:val="nil"/>
              <w:right w:val="nil"/>
            </w:tcBorders>
            <w:shd w:val="clear" w:color="auto" w:fill="auto"/>
            <w:noWrap/>
            <w:vAlign w:val="bottom"/>
            <w:hideMark/>
          </w:tcPr>
          <w:p w14:paraId="533CDD3A" w14:textId="77777777" w:rsidR="006F485B" w:rsidRPr="006F485B" w:rsidRDefault="006F485B" w:rsidP="006F485B">
            <w:pPr>
              <w:spacing w:before="0" w:after="0" w:line="240" w:lineRule="auto"/>
              <w:jc w:val="right"/>
              <w:rPr>
                <w:rFonts w:ascii="Times New Roman" w:hAnsi="Times New Roman"/>
                <w:sz w:val="20"/>
              </w:rPr>
            </w:pPr>
          </w:p>
        </w:tc>
        <w:tc>
          <w:tcPr>
            <w:tcW w:w="940" w:type="dxa"/>
            <w:gridSpan w:val="2"/>
            <w:tcBorders>
              <w:top w:val="nil"/>
              <w:left w:val="nil"/>
              <w:bottom w:val="nil"/>
              <w:right w:val="nil"/>
            </w:tcBorders>
            <w:shd w:val="clear" w:color="auto" w:fill="auto"/>
            <w:noWrap/>
            <w:vAlign w:val="bottom"/>
            <w:hideMark/>
          </w:tcPr>
          <w:p w14:paraId="60FFD69B" w14:textId="77777777" w:rsidR="006F485B" w:rsidRPr="006F485B" w:rsidRDefault="006F485B" w:rsidP="006F485B">
            <w:pPr>
              <w:spacing w:before="0" w:after="0" w:line="240" w:lineRule="auto"/>
              <w:jc w:val="right"/>
              <w:rPr>
                <w:rFonts w:ascii="Times New Roman" w:hAnsi="Times New Roman"/>
                <w:sz w:val="20"/>
              </w:rPr>
            </w:pPr>
          </w:p>
        </w:tc>
      </w:tr>
      <w:tr w:rsidR="006F485B" w:rsidRPr="006F485B" w14:paraId="7659C676" w14:textId="77777777" w:rsidTr="00257ACF">
        <w:trPr>
          <w:gridAfter w:val="1"/>
          <w:wAfter w:w="15" w:type="dxa"/>
          <w:trHeight w:val="425"/>
          <w:jc w:val="center"/>
        </w:trPr>
        <w:tc>
          <w:tcPr>
            <w:tcW w:w="2996" w:type="dxa"/>
            <w:gridSpan w:val="2"/>
            <w:tcBorders>
              <w:top w:val="nil"/>
              <w:left w:val="nil"/>
              <w:bottom w:val="nil"/>
              <w:right w:val="nil"/>
            </w:tcBorders>
            <w:shd w:val="clear" w:color="auto" w:fill="auto"/>
            <w:vAlign w:val="bottom"/>
            <w:hideMark/>
          </w:tcPr>
          <w:p w14:paraId="07E2D7E2" w14:textId="77777777" w:rsidR="006F485B" w:rsidRPr="006F485B" w:rsidRDefault="006F485B" w:rsidP="00D52CAE">
            <w:pPr>
              <w:spacing w:before="0" w:after="0" w:line="240" w:lineRule="auto"/>
              <w:ind w:leftChars="75" w:left="143"/>
              <w:rPr>
                <w:rFonts w:ascii="Arial" w:hAnsi="Arial" w:cs="Arial"/>
                <w:sz w:val="16"/>
                <w:szCs w:val="16"/>
              </w:rPr>
            </w:pPr>
            <w:r w:rsidRPr="006F485B">
              <w:rPr>
                <w:rFonts w:ascii="Arial" w:hAnsi="Arial" w:cs="Arial"/>
                <w:sz w:val="16"/>
                <w:szCs w:val="16"/>
              </w:rPr>
              <w:t>Changes in asset revaluation reserves</w:t>
            </w:r>
          </w:p>
        </w:tc>
        <w:tc>
          <w:tcPr>
            <w:tcW w:w="940" w:type="dxa"/>
            <w:gridSpan w:val="2"/>
            <w:tcBorders>
              <w:top w:val="nil"/>
              <w:left w:val="nil"/>
              <w:bottom w:val="nil"/>
              <w:right w:val="nil"/>
            </w:tcBorders>
            <w:shd w:val="clear" w:color="auto" w:fill="auto"/>
            <w:noWrap/>
            <w:vAlign w:val="bottom"/>
            <w:hideMark/>
          </w:tcPr>
          <w:p w14:paraId="2480AE74"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121</w:t>
            </w:r>
          </w:p>
        </w:tc>
        <w:tc>
          <w:tcPr>
            <w:tcW w:w="940" w:type="dxa"/>
            <w:tcBorders>
              <w:top w:val="nil"/>
              <w:left w:val="nil"/>
              <w:bottom w:val="nil"/>
              <w:right w:val="nil"/>
            </w:tcBorders>
            <w:shd w:val="clear" w:color="000000" w:fill="D9D9D9"/>
            <w:noWrap/>
            <w:vAlign w:val="bottom"/>
            <w:hideMark/>
          </w:tcPr>
          <w:p w14:paraId="77B15834"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w:t>
            </w:r>
          </w:p>
        </w:tc>
        <w:tc>
          <w:tcPr>
            <w:tcW w:w="940" w:type="dxa"/>
            <w:tcBorders>
              <w:top w:val="nil"/>
              <w:left w:val="nil"/>
              <w:bottom w:val="nil"/>
              <w:right w:val="nil"/>
            </w:tcBorders>
            <w:shd w:val="clear" w:color="auto" w:fill="auto"/>
            <w:noWrap/>
            <w:vAlign w:val="bottom"/>
            <w:hideMark/>
          </w:tcPr>
          <w:p w14:paraId="6991A857"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w:t>
            </w:r>
          </w:p>
        </w:tc>
        <w:tc>
          <w:tcPr>
            <w:tcW w:w="940" w:type="dxa"/>
            <w:gridSpan w:val="2"/>
            <w:tcBorders>
              <w:top w:val="nil"/>
              <w:left w:val="nil"/>
              <w:bottom w:val="nil"/>
              <w:right w:val="nil"/>
            </w:tcBorders>
            <w:shd w:val="clear" w:color="auto" w:fill="auto"/>
            <w:noWrap/>
            <w:vAlign w:val="bottom"/>
            <w:hideMark/>
          </w:tcPr>
          <w:p w14:paraId="13F40FB6"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w:t>
            </w:r>
          </w:p>
        </w:tc>
        <w:tc>
          <w:tcPr>
            <w:tcW w:w="940" w:type="dxa"/>
            <w:gridSpan w:val="2"/>
            <w:tcBorders>
              <w:top w:val="nil"/>
              <w:left w:val="nil"/>
              <w:bottom w:val="nil"/>
              <w:right w:val="nil"/>
            </w:tcBorders>
            <w:shd w:val="clear" w:color="auto" w:fill="auto"/>
            <w:noWrap/>
            <w:vAlign w:val="bottom"/>
            <w:hideMark/>
          </w:tcPr>
          <w:p w14:paraId="150B877F" w14:textId="77777777" w:rsidR="006F485B" w:rsidRPr="006F485B" w:rsidRDefault="006F485B" w:rsidP="006F485B">
            <w:pPr>
              <w:spacing w:before="0" w:after="0" w:line="240" w:lineRule="auto"/>
              <w:jc w:val="right"/>
              <w:rPr>
                <w:rFonts w:ascii="Arial" w:hAnsi="Arial" w:cs="Arial"/>
                <w:sz w:val="16"/>
                <w:szCs w:val="16"/>
              </w:rPr>
            </w:pPr>
            <w:r w:rsidRPr="006F485B">
              <w:rPr>
                <w:rFonts w:ascii="Arial" w:hAnsi="Arial" w:cs="Arial"/>
                <w:sz w:val="16"/>
                <w:szCs w:val="16"/>
              </w:rPr>
              <w:t>-</w:t>
            </w:r>
          </w:p>
        </w:tc>
      </w:tr>
      <w:tr w:rsidR="006F485B" w:rsidRPr="006F485B" w14:paraId="2AE5B903" w14:textId="77777777" w:rsidTr="00257ACF">
        <w:trPr>
          <w:gridAfter w:val="1"/>
          <w:wAfter w:w="15" w:type="dxa"/>
          <w:trHeight w:val="425"/>
          <w:jc w:val="center"/>
        </w:trPr>
        <w:tc>
          <w:tcPr>
            <w:tcW w:w="2996" w:type="dxa"/>
            <w:gridSpan w:val="2"/>
            <w:tcBorders>
              <w:top w:val="nil"/>
              <w:left w:val="nil"/>
              <w:bottom w:val="nil"/>
              <w:right w:val="nil"/>
            </w:tcBorders>
            <w:shd w:val="clear" w:color="auto" w:fill="auto"/>
            <w:vAlign w:val="bottom"/>
            <w:hideMark/>
          </w:tcPr>
          <w:p w14:paraId="6D1F86F7" w14:textId="77777777" w:rsidR="006F485B" w:rsidRPr="006F485B" w:rsidRDefault="006F485B" w:rsidP="00D52CAE">
            <w:pPr>
              <w:spacing w:before="0" w:after="0" w:line="240" w:lineRule="auto"/>
              <w:ind w:leftChars="75" w:left="143"/>
              <w:rPr>
                <w:rFonts w:ascii="Arial" w:hAnsi="Arial" w:cs="Arial"/>
                <w:b/>
                <w:bCs/>
                <w:sz w:val="16"/>
                <w:szCs w:val="16"/>
              </w:rPr>
            </w:pPr>
            <w:r w:rsidRPr="006F485B">
              <w:rPr>
                <w:rFonts w:ascii="Arial" w:hAnsi="Arial" w:cs="Arial"/>
                <w:b/>
                <w:bCs/>
                <w:sz w:val="16"/>
                <w:szCs w:val="16"/>
              </w:rPr>
              <w:t>Total other comprehensive income</w:t>
            </w:r>
          </w:p>
        </w:tc>
        <w:tc>
          <w:tcPr>
            <w:tcW w:w="940" w:type="dxa"/>
            <w:gridSpan w:val="2"/>
            <w:tcBorders>
              <w:top w:val="nil"/>
              <w:left w:val="nil"/>
              <w:bottom w:val="single" w:sz="4" w:space="0" w:color="auto"/>
              <w:right w:val="nil"/>
            </w:tcBorders>
            <w:shd w:val="clear" w:color="auto" w:fill="auto"/>
            <w:noWrap/>
            <w:vAlign w:val="bottom"/>
            <w:hideMark/>
          </w:tcPr>
          <w:p w14:paraId="6D89935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121</w:t>
            </w:r>
          </w:p>
        </w:tc>
        <w:tc>
          <w:tcPr>
            <w:tcW w:w="940" w:type="dxa"/>
            <w:tcBorders>
              <w:top w:val="nil"/>
              <w:left w:val="nil"/>
              <w:bottom w:val="single" w:sz="4" w:space="0" w:color="auto"/>
              <w:right w:val="nil"/>
            </w:tcBorders>
            <w:shd w:val="clear" w:color="000000" w:fill="D9D9D9"/>
            <w:noWrap/>
            <w:vAlign w:val="bottom"/>
            <w:hideMark/>
          </w:tcPr>
          <w:p w14:paraId="51E72456"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14:paraId="2B69D115"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w:t>
            </w:r>
          </w:p>
        </w:tc>
        <w:tc>
          <w:tcPr>
            <w:tcW w:w="940" w:type="dxa"/>
            <w:gridSpan w:val="2"/>
            <w:tcBorders>
              <w:top w:val="nil"/>
              <w:left w:val="nil"/>
              <w:bottom w:val="single" w:sz="4" w:space="0" w:color="auto"/>
              <w:right w:val="nil"/>
            </w:tcBorders>
            <w:shd w:val="clear" w:color="auto" w:fill="auto"/>
            <w:noWrap/>
            <w:vAlign w:val="bottom"/>
            <w:hideMark/>
          </w:tcPr>
          <w:p w14:paraId="1586E44E"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w:t>
            </w:r>
          </w:p>
        </w:tc>
        <w:tc>
          <w:tcPr>
            <w:tcW w:w="940" w:type="dxa"/>
            <w:gridSpan w:val="2"/>
            <w:tcBorders>
              <w:top w:val="nil"/>
              <w:left w:val="nil"/>
              <w:bottom w:val="single" w:sz="4" w:space="0" w:color="auto"/>
              <w:right w:val="nil"/>
            </w:tcBorders>
            <w:shd w:val="clear" w:color="auto" w:fill="auto"/>
            <w:noWrap/>
            <w:vAlign w:val="bottom"/>
            <w:hideMark/>
          </w:tcPr>
          <w:p w14:paraId="72F1375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w:t>
            </w:r>
          </w:p>
        </w:tc>
      </w:tr>
      <w:tr w:rsidR="006F485B" w:rsidRPr="006F485B" w14:paraId="43FBDB52" w14:textId="77777777" w:rsidTr="00257ACF">
        <w:trPr>
          <w:gridAfter w:val="1"/>
          <w:wAfter w:w="15" w:type="dxa"/>
          <w:trHeight w:val="624"/>
          <w:jc w:val="center"/>
        </w:trPr>
        <w:tc>
          <w:tcPr>
            <w:tcW w:w="2996" w:type="dxa"/>
            <w:gridSpan w:val="2"/>
            <w:tcBorders>
              <w:top w:val="nil"/>
              <w:left w:val="nil"/>
              <w:bottom w:val="single" w:sz="4" w:space="0" w:color="auto"/>
              <w:right w:val="nil"/>
            </w:tcBorders>
            <w:shd w:val="clear" w:color="auto" w:fill="auto"/>
            <w:vAlign w:val="bottom"/>
            <w:hideMark/>
          </w:tcPr>
          <w:p w14:paraId="49F773D8" w14:textId="77777777" w:rsidR="006F485B" w:rsidRPr="006F485B" w:rsidRDefault="006F485B" w:rsidP="006F485B">
            <w:pPr>
              <w:spacing w:before="0" w:after="0" w:line="240" w:lineRule="auto"/>
              <w:rPr>
                <w:rFonts w:ascii="Arial" w:hAnsi="Arial" w:cs="Arial"/>
                <w:b/>
                <w:bCs/>
                <w:sz w:val="16"/>
                <w:szCs w:val="16"/>
              </w:rPr>
            </w:pPr>
            <w:r w:rsidRPr="006F485B">
              <w:rPr>
                <w:rFonts w:ascii="Arial" w:hAnsi="Arial" w:cs="Arial"/>
                <w:b/>
                <w:bCs/>
                <w:sz w:val="16"/>
                <w:szCs w:val="16"/>
              </w:rPr>
              <w:t>Total other comprehensive income attributable to the Australian Government</w:t>
            </w:r>
          </w:p>
        </w:tc>
        <w:tc>
          <w:tcPr>
            <w:tcW w:w="940" w:type="dxa"/>
            <w:gridSpan w:val="2"/>
            <w:tcBorders>
              <w:top w:val="nil"/>
              <w:left w:val="nil"/>
              <w:bottom w:val="single" w:sz="4" w:space="0" w:color="auto"/>
              <w:right w:val="nil"/>
            </w:tcBorders>
            <w:shd w:val="clear" w:color="auto" w:fill="auto"/>
            <w:noWrap/>
            <w:vAlign w:val="bottom"/>
            <w:hideMark/>
          </w:tcPr>
          <w:p w14:paraId="3523F172"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2,807</w:t>
            </w:r>
          </w:p>
        </w:tc>
        <w:tc>
          <w:tcPr>
            <w:tcW w:w="940" w:type="dxa"/>
            <w:tcBorders>
              <w:top w:val="nil"/>
              <w:left w:val="nil"/>
              <w:bottom w:val="single" w:sz="4" w:space="0" w:color="auto"/>
              <w:right w:val="nil"/>
            </w:tcBorders>
            <w:shd w:val="clear" w:color="000000" w:fill="D9D9D9"/>
            <w:noWrap/>
            <w:vAlign w:val="bottom"/>
            <w:hideMark/>
          </w:tcPr>
          <w:p w14:paraId="3EF2834C"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(878)</w:t>
            </w:r>
          </w:p>
        </w:tc>
        <w:tc>
          <w:tcPr>
            <w:tcW w:w="940" w:type="dxa"/>
            <w:tcBorders>
              <w:top w:val="nil"/>
              <w:left w:val="nil"/>
              <w:bottom w:val="single" w:sz="4" w:space="0" w:color="auto"/>
              <w:right w:val="nil"/>
            </w:tcBorders>
            <w:shd w:val="clear" w:color="auto" w:fill="auto"/>
            <w:noWrap/>
            <w:vAlign w:val="bottom"/>
            <w:hideMark/>
          </w:tcPr>
          <w:p w14:paraId="78A3CF20"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(325)</w:t>
            </w:r>
          </w:p>
        </w:tc>
        <w:tc>
          <w:tcPr>
            <w:tcW w:w="940" w:type="dxa"/>
            <w:gridSpan w:val="2"/>
            <w:tcBorders>
              <w:top w:val="nil"/>
              <w:left w:val="nil"/>
              <w:bottom w:val="single" w:sz="4" w:space="0" w:color="auto"/>
              <w:right w:val="nil"/>
            </w:tcBorders>
            <w:shd w:val="clear" w:color="auto" w:fill="auto"/>
            <w:noWrap/>
            <w:vAlign w:val="bottom"/>
            <w:hideMark/>
          </w:tcPr>
          <w:p w14:paraId="3F4DFAA2"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(353)</w:t>
            </w:r>
          </w:p>
        </w:tc>
        <w:tc>
          <w:tcPr>
            <w:tcW w:w="940" w:type="dxa"/>
            <w:gridSpan w:val="2"/>
            <w:tcBorders>
              <w:top w:val="nil"/>
              <w:left w:val="nil"/>
              <w:bottom w:val="single" w:sz="4" w:space="0" w:color="auto"/>
              <w:right w:val="nil"/>
            </w:tcBorders>
            <w:shd w:val="clear" w:color="auto" w:fill="auto"/>
            <w:noWrap/>
            <w:vAlign w:val="bottom"/>
            <w:hideMark/>
          </w:tcPr>
          <w:p w14:paraId="2D94E402" w14:textId="77777777" w:rsidR="006F485B" w:rsidRPr="006F485B" w:rsidRDefault="006F485B" w:rsidP="006F485B">
            <w:pPr>
              <w:spacing w:before="0" w:after="0" w:line="240" w:lineRule="auto"/>
              <w:jc w:val="right"/>
              <w:rPr>
                <w:rFonts w:ascii="Arial" w:hAnsi="Arial" w:cs="Arial"/>
                <w:b/>
                <w:bCs/>
                <w:sz w:val="16"/>
                <w:szCs w:val="16"/>
              </w:rPr>
            </w:pPr>
            <w:r w:rsidRPr="006F485B">
              <w:rPr>
                <w:rFonts w:ascii="Arial" w:hAnsi="Arial" w:cs="Arial"/>
                <w:b/>
                <w:bCs/>
                <w:sz w:val="16"/>
                <w:szCs w:val="16"/>
              </w:rPr>
              <w:t>(332)</w:t>
            </w:r>
          </w:p>
        </w:tc>
      </w:tr>
    </w:tbl>
    <w:p w14:paraId="1EF4E964" w14:textId="77777777" w:rsidR="006F485B" w:rsidRDefault="006F485B" w:rsidP="008C73CD">
      <w:pPr>
        <w:pStyle w:val="TableHeading"/>
        <w:spacing w:before="0"/>
      </w:pPr>
    </w:p>
    <w:p w14:paraId="7D499204" w14:textId="6558E924" w:rsidR="008C73CD" w:rsidRDefault="008C73CD" w:rsidP="008C73CD">
      <w:pPr>
        <w:pStyle w:val="TableHeading"/>
        <w:spacing w:before="0"/>
        <w:rPr>
          <w:snapToGrid w:val="0"/>
        </w:rPr>
      </w:pPr>
      <w:r>
        <w:br w:type="page"/>
      </w: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tbl>
      <w:tblPr>
        <w:tblW w:w="7758" w:type="dxa"/>
        <w:jc w:val="center"/>
        <w:tblLayout w:type="fixed"/>
        <w:tblLook w:val="04A0" w:firstRow="1" w:lastRow="0" w:firstColumn="1" w:lastColumn="0" w:noHBand="0" w:noVBand="1"/>
      </w:tblPr>
      <w:tblGrid>
        <w:gridCol w:w="2998"/>
        <w:gridCol w:w="952"/>
        <w:gridCol w:w="952"/>
        <w:gridCol w:w="952"/>
        <w:gridCol w:w="952"/>
        <w:gridCol w:w="952"/>
      </w:tblGrid>
      <w:tr w:rsidR="00353667" w:rsidRPr="002943D2" w14:paraId="43F2633A" w14:textId="77777777" w:rsidTr="00353667">
        <w:trPr>
          <w:trHeight w:val="227"/>
          <w:jc w:val="center"/>
        </w:trPr>
        <w:tc>
          <w:tcPr>
            <w:tcW w:w="7758" w:type="dxa"/>
            <w:gridSpan w:val="6"/>
            <w:tcBorders>
              <w:top w:val="single" w:sz="4" w:space="0" w:color="auto"/>
              <w:left w:val="nil"/>
              <w:bottom w:val="single" w:sz="4" w:space="0" w:color="auto"/>
              <w:right w:val="nil"/>
            </w:tcBorders>
            <w:shd w:val="clear" w:color="auto" w:fill="auto"/>
            <w:vAlign w:val="bottom"/>
          </w:tcPr>
          <w:p w14:paraId="448F2E5C" w14:textId="3F847D83" w:rsidR="00353667" w:rsidRDefault="00353667" w:rsidP="00353667">
            <w:pPr>
              <w:spacing w:before="24" w:after="24" w:line="240" w:lineRule="auto"/>
              <w:rPr>
                <w:rFonts w:ascii="Arial" w:hAnsi="Arial" w:cs="Arial"/>
                <w:b/>
                <w:bCs/>
                <w:sz w:val="16"/>
                <w:szCs w:val="16"/>
              </w:rPr>
            </w:pPr>
            <w:r w:rsidRPr="006F485B">
              <w:rPr>
                <w:rFonts w:ascii="Arial" w:hAnsi="Arial" w:cs="Arial"/>
                <w:b/>
                <w:bCs/>
                <w:color w:val="000000"/>
                <w:sz w:val="16"/>
                <w:szCs w:val="16"/>
              </w:rPr>
              <w:t>Note: Reconciliation of comprehensive income attributable to the agency</w:t>
            </w:r>
          </w:p>
        </w:tc>
      </w:tr>
      <w:tr w:rsidR="008C73CD" w:rsidRPr="002943D2" w14:paraId="64FBD52A" w14:textId="77777777" w:rsidTr="00353667">
        <w:trPr>
          <w:trHeight w:val="340"/>
          <w:jc w:val="center"/>
        </w:trPr>
        <w:tc>
          <w:tcPr>
            <w:tcW w:w="2998" w:type="dxa"/>
            <w:tcBorders>
              <w:top w:val="single" w:sz="4" w:space="0" w:color="auto"/>
              <w:left w:val="nil"/>
              <w:bottom w:val="nil"/>
              <w:right w:val="nil"/>
            </w:tcBorders>
            <w:shd w:val="clear" w:color="auto" w:fill="auto"/>
            <w:hideMark/>
          </w:tcPr>
          <w:p w14:paraId="06AB0137" w14:textId="77777777" w:rsidR="008C73CD" w:rsidRPr="002943D2" w:rsidRDefault="008C73CD" w:rsidP="00F51B52">
            <w:pPr>
              <w:spacing w:before="24" w:after="0" w:line="240" w:lineRule="auto"/>
              <w:jc w:val="right"/>
              <w:rPr>
                <w:rFonts w:ascii="Arial" w:hAnsi="Arial" w:cs="Arial"/>
                <w:sz w:val="16"/>
                <w:szCs w:val="16"/>
              </w:rPr>
            </w:pPr>
            <w:r w:rsidRPr="002943D2">
              <w:rPr>
                <w:rFonts w:ascii="Arial" w:hAnsi="Arial" w:cs="Arial"/>
                <w:sz w:val="16"/>
                <w:szCs w:val="16"/>
              </w:rPr>
              <w:t> </w:t>
            </w:r>
          </w:p>
        </w:tc>
        <w:tc>
          <w:tcPr>
            <w:tcW w:w="952" w:type="dxa"/>
            <w:tcBorders>
              <w:top w:val="single" w:sz="4" w:space="0" w:color="auto"/>
              <w:left w:val="nil"/>
              <w:bottom w:val="single" w:sz="4" w:space="0" w:color="auto"/>
              <w:right w:val="nil"/>
            </w:tcBorders>
            <w:shd w:val="clear" w:color="auto" w:fill="auto"/>
            <w:hideMark/>
          </w:tcPr>
          <w:p w14:paraId="695A435D" w14:textId="6868C39C" w:rsidR="008C73CD" w:rsidRPr="002943D2" w:rsidRDefault="00257ACF" w:rsidP="00F51B52">
            <w:pPr>
              <w:spacing w:before="24" w:after="0" w:line="240" w:lineRule="auto"/>
              <w:jc w:val="right"/>
              <w:rPr>
                <w:rFonts w:ascii="Arial" w:hAnsi="Arial" w:cs="Arial"/>
                <w:b/>
                <w:bCs/>
                <w:sz w:val="16"/>
                <w:szCs w:val="16"/>
              </w:rPr>
            </w:pPr>
            <w:r>
              <w:rPr>
                <w:rFonts w:ascii="Arial" w:hAnsi="Arial" w:cs="Arial"/>
                <w:b/>
                <w:bCs/>
                <w:sz w:val="16"/>
                <w:szCs w:val="16"/>
              </w:rPr>
              <w:t>2022–</w:t>
            </w:r>
            <w:r w:rsidR="008C73CD" w:rsidRPr="002943D2">
              <w:rPr>
                <w:rFonts w:ascii="Arial" w:hAnsi="Arial" w:cs="Arial"/>
                <w:b/>
                <w:bCs/>
                <w:sz w:val="16"/>
                <w:szCs w:val="16"/>
              </w:rPr>
              <w:t xml:space="preserve">23 </w:t>
            </w:r>
            <w:r w:rsidR="008C73CD" w:rsidRPr="00560523">
              <w:rPr>
                <w:rFonts w:ascii="Arial" w:hAnsi="Arial" w:cs="Arial"/>
                <w:bCs/>
                <w:sz w:val="16"/>
                <w:szCs w:val="16"/>
              </w:rPr>
              <w:t>$'000</w:t>
            </w:r>
          </w:p>
        </w:tc>
        <w:tc>
          <w:tcPr>
            <w:tcW w:w="952" w:type="dxa"/>
            <w:tcBorders>
              <w:top w:val="single" w:sz="4" w:space="0" w:color="auto"/>
              <w:left w:val="nil"/>
              <w:bottom w:val="single" w:sz="4" w:space="0" w:color="auto"/>
              <w:right w:val="nil"/>
            </w:tcBorders>
            <w:shd w:val="clear" w:color="000000" w:fill="D9D9D9"/>
            <w:hideMark/>
          </w:tcPr>
          <w:p w14:paraId="46D74351" w14:textId="08712B9E" w:rsidR="008C73CD" w:rsidRPr="002943D2" w:rsidRDefault="00257ACF" w:rsidP="00F51B52">
            <w:pPr>
              <w:spacing w:before="24" w:after="0" w:line="240" w:lineRule="auto"/>
              <w:jc w:val="right"/>
              <w:rPr>
                <w:rFonts w:ascii="Arial" w:hAnsi="Arial" w:cs="Arial"/>
                <w:b/>
                <w:bCs/>
                <w:sz w:val="16"/>
                <w:szCs w:val="16"/>
              </w:rPr>
            </w:pPr>
            <w:r>
              <w:rPr>
                <w:rFonts w:ascii="Arial" w:hAnsi="Arial" w:cs="Arial"/>
                <w:b/>
                <w:bCs/>
                <w:sz w:val="16"/>
                <w:szCs w:val="16"/>
              </w:rPr>
              <w:t>2023–</w:t>
            </w:r>
            <w:r w:rsidR="008C73CD" w:rsidRPr="002943D2">
              <w:rPr>
                <w:rFonts w:ascii="Arial" w:hAnsi="Arial" w:cs="Arial"/>
                <w:b/>
                <w:bCs/>
                <w:sz w:val="16"/>
                <w:szCs w:val="16"/>
              </w:rPr>
              <w:t xml:space="preserve">24 </w:t>
            </w:r>
            <w:r w:rsidR="008C73CD" w:rsidRPr="00560523">
              <w:rPr>
                <w:rFonts w:ascii="Arial" w:hAnsi="Arial" w:cs="Arial"/>
                <w:bCs/>
                <w:sz w:val="16"/>
                <w:szCs w:val="16"/>
              </w:rPr>
              <w:t>$'000</w:t>
            </w:r>
          </w:p>
        </w:tc>
        <w:tc>
          <w:tcPr>
            <w:tcW w:w="952" w:type="dxa"/>
            <w:tcBorders>
              <w:top w:val="single" w:sz="4" w:space="0" w:color="auto"/>
              <w:left w:val="nil"/>
              <w:bottom w:val="single" w:sz="4" w:space="0" w:color="auto"/>
              <w:right w:val="nil"/>
            </w:tcBorders>
            <w:shd w:val="clear" w:color="auto" w:fill="auto"/>
            <w:hideMark/>
          </w:tcPr>
          <w:p w14:paraId="4B3E4FEB" w14:textId="41E21108" w:rsidR="008C73CD" w:rsidRPr="002943D2" w:rsidRDefault="00257ACF" w:rsidP="00F51B52">
            <w:pPr>
              <w:spacing w:before="24" w:after="0" w:line="240" w:lineRule="auto"/>
              <w:jc w:val="right"/>
              <w:rPr>
                <w:rFonts w:ascii="Arial" w:hAnsi="Arial" w:cs="Arial"/>
                <w:b/>
                <w:bCs/>
                <w:sz w:val="16"/>
                <w:szCs w:val="16"/>
              </w:rPr>
            </w:pPr>
            <w:r>
              <w:rPr>
                <w:rFonts w:ascii="Arial" w:hAnsi="Arial" w:cs="Arial"/>
                <w:b/>
                <w:bCs/>
                <w:sz w:val="16"/>
                <w:szCs w:val="16"/>
              </w:rPr>
              <w:t>2024–</w:t>
            </w:r>
            <w:r w:rsidR="008C73CD" w:rsidRPr="002943D2">
              <w:rPr>
                <w:rFonts w:ascii="Arial" w:hAnsi="Arial" w:cs="Arial"/>
                <w:b/>
                <w:bCs/>
                <w:sz w:val="16"/>
                <w:szCs w:val="16"/>
              </w:rPr>
              <w:t xml:space="preserve">25 </w:t>
            </w:r>
            <w:r w:rsidR="008C73CD" w:rsidRPr="00560523">
              <w:rPr>
                <w:rFonts w:ascii="Arial" w:hAnsi="Arial" w:cs="Arial"/>
                <w:bCs/>
                <w:sz w:val="16"/>
                <w:szCs w:val="16"/>
              </w:rPr>
              <w:t>$'000</w:t>
            </w:r>
          </w:p>
        </w:tc>
        <w:tc>
          <w:tcPr>
            <w:tcW w:w="952" w:type="dxa"/>
            <w:tcBorders>
              <w:top w:val="single" w:sz="4" w:space="0" w:color="auto"/>
              <w:left w:val="nil"/>
              <w:bottom w:val="single" w:sz="4" w:space="0" w:color="auto"/>
              <w:right w:val="nil"/>
            </w:tcBorders>
            <w:shd w:val="clear" w:color="auto" w:fill="auto"/>
            <w:hideMark/>
          </w:tcPr>
          <w:p w14:paraId="308CCDE1" w14:textId="7EDD173C" w:rsidR="008C73CD" w:rsidRPr="002943D2" w:rsidRDefault="00257ACF" w:rsidP="00F51B52">
            <w:pPr>
              <w:spacing w:before="24" w:after="0" w:line="240" w:lineRule="auto"/>
              <w:jc w:val="right"/>
              <w:rPr>
                <w:rFonts w:ascii="Arial" w:hAnsi="Arial" w:cs="Arial"/>
                <w:b/>
                <w:bCs/>
                <w:sz w:val="16"/>
                <w:szCs w:val="16"/>
              </w:rPr>
            </w:pPr>
            <w:r>
              <w:rPr>
                <w:rFonts w:ascii="Arial" w:hAnsi="Arial" w:cs="Arial"/>
                <w:b/>
                <w:bCs/>
                <w:sz w:val="16"/>
                <w:szCs w:val="16"/>
              </w:rPr>
              <w:t>2025–</w:t>
            </w:r>
            <w:r w:rsidR="008C73CD" w:rsidRPr="002943D2">
              <w:rPr>
                <w:rFonts w:ascii="Arial" w:hAnsi="Arial" w:cs="Arial"/>
                <w:b/>
                <w:bCs/>
                <w:sz w:val="16"/>
                <w:szCs w:val="16"/>
              </w:rPr>
              <w:t xml:space="preserve">26 </w:t>
            </w:r>
            <w:r w:rsidR="008C73CD" w:rsidRPr="00560523">
              <w:rPr>
                <w:rFonts w:ascii="Arial" w:hAnsi="Arial" w:cs="Arial"/>
                <w:bCs/>
                <w:sz w:val="16"/>
                <w:szCs w:val="16"/>
              </w:rPr>
              <w:t>$'000</w:t>
            </w:r>
          </w:p>
        </w:tc>
        <w:tc>
          <w:tcPr>
            <w:tcW w:w="952" w:type="dxa"/>
            <w:tcBorders>
              <w:top w:val="single" w:sz="4" w:space="0" w:color="auto"/>
              <w:left w:val="nil"/>
              <w:bottom w:val="single" w:sz="4" w:space="0" w:color="auto"/>
              <w:right w:val="nil"/>
            </w:tcBorders>
            <w:shd w:val="clear" w:color="auto" w:fill="auto"/>
            <w:hideMark/>
          </w:tcPr>
          <w:p w14:paraId="24C2EC9C" w14:textId="5EC406E3" w:rsidR="008C73CD" w:rsidRPr="002943D2" w:rsidRDefault="00257ACF" w:rsidP="00F51B52">
            <w:pPr>
              <w:spacing w:before="24" w:after="0" w:line="240" w:lineRule="auto"/>
              <w:jc w:val="right"/>
              <w:rPr>
                <w:rFonts w:ascii="Arial" w:hAnsi="Arial" w:cs="Arial"/>
                <w:b/>
                <w:bCs/>
                <w:sz w:val="16"/>
                <w:szCs w:val="16"/>
              </w:rPr>
            </w:pPr>
            <w:r>
              <w:rPr>
                <w:rFonts w:ascii="Arial" w:hAnsi="Arial" w:cs="Arial"/>
                <w:b/>
                <w:bCs/>
                <w:sz w:val="16"/>
                <w:szCs w:val="16"/>
              </w:rPr>
              <w:t>2026–</w:t>
            </w:r>
            <w:r w:rsidR="008C73CD" w:rsidRPr="002943D2">
              <w:rPr>
                <w:rFonts w:ascii="Arial" w:hAnsi="Arial" w:cs="Arial"/>
                <w:b/>
                <w:bCs/>
                <w:sz w:val="16"/>
                <w:szCs w:val="16"/>
              </w:rPr>
              <w:t xml:space="preserve">27 </w:t>
            </w:r>
            <w:r w:rsidR="008C73CD" w:rsidRPr="002943D2">
              <w:rPr>
                <w:rFonts w:ascii="Arial" w:hAnsi="Arial" w:cs="Arial"/>
                <w:sz w:val="16"/>
                <w:szCs w:val="16"/>
              </w:rPr>
              <w:t>$'000</w:t>
            </w:r>
          </w:p>
        </w:tc>
      </w:tr>
      <w:tr w:rsidR="008C73CD" w:rsidRPr="002943D2" w14:paraId="293A8C93" w14:textId="77777777" w:rsidTr="006F485B">
        <w:trPr>
          <w:trHeight w:val="624"/>
          <w:jc w:val="center"/>
        </w:trPr>
        <w:tc>
          <w:tcPr>
            <w:tcW w:w="2998" w:type="dxa"/>
            <w:tcBorders>
              <w:top w:val="nil"/>
              <w:left w:val="nil"/>
              <w:bottom w:val="nil"/>
              <w:right w:val="nil"/>
            </w:tcBorders>
            <w:shd w:val="clear" w:color="auto" w:fill="auto"/>
            <w:vAlign w:val="bottom"/>
            <w:hideMark/>
          </w:tcPr>
          <w:p w14:paraId="2C2DAAD0" w14:textId="77777777" w:rsidR="008C73CD" w:rsidRPr="002943D2" w:rsidRDefault="008C73CD" w:rsidP="00F51B52">
            <w:pPr>
              <w:spacing w:before="0" w:after="0" w:line="240" w:lineRule="auto"/>
              <w:rPr>
                <w:rFonts w:ascii="Arial" w:hAnsi="Arial" w:cs="Arial"/>
                <w:b/>
                <w:bCs/>
                <w:sz w:val="16"/>
                <w:szCs w:val="16"/>
              </w:rPr>
            </w:pPr>
            <w:r w:rsidRPr="002943D2">
              <w:rPr>
                <w:rFonts w:ascii="Arial" w:hAnsi="Arial" w:cs="Arial"/>
                <w:b/>
                <w:bCs/>
                <w:sz w:val="16"/>
                <w:szCs w:val="16"/>
              </w:rPr>
              <w:t>Total comprehensive income (loss) attributable to the Australian Government</w:t>
            </w:r>
          </w:p>
        </w:tc>
        <w:tc>
          <w:tcPr>
            <w:tcW w:w="952" w:type="dxa"/>
            <w:tcBorders>
              <w:top w:val="nil"/>
              <w:left w:val="nil"/>
              <w:bottom w:val="nil"/>
              <w:right w:val="nil"/>
            </w:tcBorders>
            <w:shd w:val="clear" w:color="auto" w:fill="auto"/>
            <w:noWrap/>
            <w:vAlign w:val="bottom"/>
            <w:hideMark/>
          </w:tcPr>
          <w:p w14:paraId="6EFEBF62" w14:textId="77777777" w:rsidR="008C73CD" w:rsidRPr="002943D2" w:rsidRDefault="008C73CD" w:rsidP="00F51B52">
            <w:pPr>
              <w:spacing w:before="0" w:after="0" w:line="240" w:lineRule="auto"/>
              <w:jc w:val="right"/>
              <w:rPr>
                <w:rFonts w:ascii="Arial" w:hAnsi="Arial" w:cs="Arial"/>
                <w:b/>
                <w:bCs/>
                <w:color w:val="000000"/>
                <w:sz w:val="16"/>
                <w:szCs w:val="16"/>
              </w:rPr>
            </w:pPr>
            <w:r w:rsidRPr="002943D2">
              <w:rPr>
                <w:rFonts w:ascii="Arial" w:hAnsi="Arial" w:cs="Arial"/>
                <w:b/>
                <w:bCs/>
                <w:color w:val="000000"/>
                <w:sz w:val="16"/>
                <w:szCs w:val="16"/>
              </w:rPr>
              <w:t>2,807</w:t>
            </w:r>
          </w:p>
        </w:tc>
        <w:tc>
          <w:tcPr>
            <w:tcW w:w="952" w:type="dxa"/>
            <w:tcBorders>
              <w:top w:val="nil"/>
              <w:left w:val="nil"/>
              <w:bottom w:val="nil"/>
              <w:right w:val="nil"/>
            </w:tcBorders>
            <w:shd w:val="clear" w:color="000000" w:fill="D9D9D9"/>
            <w:vAlign w:val="bottom"/>
            <w:hideMark/>
          </w:tcPr>
          <w:p w14:paraId="3E00F9EE"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(878)</w:t>
            </w:r>
          </w:p>
        </w:tc>
        <w:tc>
          <w:tcPr>
            <w:tcW w:w="952" w:type="dxa"/>
            <w:tcBorders>
              <w:top w:val="nil"/>
              <w:left w:val="nil"/>
              <w:bottom w:val="nil"/>
              <w:right w:val="nil"/>
            </w:tcBorders>
            <w:shd w:val="clear" w:color="auto" w:fill="auto"/>
            <w:vAlign w:val="bottom"/>
            <w:hideMark/>
          </w:tcPr>
          <w:p w14:paraId="4680E585"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(325)</w:t>
            </w:r>
          </w:p>
        </w:tc>
        <w:tc>
          <w:tcPr>
            <w:tcW w:w="952" w:type="dxa"/>
            <w:tcBorders>
              <w:top w:val="nil"/>
              <w:left w:val="nil"/>
              <w:bottom w:val="nil"/>
              <w:right w:val="nil"/>
            </w:tcBorders>
            <w:shd w:val="clear" w:color="auto" w:fill="auto"/>
            <w:vAlign w:val="bottom"/>
            <w:hideMark/>
          </w:tcPr>
          <w:p w14:paraId="59F1F2C9"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(353)</w:t>
            </w:r>
          </w:p>
        </w:tc>
        <w:tc>
          <w:tcPr>
            <w:tcW w:w="952" w:type="dxa"/>
            <w:tcBorders>
              <w:top w:val="nil"/>
              <w:left w:val="nil"/>
              <w:bottom w:val="nil"/>
              <w:right w:val="nil"/>
            </w:tcBorders>
            <w:shd w:val="clear" w:color="auto" w:fill="auto"/>
            <w:vAlign w:val="bottom"/>
            <w:hideMark/>
          </w:tcPr>
          <w:p w14:paraId="31FBF032"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(332)</w:t>
            </w:r>
          </w:p>
        </w:tc>
      </w:tr>
      <w:tr w:rsidR="008C73CD" w:rsidRPr="002943D2" w14:paraId="57F1EFE0" w14:textId="77777777" w:rsidTr="00257ACF">
        <w:trPr>
          <w:trHeight w:val="425"/>
          <w:jc w:val="center"/>
        </w:trPr>
        <w:tc>
          <w:tcPr>
            <w:tcW w:w="2998" w:type="dxa"/>
            <w:tcBorders>
              <w:top w:val="nil"/>
              <w:left w:val="nil"/>
              <w:bottom w:val="nil"/>
              <w:right w:val="nil"/>
            </w:tcBorders>
            <w:shd w:val="clear" w:color="auto" w:fill="auto"/>
            <w:vAlign w:val="bottom"/>
            <w:hideMark/>
          </w:tcPr>
          <w:p w14:paraId="462FB825" w14:textId="77777777" w:rsidR="008C73CD" w:rsidRPr="002943D2" w:rsidRDefault="008C73CD" w:rsidP="00F51B52">
            <w:pPr>
              <w:spacing w:before="0" w:after="0" w:line="240" w:lineRule="auto"/>
              <w:ind w:leftChars="75" w:left="143"/>
              <w:rPr>
                <w:rFonts w:ascii="Arial" w:hAnsi="Arial" w:cs="Arial"/>
                <w:color w:val="000000"/>
                <w:sz w:val="16"/>
                <w:szCs w:val="16"/>
              </w:rPr>
            </w:pPr>
            <w:proofErr w:type="gramStart"/>
            <w:r w:rsidRPr="002943D2">
              <w:rPr>
                <w:rFonts w:ascii="Arial" w:hAnsi="Arial" w:cs="Arial"/>
                <w:color w:val="000000"/>
                <w:sz w:val="16"/>
                <w:szCs w:val="16"/>
              </w:rPr>
              <w:t>plus</w:t>
            </w:r>
            <w:proofErr w:type="gramEnd"/>
            <w:r w:rsidRPr="002943D2">
              <w:rPr>
                <w:rFonts w:ascii="Arial" w:hAnsi="Arial" w:cs="Arial"/>
                <w:color w:val="000000"/>
                <w:sz w:val="16"/>
                <w:szCs w:val="16"/>
              </w:rPr>
              <w:t xml:space="preserve"> non-appropriated expenses depreciation and amortisation expenses</w:t>
            </w:r>
          </w:p>
        </w:tc>
        <w:tc>
          <w:tcPr>
            <w:tcW w:w="952" w:type="dxa"/>
            <w:tcBorders>
              <w:top w:val="nil"/>
              <w:left w:val="nil"/>
              <w:bottom w:val="nil"/>
              <w:right w:val="nil"/>
            </w:tcBorders>
            <w:shd w:val="clear" w:color="auto" w:fill="auto"/>
            <w:noWrap/>
            <w:vAlign w:val="bottom"/>
            <w:hideMark/>
          </w:tcPr>
          <w:p w14:paraId="2FB84DFE"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360</w:t>
            </w:r>
          </w:p>
        </w:tc>
        <w:tc>
          <w:tcPr>
            <w:tcW w:w="952" w:type="dxa"/>
            <w:tcBorders>
              <w:top w:val="nil"/>
              <w:left w:val="nil"/>
              <w:bottom w:val="nil"/>
              <w:right w:val="nil"/>
            </w:tcBorders>
            <w:shd w:val="clear" w:color="000000" w:fill="D9D9D9"/>
            <w:noWrap/>
            <w:vAlign w:val="bottom"/>
            <w:hideMark/>
          </w:tcPr>
          <w:p w14:paraId="4C94C7FD"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741</w:t>
            </w:r>
          </w:p>
        </w:tc>
        <w:tc>
          <w:tcPr>
            <w:tcW w:w="952" w:type="dxa"/>
            <w:tcBorders>
              <w:top w:val="nil"/>
              <w:left w:val="nil"/>
              <w:bottom w:val="nil"/>
              <w:right w:val="nil"/>
            </w:tcBorders>
            <w:shd w:val="clear" w:color="auto" w:fill="auto"/>
            <w:noWrap/>
            <w:vAlign w:val="bottom"/>
            <w:hideMark/>
          </w:tcPr>
          <w:p w14:paraId="02C91007"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362</w:t>
            </w:r>
          </w:p>
        </w:tc>
        <w:tc>
          <w:tcPr>
            <w:tcW w:w="952" w:type="dxa"/>
            <w:tcBorders>
              <w:top w:val="nil"/>
              <w:left w:val="nil"/>
              <w:bottom w:val="nil"/>
              <w:right w:val="nil"/>
            </w:tcBorders>
            <w:shd w:val="clear" w:color="auto" w:fill="auto"/>
            <w:noWrap/>
            <w:vAlign w:val="bottom"/>
            <w:hideMark/>
          </w:tcPr>
          <w:p w14:paraId="76788B38"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411</w:t>
            </w:r>
          </w:p>
        </w:tc>
        <w:tc>
          <w:tcPr>
            <w:tcW w:w="952" w:type="dxa"/>
            <w:tcBorders>
              <w:top w:val="nil"/>
              <w:left w:val="nil"/>
              <w:bottom w:val="nil"/>
              <w:right w:val="nil"/>
            </w:tcBorders>
            <w:shd w:val="clear" w:color="auto" w:fill="auto"/>
            <w:noWrap/>
            <w:vAlign w:val="bottom"/>
            <w:hideMark/>
          </w:tcPr>
          <w:p w14:paraId="0981E9C5"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411</w:t>
            </w:r>
          </w:p>
        </w:tc>
      </w:tr>
      <w:tr w:rsidR="008C73CD" w:rsidRPr="002943D2" w14:paraId="4C006460" w14:textId="77777777" w:rsidTr="00257ACF">
        <w:trPr>
          <w:trHeight w:val="425"/>
          <w:jc w:val="center"/>
        </w:trPr>
        <w:tc>
          <w:tcPr>
            <w:tcW w:w="2998" w:type="dxa"/>
            <w:tcBorders>
              <w:top w:val="nil"/>
              <w:left w:val="nil"/>
              <w:bottom w:val="nil"/>
              <w:right w:val="nil"/>
            </w:tcBorders>
            <w:shd w:val="clear" w:color="auto" w:fill="auto"/>
            <w:vAlign w:val="bottom"/>
            <w:hideMark/>
          </w:tcPr>
          <w:p w14:paraId="778C3EE3" w14:textId="77777777" w:rsidR="008C73CD" w:rsidRPr="002943D2" w:rsidRDefault="008C73CD" w:rsidP="00F51B52">
            <w:pPr>
              <w:spacing w:before="0" w:after="0" w:line="240" w:lineRule="auto"/>
              <w:ind w:leftChars="75" w:left="143"/>
              <w:rPr>
                <w:rFonts w:ascii="Arial" w:hAnsi="Arial" w:cs="Arial"/>
                <w:color w:val="000000"/>
                <w:sz w:val="16"/>
                <w:szCs w:val="16"/>
              </w:rPr>
            </w:pPr>
            <w:proofErr w:type="gramStart"/>
            <w:r w:rsidRPr="002943D2">
              <w:rPr>
                <w:rFonts w:ascii="Arial" w:hAnsi="Arial" w:cs="Arial"/>
                <w:color w:val="000000"/>
                <w:sz w:val="16"/>
                <w:szCs w:val="16"/>
              </w:rPr>
              <w:t>plus</w:t>
            </w:r>
            <w:proofErr w:type="gramEnd"/>
            <w:r w:rsidRPr="002943D2">
              <w:rPr>
                <w:rFonts w:ascii="Arial" w:hAnsi="Arial" w:cs="Arial"/>
                <w:color w:val="000000"/>
                <w:sz w:val="16"/>
                <w:szCs w:val="16"/>
              </w:rPr>
              <w:t xml:space="preserve"> depreciation and amortisation expenses for </w:t>
            </w:r>
            <w:proofErr w:type="spellStart"/>
            <w:r w:rsidRPr="002943D2">
              <w:rPr>
                <w:rFonts w:ascii="Arial" w:hAnsi="Arial" w:cs="Arial"/>
                <w:color w:val="000000"/>
                <w:sz w:val="16"/>
                <w:szCs w:val="16"/>
              </w:rPr>
              <w:t>RoU</w:t>
            </w:r>
            <w:proofErr w:type="spellEnd"/>
          </w:p>
        </w:tc>
        <w:tc>
          <w:tcPr>
            <w:tcW w:w="952" w:type="dxa"/>
            <w:tcBorders>
              <w:top w:val="nil"/>
              <w:left w:val="nil"/>
              <w:bottom w:val="nil"/>
              <w:right w:val="nil"/>
            </w:tcBorders>
            <w:shd w:val="clear" w:color="auto" w:fill="auto"/>
            <w:noWrap/>
            <w:vAlign w:val="bottom"/>
            <w:hideMark/>
          </w:tcPr>
          <w:p w14:paraId="5A55747D"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372</w:t>
            </w:r>
          </w:p>
        </w:tc>
        <w:tc>
          <w:tcPr>
            <w:tcW w:w="952" w:type="dxa"/>
            <w:tcBorders>
              <w:top w:val="nil"/>
              <w:left w:val="nil"/>
              <w:bottom w:val="nil"/>
              <w:right w:val="nil"/>
            </w:tcBorders>
            <w:shd w:val="clear" w:color="000000" w:fill="D9D9D9"/>
            <w:noWrap/>
            <w:vAlign w:val="bottom"/>
            <w:hideMark/>
          </w:tcPr>
          <w:p w14:paraId="1B62BA27"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663</w:t>
            </w:r>
          </w:p>
        </w:tc>
        <w:tc>
          <w:tcPr>
            <w:tcW w:w="952" w:type="dxa"/>
            <w:tcBorders>
              <w:top w:val="nil"/>
              <w:left w:val="nil"/>
              <w:bottom w:val="nil"/>
              <w:right w:val="nil"/>
            </w:tcBorders>
            <w:shd w:val="clear" w:color="auto" w:fill="auto"/>
            <w:noWrap/>
            <w:vAlign w:val="bottom"/>
            <w:hideMark/>
          </w:tcPr>
          <w:p w14:paraId="358C1C5F"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485</w:t>
            </w:r>
          </w:p>
        </w:tc>
        <w:tc>
          <w:tcPr>
            <w:tcW w:w="952" w:type="dxa"/>
            <w:tcBorders>
              <w:top w:val="nil"/>
              <w:left w:val="nil"/>
              <w:bottom w:val="nil"/>
              <w:right w:val="nil"/>
            </w:tcBorders>
            <w:shd w:val="clear" w:color="auto" w:fill="auto"/>
            <w:noWrap/>
            <w:vAlign w:val="bottom"/>
            <w:hideMark/>
          </w:tcPr>
          <w:p w14:paraId="5B2936CF"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485</w:t>
            </w:r>
          </w:p>
        </w:tc>
        <w:tc>
          <w:tcPr>
            <w:tcW w:w="952" w:type="dxa"/>
            <w:tcBorders>
              <w:top w:val="nil"/>
              <w:left w:val="nil"/>
              <w:bottom w:val="nil"/>
              <w:right w:val="nil"/>
            </w:tcBorders>
            <w:shd w:val="clear" w:color="auto" w:fill="auto"/>
            <w:noWrap/>
            <w:vAlign w:val="bottom"/>
            <w:hideMark/>
          </w:tcPr>
          <w:p w14:paraId="57289C48"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485</w:t>
            </w:r>
          </w:p>
        </w:tc>
      </w:tr>
      <w:tr w:rsidR="008C73CD" w:rsidRPr="002943D2" w14:paraId="34149373" w14:textId="77777777" w:rsidTr="006F485B">
        <w:trPr>
          <w:trHeight w:val="227"/>
          <w:jc w:val="center"/>
        </w:trPr>
        <w:tc>
          <w:tcPr>
            <w:tcW w:w="2998" w:type="dxa"/>
            <w:tcBorders>
              <w:top w:val="nil"/>
              <w:left w:val="nil"/>
              <w:bottom w:val="nil"/>
              <w:right w:val="nil"/>
            </w:tcBorders>
            <w:shd w:val="clear" w:color="auto" w:fill="auto"/>
            <w:vAlign w:val="bottom"/>
            <w:hideMark/>
          </w:tcPr>
          <w:p w14:paraId="46179822" w14:textId="77777777" w:rsidR="008C73CD" w:rsidRPr="002943D2" w:rsidRDefault="008C73CD" w:rsidP="00F51B52">
            <w:pPr>
              <w:spacing w:before="0" w:after="0" w:line="240" w:lineRule="auto"/>
              <w:ind w:leftChars="75" w:left="143"/>
              <w:rPr>
                <w:rFonts w:ascii="Arial" w:hAnsi="Arial" w:cs="Arial"/>
                <w:color w:val="000000"/>
                <w:sz w:val="16"/>
                <w:szCs w:val="16"/>
              </w:rPr>
            </w:pPr>
            <w:r w:rsidRPr="002943D2">
              <w:rPr>
                <w:rFonts w:ascii="Arial" w:hAnsi="Arial" w:cs="Arial"/>
                <w:color w:val="000000"/>
                <w:sz w:val="16"/>
                <w:szCs w:val="16"/>
              </w:rPr>
              <w:t>less lease principal repayments</w:t>
            </w:r>
          </w:p>
        </w:tc>
        <w:tc>
          <w:tcPr>
            <w:tcW w:w="952" w:type="dxa"/>
            <w:tcBorders>
              <w:top w:val="nil"/>
              <w:left w:val="nil"/>
              <w:bottom w:val="nil"/>
              <w:right w:val="nil"/>
            </w:tcBorders>
            <w:shd w:val="clear" w:color="auto" w:fill="auto"/>
            <w:noWrap/>
            <w:vAlign w:val="bottom"/>
            <w:hideMark/>
          </w:tcPr>
          <w:p w14:paraId="1234215A"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(400)</w:t>
            </w:r>
          </w:p>
        </w:tc>
        <w:tc>
          <w:tcPr>
            <w:tcW w:w="952" w:type="dxa"/>
            <w:tcBorders>
              <w:top w:val="nil"/>
              <w:left w:val="nil"/>
              <w:bottom w:val="nil"/>
              <w:right w:val="nil"/>
            </w:tcBorders>
            <w:shd w:val="clear" w:color="000000" w:fill="D9D9D9"/>
            <w:noWrap/>
            <w:vAlign w:val="bottom"/>
            <w:hideMark/>
          </w:tcPr>
          <w:p w14:paraId="74F03ABB"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(526)</w:t>
            </w:r>
          </w:p>
        </w:tc>
        <w:tc>
          <w:tcPr>
            <w:tcW w:w="952" w:type="dxa"/>
            <w:tcBorders>
              <w:top w:val="nil"/>
              <w:left w:val="nil"/>
              <w:bottom w:val="nil"/>
              <w:right w:val="nil"/>
            </w:tcBorders>
            <w:shd w:val="clear" w:color="auto" w:fill="auto"/>
            <w:noWrap/>
            <w:vAlign w:val="bottom"/>
            <w:hideMark/>
          </w:tcPr>
          <w:p w14:paraId="3F0A0B40"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(522)</w:t>
            </w:r>
          </w:p>
        </w:tc>
        <w:tc>
          <w:tcPr>
            <w:tcW w:w="952" w:type="dxa"/>
            <w:tcBorders>
              <w:top w:val="nil"/>
              <w:left w:val="nil"/>
              <w:bottom w:val="nil"/>
              <w:right w:val="nil"/>
            </w:tcBorders>
            <w:shd w:val="clear" w:color="auto" w:fill="auto"/>
            <w:noWrap/>
            <w:vAlign w:val="bottom"/>
            <w:hideMark/>
          </w:tcPr>
          <w:p w14:paraId="7F5E5EB4"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(543)</w:t>
            </w:r>
          </w:p>
        </w:tc>
        <w:tc>
          <w:tcPr>
            <w:tcW w:w="952" w:type="dxa"/>
            <w:tcBorders>
              <w:top w:val="nil"/>
              <w:left w:val="nil"/>
              <w:bottom w:val="nil"/>
              <w:right w:val="nil"/>
            </w:tcBorders>
            <w:shd w:val="clear" w:color="auto" w:fill="auto"/>
            <w:noWrap/>
            <w:vAlign w:val="bottom"/>
            <w:hideMark/>
          </w:tcPr>
          <w:p w14:paraId="62641207" w14:textId="77777777" w:rsidR="008C73CD" w:rsidRPr="002943D2" w:rsidRDefault="008C73CD" w:rsidP="00F51B52">
            <w:pPr>
              <w:spacing w:before="0" w:after="0" w:line="240" w:lineRule="auto"/>
              <w:jc w:val="right"/>
              <w:rPr>
                <w:rFonts w:ascii="Arial" w:hAnsi="Arial" w:cs="Arial"/>
                <w:sz w:val="16"/>
                <w:szCs w:val="16"/>
              </w:rPr>
            </w:pPr>
            <w:r w:rsidRPr="002943D2">
              <w:rPr>
                <w:rFonts w:ascii="Arial" w:hAnsi="Arial" w:cs="Arial"/>
                <w:sz w:val="16"/>
                <w:szCs w:val="16"/>
              </w:rPr>
              <w:t>(564)</w:t>
            </w:r>
          </w:p>
        </w:tc>
      </w:tr>
      <w:tr w:rsidR="008C73CD" w:rsidRPr="002943D2" w14:paraId="09F3C376" w14:textId="77777777" w:rsidTr="006F485B">
        <w:trPr>
          <w:trHeight w:val="454"/>
          <w:jc w:val="center"/>
        </w:trPr>
        <w:tc>
          <w:tcPr>
            <w:tcW w:w="2998" w:type="dxa"/>
            <w:tcBorders>
              <w:top w:val="nil"/>
              <w:left w:val="nil"/>
              <w:bottom w:val="single" w:sz="4" w:space="0" w:color="auto"/>
              <w:right w:val="nil"/>
            </w:tcBorders>
            <w:shd w:val="clear" w:color="auto" w:fill="auto"/>
            <w:vAlign w:val="bottom"/>
            <w:hideMark/>
          </w:tcPr>
          <w:p w14:paraId="146974C0" w14:textId="77777777" w:rsidR="008C73CD" w:rsidRPr="002943D2" w:rsidRDefault="008C73CD" w:rsidP="00F51B52">
            <w:pPr>
              <w:spacing w:before="0" w:after="0" w:line="240" w:lineRule="auto"/>
              <w:rPr>
                <w:rFonts w:ascii="Arial" w:hAnsi="Arial" w:cs="Arial"/>
                <w:b/>
                <w:bCs/>
                <w:sz w:val="16"/>
                <w:szCs w:val="16"/>
              </w:rPr>
            </w:pPr>
            <w:r w:rsidRPr="002943D2">
              <w:rPr>
                <w:rFonts w:ascii="Arial" w:hAnsi="Arial" w:cs="Arial"/>
                <w:b/>
                <w:bCs/>
                <w:sz w:val="16"/>
                <w:szCs w:val="16"/>
              </w:rPr>
              <w:t>Total comprehensive income (loss) attributable to the agency</w:t>
            </w:r>
          </w:p>
        </w:tc>
        <w:tc>
          <w:tcPr>
            <w:tcW w:w="952" w:type="dxa"/>
            <w:tcBorders>
              <w:top w:val="nil"/>
              <w:left w:val="nil"/>
              <w:bottom w:val="single" w:sz="4" w:space="0" w:color="auto"/>
              <w:right w:val="nil"/>
            </w:tcBorders>
            <w:shd w:val="clear" w:color="auto" w:fill="auto"/>
            <w:noWrap/>
            <w:vAlign w:val="bottom"/>
            <w:hideMark/>
          </w:tcPr>
          <w:p w14:paraId="2CB0B8A7"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3,139</w:t>
            </w:r>
          </w:p>
        </w:tc>
        <w:tc>
          <w:tcPr>
            <w:tcW w:w="952" w:type="dxa"/>
            <w:tcBorders>
              <w:top w:val="nil"/>
              <w:left w:val="nil"/>
              <w:bottom w:val="single" w:sz="4" w:space="0" w:color="auto"/>
              <w:right w:val="nil"/>
            </w:tcBorders>
            <w:shd w:val="clear" w:color="000000" w:fill="D9D9D9"/>
            <w:noWrap/>
            <w:vAlign w:val="bottom"/>
            <w:hideMark/>
          </w:tcPr>
          <w:p w14:paraId="12A89C69"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w:t>
            </w:r>
          </w:p>
        </w:tc>
        <w:tc>
          <w:tcPr>
            <w:tcW w:w="952" w:type="dxa"/>
            <w:tcBorders>
              <w:top w:val="nil"/>
              <w:left w:val="nil"/>
              <w:bottom w:val="single" w:sz="4" w:space="0" w:color="auto"/>
              <w:right w:val="nil"/>
            </w:tcBorders>
            <w:shd w:val="clear" w:color="auto" w:fill="auto"/>
            <w:noWrap/>
            <w:vAlign w:val="bottom"/>
            <w:hideMark/>
          </w:tcPr>
          <w:p w14:paraId="69853565"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w:t>
            </w:r>
          </w:p>
        </w:tc>
        <w:tc>
          <w:tcPr>
            <w:tcW w:w="952" w:type="dxa"/>
            <w:tcBorders>
              <w:top w:val="nil"/>
              <w:left w:val="nil"/>
              <w:bottom w:val="single" w:sz="4" w:space="0" w:color="auto"/>
              <w:right w:val="nil"/>
            </w:tcBorders>
            <w:shd w:val="clear" w:color="auto" w:fill="auto"/>
            <w:noWrap/>
            <w:vAlign w:val="bottom"/>
            <w:hideMark/>
          </w:tcPr>
          <w:p w14:paraId="365E47F2"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w:t>
            </w:r>
          </w:p>
        </w:tc>
        <w:tc>
          <w:tcPr>
            <w:tcW w:w="952" w:type="dxa"/>
            <w:tcBorders>
              <w:top w:val="nil"/>
              <w:left w:val="nil"/>
              <w:bottom w:val="single" w:sz="4" w:space="0" w:color="auto"/>
              <w:right w:val="nil"/>
            </w:tcBorders>
            <w:shd w:val="clear" w:color="auto" w:fill="auto"/>
            <w:noWrap/>
            <w:vAlign w:val="bottom"/>
            <w:hideMark/>
          </w:tcPr>
          <w:p w14:paraId="59FAEA1A" w14:textId="77777777" w:rsidR="008C73CD" w:rsidRPr="002943D2" w:rsidRDefault="008C73CD" w:rsidP="00F51B52">
            <w:pPr>
              <w:spacing w:before="0" w:after="0" w:line="240" w:lineRule="auto"/>
              <w:jc w:val="right"/>
              <w:rPr>
                <w:rFonts w:ascii="Arial" w:hAnsi="Arial" w:cs="Arial"/>
                <w:b/>
                <w:bCs/>
                <w:sz w:val="16"/>
                <w:szCs w:val="16"/>
              </w:rPr>
            </w:pPr>
            <w:r w:rsidRPr="002943D2">
              <w:rPr>
                <w:rFonts w:ascii="Arial" w:hAnsi="Arial" w:cs="Arial"/>
                <w:b/>
                <w:bCs/>
                <w:sz w:val="16"/>
                <w:szCs w:val="16"/>
              </w:rPr>
              <w:t>-</w:t>
            </w:r>
          </w:p>
        </w:tc>
      </w:tr>
    </w:tbl>
    <w:p w14:paraId="679E3B70" w14:textId="48A20310" w:rsidR="008C73CD" w:rsidRPr="00455C01" w:rsidRDefault="008C73CD" w:rsidP="008C73CD">
      <w:pPr>
        <w:pStyle w:val="Source"/>
        <w:tabs>
          <w:tab w:val="clear" w:pos="709"/>
          <w:tab w:val="left" w:pos="1807"/>
        </w:tabs>
        <w:spacing w:before="120" w:after="120"/>
        <w:ind w:left="0" w:firstLine="0"/>
        <w:rPr>
          <w:snapToGrid w:val="0"/>
          <w:szCs w:val="16"/>
        </w:rPr>
      </w:pPr>
      <w:proofErr w:type="spellStart"/>
      <w:r w:rsidRPr="00455C01">
        <w:rPr>
          <w:snapToGrid w:val="0"/>
          <w:szCs w:val="16"/>
        </w:rPr>
        <w:t>RoU</w:t>
      </w:r>
      <w:proofErr w:type="spellEnd"/>
      <w:r w:rsidRPr="00455C01">
        <w:rPr>
          <w:snapToGrid w:val="0"/>
          <w:szCs w:val="16"/>
        </w:rPr>
        <w:t xml:space="preserve"> = Right-of-Use asset</w:t>
      </w:r>
      <w:r w:rsidR="00257ACF" w:rsidRPr="00455C01">
        <w:rPr>
          <w:snapToGrid w:val="0"/>
          <w:szCs w:val="16"/>
        </w:rPr>
        <w:t xml:space="preserve"> </w:t>
      </w:r>
    </w:p>
    <w:p w14:paraId="3C5B3305" w14:textId="77777777" w:rsidR="008C73CD" w:rsidRDefault="008C73CD" w:rsidP="008C73CD">
      <w:pPr>
        <w:spacing w:before="0" w:after="0" w:line="240" w:lineRule="auto"/>
        <w:rPr>
          <w:rFonts w:ascii="Arial" w:hAnsi="Arial"/>
          <w:b/>
          <w:snapToGrid w:val="0"/>
          <w:sz w:val="20"/>
        </w:rPr>
      </w:pPr>
      <w:r>
        <w:rPr>
          <w:snapToGrid w:val="0"/>
        </w:rPr>
        <w:br w:type="page"/>
      </w:r>
    </w:p>
    <w:p w14:paraId="11C11FE9" w14:textId="77777777" w:rsidR="008C73CD" w:rsidRDefault="008C73CD" w:rsidP="008C73CD">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768" w:type="dxa"/>
        <w:jc w:val="center"/>
        <w:tblLayout w:type="fixed"/>
        <w:tblLook w:val="04A0" w:firstRow="1" w:lastRow="0" w:firstColumn="1" w:lastColumn="0" w:noHBand="0" w:noVBand="1"/>
      </w:tblPr>
      <w:tblGrid>
        <w:gridCol w:w="3005"/>
        <w:gridCol w:w="964"/>
        <w:gridCol w:w="964"/>
        <w:gridCol w:w="964"/>
        <w:gridCol w:w="964"/>
        <w:gridCol w:w="907"/>
      </w:tblGrid>
      <w:tr w:rsidR="007B2D8B" w:rsidRPr="002943D2" w14:paraId="353EF1F5" w14:textId="77777777" w:rsidTr="007B2D8B">
        <w:trPr>
          <w:trHeight w:val="737"/>
          <w:jc w:val="center"/>
        </w:trPr>
        <w:tc>
          <w:tcPr>
            <w:tcW w:w="3005" w:type="dxa"/>
            <w:tcBorders>
              <w:top w:val="single" w:sz="4" w:space="0" w:color="auto"/>
              <w:left w:val="nil"/>
              <w:bottom w:val="nil"/>
              <w:right w:val="nil"/>
            </w:tcBorders>
            <w:shd w:val="clear" w:color="auto" w:fill="auto"/>
            <w:hideMark/>
          </w:tcPr>
          <w:p w14:paraId="38F1DFFF" w14:textId="57C51B04" w:rsidR="007B2D8B" w:rsidRPr="002943D2" w:rsidRDefault="007B2D8B" w:rsidP="007B2D8B">
            <w:pPr>
              <w:spacing w:before="24" w:after="0" w:line="240" w:lineRule="auto"/>
              <w:jc w:val="right"/>
              <w:rPr>
                <w:rFonts w:ascii="Arial" w:hAnsi="Arial" w:cs="Arial"/>
                <w:b/>
                <w:bCs/>
                <w:sz w:val="16"/>
                <w:szCs w:val="16"/>
              </w:rPr>
            </w:pPr>
            <w:r>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hideMark/>
          </w:tcPr>
          <w:p w14:paraId="322B15E0" w14:textId="3F36BCCC" w:rsidR="007B2D8B" w:rsidRPr="002943D2" w:rsidRDefault="00365DE3" w:rsidP="007B2D8B">
            <w:pPr>
              <w:spacing w:before="24" w:after="0" w:line="240" w:lineRule="auto"/>
              <w:jc w:val="right"/>
              <w:rPr>
                <w:rFonts w:ascii="Arial" w:hAnsi="Arial" w:cs="Arial"/>
                <w:b/>
                <w:bCs/>
                <w:sz w:val="16"/>
                <w:szCs w:val="16"/>
              </w:rPr>
            </w:pPr>
            <w:r>
              <w:rPr>
                <w:rFonts w:ascii="Arial" w:hAnsi="Arial" w:cs="Arial"/>
                <w:b/>
                <w:bCs/>
                <w:sz w:val="16"/>
                <w:szCs w:val="16"/>
              </w:rPr>
              <w:t>2022–</w:t>
            </w:r>
            <w:r w:rsidR="007B2D8B">
              <w:rPr>
                <w:rFonts w:ascii="Arial" w:hAnsi="Arial" w:cs="Arial"/>
                <w:b/>
                <w:bCs/>
                <w:sz w:val="16"/>
                <w:szCs w:val="16"/>
              </w:rPr>
              <w:t>23</w:t>
            </w:r>
            <w:r w:rsidR="007B2D8B">
              <w:rPr>
                <w:rFonts w:ascii="Arial" w:hAnsi="Arial" w:cs="Arial"/>
                <w:b/>
                <w:bCs/>
                <w:sz w:val="16"/>
                <w:szCs w:val="16"/>
              </w:rPr>
              <w:br/>
              <w:t>Actual</w:t>
            </w:r>
            <w:r w:rsidR="007B2D8B">
              <w:rPr>
                <w:rFonts w:ascii="Arial" w:hAnsi="Arial" w:cs="Arial"/>
                <w:b/>
                <w:bCs/>
                <w:sz w:val="16"/>
                <w:szCs w:val="16"/>
              </w:rPr>
              <w:br/>
            </w:r>
            <w:r w:rsidR="007B2D8B">
              <w:rPr>
                <w:rFonts w:ascii="Arial" w:hAnsi="Arial" w:cs="Arial"/>
                <w:b/>
                <w:bCs/>
                <w:sz w:val="16"/>
                <w:szCs w:val="16"/>
              </w:rPr>
              <w:br/>
            </w:r>
            <w:r w:rsidR="007B2D8B">
              <w:rPr>
                <w:rFonts w:ascii="Arial" w:hAnsi="Arial" w:cs="Arial"/>
                <w:sz w:val="16"/>
                <w:szCs w:val="16"/>
              </w:rPr>
              <w:t>$'000</w:t>
            </w:r>
          </w:p>
        </w:tc>
        <w:tc>
          <w:tcPr>
            <w:tcW w:w="964" w:type="dxa"/>
            <w:tcBorders>
              <w:top w:val="single" w:sz="4" w:space="0" w:color="auto"/>
              <w:left w:val="nil"/>
              <w:bottom w:val="single" w:sz="4" w:space="0" w:color="auto"/>
              <w:right w:val="nil"/>
            </w:tcBorders>
            <w:shd w:val="clear" w:color="000000" w:fill="D9D9D9"/>
            <w:hideMark/>
          </w:tcPr>
          <w:p w14:paraId="39F2FCDB" w14:textId="107C3E08" w:rsidR="007B2D8B" w:rsidRPr="002943D2" w:rsidRDefault="00365DE3" w:rsidP="007B2D8B">
            <w:pPr>
              <w:spacing w:before="24" w:after="0" w:line="240" w:lineRule="auto"/>
              <w:jc w:val="right"/>
              <w:rPr>
                <w:rFonts w:ascii="Arial" w:hAnsi="Arial" w:cs="Arial"/>
                <w:b/>
                <w:bCs/>
                <w:sz w:val="16"/>
                <w:szCs w:val="16"/>
              </w:rPr>
            </w:pPr>
            <w:r>
              <w:rPr>
                <w:rFonts w:ascii="Arial" w:hAnsi="Arial" w:cs="Arial"/>
                <w:b/>
                <w:bCs/>
                <w:sz w:val="16"/>
                <w:szCs w:val="16"/>
              </w:rPr>
              <w:t>2023–</w:t>
            </w:r>
            <w:r w:rsidR="007B2D8B">
              <w:rPr>
                <w:rFonts w:ascii="Arial" w:hAnsi="Arial" w:cs="Arial"/>
                <w:b/>
                <w:bCs/>
                <w:sz w:val="16"/>
                <w:szCs w:val="16"/>
              </w:rPr>
              <w:t>24</w:t>
            </w:r>
            <w:r w:rsidR="007B2D8B">
              <w:rPr>
                <w:rFonts w:ascii="Arial" w:hAnsi="Arial" w:cs="Arial"/>
                <w:b/>
                <w:bCs/>
                <w:sz w:val="16"/>
                <w:szCs w:val="16"/>
              </w:rPr>
              <w:br/>
              <w:t>Revised</w:t>
            </w:r>
            <w:r w:rsidR="007B2D8B">
              <w:rPr>
                <w:rFonts w:ascii="Arial" w:hAnsi="Arial" w:cs="Arial"/>
                <w:b/>
                <w:bCs/>
                <w:sz w:val="16"/>
                <w:szCs w:val="16"/>
              </w:rPr>
              <w:br/>
              <w:t>Budget</w:t>
            </w:r>
            <w:r w:rsidR="007B2D8B">
              <w:rPr>
                <w:rFonts w:ascii="Arial" w:hAnsi="Arial" w:cs="Arial"/>
                <w:b/>
                <w:bCs/>
                <w:sz w:val="16"/>
                <w:szCs w:val="16"/>
              </w:rPr>
              <w:br/>
            </w:r>
            <w:r w:rsidR="007B2D8B">
              <w:rPr>
                <w:rFonts w:ascii="Arial" w:hAnsi="Arial" w:cs="Arial"/>
                <w:sz w:val="16"/>
                <w:szCs w:val="16"/>
              </w:rPr>
              <w:t>$'000</w:t>
            </w:r>
          </w:p>
        </w:tc>
        <w:tc>
          <w:tcPr>
            <w:tcW w:w="964" w:type="dxa"/>
            <w:tcBorders>
              <w:top w:val="single" w:sz="4" w:space="0" w:color="auto"/>
              <w:left w:val="nil"/>
              <w:bottom w:val="single" w:sz="4" w:space="0" w:color="auto"/>
              <w:right w:val="nil"/>
            </w:tcBorders>
            <w:shd w:val="clear" w:color="auto" w:fill="auto"/>
            <w:hideMark/>
          </w:tcPr>
          <w:p w14:paraId="39DB262A" w14:textId="3A9A7043" w:rsidR="007B2D8B" w:rsidRPr="002943D2" w:rsidRDefault="00365DE3" w:rsidP="007B2D8B">
            <w:pPr>
              <w:spacing w:before="24" w:after="0" w:line="240" w:lineRule="auto"/>
              <w:jc w:val="right"/>
              <w:rPr>
                <w:rFonts w:ascii="Arial" w:hAnsi="Arial" w:cs="Arial"/>
                <w:b/>
                <w:bCs/>
                <w:sz w:val="16"/>
                <w:szCs w:val="16"/>
              </w:rPr>
            </w:pPr>
            <w:r>
              <w:rPr>
                <w:rFonts w:ascii="Arial" w:hAnsi="Arial" w:cs="Arial"/>
                <w:b/>
                <w:bCs/>
                <w:sz w:val="16"/>
                <w:szCs w:val="16"/>
              </w:rPr>
              <w:t>2024–</w:t>
            </w:r>
            <w:r w:rsidR="007B2D8B">
              <w:rPr>
                <w:rFonts w:ascii="Arial" w:hAnsi="Arial" w:cs="Arial"/>
                <w:b/>
                <w:bCs/>
                <w:sz w:val="16"/>
                <w:szCs w:val="16"/>
              </w:rPr>
              <w:t>25 Forward estimate</w:t>
            </w:r>
            <w:r w:rsidR="007B2D8B">
              <w:rPr>
                <w:rFonts w:ascii="Arial" w:hAnsi="Arial" w:cs="Arial"/>
                <w:b/>
                <w:bCs/>
                <w:sz w:val="16"/>
                <w:szCs w:val="16"/>
              </w:rPr>
              <w:br/>
            </w:r>
            <w:r w:rsidR="007B2D8B" w:rsidRPr="00EC3E20">
              <w:rPr>
                <w:rFonts w:ascii="Arial" w:hAnsi="Arial" w:cs="Arial"/>
                <w:bCs/>
                <w:sz w:val="16"/>
                <w:szCs w:val="16"/>
              </w:rPr>
              <w:t>$'000</w:t>
            </w:r>
          </w:p>
        </w:tc>
        <w:tc>
          <w:tcPr>
            <w:tcW w:w="964" w:type="dxa"/>
            <w:tcBorders>
              <w:top w:val="single" w:sz="4" w:space="0" w:color="auto"/>
              <w:left w:val="nil"/>
              <w:bottom w:val="single" w:sz="4" w:space="0" w:color="auto"/>
              <w:right w:val="nil"/>
            </w:tcBorders>
            <w:shd w:val="clear" w:color="auto" w:fill="auto"/>
            <w:hideMark/>
          </w:tcPr>
          <w:p w14:paraId="2753F379" w14:textId="1EC54A95" w:rsidR="007B2D8B" w:rsidRPr="002943D2" w:rsidRDefault="00365DE3" w:rsidP="007B2D8B">
            <w:pPr>
              <w:spacing w:before="24" w:after="0" w:line="240" w:lineRule="auto"/>
              <w:jc w:val="right"/>
              <w:rPr>
                <w:rFonts w:ascii="Arial" w:hAnsi="Arial" w:cs="Arial"/>
                <w:b/>
                <w:bCs/>
                <w:sz w:val="16"/>
                <w:szCs w:val="16"/>
              </w:rPr>
            </w:pPr>
            <w:r>
              <w:rPr>
                <w:rFonts w:ascii="Arial" w:hAnsi="Arial" w:cs="Arial"/>
                <w:b/>
                <w:bCs/>
                <w:sz w:val="16"/>
                <w:szCs w:val="16"/>
              </w:rPr>
              <w:t>2025–</w:t>
            </w:r>
            <w:r w:rsidR="007B2D8B">
              <w:rPr>
                <w:rFonts w:ascii="Arial" w:hAnsi="Arial" w:cs="Arial"/>
                <w:b/>
                <w:bCs/>
                <w:sz w:val="16"/>
                <w:szCs w:val="16"/>
              </w:rPr>
              <w:t>26 Forward estimate</w:t>
            </w:r>
            <w:r w:rsidR="007B2D8B">
              <w:rPr>
                <w:rFonts w:ascii="Arial" w:hAnsi="Arial" w:cs="Arial"/>
                <w:b/>
                <w:bCs/>
                <w:sz w:val="16"/>
                <w:szCs w:val="16"/>
              </w:rPr>
              <w:br/>
            </w:r>
            <w:r w:rsidR="007B2D8B" w:rsidRPr="00EC3E20">
              <w:rPr>
                <w:rFonts w:ascii="Arial" w:hAnsi="Arial" w:cs="Arial"/>
                <w:bCs/>
                <w:sz w:val="16"/>
                <w:szCs w:val="16"/>
              </w:rPr>
              <w:t>$'000</w:t>
            </w:r>
          </w:p>
        </w:tc>
        <w:tc>
          <w:tcPr>
            <w:tcW w:w="907" w:type="dxa"/>
            <w:tcBorders>
              <w:top w:val="single" w:sz="4" w:space="0" w:color="auto"/>
              <w:left w:val="nil"/>
              <w:bottom w:val="single" w:sz="4" w:space="0" w:color="auto"/>
              <w:right w:val="nil"/>
            </w:tcBorders>
            <w:shd w:val="clear" w:color="auto" w:fill="auto"/>
            <w:hideMark/>
          </w:tcPr>
          <w:p w14:paraId="5AB0371B" w14:textId="7E3739F0" w:rsidR="007B2D8B" w:rsidRPr="002943D2" w:rsidRDefault="00365DE3" w:rsidP="007B2D8B">
            <w:pPr>
              <w:spacing w:before="24" w:after="0" w:line="240" w:lineRule="auto"/>
              <w:jc w:val="right"/>
              <w:rPr>
                <w:rFonts w:ascii="Arial" w:hAnsi="Arial" w:cs="Arial"/>
                <w:b/>
                <w:bCs/>
                <w:sz w:val="16"/>
                <w:szCs w:val="16"/>
              </w:rPr>
            </w:pPr>
            <w:r>
              <w:rPr>
                <w:rFonts w:ascii="Arial" w:hAnsi="Arial" w:cs="Arial"/>
                <w:b/>
                <w:bCs/>
                <w:sz w:val="16"/>
                <w:szCs w:val="16"/>
              </w:rPr>
              <w:t>2026–</w:t>
            </w:r>
            <w:r w:rsidR="007B2D8B">
              <w:rPr>
                <w:rFonts w:ascii="Arial" w:hAnsi="Arial" w:cs="Arial"/>
                <w:b/>
                <w:bCs/>
                <w:sz w:val="16"/>
                <w:szCs w:val="16"/>
              </w:rPr>
              <w:t>27 Forward estimate</w:t>
            </w:r>
            <w:r w:rsidR="007B2D8B">
              <w:rPr>
                <w:rFonts w:ascii="Arial" w:hAnsi="Arial" w:cs="Arial"/>
                <w:b/>
                <w:bCs/>
                <w:sz w:val="16"/>
                <w:szCs w:val="16"/>
              </w:rPr>
              <w:br/>
            </w:r>
            <w:r w:rsidR="007B2D8B">
              <w:rPr>
                <w:rFonts w:ascii="Arial" w:hAnsi="Arial" w:cs="Arial"/>
                <w:sz w:val="16"/>
                <w:szCs w:val="16"/>
              </w:rPr>
              <w:t>$'000</w:t>
            </w:r>
          </w:p>
        </w:tc>
      </w:tr>
      <w:tr w:rsidR="007B2D8B" w:rsidRPr="002943D2" w14:paraId="46DD2E77"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4AD5141A" w14:textId="6A4A0134" w:rsidR="007B2D8B" w:rsidRPr="002943D2" w:rsidRDefault="007B2D8B" w:rsidP="007B2D8B">
            <w:pPr>
              <w:spacing w:before="0" w:after="0" w:line="240" w:lineRule="auto"/>
              <w:rPr>
                <w:rFonts w:ascii="Arial" w:hAnsi="Arial" w:cs="Arial"/>
                <w:b/>
                <w:bCs/>
                <w:color w:val="000000"/>
                <w:sz w:val="16"/>
                <w:szCs w:val="16"/>
              </w:rPr>
            </w:pPr>
            <w:r>
              <w:rPr>
                <w:rFonts w:ascii="Arial" w:hAnsi="Arial" w:cs="Arial"/>
                <w:b/>
                <w:bCs/>
                <w:color w:val="000000"/>
                <w:sz w:val="16"/>
                <w:szCs w:val="16"/>
              </w:rPr>
              <w:t>ASSETS</w:t>
            </w:r>
          </w:p>
        </w:tc>
        <w:tc>
          <w:tcPr>
            <w:tcW w:w="964" w:type="dxa"/>
            <w:tcBorders>
              <w:top w:val="nil"/>
              <w:left w:val="nil"/>
              <w:bottom w:val="nil"/>
              <w:right w:val="nil"/>
            </w:tcBorders>
            <w:shd w:val="clear" w:color="auto" w:fill="auto"/>
            <w:noWrap/>
            <w:vAlign w:val="bottom"/>
            <w:hideMark/>
          </w:tcPr>
          <w:p w14:paraId="6B7109F3" w14:textId="77777777" w:rsidR="007B2D8B" w:rsidRPr="002943D2" w:rsidRDefault="007B2D8B" w:rsidP="007B2D8B">
            <w:pPr>
              <w:spacing w:before="0" w:after="0" w:line="240" w:lineRule="auto"/>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6A97ADAE" w14:textId="594B03EC"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57EED688"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00A915F2"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71BBA606"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30E4F24F"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2E4C5B08" w14:textId="5EADC668"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Financial assets</w:t>
            </w:r>
          </w:p>
        </w:tc>
        <w:tc>
          <w:tcPr>
            <w:tcW w:w="964" w:type="dxa"/>
            <w:tcBorders>
              <w:top w:val="nil"/>
              <w:left w:val="nil"/>
              <w:bottom w:val="nil"/>
              <w:right w:val="nil"/>
            </w:tcBorders>
            <w:shd w:val="clear" w:color="auto" w:fill="auto"/>
            <w:noWrap/>
            <w:vAlign w:val="bottom"/>
            <w:hideMark/>
          </w:tcPr>
          <w:p w14:paraId="424D068A" w14:textId="77777777" w:rsidR="007B2D8B" w:rsidRPr="002943D2" w:rsidRDefault="007B2D8B" w:rsidP="007B2D8B">
            <w:pPr>
              <w:spacing w:before="0" w:after="0" w:line="240" w:lineRule="auto"/>
              <w:ind w:firstLineChars="100" w:firstLine="161"/>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2000C4A9" w14:textId="0D1D9A0F"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588549C8"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0C6C54F4"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3303B935"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787C4D98"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A30822F" w14:textId="374029D4"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Cash and cash equivalents</w:t>
            </w:r>
          </w:p>
        </w:tc>
        <w:tc>
          <w:tcPr>
            <w:tcW w:w="964" w:type="dxa"/>
            <w:tcBorders>
              <w:top w:val="nil"/>
              <w:left w:val="nil"/>
              <w:bottom w:val="nil"/>
              <w:right w:val="nil"/>
            </w:tcBorders>
            <w:shd w:val="clear" w:color="auto" w:fill="auto"/>
            <w:noWrap/>
            <w:vAlign w:val="bottom"/>
            <w:hideMark/>
          </w:tcPr>
          <w:p w14:paraId="11FF3BD7" w14:textId="6D5A3E4F"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80</w:t>
            </w:r>
          </w:p>
        </w:tc>
        <w:tc>
          <w:tcPr>
            <w:tcW w:w="964" w:type="dxa"/>
            <w:tcBorders>
              <w:top w:val="nil"/>
              <w:left w:val="nil"/>
              <w:bottom w:val="nil"/>
              <w:right w:val="nil"/>
            </w:tcBorders>
            <w:shd w:val="clear" w:color="000000" w:fill="D9D9D9"/>
            <w:noWrap/>
            <w:vAlign w:val="bottom"/>
            <w:hideMark/>
          </w:tcPr>
          <w:p w14:paraId="07A756C3" w14:textId="605D7E7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80</w:t>
            </w:r>
          </w:p>
        </w:tc>
        <w:tc>
          <w:tcPr>
            <w:tcW w:w="964" w:type="dxa"/>
            <w:tcBorders>
              <w:top w:val="nil"/>
              <w:left w:val="nil"/>
              <w:bottom w:val="nil"/>
              <w:right w:val="nil"/>
            </w:tcBorders>
            <w:shd w:val="clear" w:color="auto" w:fill="auto"/>
            <w:noWrap/>
            <w:vAlign w:val="bottom"/>
            <w:hideMark/>
          </w:tcPr>
          <w:p w14:paraId="39B83E66" w14:textId="26DBC3A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80</w:t>
            </w:r>
          </w:p>
        </w:tc>
        <w:tc>
          <w:tcPr>
            <w:tcW w:w="964" w:type="dxa"/>
            <w:tcBorders>
              <w:top w:val="nil"/>
              <w:left w:val="nil"/>
              <w:bottom w:val="nil"/>
              <w:right w:val="nil"/>
            </w:tcBorders>
            <w:shd w:val="clear" w:color="auto" w:fill="auto"/>
            <w:noWrap/>
            <w:vAlign w:val="bottom"/>
            <w:hideMark/>
          </w:tcPr>
          <w:p w14:paraId="6C3E9470" w14:textId="3C3FAC6F"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80</w:t>
            </w:r>
          </w:p>
        </w:tc>
        <w:tc>
          <w:tcPr>
            <w:tcW w:w="907" w:type="dxa"/>
            <w:tcBorders>
              <w:top w:val="nil"/>
              <w:left w:val="nil"/>
              <w:bottom w:val="nil"/>
              <w:right w:val="nil"/>
            </w:tcBorders>
            <w:shd w:val="clear" w:color="auto" w:fill="auto"/>
            <w:noWrap/>
            <w:vAlign w:val="bottom"/>
            <w:hideMark/>
          </w:tcPr>
          <w:p w14:paraId="37D16E2C" w14:textId="7908B67A"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80</w:t>
            </w:r>
          </w:p>
        </w:tc>
      </w:tr>
      <w:tr w:rsidR="007B2D8B" w:rsidRPr="002943D2" w14:paraId="354063B4"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3B9C896" w14:textId="5C00E1CD"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Receivables</w:t>
            </w:r>
          </w:p>
        </w:tc>
        <w:tc>
          <w:tcPr>
            <w:tcW w:w="964" w:type="dxa"/>
            <w:tcBorders>
              <w:top w:val="nil"/>
              <w:left w:val="nil"/>
              <w:bottom w:val="nil"/>
              <w:right w:val="nil"/>
            </w:tcBorders>
            <w:shd w:val="clear" w:color="auto" w:fill="auto"/>
            <w:noWrap/>
            <w:vAlign w:val="bottom"/>
            <w:hideMark/>
          </w:tcPr>
          <w:p w14:paraId="195112D0" w14:textId="376E734F"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12,402</w:t>
            </w:r>
          </w:p>
        </w:tc>
        <w:tc>
          <w:tcPr>
            <w:tcW w:w="964" w:type="dxa"/>
            <w:tcBorders>
              <w:top w:val="nil"/>
              <w:left w:val="nil"/>
              <w:bottom w:val="nil"/>
              <w:right w:val="nil"/>
            </w:tcBorders>
            <w:shd w:val="clear" w:color="000000" w:fill="D9D9D9"/>
            <w:noWrap/>
            <w:vAlign w:val="bottom"/>
            <w:hideMark/>
          </w:tcPr>
          <w:p w14:paraId="564B73C0" w14:textId="7788C0F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11,542</w:t>
            </w:r>
          </w:p>
        </w:tc>
        <w:tc>
          <w:tcPr>
            <w:tcW w:w="964" w:type="dxa"/>
            <w:tcBorders>
              <w:top w:val="nil"/>
              <w:left w:val="nil"/>
              <w:bottom w:val="nil"/>
              <w:right w:val="nil"/>
            </w:tcBorders>
            <w:shd w:val="clear" w:color="auto" w:fill="auto"/>
            <w:noWrap/>
            <w:vAlign w:val="bottom"/>
            <w:hideMark/>
          </w:tcPr>
          <w:p w14:paraId="27A483D0" w14:textId="65D2F5A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11,545</w:t>
            </w:r>
          </w:p>
        </w:tc>
        <w:tc>
          <w:tcPr>
            <w:tcW w:w="964" w:type="dxa"/>
            <w:tcBorders>
              <w:top w:val="nil"/>
              <w:left w:val="nil"/>
              <w:bottom w:val="nil"/>
              <w:right w:val="nil"/>
            </w:tcBorders>
            <w:shd w:val="clear" w:color="auto" w:fill="auto"/>
            <w:noWrap/>
            <w:vAlign w:val="bottom"/>
            <w:hideMark/>
          </w:tcPr>
          <w:p w14:paraId="6D618E16" w14:textId="7197B22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11,549</w:t>
            </w:r>
          </w:p>
        </w:tc>
        <w:tc>
          <w:tcPr>
            <w:tcW w:w="907" w:type="dxa"/>
            <w:tcBorders>
              <w:top w:val="nil"/>
              <w:left w:val="nil"/>
              <w:bottom w:val="nil"/>
              <w:right w:val="nil"/>
            </w:tcBorders>
            <w:shd w:val="clear" w:color="auto" w:fill="auto"/>
            <w:noWrap/>
            <w:vAlign w:val="bottom"/>
            <w:hideMark/>
          </w:tcPr>
          <w:p w14:paraId="5294E5CA" w14:textId="2720FC27"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11,553</w:t>
            </w:r>
          </w:p>
        </w:tc>
      </w:tr>
      <w:tr w:rsidR="007B2D8B" w:rsidRPr="002943D2" w14:paraId="7EE82756"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023DCAC2" w14:textId="48C3831F" w:rsidR="007B2D8B" w:rsidRPr="002943D2" w:rsidRDefault="007B2D8B" w:rsidP="007B2D8B">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financial assets</w:t>
            </w:r>
          </w:p>
        </w:tc>
        <w:tc>
          <w:tcPr>
            <w:tcW w:w="964" w:type="dxa"/>
            <w:tcBorders>
              <w:top w:val="nil"/>
              <w:left w:val="nil"/>
              <w:bottom w:val="single" w:sz="4" w:space="0" w:color="auto"/>
              <w:right w:val="nil"/>
            </w:tcBorders>
            <w:shd w:val="clear" w:color="auto" w:fill="auto"/>
            <w:noWrap/>
            <w:vAlign w:val="bottom"/>
            <w:hideMark/>
          </w:tcPr>
          <w:p w14:paraId="17982A34" w14:textId="40000F4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12,482</w:t>
            </w:r>
          </w:p>
        </w:tc>
        <w:tc>
          <w:tcPr>
            <w:tcW w:w="964" w:type="dxa"/>
            <w:tcBorders>
              <w:top w:val="nil"/>
              <w:left w:val="nil"/>
              <w:bottom w:val="single" w:sz="4" w:space="0" w:color="auto"/>
              <w:right w:val="nil"/>
            </w:tcBorders>
            <w:shd w:val="clear" w:color="000000" w:fill="D9D9D9"/>
            <w:noWrap/>
            <w:vAlign w:val="bottom"/>
            <w:hideMark/>
          </w:tcPr>
          <w:p w14:paraId="4397C96F" w14:textId="08FC133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11,622</w:t>
            </w:r>
          </w:p>
        </w:tc>
        <w:tc>
          <w:tcPr>
            <w:tcW w:w="964" w:type="dxa"/>
            <w:tcBorders>
              <w:top w:val="nil"/>
              <w:left w:val="nil"/>
              <w:bottom w:val="single" w:sz="4" w:space="0" w:color="auto"/>
              <w:right w:val="nil"/>
            </w:tcBorders>
            <w:shd w:val="clear" w:color="auto" w:fill="auto"/>
            <w:noWrap/>
            <w:vAlign w:val="bottom"/>
            <w:hideMark/>
          </w:tcPr>
          <w:p w14:paraId="31178F2D" w14:textId="021345DE"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11,625</w:t>
            </w:r>
          </w:p>
        </w:tc>
        <w:tc>
          <w:tcPr>
            <w:tcW w:w="964" w:type="dxa"/>
            <w:tcBorders>
              <w:top w:val="nil"/>
              <w:left w:val="nil"/>
              <w:bottom w:val="single" w:sz="4" w:space="0" w:color="auto"/>
              <w:right w:val="nil"/>
            </w:tcBorders>
            <w:shd w:val="clear" w:color="auto" w:fill="auto"/>
            <w:noWrap/>
            <w:vAlign w:val="bottom"/>
            <w:hideMark/>
          </w:tcPr>
          <w:p w14:paraId="6FDC81BE" w14:textId="25D76915"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11,629</w:t>
            </w:r>
          </w:p>
        </w:tc>
        <w:tc>
          <w:tcPr>
            <w:tcW w:w="907" w:type="dxa"/>
            <w:tcBorders>
              <w:top w:val="nil"/>
              <w:left w:val="nil"/>
              <w:bottom w:val="single" w:sz="4" w:space="0" w:color="auto"/>
              <w:right w:val="nil"/>
            </w:tcBorders>
            <w:shd w:val="clear" w:color="auto" w:fill="auto"/>
            <w:noWrap/>
            <w:vAlign w:val="bottom"/>
            <w:hideMark/>
          </w:tcPr>
          <w:p w14:paraId="796A5267" w14:textId="635DF90F"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11,633</w:t>
            </w:r>
          </w:p>
        </w:tc>
      </w:tr>
      <w:tr w:rsidR="007B2D8B" w:rsidRPr="002943D2" w14:paraId="5A159429" w14:textId="77777777" w:rsidTr="00F51B52">
        <w:trPr>
          <w:trHeight w:val="283"/>
          <w:jc w:val="center"/>
        </w:trPr>
        <w:tc>
          <w:tcPr>
            <w:tcW w:w="3005" w:type="dxa"/>
            <w:tcBorders>
              <w:top w:val="nil"/>
              <w:left w:val="nil"/>
              <w:bottom w:val="nil"/>
              <w:right w:val="nil"/>
            </w:tcBorders>
            <w:shd w:val="clear" w:color="auto" w:fill="auto"/>
            <w:noWrap/>
            <w:vAlign w:val="bottom"/>
            <w:hideMark/>
          </w:tcPr>
          <w:p w14:paraId="2B39FA11" w14:textId="5E3D0CA2"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Non-financial assets</w:t>
            </w:r>
          </w:p>
        </w:tc>
        <w:tc>
          <w:tcPr>
            <w:tcW w:w="964" w:type="dxa"/>
            <w:tcBorders>
              <w:top w:val="nil"/>
              <w:left w:val="nil"/>
              <w:bottom w:val="nil"/>
              <w:right w:val="nil"/>
            </w:tcBorders>
            <w:shd w:val="clear" w:color="auto" w:fill="auto"/>
            <w:noWrap/>
            <w:vAlign w:val="bottom"/>
            <w:hideMark/>
          </w:tcPr>
          <w:p w14:paraId="6A3B2056" w14:textId="77777777" w:rsidR="007B2D8B" w:rsidRPr="002943D2" w:rsidRDefault="007B2D8B" w:rsidP="007B2D8B">
            <w:pPr>
              <w:spacing w:before="0" w:after="0" w:line="240" w:lineRule="auto"/>
              <w:ind w:firstLineChars="100" w:firstLine="161"/>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79546BFD" w14:textId="0130C15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36BFC691"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763173AD"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622FAD3B"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707548FF"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08E1E009" w14:textId="10E2E967"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Land and buildings</w:t>
            </w:r>
          </w:p>
        </w:tc>
        <w:tc>
          <w:tcPr>
            <w:tcW w:w="964" w:type="dxa"/>
            <w:tcBorders>
              <w:top w:val="nil"/>
              <w:left w:val="nil"/>
              <w:bottom w:val="nil"/>
              <w:right w:val="nil"/>
            </w:tcBorders>
            <w:shd w:val="clear" w:color="auto" w:fill="auto"/>
            <w:noWrap/>
            <w:vAlign w:val="bottom"/>
            <w:hideMark/>
          </w:tcPr>
          <w:p w14:paraId="5C5C6567" w14:textId="4287380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384</w:t>
            </w:r>
          </w:p>
        </w:tc>
        <w:tc>
          <w:tcPr>
            <w:tcW w:w="964" w:type="dxa"/>
            <w:tcBorders>
              <w:top w:val="nil"/>
              <w:left w:val="nil"/>
              <w:bottom w:val="nil"/>
              <w:right w:val="nil"/>
            </w:tcBorders>
            <w:shd w:val="clear" w:color="000000" w:fill="D9D9D9"/>
            <w:noWrap/>
            <w:vAlign w:val="bottom"/>
            <w:hideMark/>
          </w:tcPr>
          <w:p w14:paraId="5FAAF9BB" w14:textId="3A1EDD3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5,645</w:t>
            </w:r>
          </w:p>
        </w:tc>
        <w:tc>
          <w:tcPr>
            <w:tcW w:w="964" w:type="dxa"/>
            <w:tcBorders>
              <w:top w:val="nil"/>
              <w:left w:val="nil"/>
              <w:bottom w:val="nil"/>
              <w:right w:val="nil"/>
            </w:tcBorders>
            <w:shd w:val="clear" w:color="auto" w:fill="auto"/>
            <w:noWrap/>
            <w:vAlign w:val="bottom"/>
            <w:hideMark/>
          </w:tcPr>
          <w:p w14:paraId="3D3B688E" w14:textId="5BF5AB6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4,855</w:t>
            </w:r>
          </w:p>
        </w:tc>
        <w:tc>
          <w:tcPr>
            <w:tcW w:w="964" w:type="dxa"/>
            <w:tcBorders>
              <w:top w:val="nil"/>
              <w:left w:val="nil"/>
              <w:bottom w:val="nil"/>
              <w:right w:val="nil"/>
            </w:tcBorders>
            <w:shd w:val="clear" w:color="auto" w:fill="auto"/>
            <w:noWrap/>
            <w:vAlign w:val="bottom"/>
            <w:hideMark/>
          </w:tcPr>
          <w:p w14:paraId="2B26DF76" w14:textId="4B8FA91A"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4,065</w:t>
            </w:r>
          </w:p>
        </w:tc>
        <w:tc>
          <w:tcPr>
            <w:tcW w:w="907" w:type="dxa"/>
            <w:tcBorders>
              <w:top w:val="nil"/>
              <w:left w:val="nil"/>
              <w:bottom w:val="nil"/>
              <w:right w:val="nil"/>
            </w:tcBorders>
            <w:shd w:val="clear" w:color="auto" w:fill="auto"/>
            <w:noWrap/>
            <w:vAlign w:val="bottom"/>
            <w:hideMark/>
          </w:tcPr>
          <w:p w14:paraId="0D577D79" w14:textId="67965080"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3,275</w:t>
            </w:r>
          </w:p>
        </w:tc>
      </w:tr>
      <w:tr w:rsidR="007B2D8B" w:rsidRPr="002943D2" w14:paraId="605B0E93"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E7E47C2" w14:textId="3682C1F3"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 xml:space="preserve">Property, </w:t>
            </w:r>
            <w:proofErr w:type="gramStart"/>
            <w:r>
              <w:rPr>
                <w:rFonts w:ascii="Arial" w:hAnsi="Arial" w:cs="Arial"/>
                <w:color w:val="000000"/>
                <w:sz w:val="16"/>
                <w:szCs w:val="16"/>
              </w:rPr>
              <w:t>plant</w:t>
            </w:r>
            <w:proofErr w:type="gramEnd"/>
            <w:r>
              <w:rPr>
                <w:rFonts w:ascii="Arial" w:hAnsi="Arial" w:cs="Arial"/>
                <w:color w:val="000000"/>
                <w:sz w:val="16"/>
                <w:szCs w:val="16"/>
              </w:rPr>
              <w:t xml:space="preserve"> and equipment</w:t>
            </w:r>
          </w:p>
        </w:tc>
        <w:tc>
          <w:tcPr>
            <w:tcW w:w="964" w:type="dxa"/>
            <w:tcBorders>
              <w:top w:val="nil"/>
              <w:left w:val="nil"/>
              <w:bottom w:val="nil"/>
              <w:right w:val="nil"/>
            </w:tcBorders>
            <w:shd w:val="clear" w:color="auto" w:fill="auto"/>
            <w:noWrap/>
            <w:vAlign w:val="bottom"/>
            <w:hideMark/>
          </w:tcPr>
          <w:p w14:paraId="2D93D7B0" w14:textId="1DDFA879"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195</w:t>
            </w:r>
          </w:p>
        </w:tc>
        <w:tc>
          <w:tcPr>
            <w:tcW w:w="964" w:type="dxa"/>
            <w:tcBorders>
              <w:top w:val="nil"/>
              <w:left w:val="nil"/>
              <w:bottom w:val="nil"/>
              <w:right w:val="nil"/>
            </w:tcBorders>
            <w:shd w:val="clear" w:color="000000" w:fill="D9D9D9"/>
            <w:noWrap/>
            <w:vAlign w:val="bottom"/>
            <w:hideMark/>
          </w:tcPr>
          <w:p w14:paraId="1BC6383B" w14:textId="767A670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299</w:t>
            </w:r>
          </w:p>
        </w:tc>
        <w:tc>
          <w:tcPr>
            <w:tcW w:w="964" w:type="dxa"/>
            <w:tcBorders>
              <w:top w:val="nil"/>
              <w:left w:val="nil"/>
              <w:bottom w:val="nil"/>
              <w:right w:val="nil"/>
            </w:tcBorders>
            <w:shd w:val="clear" w:color="auto" w:fill="auto"/>
            <w:noWrap/>
            <w:vAlign w:val="bottom"/>
            <w:hideMark/>
          </w:tcPr>
          <w:p w14:paraId="1E67F93E" w14:textId="23E0895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252</w:t>
            </w:r>
          </w:p>
        </w:tc>
        <w:tc>
          <w:tcPr>
            <w:tcW w:w="964" w:type="dxa"/>
            <w:tcBorders>
              <w:top w:val="nil"/>
              <w:left w:val="nil"/>
              <w:bottom w:val="nil"/>
              <w:right w:val="nil"/>
            </w:tcBorders>
            <w:shd w:val="clear" w:color="auto" w:fill="auto"/>
            <w:noWrap/>
            <w:vAlign w:val="bottom"/>
            <w:hideMark/>
          </w:tcPr>
          <w:p w14:paraId="15D16FC8" w14:textId="4B9D50C0"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317</w:t>
            </w:r>
          </w:p>
        </w:tc>
        <w:tc>
          <w:tcPr>
            <w:tcW w:w="907" w:type="dxa"/>
            <w:tcBorders>
              <w:top w:val="nil"/>
              <w:left w:val="nil"/>
              <w:bottom w:val="nil"/>
              <w:right w:val="nil"/>
            </w:tcBorders>
            <w:shd w:val="clear" w:color="auto" w:fill="auto"/>
            <w:noWrap/>
            <w:vAlign w:val="bottom"/>
            <w:hideMark/>
          </w:tcPr>
          <w:p w14:paraId="1EB9FE3C" w14:textId="5C4A24A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384</w:t>
            </w:r>
          </w:p>
        </w:tc>
      </w:tr>
      <w:tr w:rsidR="007B2D8B" w:rsidRPr="002943D2" w14:paraId="600C736F"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204B01E2" w14:textId="4C76350D"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Intangibles</w:t>
            </w:r>
          </w:p>
        </w:tc>
        <w:tc>
          <w:tcPr>
            <w:tcW w:w="964" w:type="dxa"/>
            <w:tcBorders>
              <w:top w:val="nil"/>
              <w:left w:val="nil"/>
              <w:bottom w:val="nil"/>
              <w:right w:val="nil"/>
            </w:tcBorders>
            <w:shd w:val="clear" w:color="auto" w:fill="auto"/>
            <w:noWrap/>
            <w:vAlign w:val="bottom"/>
            <w:hideMark/>
          </w:tcPr>
          <w:p w14:paraId="789404D4" w14:textId="7C8CCA08"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147</w:t>
            </w:r>
          </w:p>
        </w:tc>
        <w:tc>
          <w:tcPr>
            <w:tcW w:w="964" w:type="dxa"/>
            <w:tcBorders>
              <w:top w:val="nil"/>
              <w:left w:val="nil"/>
              <w:bottom w:val="nil"/>
              <w:right w:val="nil"/>
            </w:tcBorders>
            <w:shd w:val="clear" w:color="000000" w:fill="D9D9D9"/>
            <w:noWrap/>
            <w:vAlign w:val="bottom"/>
            <w:hideMark/>
          </w:tcPr>
          <w:p w14:paraId="618A2F07" w14:textId="7A16C055"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409</w:t>
            </w:r>
          </w:p>
        </w:tc>
        <w:tc>
          <w:tcPr>
            <w:tcW w:w="964" w:type="dxa"/>
            <w:tcBorders>
              <w:top w:val="nil"/>
              <w:left w:val="nil"/>
              <w:bottom w:val="nil"/>
              <w:right w:val="nil"/>
            </w:tcBorders>
            <w:shd w:val="clear" w:color="auto" w:fill="auto"/>
            <w:noWrap/>
            <w:vAlign w:val="bottom"/>
            <w:hideMark/>
          </w:tcPr>
          <w:p w14:paraId="0D3AFCAF" w14:textId="2CC1043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639</w:t>
            </w:r>
          </w:p>
        </w:tc>
        <w:tc>
          <w:tcPr>
            <w:tcW w:w="964" w:type="dxa"/>
            <w:tcBorders>
              <w:top w:val="nil"/>
              <w:left w:val="nil"/>
              <w:bottom w:val="nil"/>
              <w:right w:val="nil"/>
            </w:tcBorders>
            <w:shd w:val="clear" w:color="auto" w:fill="auto"/>
            <w:noWrap/>
            <w:vAlign w:val="bottom"/>
            <w:hideMark/>
          </w:tcPr>
          <w:p w14:paraId="2AFC7096" w14:textId="1E6FD2EA"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709</w:t>
            </w:r>
          </w:p>
        </w:tc>
        <w:tc>
          <w:tcPr>
            <w:tcW w:w="907" w:type="dxa"/>
            <w:tcBorders>
              <w:top w:val="nil"/>
              <w:left w:val="nil"/>
              <w:bottom w:val="nil"/>
              <w:right w:val="nil"/>
            </w:tcBorders>
            <w:shd w:val="clear" w:color="auto" w:fill="auto"/>
            <w:noWrap/>
            <w:vAlign w:val="bottom"/>
            <w:hideMark/>
          </w:tcPr>
          <w:p w14:paraId="3177E802" w14:textId="363647E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779</w:t>
            </w:r>
          </w:p>
        </w:tc>
      </w:tr>
      <w:tr w:rsidR="007B2D8B" w:rsidRPr="002943D2" w14:paraId="2191C62D"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8B559F1" w14:textId="1B97D4AC"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Other</w:t>
            </w:r>
          </w:p>
        </w:tc>
        <w:tc>
          <w:tcPr>
            <w:tcW w:w="964" w:type="dxa"/>
            <w:tcBorders>
              <w:top w:val="nil"/>
              <w:left w:val="nil"/>
              <w:bottom w:val="nil"/>
              <w:right w:val="nil"/>
            </w:tcBorders>
            <w:shd w:val="clear" w:color="auto" w:fill="auto"/>
            <w:noWrap/>
            <w:vAlign w:val="bottom"/>
            <w:hideMark/>
          </w:tcPr>
          <w:p w14:paraId="40484C9D" w14:textId="1B0381BE"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125</w:t>
            </w:r>
          </w:p>
        </w:tc>
        <w:tc>
          <w:tcPr>
            <w:tcW w:w="964" w:type="dxa"/>
            <w:tcBorders>
              <w:top w:val="nil"/>
              <w:left w:val="nil"/>
              <w:bottom w:val="nil"/>
              <w:right w:val="nil"/>
            </w:tcBorders>
            <w:shd w:val="clear" w:color="000000" w:fill="D9D9D9"/>
            <w:noWrap/>
            <w:vAlign w:val="bottom"/>
            <w:hideMark/>
          </w:tcPr>
          <w:p w14:paraId="30B0099D" w14:textId="20DC623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125</w:t>
            </w:r>
          </w:p>
        </w:tc>
        <w:tc>
          <w:tcPr>
            <w:tcW w:w="964" w:type="dxa"/>
            <w:tcBorders>
              <w:top w:val="nil"/>
              <w:left w:val="nil"/>
              <w:bottom w:val="nil"/>
              <w:right w:val="nil"/>
            </w:tcBorders>
            <w:shd w:val="clear" w:color="auto" w:fill="auto"/>
            <w:noWrap/>
            <w:vAlign w:val="bottom"/>
            <w:hideMark/>
          </w:tcPr>
          <w:p w14:paraId="6C6D990F" w14:textId="18E07FA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125</w:t>
            </w:r>
          </w:p>
        </w:tc>
        <w:tc>
          <w:tcPr>
            <w:tcW w:w="964" w:type="dxa"/>
            <w:tcBorders>
              <w:top w:val="nil"/>
              <w:left w:val="nil"/>
              <w:bottom w:val="nil"/>
              <w:right w:val="nil"/>
            </w:tcBorders>
            <w:shd w:val="clear" w:color="auto" w:fill="auto"/>
            <w:noWrap/>
            <w:vAlign w:val="bottom"/>
            <w:hideMark/>
          </w:tcPr>
          <w:p w14:paraId="4395CA29" w14:textId="03CC138F"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125</w:t>
            </w:r>
          </w:p>
        </w:tc>
        <w:tc>
          <w:tcPr>
            <w:tcW w:w="907" w:type="dxa"/>
            <w:tcBorders>
              <w:top w:val="nil"/>
              <w:left w:val="nil"/>
              <w:bottom w:val="nil"/>
              <w:right w:val="nil"/>
            </w:tcBorders>
            <w:shd w:val="clear" w:color="auto" w:fill="auto"/>
            <w:noWrap/>
            <w:vAlign w:val="bottom"/>
            <w:hideMark/>
          </w:tcPr>
          <w:p w14:paraId="64796E85" w14:textId="5AED00C9"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125</w:t>
            </w:r>
          </w:p>
        </w:tc>
      </w:tr>
      <w:tr w:rsidR="007B2D8B" w:rsidRPr="002943D2" w14:paraId="70206575"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706C685D" w14:textId="376FA471" w:rsidR="007B2D8B" w:rsidRPr="002943D2" w:rsidRDefault="007B2D8B" w:rsidP="007B2D8B">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non-financial assets</w:t>
            </w:r>
          </w:p>
        </w:tc>
        <w:tc>
          <w:tcPr>
            <w:tcW w:w="964" w:type="dxa"/>
            <w:tcBorders>
              <w:top w:val="nil"/>
              <w:left w:val="nil"/>
              <w:bottom w:val="single" w:sz="4" w:space="0" w:color="auto"/>
              <w:right w:val="nil"/>
            </w:tcBorders>
            <w:shd w:val="clear" w:color="auto" w:fill="auto"/>
            <w:noWrap/>
            <w:vAlign w:val="bottom"/>
            <w:hideMark/>
          </w:tcPr>
          <w:p w14:paraId="09ECA496" w14:textId="2BB21370"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852</w:t>
            </w:r>
          </w:p>
        </w:tc>
        <w:tc>
          <w:tcPr>
            <w:tcW w:w="964" w:type="dxa"/>
            <w:tcBorders>
              <w:top w:val="nil"/>
              <w:left w:val="nil"/>
              <w:bottom w:val="single" w:sz="4" w:space="0" w:color="auto"/>
              <w:right w:val="nil"/>
            </w:tcBorders>
            <w:shd w:val="clear" w:color="000000" w:fill="D9D9D9"/>
            <w:noWrap/>
            <w:vAlign w:val="bottom"/>
            <w:hideMark/>
          </w:tcPr>
          <w:p w14:paraId="5672B814" w14:textId="4CC928B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6,478</w:t>
            </w:r>
          </w:p>
        </w:tc>
        <w:tc>
          <w:tcPr>
            <w:tcW w:w="964" w:type="dxa"/>
            <w:tcBorders>
              <w:top w:val="nil"/>
              <w:left w:val="nil"/>
              <w:bottom w:val="single" w:sz="4" w:space="0" w:color="auto"/>
              <w:right w:val="nil"/>
            </w:tcBorders>
            <w:shd w:val="clear" w:color="auto" w:fill="auto"/>
            <w:noWrap/>
            <w:vAlign w:val="bottom"/>
            <w:hideMark/>
          </w:tcPr>
          <w:p w14:paraId="0A0CA9D7" w14:textId="34F69F25"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5,871</w:t>
            </w:r>
          </w:p>
        </w:tc>
        <w:tc>
          <w:tcPr>
            <w:tcW w:w="964" w:type="dxa"/>
            <w:tcBorders>
              <w:top w:val="nil"/>
              <w:left w:val="nil"/>
              <w:bottom w:val="single" w:sz="4" w:space="0" w:color="auto"/>
              <w:right w:val="nil"/>
            </w:tcBorders>
            <w:shd w:val="clear" w:color="auto" w:fill="auto"/>
            <w:noWrap/>
            <w:vAlign w:val="bottom"/>
            <w:hideMark/>
          </w:tcPr>
          <w:p w14:paraId="22DC5707" w14:textId="75A1E5A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5,216</w:t>
            </w:r>
          </w:p>
        </w:tc>
        <w:tc>
          <w:tcPr>
            <w:tcW w:w="907" w:type="dxa"/>
            <w:tcBorders>
              <w:top w:val="nil"/>
              <w:left w:val="nil"/>
              <w:bottom w:val="single" w:sz="4" w:space="0" w:color="auto"/>
              <w:right w:val="nil"/>
            </w:tcBorders>
            <w:shd w:val="clear" w:color="auto" w:fill="auto"/>
            <w:noWrap/>
            <w:vAlign w:val="bottom"/>
            <w:hideMark/>
          </w:tcPr>
          <w:p w14:paraId="7A036AAD" w14:textId="4025E23E"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4,563</w:t>
            </w:r>
          </w:p>
        </w:tc>
      </w:tr>
      <w:tr w:rsidR="007B2D8B" w:rsidRPr="002943D2" w14:paraId="6602D960"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25E12806" w14:textId="2FA8E0DD"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assets</w:t>
            </w:r>
          </w:p>
        </w:tc>
        <w:tc>
          <w:tcPr>
            <w:tcW w:w="964" w:type="dxa"/>
            <w:tcBorders>
              <w:top w:val="nil"/>
              <w:left w:val="nil"/>
              <w:bottom w:val="single" w:sz="4" w:space="0" w:color="auto"/>
              <w:right w:val="nil"/>
            </w:tcBorders>
            <w:shd w:val="clear" w:color="auto" w:fill="auto"/>
            <w:noWrap/>
            <w:vAlign w:val="bottom"/>
            <w:hideMark/>
          </w:tcPr>
          <w:p w14:paraId="49C94505" w14:textId="03BB15C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13,334</w:t>
            </w:r>
          </w:p>
        </w:tc>
        <w:tc>
          <w:tcPr>
            <w:tcW w:w="964" w:type="dxa"/>
            <w:tcBorders>
              <w:top w:val="nil"/>
              <w:left w:val="nil"/>
              <w:bottom w:val="single" w:sz="4" w:space="0" w:color="auto"/>
              <w:right w:val="nil"/>
            </w:tcBorders>
            <w:shd w:val="clear" w:color="000000" w:fill="D9D9D9"/>
            <w:noWrap/>
            <w:vAlign w:val="bottom"/>
            <w:hideMark/>
          </w:tcPr>
          <w:p w14:paraId="4969BEA9" w14:textId="697B313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18,100</w:t>
            </w:r>
          </w:p>
        </w:tc>
        <w:tc>
          <w:tcPr>
            <w:tcW w:w="964" w:type="dxa"/>
            <w:tcBorders>
              <w:top w:val="nil"/>
              <w:left w:val="nil"/>
              <w:bottom w:val="single" w:sz="4" w:space="0" w:color="auto"/>
              <w:right w:val="nil"/>
            </w:tcBorders>
            <w:shd w:val="clear" w:color="auto" w:fill="auto"/>
            <w:noWrap/>
            <w:vAlign w:val="bottom"/>
            <w:hideMark/>
          </w:tcPr>
          <w:p w14:paraId="78C43E2C" w14:textId="5368C151"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17,496</w:t>
            </w:r>
          </w:p>
        </w:tc>
        <w:tc>
          <w:tcPr>
            <w:tcW w:w="964" w:type="dxa"/>
            <w:tcBorders>
              <w:top w:val="nil"/>
              <w:left w:val="nil"/>
              <w:bottom w:val="single" w:sz="4" w:space="0" w:color="auto"/>
              <w:right w:val="nil"/>
            </w:tcBorders>
            <w:shd w:val="clear" w:color="auto" w:fill="auto"/>
            <w:noWrap/>
            <w:vAlign w:val="bottom"/>
            <w:hideMark/>
          </w:tcPr>
          <w:p w14:paraId="1B920397" w14:textId="7A83FF3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16,845</w:t>
            </w:r>
          </w:p>
        </w:tc>
        <w:tc>
          <w:tcPr>
            <w:tcW w:w="907" w:type="dxa"/>
            <w:tcBorders>
              <w:top w:val="nil"/>
              <w:left w:val="nil"/>
              <w:bottom w:val="single" w:sz="4" w:space="0" w:color="auto"/>
              <w:right w:val="nil"/>
            </w:tcBorders>
            <w:shd w:val="clear" w:color="auto" w:fill="auto"/>
            <w:noWrap/>
            <w:vAlign w:val="bottom"/>
            <w:hideMark/>
          </w:tcPr>
          <w:p w14:paraId="4BA07705" w14:textId="1BBB4DB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16,196</w:t>
            </w:r>
          </w:p>
        </w:tc>
      </w:tr>
      <w:tr w:rsidR="007B2D8B" w:rsidRPr="002943D2" w14:paraId="4E5ED18E" w14:textId="77777777" w:rsidTr="00F51B52">
        <w:trPr>
          <w:trHeight w:val="283"/>
          <w:jc w:val="center"/>
        </w:trPr>
        <w:tc>
          <w:tcPr>
            <w:tcW w:w="3005" w:type="dxa"/>
            <w:tcBorders>
              <w:top w:val="nil"/>
              <w:left w:val="nil"/>
              <w:bottom w:val="nil"/>
              <w:right w:val="nil"/>
            </w:tcBorders>
            <w:shd w:val="clear" w:color="auto" w:fill="auto"/>
            <w:noWrap/>
            <w:vAlign w:val="bottom"/>
            <w:hideMark/>
          </w:tcPr>
          <w:p w14:paraId="165A1A8F" w14:textId="70104C1C" w:rsidR="007B2D8B" w:rsidRPr="002943D2" w:rsidRDefault="007B2D8B" w:rsidP="007B2D8B">
            <w:pPr>
              <w:spacing w:before="0" w:after="0" w:line="240" w:lineRule="auto"/>
              <w:rPr>
                <w:rFonts w:ascii="Arial" w:hAnsi="Arial" w:cs="Arial"/>
                <w:b/>
                <w:bCs/>
                <w:color w:val="000000"/>
                <w:sz w:val="16"/>
                <w:szCs w:val="16"/>
              </w:rPr>
            </w:pPr>
            <w:r>
              <w:rPr>
                <w:rFonts w:ascii="Arial" w:hAnsi="Arial" w:cs="Arial"/>
                <w:b/>
                <w:bCs/>
                <w:color w:val="000000"/>
                <w:sz w:val="16"/>
                <w:szCs w:val="16"/>
              </w:rPr>
              <w:t>LIABILITIES</w:t>
            </w:r>
          </w:p>
        </w:tc>
        <w:tc>
          <w:tcPr>
            <w:tcW w:w="964" w:type="dxa"/>
            <w:tcBorders>
              <w:top w:val="nil"/>
              <w:left w:val="nil"/>
              <w:bottom w:val="nil"/>
              <w:right w:val="nil"/>
            </w:tcBorders>
            <w:shd w:val="clear" w:color="auto" w:fill="auto"/>
            <w:noWrap/>
            <w:vAlign w:val="bottom"/>
            <w:hideMark/>
          </w:tcPr>
          <w:p w14:paraId="19B99BE5" w14:textId="77777777" w:rsidR="007B2D8B" w:rsidRPr="002943D2" w:rsidRDefault="007B2D8B" w:rsidP="007B2D8B">
            <w:pPr>
              <w:spacing w:before="0" w:after="0" w:line="240" w:lineRule="auto"/>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009E5FA9" w14:textId="3629D09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56C8841A"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6580ABA4"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1445A1DA"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42535F2B"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269A189E" w14:textId="3470440A"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Payables</w:t>
            </w:r>
          </w:p>
        </w:tc>
        <w:tc>
          <w:tcPr>
            <w:tcW w:w="964" w:type="dxa"/>
            <w:tcBorders>
              <w:top w:val="nil"/>
              <w:left w:val="nil"/>
              <w:bottom w:val="nil"/>
              <w:right w:val="nil"/>
            </w:tcBorders>
            <w:shd w:val="clear" w:color="auto" w:fill="auto"/>
            <w:noWrap/>
            <w:vAlign w:val="bottom"/>
            <w:hideMark/>
          </w:tcPr>
          <w:p w14:paraId="00AF2BAF" w14:textId="77777777" w:rsidR="007B2D8B" w:rsidRPr="002943D2" w:rsidRDefault="007B2D8B" w:rsidP="007B2D8B">
            <w:pPr>
              <w:spacing w:before="0" w:after="0" w:line="240" w:lineRule="auto"/>
              <w:ind w:firstLineChars="100" w:firstLine="161"/>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5B2B9A96" w14:textId="5A21356C"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32D6474F"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617A6655"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2FB4B368"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0CB98C85"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1376CBEA" w14:textId="18D4B92E"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bottom"/>
            <w:hideMark/>
          </w:tcPr>
          <w:p w14:paraId="4F799AEF" w14:textId="6BA4846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592</w:t>
            </w:r>
          </w:p>
        </w:tc>
        <w:tc>
          <w:tcPr>
            <w:tcW w:w="964" w:type="dxa"/>
            <w:tcBorders>
              <w:top w:val="nil"/>
              <w:left w:val="nil"/>
              <w:bottom w:val="nil"/>
              <w:right w:val="nil"/>
            </w:tcBorders>
            <w:shd w:val="clear" w:color="000000" w:fill="D9D9D9"/>
            <w:noWrap/>
            <w:vAlign w:val="bottom"/>
            <w:hideMark/>
          </w:tcPr>
          <w:p w14:paraId="0739B53E" w14:textId="050AB0A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569</w:t>
            </w:r>
          </w:p>
        </w:tc>
        <w:tc>
          <w:tcPr>
            <w:tcW w:w="964" w:type="dxa"/>
            <w:tcBorders>
              <w:top w:val="nil"/>
              <w:left w:val="nil"/>
              <w:bottom w:val="nil"/>
              <w:right w:val="nil"/>
            </w:tcBorders>
            <w:shd w:val="clear" w:color="auto" w:fill="auto"/>
            <w:noWrap/>
            <w:vAlign w:val="bottom"/>
            <w:hideMark/>
          </w:tcPr>
          <w:p w14:paraId="4BEACD03" w14:textId="27AEDA5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569</w:t>
            </w:r>
          </w:p>
        </w:tc>
        <w:tc>
          <w:tcPr>
            <w:tcW w:w="964" w:type="dxa"/>
            <w:tcBorders>
              <w:top w:val="nil"/>
              <w:left w:val="nil"/>
              <w:bottom w:val="nil"/>
              <w:right w:val="nil"/>
            </w:tcBorders>
            <w:shd w:val="clear" w:color="auto" w:fill="auto"/>
            <w:noWrap/>
            <w:vAlign w:val="bottom"/>
            <w:hideMark/>
          </w:tcPr>
          <w:p w14:paraId="09C7BC7E" w14:textId="14186EA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569</w:t>
            </w:r>
          </w:p>
        </w:tc>
        <w:tc>
          <w:tcPr>
            <w:tcW w:w="907" w:type="dxa"/>
            <w:tcBorders>
              <w:top w:val="nil"/>
              <w:left w:val="nil"/>
              <w:bottom w:val="nil"/>
              <w:right w:val="nil"/>
            </w:tcBorders>
            <w:shd w:val="clear" w:color="auto" w:fill="auto"/>
            <w:noWrap/>
            <w:vAlign w:val="bottom"/>
            <w:hideMark/>
          </w:tcPr>
          <w:p w14:paraId="4E96DD6D" w14:textId="5E1B86B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569</w:t>
            </w:r>
          </w:p>
        </w:tc>
      </w:tr>
      <w:tr w:rsidR="007B2D8B" w:rsidRPr="002943D2" w14:paraId="4C011006"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45508FB3" w14:textId="1EB4ECFC"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Other payables</w:t>
            </w:r>
          </w:p>
        </w:tc>
        <w:tc>
          <w:tcPr>
            <w:tcW w:w="964" w:type="dxa"/>
            <w:tcBorders>
              <w:top w:val="nil"/>
              <w:left w:val="nil"/>
              <w:bottom w:val="nil"/>
              <w:right w:val="nil"/>
            </w:tcBorders>
            <w:shd w:val="clear" w:color="auto" w:fill="auto"/>
            <w:noWrap/>
            <w:vAlign w:val="bottom"/>
            <w:hideMark/>
          </w:tcPr>
          <w:p w14:paraId="3EA5A782" w14:textId="40F0C9D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118</w:t>
            </w:r>
          </w:p>
        </w:tc>
        <w:tc>
          <w:tcPr>
            <w:tcW w:w="964" w:type="dxa"/>
            <w:tcBorders>
              <w:top w:val="nil"/>
              <w:left w:val="nil"/>
              <w:bottom w:val="nil"/>
              <w:right w:val="nil"/>
            </w:tcBorders>
            <w:shd w:val="clear" w:color="000000" w:fill="D9D9D9"/>
            <w:noWrap/>
            <w:vAlign w:val="bottom"/>
            <w:hideMark/>
          </w:tcPr>
          <w:p w14:paraId="74180C20" w14:textId="51F95DDA"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64" w:type="dxa"/>
            <w:tcBorders>
              <w:top w:val="nil"/>
              <w:left w:val="nil"/>
              <w:bottom w:val="nil"/>
              <w:right w:val="nil"/>
            </w:tcBorders>
            <w:shd w:val="clear" w:color="auto" w:fill="auto"/>
            <w:noWrap/>
            <w:vAlign w:val="bottom"/>
            <w:hideMark/>
          </w:tcPr>
          <w:p w14:paraId="59962906" w14:textId="15C880F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64" w:type="dxa"/>
            <w:tcBorders>
              <w:top w:val="nil"/>
              <w:left w:val="nil"/>
              <w:bottom w:val="nil"/>
              <w:right w:val="nil"/>
            </w:tcBorders>
            <w:shd w:val="clear" w:color="auto" w:fill="auto"/>
            <w:noWrap/>
            <w:vAlign w:val="bottom"/>
            <w:hideMark/>
          </w:tcPr>
          <w:p w14:paraId="70B0BFB1" w14:textId="616AC9C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c>
          <w:tcPr>
            <w:tcW w:w="907" w:type="dxa"/>
            <w:tcBorders>
              <w:top w:val="nil"/>
              <w:left w:val="nil"/>
              <w:bottom w:val="nil"/>
              <w:right w:val="nil"/>
            </w:tcBorders>
            <w:shd w:val="clear" w:color="auto" w:fill="auto"/>
            <w:noWrap/>
            <w:vAlign w:val="bottom"/>
            <w:hideMark/>
          </w:tcPr>
          <w:p w14:paraId="47B6D473" w14:textId="173ACF57"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w:t>
            </w:r>
          </w:p>
        </w:tc>
      </w:tr>
      <w:tr w:rsidR="007B2D8B" w:rsidRPr="002943D2" w14:paraId="02189337"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FD0A49F" w14:textId="5F855B24" w:rsidR="007B2D8B" w:rsidRPr="002943D2" w:rsidRDefault="007B2D8B" w:rsidP="007B2D8B">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payables</w:t>
            </w:r>
          </w:p>
        </w:tc>
        <w:tc>
          <w:tcPr>
            <w:tcW w:w="964" w:type="dxa"/>
            <w:tcBorders>
              <w:top w:val="nil"/>
              <w:left w:val="nil"/>
              <w:bottom w:val="single" w:sz="4" w:space="0" w:color="auto"/>
              <w:right w:val="nil"/>
            </w:tcBorders>
            <w:shd w:val="clear" w:color="auto" w:fill="auto"/>
            <w:noWrap/>
            <w:vAlign w:val="bottom"/>
            <w:hideMark/>
          </w:tcPr>
          <w:p w14:paraId="62485DEC" w14:textId="0406C71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709</w:t>
            </w:r>
          </w:p>
        </w:tc>
        <w:tc>
          <w:tcPr>
            <w:tcW w:w="964" w:type="dxa"/>
            <w:tcBorders>
              <w:top w:val="nil"/>
              <w:left w:val="nil"/>
              <w:bottom w:val="single" w:sz="4" w:space="0" w:color="auto"/>
              <w:right w:val="nil"/>
            </w:tcBorders>
            <w:shd w:val="clear" w:color="000000" w:fill="D9D9D9"/>
            <w:noWrap/>
            <w:vAlign w:val="bottom"/>
            <w:hideMark/>
          </w:tcPr>
          <w:p w14:paraId="0D4811BC" w14:textId="61CC35A6"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675</w:t>
            </w:r>
          </w:p>
        </w:tc>
        <w:tc>
          <w:tcPr>
            <w:tcW w:w="964" w:type="dxa"/>
            <w:tcBorders>
              <w:top w:val="nil"/>
              <w:left w:val="nil"/>
              <w:bottom w:val="single" w:sz="4" w:space="0" w:color="auto"/>
              <w:right w:val="nil"/>
            </w:tcBorders>
            <w:shd w:val="clear" w:color="auto" w:fill="auto"/>
            <w:noWrap/>
            <w:vAlign w:val="bottom"/>
            <w:hideMark/>
          </w:tcPr>
          <w:p w14:paraId="20DD1B76" w14:textId="2D4BD8E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675</w:t>
            </w:r>
          </w:p>
        </w:tc>
        <w:tc>
          <w:tcPr>
            <w:tcW w:w="964" w:type="dxa"/>
            <w:tcBorders>
              <w:top w:val="nil"/>
              <w:left w:val="nil"/>
              <w:bottom w:val="single" w:sz="4" w:space="0" w:color="auto"/>
              <w:right w:val="nil"/>
            </w:tcBorders>
            <w:shd w:val="clear" w:color="auto" w:fill="auto"/>
            <w:noWrap/>
            <w:vAlign w:val="bottom"/>
            <w:hideMark/>
          </w:tcPr>
          <w:p w14:paraId="5D734041" w14:textId="3AF1DB5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675</w:t>
            </w:r>
          </w:p>
        </w:tc>
        <w:tc>
          <w:tcPr>
            <w:tcW w:w="907" w:type="dxa"/>
            <w:tcBorders>
              <w:top w:val="nil"/>
              <w:left w:val="nil"/>
              <w:bottom w:val="single" w:sz="4" w:space="0" w:color="auto"/>
              <w:right w:val="nil"/>
            </w:tcBorders>
            <w:shd w:val="clear" w:color="auto" w:fill="auto"/>
            <w:noWrap/>
            <w:vAlign w:val="bottom"/>
            <w:hideMark/>
          </w:tcPr>
          <w:p w14:paraId="2974D4E8" w14:textId="23EBC19E"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675</w:t>
            </w:r>
          </w:p>
        </w:tc>
      </w:tr>
      <w:tr w:rsidR="007B2D8B" w:rsidRPr="002943D2" w14:paraId="2B959449" w14:textId="77777777" w:rsidTr="007B2D8B">
        <w:trPr>
          <w:trHeight w:val="227"/>
          <w:jc w:val="center"/>
        </w:trPr>
        <w:tc>
          <w:tcPr>
            <w:tcW w:w="3005" w:type="dxa"/>
            <w:tcBorders>
              <w:top w:val="nil"/>
              <w:left w:val="nil"/>
              <w:bottom w:val="nil"/>
              <w:right w:val="nil"/>
            </w:tcBorders>
            <w:shd w:val="clear" w:color="auto" w:fill="auto"/>
            <w:noWrap/>
            <w:vAlign w:val="bottom"/>
            <w:hideMark/>
          </w:tcPr>
          <w:p w14:paraId="03D44AAC" w14:textId="202B35CE"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Interest bearing liabilities</w:t>
            </w:r>
          </w:p>
        </w:tc>
        <w:tc>
          <w:tcPr>
            <w:tcW w:w="964" w:type="dxa"/>
            <w:tcBorders>
              <w:top w:val="nil"/>
              <w:left w:val="nil"/>
              <w:bottom w:val="nil"/>
              <w:right w:val="nil"/>
            </w:tcBorders>
            <w:shd w:val="clear" w:color="auto" w:fill="auto"/>
            <w:noWrap/>
            <w:vAlign w:val="bottom"/>
            <w:hideMark/>
          </w:tcPr>
          <w:p w14:paraId="024169FA" w14:textId="77777777" w:rsidR="007B2D8B" w:rsidRPr="002943D2" w:rsidRDefault="007B2D8B" w:rsidP="007B2D8B">
            <w:pPr>
              <w:spacing w:before="0" w:after="0" w:line="240" w:lineRule="auto"/>
              <w:ind w:firstLineChars="100" w:firstLine="161"/>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228B5CDA" w14:textId="279793DA"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5775D4E4"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5E751388"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4C7B270A"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0C83C90E"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24666C58" w14:textId="65F8F149"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Leases</w:t>
            </w:r>
          </w:p>
        </w:tc>
        <w:tc>
          <w:tcPr>
            <w:tcW w:w="964" w:type="dxa"/>
            <w:tcBorders>
              <w:top w:val="nil"/>
              <w:left w:val="nil"/>
              <w:bottom w:val="nil"/>
              <w:right w:val="nil"/>
            </w:tcBorders>
            <w:shd w:val="clear" w:color="auto" w:fill="auto"/>
            <w:noWrap/>
            <w:vAlign w:val="bottom"/>
            <w:hideMark/>
          </w:tcPr>
          <w:p w14:paraId="08572BD0" w14:textId="277B8F4C"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191</w:t>
            </w:r>
          </w:p>
        </w:tc>
        <w:tc>
          <w:tcPr>
            <w:tcW w:w="964" w:type="dxa"/>
            <w:tcBorders>
              <w:top w:val="nil"/>
              <w:left w:val="nil"/>
              <w:bottom w:val="nil"/>
              <w:right w:val="nil"/>
            </w:tcBorders>
            <w:shd w:val="clear" w:color="000000" w:fill="D9D9D9"/>
            <w:noWrap/>
            <w:vAlign w:val="bottom"/>
            <w:hideMark/>
          </w:tcPr>
          <w:p w14:paraId="133874C0" w14:textId="7431CD39"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3,059</w:t>
            </w:r>
          </w:p>
        </w:tc>
        <w:tc>
          <w:tcPr>
            <w:tcW w:w="964" w:type="dxa"/>
            <w:tcBorders>
              <w:top w:val="nil"/>
              <w:left w:val="nil"/>
              <w:bottom w:val="nil"/>
              <w:right w:val="nil"/>
            </w:tcBorders>
            <w:shd w:val="clear" w:color="auto" w:fill="auto"/>
            <w:noWrap/>
            <w:vAlign w:val="bottom"/>
            <w:hideMark/>
          </w:tcPr>
          <w:p w14:paraId="77E3A757" w14:textId="177BCD30"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2,537</w:t>
            </w:r>
          </w:p>
        </w:tc>
        <w:tc>
          <w:tcPr>
            <w:tcW w:w="964" w:type="dxa"/>
            <w:tcBorders>
              <w:top w:val="nil"/>
              <w:left w:val="nil"/>
              <w:bottom w:val="nil"/>
              <w:right w:val="nil"/>
            </w:tcBorders>
            <w:shd w:val="clear" w:color="auto" w:fill="auto"/>
            <w:noWrap/>
            <w:vAlign w:val="bottom"/>
            <w:hideMark/>
          </w:tcPr>
          <w:p w14:paraId="73979A48" w14:textId="2EE2CAC7"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1,994</w:t>
            </w:r>
          </w:p>
        </w:tc>
        <w:tc>
          <w:tcPr>
            <w:tcW w:w="907" w:type="dxa"/>
            <w:tcBorders>
              <w:top w:val="nil"/>
              <w:left w:val="nil"/>
              <w:bottom w:val="nil"/>
              <w:right w:val="nil"/>
            </w:tcBorders>
            <w:shd w:val="clear" w:color="auto" w:fill="auto"/>
            <w:noWrap/>
            <w:vAlign w:val="bottom"/>
            <w:hideMark/>
          </w:tcPr>
          <w:p w14:paraId="1A06A8BB" w14:textId="3FE91297"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1,430</w:t>
            </w:r>
          </w:p>
        </w:tc>
      </w:tr>
      <w:tr w:rsidR="007B2D8B" w:rsidRPr="002943D2" w14:paraId="772D582C"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36C4DDA0" w14:textId="696192FB" w:rsidR="007B2D8B" w:rsidRPr="002943D2" w:rsidRDefault="007B2D8B" w:rsidP="007B2D8B">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 xml:space="preserve">Total </w:t>
            </w:r>
            <w:proofErr w:type="gramStart"/>
            <w:r>
              <w:rPr>
                <w:rFonts w:ascii="Arial" w:hAnsi="Arial" w:cs="Arial"/>
                <w:b/>
                <w:bCs/>
                <w:color w:val="000000"/>
                <w:sz w:val="16"/>
                <w:szCs w:val="16"/>
              </w:rPr>
              <w:t>interest bearing</w:t>
            </w:r>
            <w:proofErr w:type="gramEnd"/>
            <w:r>
              <w:rPr>
                <w:rFonts w:ascii="Arial" w:hAnsi="Arial" w:cs="Arial"/>
                <w:b/>
                <w:bCs/>
                <w:color w:val="000000"/>
                <w:sz w:val="16"/>
                <w:szCs w:val="16"/>
              </w:rPr>
              <w:t xml:space="preserve"> liabilities</w:t>
            </w:r>
          </w:p>
        </w:tc>
        <w:tc>
          <w:tcPr>
            <w:tcW w:w="964" w:type="dxa"/>
            <w:tcBorders>
              <w:top w:val="nil"/>
              <w:left w:val="nil"/>
              <w:bottom w:val="single" w:sz="4" w:space="0" w:color="auto"/>
              <w:right w:val="nil"/>
            </w:tcBorders>
            <w:shd w:val="clear" w:color="auto" w:fill="auto"/>
            <w:noWrap/>
            <w:vAlign w:val="bottom"/>
            <w:hideMark/>
          </w:tcPr>
          <w:p w14:paraId="39771E2A" w14:textId="317AB1EF"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191</w:t>
            </w:r>
          </w:p>
        </w:tc>
        <w:tc>
          <w:tcPr>
            <w:tcW w:w="964" w:type="dxa"/>
            <w:tcBorders>
              <w:top w:val="nil"/>
              <w:left w:val="nil"/>
              <w:bottom w:val="single" w:sz="4" w:space="0" w:color="auto"/>
              <w:right w:val="nil"/>
            </w:tcBorders>
            <w:shd w:val="clear" w:color="000000" w:fill="D9D9D9"/>
            <w:noWrap/>
            <w:vAlign w:val="bottom"/>
            <w:hideMark/>
          </w:tcPr>
          <w:p w14:paraId="29CCFF56" w14:textId="31FB077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3,059</w:t>
            </w:r>
          </w:p>
        </w:tc>
        <w:tc>
          <w:tcPr>
            <w:tcW w:w="964" w:type="dxa"/>
            <w:tcBorders>
              <w:top w:val="nil"/>
              <w:left w:val="nil"/>
              <w:bottom w:val="single" w:sz="4" w:space="0" w:color="auto"/>
              <w:right w:val="nil"/>
            </w:tcBorders>
            <w:shd w:val="clear" w:color="auto" w:fill="auto"/>
            <w:noWrap/>
            <w:vAlign w:val="bottom"/>
            <w:hideMark/>
          </w:tcPr>
          <w:p w14:paraId="386C440F" w14:textId="4D92604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2,537</w:t>
            </w:r>
          </w:p>
        </w:tc>
        <w:tc>
          <w:tcPr>
            <w:tcW w:w="964" w:type="dxa"/>
            <w:tcBorders>
              <w:top w:val="nil"/>
              <w:left w:val="nil"/>
              <w:bottom w:val="single" w:sz="4" w:space="0" w:color="auto"/>
              <w:right w:val="nil"/>
            </w:tcBorders>
            <w:shd w:val="clear" w:color="auto" w:fill="auto"/>
            <w:noWrap/>
            <w:vAlign w:val="bottom"/>
            <w:hideMark/>
          </w:tcPr>
          <w:p w14:paraId="2C7BC7AC" w14:textId="26E3FE2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1,994</w:t>
            </w:r>
          </w:p>
        </w:tc>
        <w:tc>
          <w:tcPr>
            <w:tcW w:w="907" w:type="dxa"/>
            <w:tcBorders>
              <w:top w:val="nil"/>
              <w:left w:val="nil"/>
              <w:bottom w:val="single" w:sz="4" w:space="0" w:color="auto"/>
              <w:right w:val="nil"/>
            </w:tcBorders>
            <w:shd w:val="clear" w:color="auto" w:fill="auto"/>
            <w:noWrap/>
            <w:vAlign w:val="bottom"/>
            <w:hideMark/>
          </w:tcPr>
          <w:p w14:paraId="23A7CB42" w14:textId="7C9C8CF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1,430</w:t>
            </w:r>
          </w:p>
        </w:tc>
      </w:tr>
      <w:tr w:rsidR="007B2D8B" w:rsidRPr="002943D2" w14:paraId="7324DD0E" w14:textId="77777777" w:rsidTr="00F51B52">
        <w:trPr>
          <w:trHeight w:val="283"/>
          <w:jc w:val="center"/>
        </w:trPr>
        <w:tc>
          <w:tcPr>
            <w:tcW w:w="3005" w:type="dxa"/>
            <w:tcBorders>
              <w:top w:val="nil"/>
              <w:left w:val="nil"/>
              <w:bottom w:val="nil"/>
              <w:right w:val="nil"/>
            </w:tcBorders>
            <w:shd w:val="clear" w:color="auto" w:fill="auto"/>
            <w:noWrap/>
            <w:vAlign w:val="bottom"/>
            <w:hideMark/>
          </w:tcPr>
          <w:p w14:paraId="219C8ED7" w14:textId="437BCEF5"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Provisions</w:t>
            </w:r>
          </w:p>
        </w:tc>
        <w:tc>
          <w:tcPr>
            <w:tcW w:w="964" w:type="dxa"/>
            <w:tcBorders>
              <w:top w:val="nil"/>
              <w:left w:val="nil"/>
              <w:bottom w:val="nil"/>
              <w:right w:val="nil"/>
            </w:tcBorders>
            <w:shd w:val="clear" w:color="auto" w:fill="auto"/>
            <w:noWrap/>
            <w:vAlign w:val="bottom"/>
            <w:hideMark/>
          </w:tcPr>
          <w:p w14:paraId="0E209584" w14:textId="77777777" w:rsidR="007B2D8B" w:rsidRPr="002943D2" w:rsidRDefault="007B2D8B" w:rsidP="007B2D8B">
            <w:pPr>
              <w:spacing w:before="0" w:after="0" w:line="240" w:lineRule="auto"/>
              <w:ind w:firstLineChars="100" w:firstLine="161"/>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1314A067" w14:textId="6A3B7C45"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195A52C8"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39268172"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1540D480"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1A0C11F9"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684168E1" w14:textId="40D8DE72"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Employees</w:t>
            </w:r>
          </w:p>
        </w:tc>
        <w:tc>
          <w:tcPr>
            <w:tcW w:w="964" w:type="dxa"/>
            <w:tcBorders>
              <w:top w:val="nil"/>
              <w:left w:val="nil"/>
              <w:bottom w:val="nil"/>
              <w:right w:val="nil"/>
            </w:tcBorders>
            <w:shd w:val="clear" w:color="auto" w:fill="auto"/>
            <w:noWrap/>
            <w:vAlign w:val="bottom"/>
            <w:hideMark/>
          </w:tcPr>
          <w:p w14:paraId="30617740" w14:textId="0E1E35FB"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1,215</w:t>
            </w:r>
          </w:p>
        </w:tc>
        <w:tc>
          <w:tcPr>
            <w:tcW w:w="964" w:type="dxa"/>
            <w:tcBorders>
              <w:top w:val="nil"/>
              <w:left w:val="nil"/>
              <w:bottom w:val="nil"/>
              <w:right w:val="nil"/>
            </w:tcBorders>
            <w:shd w:val="clear" w:color="000000" w:fill="D9D9D9"/>
            <w:noWrap/>
            <w:vAlign w:val="bottom"/>
            <w:hideMark/>
          </w:tcPr>
          <w:p w14:paraId="2628A13A" w14:textId="608224F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1,323</w:t>
            </w:r>
          </w:p>
        </w:tc>
        <w:tc>
          <w:tcPr>
            <w:tcW w:w="964" w:type="dxa"/>
            <w:tcBorders>
              <w:top w:val="nil"/>
              <w:left w:val="nil"/>
              <w:bottom w:val="nil"/>
              <w:right w:val="nil"/>
            </w:tcBorders>
            <w:shd w:val="clear" w:color="auto" w:fill="auto"/>
            <w:noWrap/>
            <w:vAlign w:val="bottom"/>
            <w:hideMark/>
          </w:tcPr>
          <w:p w14:paraId="7FBDF2C7" w14:textId="00EE5E4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1,323</w:t>
            </w:r>
          </w:p>
        </w:tc>
        <w:tc>
          <w:tcPr>
            <w:tcW w:w="964" w:type="dxa"/>
            <w:tcBorders>
              <w:top w:val="nil"/>
              <w:left w:val="nil"/>
              <w:bottom w:val="nil"/>
              <w:right w:val="nil"/>
            </w:tcBorders>
            <w:shd w:val="clear" w:color="auto" w:fill="auto"/>
            <w:noWrap/>
            <w:vAlign w:val="bottom"/>
            <w:hideMark/>
          </w:tcPr>
          <w:p w14:paraId="3517ABCA" w14:textId="64C181D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1,323</w:t>
            </w:r>
          </w:p>
        </w:tc>
        <w:tc>
          <w:tcPr>
            <w:tcW w:w="907" w:type="dxa"/>
            <w:tcBorders>
              <w:top w:val="nil"/>
              <w:left w:val="nil"/>
              <w:bottom w:val="nil"/>
              <w:right w:val="nil"/>
            </w:tcBorders>
            <w:shd w:val="clear" w:color="auto" w:fill="auto"/>
            <w:noWrap/>
            <w:vAlign w:val="bottom"/>
            <w:hideMark/>
          </w:tcPr>
          <w:p w14:paraId="682622A5" w14:textId="058C151E"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1,323</w:t>
            </w:r>
          </w:p>
        </w:tc>
      </w:tr>
      <w:tr w:rsidR="007B2D8B" w:rsidRPr="002943D2" w14:paraId="392AF8E0"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C1A44DD" w14:textId="715A837D" w:rsidR="007B2D8B" w:rsidRPr="002943D2" w:rsidRDefault="007B2D8B" w:rsidP="007B2D8B">
            <w:pPr>
              <w:spacing w:before="0" w:after="0" w:line="240" w:lineRule="auto"/>
              <w:ind w:firstLineChars="200" w:firstLine="320"/>
              <w:rPr>
                <w:rFonts w:ascii="Arial" w:hAnsi="Arial" w:cs="Arial"/>
                <w:color w:val="000000"/>
                <w:sz w:val="16"/>
                <w:szCs w:val="16"/>
              </w:rPr>
            </w:pPr>
            <w:r>
              <w:rPr>
                <w:rFonts w:ascii="Arial" w:hAnsi="Arial" w:cs="Arial"/>
                <w:color w:val="000000"/>
                <w:sz w:val="16"/>
                <w:szCs w:val="16"/>
              </w:rPr>
              <w:t>Other provisions</w:t>
            </w:r>
          </w:p>
        </w:tc>
        <w:tc>
          <w:tcPr>
            <w:tcW w:w="964" w:type="dxa"/>
            <w:tcBorders>
              <w:top w:val="nil"/>
              <w:left w:val="nil"/>
              <w:bottom w:val="nil"/>
              <w:right w:val="nil"/>
            </w:tcBorders>
            <w:shd w:val="clear" w:color="auto" w:fill="auto"/>
            <w:noWrap/>
            <w:vAlign w:val="bottom"/>
            <w:hideMark/>
          </w:tcPr>
          <w:p w14:paraId="76D0B018" w14:textId="3B40A24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130</w:t>
            </w:r>
          </w:p>
        </w:tc>
        <w:tc>
          <w:tcPr>
            <w:tcW w:w="964" w:type="dxa"/>
            <w:tcBorders>
              <w:top w:val="nil"/>
              <w:left w:val="nil"/>
              <w:bottom w:val="nil"/>
              <w:right w:val="nil"/>
            </w:tcBorders>
            <w:shd w:val="clear" w:color="000000" w:fill="D9D9D9"/>
            <w:noWrap/>
            <w:vAlign w:val="bottom"/>
            <w:hideMark/>
          </w:tcPr>
          <w:p w14:paraId="3F007271" w14:textId="77D72B5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196</w:t>
            </w:r>
          </w:p>
        </w:tc>
        <w:tc>
          <w:tcPr>
            <w:tcW w:w="964" w:type="dxa"/>
            <w:tcBorders>
              <w:top w:val="nil"/>
              <w:left w:val="nil"/>
              <w:bottom w:val="nil"/>
              <w:right w:val="nil"/>
            </w:tcBorders>
            <w:shd w:val="clear" w:color="auto" w:fill="auto"/>
            <w:noWrap/>
            <w:vAlign w:val="bottom"/>
            <w:hideMark/>
          </w:tcPr>
          <w:p w14:paraId="0F333E48" w14:textId="7CBA9F58"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199</w:t>
            </w:r>
          </w:p>
        </w:tc>
        <w:tc>
          <w:tcPr>
            <w:tcW w:w="964" w:type="dxa"/>
            <w:tcBorders>
              <w:top w:val="nil"/>
              <w:left w:val="nil"/>
              <w:bottom w:val="nil"/>
              <w:right w:val="nil"/>
            </w:tcBorders>
            <w:shd w:val="clear" w:color="auto" w:fill="auto"/>
            <w:noWrap/>
            <w:vAlign w:val="bottom"/>
            <w:hideMark/>
          </w:tcPr>
          <w:p w14:paraId="3BE912D8" w14:textId="2CB7DB48"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203</w:t>
            </w:r>
          </w:p>
        </w:tc>
        <w:tc>
          <w:tcPr>
            <w:tcW w:w="907" w:type="dxa"/>
            <w:tcBorders>
              <w:top w:val="nil"/>
              <w:left w:val="nil"/>
              <w:bottom w:val="nil"/>
              <w:right w:val="nil"/>
            </w:tcBorders>
            <w:shd w:val="clear" w:color="auto" w:fill="auto"/>
            <w:noWrap/>
            <w:vAlign w:val="bottom"/>
            <w:hideMark/>
          </w:tcPr>
          <w:p w14:paraId="7784B544" w14:textId="3352CED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207</w:t>
            </w:r>
          </w:p>
        </w:tc>
      </w:tr>
      <w:tr w:rsidR="007B2D8B" w:rsidRPr="002943D2" w14:paraId="022D0266"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409A76ED" w14:textId="2932E80F" w:rsidR="007B2D8B" w:rsidRPr="002943D2" w:rsidRDefault="007B2D8B" w:rsidP="007B2D8B">
            <w:pPr>
              <w:spacing w:before="0" w:after="0" w:line="240" w:lineRule="auto"/>
              <w:ind w:firstLineChars="200" w:firstLine="321"/>
              <w:rPr>
                <w:rFonts w:ascii="Arial" w:hAnsi="Arial" w:cs="Arial"/>
                <w:b/>
                <w:bCs/>
                <w:color w:val="000000"/>
                <w:sz w:val="16"/>
                <w:szCs w:val="16"/>
              </w:rPr>
            </w:pPr>
            <w:r>
              <w:rPr>
                <w:rFonts w:ascii="Arial" w:hAnsi="Arial" w:cs="Arial"/>
                <w:b/>
                <w:bCs/>
                <w:color w:val="000000"/>
                <w:sz w:val="16"/>
                <w:szCs w:val="16"/>
              </w:rPr>
              <w:t>Total provisions</w:t>
            </w:r>
          </w:p>
        </w:tc>
        <w:tc>
          <w:tcPr>
            <w:tcW w:w="964" w:type="dxa"/>
            <w:tcBorders>
              <w:top w:val="nil"/>
              <w:left w:val="nil"/>
              <w:bottom w:val="single" w:sz="4" w:space="0" w:color="auto"/>
              <w:right w:val="nil"/>
            </w:tcBorders>
            <w:shd w:val="clear" w:color="auto" w:fill="auto"/>
            <w:noWrap/>
            <w:vAlign w:val="bottom"/>
            <w:hideMark/>
          </w:tcPr>
          <w:p w14:paraId="00D13BDE" w14:textId="2EAD7D8E"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1,345</w:t>
            </w:r>
          </w:p>
        </w:tc>
        <w:tc>
          <w:tcPr>
            <w:tcW w:w="964" w:type="dxa"/>
            <w:tcBorders>
              <w:top w:val="nil"/>
              <w:left w:val="nil"/>
              <w:bottom w:val="single" w:sz="4" w:space="0" w:color="auto"/>
              <w:right w:val="nil"/>
            </w:tcBorders>
            <w:shd w:val="clear" w:color="000000" w:fill="D9D9D9"/>
            <w:noWrap/>
            <w:vAlign w:val="bottom"/>
            <w:hideMark/>
          </w:tcPr>
          <w:p w14:paraId="75F257FC" w14:textId="030C4A40"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1,519</w:t>
            </w:r>
          </w:p>
        </w:tc>
        <w:tc>
          <w:tcPr>
            <w:tcW w:w="964" w:type="dxa"/>
            <w:tcBorders>
              <w:top w:val="nil"/>
              <w:left w:val="nil"/>
              <w:bottom w:val="single" w:sz="4" w:space="0" w:color="auto"/>
              <w:right w:val="nil"/>
            </w:tcBorders>
            <w:shd w:val="clear" w:color="auto" w:fill="auto"/>
            <w:noWrap/>
            <w:vAlign w:val="bottom"/>
            <w:hideMark/>
          </w:tcPr>
          <w:p w14:paraId="6D26626B" w14:textId="70B63406"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1,522</w:t>
            </w:r>
          </w:p>
        </w:tc>
        <w:tc>
          <w:tcPr>
            <w:tcW w:w="964" w:type="dxa"/>
            <w:tcBorders>
              <w:top w:val="nil"/>
              <w:left w:val="nil"/>
              <w:bottom w:val="single" w:sz="4" w:space="0" w:color="auto"/>
              <w:right w:val="nil"/>
            </w:tcBorders>
            <w:shd w:val="clear" w:color="auto" w:fill="auto"/>
            <w:noWrap/>
            <w:vAlign w:val="bottom"/>
            <w:hideMark/>
          </w:tcPr>
          <w:p w14:paraId="749AA29F" w14:textId="4CAD9F22"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1,526</w:t>
            </w:r>
          </w:p>
        </w:tc>
        <w:tc>
          <w:tcPr>
            <w:tcW w:w="907" w:type="dxa"/>
            <w:tcBorders>
              <w:top w:val="nil"/>
              <w:left w:val="nil"/>
              <w:bottom w:val="single" w:sz="4" w:space="0" w:color="auto"/>
              <w:right w:val="nil"/>
            </w:tcBorders>
            <w:shd w:val="clear" w:color="auto" w:fill="auto"/>
            <w:noWrap/>
            <w:vAlign w:val="bottom"/>
            <w:hideMark/>
          </w:tcPr>
          <w:p w14:paraId="6B5DA26C" w14:textId="1D8A925D"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1,530</w:t>
            </w:r>
          </w:p>
        </w:tc>
      </w:tr>
      <w:tr w:rsidR="007B2D8B" w:rsidRPr="002943D2" w14:paraId="73C10B54"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13C1AB98" w14:textId="58A8F130"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liabilities</w:t>
            </w:r>
          </w:p>
        </w:tc>
        <w:tc>
          <w:tcPr>
            <w:tcW w:w="964" w:type="dxa"/>
            <w:tcBorders>
              <w:top w:val="nil"/>
              <w:left w:val="nil"/>
              <w:bottom w:val="single" w:sz="4" w:space="0" w:color="auto"/>
              <w:right w:val="nil"/>
            </w:tcBorders>
            <w:shd w:val="clear" w:color="auto" w:fill="auto"/>
            <w:noWrap/>
            <w:vAlign w:val="bottom"/>
            <w:hideMark/>
          </w:tcPr>
          <w:p w14:paraId="07E0A3F7" w14:textId="11E9BE14"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2,245</w:t>
            </w:r>
          </w:p>
        </w:tc>
        <w:tc>
          <w:tcPr>
            <w:tcW w:w="964" w:type="dxa"/>
            <w:tcBorders>
              <w:top w:val="nil"/>
              <w:left w:val="nil"/>
              <w:bottom w:val="single" w:sz="4" w:space="0" w:color="auto"/>
              <w:right w:val="nil"/>
            </w:tcBorders>
            <w:shd w:val="clear" w:color="000000" w:fill="D9D9D9"/>
            <w:noWrap/>
            <w:vAlign w:val="bottom"/>
            <w:hideMark/>
          </w:tcPr>
          <w:p w14:paraId="4FFEF89F" w14:textId="2942F51E"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5,253</w:t>
            </w:r>
          </w:p>
        </w:tc>
        <w:tc>
          <w:tcPr>
            <w:tcW w:w="964" w:type="dxa"/>
            <w:tcBorders>
              <w:top w:val="nil"/>
              <w:left w:val="nil"/>
              <w:bottom w:val="single" w:sz="4" w:space="0" w:color="auto"/>
              <w:right w:val="nil"/>
            </w:tcBorders>
            <w:shd w:val="clear" w:color="auto" w:fill="auto"/>
            <w:noWrap/>
            <w:vAlign w:val="bottom"/>
            <w:hideMark/>
          </w:tcPr>
          <w:p w14:paraId="0394C6F4" w14:textId="214D2C9B"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4,734</w:t>
            </w:r>
          </w:p>
        </w:tc>
        <w:tc>
          <w:tcPr>
            <w:tcW w:w="964" w:type="dxa"/>
            <w:tcBorders>
              <w:top w:val="nil"/>
              <w:left w:val="nil"/>
              <w:bottom w:val="single" w:sz="4" w:space="0" w:color="auto"/>
              <w:right w:val="nil"/>
            </w:tcBorders>
            <w:shd w:val="clear" w:color="auto" w:fill="auto"/>
            <w:noWrap/>
            <w:vAlign w:val="bottom"/>
            <w:hideMark/>
          </w:tcPr>
          <w:p w14:paraId="7DA13449" w14:textId="3F70F614"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4,195</w:t>
            </w:r>
          </w:p>
        </w:tc>
        <w:tc>
          <w:tcPr>
            <w:tcW w:w="907" w:type="dxa"/>
            <w:tcBorders>
              <w:top w:val="nil"/>
              <w:left w:val="nil"/>
              <w:bottom w:val="single" w:sz="4" w:space="0" w:color="auto"/>
              <w:right w:val="nil"/>
            </w:tcBorders>
            <w:shd w:val="clear" w:color="auto" w:fill="auto"/>
            <w:noWrap/>
            <w:vAlign w:val="bottom"/>
            <w:hideMark/>
          </w:tcPr>
          <w:p w14:paraId="2C5FD6D2" w14:textId="0B20E3E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3,635</w:t>
            </w:r>
          </w:p>
        </w:tc>
      </w:tr>
      <w:tr w:rsidR="007B2D8B" w:rsidRPr="002943D2" w14:paraId="016863BE" w14:textId="77777777" w:rsidTr="00F51B52">
        <w:trPr>
          <w:trHeight w:val="283"/>
          <w:jc w:val="center"/>
        </w:trPr>
        <w:tc>
          <w:tcPr>
            <w:tcW w:w="3005" w:type="dxa"/>
            <w:tcBorders>
              <w:top w:val="nil"/>
              <w:left w:val="nil"/>
              <w:bottom w:val="nil"/>
              <w:right w:val="nil"/>
            </w:tcBorders>
            <w:shd w:val="clear" w:color="auto" w:fill="auto"/>
            <w:noWrap/>
            <w:vAlign w:val="bottom"/>
            <w:hideMark/>
          </w:tcPr>
          <w:p w14:paraId="4FDC9BF0" w14:textId="7EF6173C" w:rsidR="007B2D8B" w:rsidRPr="002943D2" w:rsidRDefault="007B2D8B" w:rsidP="007B2D8B">
            <w:pPr>
              <w:spacing w:before="0" w:after="0" w:line="240" w:lineRule="auto"/>
              <w:rPr>
                <w:rFonts w:ascii="Arial" w:hAnsi="Arial" w:cs="Arial"/>
                <w:b/>
                <w:bCs/>
                <w:color w:val="000000"/>
                <w:sz w:val="16"/>
                <w:szCs w:val="16"/>
              </w:rPr>
            </w:pPr>
            <w:r>
              <w:rPr>
                <w:rFonts w:ascii="Arial" w:hAnsi="Arial" w:cs="Arial"/>
                <w:b/>
                <w:bCs/>
                <w:color w:val="000000"/>
                <w:sz w:val="16"/>
                <w:szCs w:val="16"/>
              </w:rPr>
              <w:t>Net assets</w:t>
            </w:r>
          </w:p>
        </w:tc>
        <w:tc>
          <w:tcPr>
            <w:tcW w:w="964" w:type="dxa"/>
            <w:tcBorders>
              <w:top w:val="nil"/>
              <w:left w:val="nil"/>
              <w:bottom w:val="single" w:sz="4" w:space="0" w:color="auto"/>
              <w:right w:val="nil"/>
            </w:tcBorders>
            <w:shd w:val="clear" w:color="auto" w:fill="auto"/>
            <w:noWrap/>
            <w:vAlign w:val="bottom"/>
            <w:hideMark/>
          </w:tcPr>
          <w:p w14:paraId="5D571AEE" w14:textId="3C89AB6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11,089</w:t>
            </w:r>
          </w:p>
        </w:tc>
        <w:tc>
          <w:tcPr>
            <w:tcW w:w="964" w:type="dxa"/>
            <w:tcBorders>
              <w:top w:val="nil"/>
              <w:left w:val="nil"/>
              <w:bottom w:val="single" w:sz="4" w:space="0" w:color="auto"/>
              <w:right w:val="nil"/>
            </w:tcBorders>
            <w:shd w:val="clear" w:color="000000" w:fill="D9D9D9"/>
            <w:noWrap/>
            <w:vAlign w:val="bottom"/>
            <w:hideMark/>
          </w:tcPr>
          <w:p w14:paraId="71B10702" w14:textId="67C01B30"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12,847</w:t>
            </w:r>
          </w:p>
        </w:tc>
        <w:tc>
          <w:tcPr>
            <w:tcW w:w="964" w:type="dxa"/>
            <w:tcBorders>
              <w:top w:val="nil"/>
              <w:left w:val="nil"/>
              <w:bottom w:val="single" w:sz="4" w:space="0" w:color="auto"/>
              <w:right w:val="nil"/>
            </w:tcBorders>
            <w:shd w:val="clear" w:color="auto" w:fill="auto"/>
            <w:noWrap/>
            <w:vAlign w:val="bottom"/>
            <w:hideMark/>
          </w:tcPr>
          <w:p w14:paraId="2F66BCCE" w14:textId="5F37C8BD"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12,762</w:t>
            </w:r>
          </w:p>
        </w:tc>
        <w:tc>
          <w:tcPr>
            <w:tcW w:w="964" w:type="dxa"/>
            <w:tcBorders>
              <w:top w:val="nil"/>
              <w:left w:val="nil"/>
              <w:bottom w:val="single" w:sz="4" w:space="0" w:color="auto"/>
              <w:right w:val="nil"/>
            </w:tcBorders>
            <w:shd w:val="clear" w:color="auto" w:fill="auto"/>
            <w:noWrap/>
            <w:vAlign w:val="bottom"/>
            <w:hideMark/>
          </w:tcPr>
          <w:p w14:paraId="13660607" w14:textId="442CE954"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12,650</w:t>
            </w:r>
          </w:p>
        </w:tc>
        <w:tc>
          <w:tcPr>
            <w:tcW w:w="907" w:type="dxa"/>
            <w:tcBorders>
              <w:top w:val="nil"/>
              <w:left w:val="nil"/>
              <w:bottom w:val="single" w:sz="4" w:space="0" w:color="auto"/>
              <w:right w:val="nil"/>
            </w:tcBorders>
            <w:shd w:val="clear" w:color="auto" w:fill="auto"/>
            <w:noWrap/>
            <w:vAlign w:val="bottom"/>
            <w:hideMark/>
          </w:tcPr>
          <w:p w14:paraId="4C01F031" w14:textId="40E6CE3B"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12,561</w:t>
            </w:r>
          </w:p>
        </w:tc>
      </w:tr>
      <w:tr w:rsidR="007B2D8B" w:rsidRPr="002943D2" w14:paraId="183377AF" w14:textId="77777777" w:rsidTr="00F51B52">
        <w:trPr>
          <w:trHeight w:val="283"/>
          <w:jc w:val="center"/>
        </w:trPr>
        <w:tc>
          <w:tcPr>
            <w:tcW w:w="3005" w:type="dxa"/>
            <w:tcBorders>
              <w:top w:val="nil"/>
              <w:left w:val="nil"/>
              <w:bottom w:val="nil"/>
              <w:right w:val="nil"/>
            </w:tcBorders>
            <w:shd w:val="clear" w:color="auto" w:fill="auto"/>
            <w:noWrap/>
            <w:vAlign w:val="bottom"/>
            <w:hideMark/>
          </w:tcPr>
          <w:p w14:paraId="1CC71EA2" w14:textId="3627EA24" w:rsidR="007B2D8B" w:rsidRPr="002943D2" w:rsidRDefault="007B2D8B" w:rsidP="007B2D8B">
            <w:pPr>
              <w:spacing w:before="0" w:after="0" w:line="240" w:lineRule="auto"/>
              <w:rPr>
                <w:rFonts w:ascii="Arial" w:hAnsi="Arial" w:cs="Arial"/>
                <w:b/>
                <w:bCs/>
                <w:color w:val="000000"/>
                <w:sz w:val="16"/>
                <w:szCs w:val="16"/>
              </w:rPr>
            </w:pPr>
            <w:r>
              <w:rPr>
                <w:rFonts w:ascii="Arial" w:hAnsi="Arial" w:cs="Arial"/>
                <w:b/>
                <w:bCs/>
                <w:color w:val="000000"/>
                <w:sz w:val="16"/>
                <w:szCs w:val="16"/>
              </w:rPr>
              <w:t>EQUITY</w:t>
            </w:r>
          </w:p>
        </w:tc>
        <w:tc>
          <w:tcPr>
            <w:tcW w:w="964" w:type="dxa"/>
            <w:tcBorders>
              <w:top w:val="nil"/>
              <w:left w:val="nil"/>
              <w:bottom w:val="nil"/>
              <w:right w:val="nil"/>
            </w:tcBorders>
            <w:shd w:val="clear" w:color="auto" w:fill="auto"/>
            <w:noWrap/>
            <w:vAlign w:val="bottom"/>
            <w:hideMark/>
          </w:tcPr>
          <w:p w14:paraId="1DEEDF95" w14:textId="77777777" w:rsidR="007B2D8B" w:rsidRPr="002943D2" w:rsidRDefault="007B2D8B" w:rsidP="007B2D8B">
            <w:pPr>
              <w:spacing w:before="0" w:after="0" w:line="240" w:lineRule="auto"/>
              <w:rPr>
                <w:rFonts w:ascii="Arial" w:hAnsi="Arial" w:cs="Arial"/>
                <w:b/>
                <w:bCs/>
                <w:color w:val="000000"/>
                <w:sz w:val="16"/>
                <w:szCs w:val="16"/>
              </w:rPr>
            </w:pPr>
          </w:p>
        </w:tc>
        <w:tc>
          <w:tcPr>
            <w:tcW w:w="964" w:type="dxa"/>
            <w:tcBorders>
              <w:top w:val="nil"/>
              <w:left w:val="nil"/>
              <w:bottom w:val="nil"/>
              <w:right w:val="nil"/>
            </w:tcBorders>
            <w:shd w:val="clear" w:color="000000" w:fill="D9D9D9"/>
            <w:noWrap/>
            <w:vAlign w:val="bottom"/>
            <w:hideMark/>
          </w:tcPr>
          <w:p w14:paraId="700414FB" w14:textId="3529769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 </w:t>
            </w:r>
          </w:p>
        </w:tc>
        <w:tc>
          <w:tcPr>
            <w:tcW w:w="964" w:type="dxa"/>
            <w:tcBorders>
              <w:top w:val="nil"/>
              <w:left w:val="nil"/>
              <w:bottom w:val="nil"/>
              <w:right w:val="nil"/>
            </w:tcBorders>
            <w:shd w:val="clear" w:color="auto" w:fill="auto"/>
            <w:noWrap/>
            <w:vAlign w:val="bottom"/>
            <w:hideMark/>
          </w:tcPr>
          <w:p w14:paraId="67A5CC11" w14:textId="77777777" w:rsidR="007B2D8B" w:rsidRPr="002943D2" w:rsidRDefault="007B2D8B" w:rsidP="007B2D8B">
            <w:pPr>
              <w:spacing w:before="0" w:after="0" w:line="240" w:lineRule="auto"/>
              <w:jc w:val="right"/>
              <w:rPr>
                <w:rFonts w:ascii="Arial" w:hAnsi="Arial" w:cs="Arial"/>
                <w:color w:val="000000"/>
                <w:sz w:val="16"/>
                <w:szCs w:val="16"/>
              </w:rPr>
            </w:pPr>
          </w:p>
        </w:tc>
        <w:tc>
          <w:tcPr>
            <w:tcW w:w="964" w:type="dxa"/>
            <w:tcBorders>
              <w:top w:val="nil"/>
              <w:left w:val="nil"/>
              <w:bottom w:val="nil"/>
              <w:right w:val="nil"/>
            </w:tcBorders>
            <w:shd w:val="clear" w:color="auto" w:fill="auto"/>
            <w:noWrap/>
            <w:vAlign w:val="bottom"/>
            <w:hideMark/>
          </w:tcPr>
          <w:p w14:paraId="5E92998A" w14:textId="77777777" w:rsidR="007B2D8B" w:rsidRPr="002943D2" w:rsidRDefault="007B2D8B" w:rsidP="007B2D8B">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39193C84" w14:textId="77777777" w:rsidR="007B2D8B" w:rsidRPr="002943D2" w:rsidRDefault="007B2D8B" w:rsidP="007B2D8B">
            <w:pPr>
              <w:spacing w:before="0" w:after="0" w:line="240" w:lineRule="auto"/>
              <w:jc w:val="right"/>
              <w:rPr>
                <w:rFonts w:ascii="Times New Roman" w:hAnsi="Times New Roman"/>
                <w:sz w:val="20"/>
              </w:rPr>
            </w:pPr>
          </w:p>
        </w:tc>
      </w:tr>
      <w:tr w:rsidR="007B2D8B" w:rsidRPr="002943D2" w14:paraId="519EFDE8"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0983455A" w14:textId="7B2ED0D0" w:rsidR="007B2D8B" w:rsidRPr="002943D2" w:rsidRDefault="007B2D8B" w:rsidP="007B2D8B">
            <w:pPr>
              <w:spacing w:before="0" w:after="0" w:line="240" w:lineRule="auto"/>
              <w:ind w:leftChars="75" w:left="143"/>
              <w:rPr>
                <w:rFonts w:ascii="Arial" w:hAnsi="Arial" w:cs="Arial"/>
                <w:color w:val="000000"/>
                <w:sz w:val="16"/>
                <w:szCs w:val="16"/>
              </w:rPr>
            </w:pPr>
            <w:r>
              <w:rPr>
                <w:rFonts w:ascii="Arial" w:hAnsi="Arial" w:cs="Arial"/>
                <w:color w:val="000000"/>
                <w:sz w:val="16"/>
                <w:szCs w:val="16"/>
              </w:rPr>
              <w:t>Contributed equity</w:t>
            </w:r>
          </w:p>
        </w:tc>
        <w:tc>
          <w:tcPr>
            <w:tcW w:w="964" w:type="dxa"/>
            <w:tcBorders>
              <w:top w:val="nil"/>
              <w:left w:val="nil"/>
              <w:bottom w:val="nil"/>
              <w:right w:val="nil"/>
            </w:tcBorders>
            <w:shd w:val="clear" w:color="auto" w:fill="auto"/>
            <w:noWrap/>
            <w:vAlign w:val="bottom"/>
            <w:hideMark/>
          </w:tcPr>
          <w:p w14:paraId="0C0839D5" w14:textId="7F98A391"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3,190</w:t>
            </w:r>
          </w:p>
        </w:tc>
        <w:tc>
          <w:tcPr>
            <w:tcW w:w="964" w:type="dxa"/>
            <w:tcBorders>
              <w:top w:val="nil"/>
              <w:left w:val="nil"/>
              <w:bottom w:val="nil"/>
              <w:right w:val="nil"/>
            </w:tcBorders>
            <w:shd w:val="clear" w:color="000000" w:fill="D9D9D9"/>
            <w:noWrap/>
            <w:vAlign w:val="bottom"/>
            <w:hideMark/>
          </w:tcPr>
          <w:p w14:paraId="329F5355" w14:textId="1B9CAACB"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5,826</w:t>
            </w:r>
          </w:p>
        </w:tc>
        <w:tc>
          <w:tcPr>
            <w:tcW w:w="964" w:type="dxa"/>
            <w:tcBorders>
              <w:top w:val="nil"/>
              <w:left w:val="nil"/>
              <w:bottom w:val="nil"/>
              <w:right w:val="nil"/>
            </w:tcBorders>
            <w:shd w:val="clear" w:color="auto" w:fill="auto"/>
            <w:noWrap/>
            <w:vAlign w:val="bottom"/>
            <w:hideMark/>
          </w:tcPr>
          <w:p w14:paraId="254CAB23" w14:textId="112D133B"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6,066</w:t>
            </w:r>
          </w:p>
        </w:tc>
        <w:tc>
          <w:tcPr>
            <w:tcW w:w="964" w:type="dxa"/>
            <w:tcBorders>
              <w:top w:val="nil"/>
              <w:left w:val="nil"/>
              <w:bottom w:val="nil"/>
              <w:right w:val="nil"/>
            </w:tcBorders>
            <w:shd w:val="clear" w:color="auto" w:fill="auto"/>
            <w:noWrap/>
            <w:vAlign w:val="bottom"/>
            <w:hideMark/>
          </w:tcPr>
          <w:p w14:paraId="094E2D98" w14:textId="16A19588"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6,307</w:t>
            </w:r>
          </w:p>
        </w:tc>
        <w:tc>
          <w:tcPr>
            <w:tcW w:w="907" w:type="dxa"/>
            <w:tcBorders>
              <w:top w:val="nil"/>
              <w:left w:val="nil"/>
              <w:bottom w:val="nil"/>
              <w:right w:val="nil"/>
            </w:tcBorders>
            <w:shd w:val="clear" w:color="auto" w:fill="auto"/>
            <w:noWrap/>
            <w:vAlign w:val="bottom"/>
            <w:hideMark/>
          </w:tcPr>
          <w:p w14:paraId="1737C576" w14:textId="1D376C2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6,550</w:t>
            </w:r>
          </w:p>
        </w:tc>
      </w:tr>
      <w:tr w:rsidR="007B2D8B" w:rsidRPr="002943D2" w14:paraId="34B489C8" w14:textId="77777777" w:rsidTr="00F51B52">
        <w:trPr>
          <w:trHeight w:val="225"/>
          <w:jc w:val="center"/>
        </w:trPr>
        <w:tc>
          <w:tcPr>
            <w:tcW w:w="3005" w:type="dxa"/>
            <w:tcBorders>
              <w:top w:val="nil"/>
              <w:left w:val="nil"/>
              <w:bottom w:val="nil"/>
              <w:right w:val="nil"/>
            </w:tcBorders>
            <w:shd w:val="clear" w:color="auto" w:fill="auto"/>
            <w:noWrap/>
            <w:vAlign w:val="bottom"/>
            <w:hideMark/>
          </w:tcPr>
          <w:p w14:paraId="5B7F9667" w14:textId="46A38266" w:rsidR="007B2D8B" w:rsidRPr="002943D2" w:rsidRDefault="007B2D8B" w:rsidP="007B2D8B">
            <w:pPr>
              <w:spacing w:before="0" w:after="0" w:line="240" w:lineRule="auto"/>
              <w:ind w:leftChars="75" w:left="143"/>
              <w:rPr>
                <w:rFonts w:ascii="Arial" w:hAnsi="Arial" w:cs="Arial"/>
                <w:color w:val="000000"/>
                <w:sz w:val="16"/>
                <w:szCs w:val="16"/>
              </w:rPr>
            </w:pPr>
            <w:r>
              <w:rPr>
                <w:rFonts w:ascii="Arial" w:hAnsi="Arial" w:cs="Arial"/>
                <w:color w:val="000000"/>
                <w:sz w:val="16"/>
                <w:szCs w:val="16"/>
              </w:rPr>
              <w:t>Reserves</w:t>
            </w:r>
          </w:p>
        </w:tc>
        <w:tc>
          <w:tcPr>
            <w:tcW w:w="964" w:type="dxa"/>
            <w:tcBorders>
              <w:top w:val="nil"/>
              <w:left w:val="nil"/>
              <w:bottom w:val="nil"/>
              <w:right w:val="nil"/>
            </w:tcBorders>
            <w:shd w:val="clear" w:color="auto" w:fill="auto"/>
            <w:noWrap/>
            <w:vAlign w:val="bottom"/>
            <w:hideMark/>
          </w:tcPr>
          <w:p w14:paraId="48B9E78D" w14:textId="4AD4A5A0"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1,066</w:t>
            </w:r>
          </w:p>
        </w:tc>
        <w:tc>
          <w:tcPr>
            <w:tcW w:w="964" w:type="dxa"/>
            <w:tcBorders>
              <w:top w:val="nil"/>
              <w:left w:val="nil"/>
              <w:bottom w:val="nil"/>
              <w:right w:val="nil"/>
            </w:tcBorders>
            <w:shd w:val="clear" w:color="000000" w:fill="D9D9D9"/>
            <w:noWrap/>
            <w:vAlign w:val="bottom"/>
            <w:hideMark/>
          </w:tcPr>
          <w:p w14:paraId="1EF4E8E9" w14:textId="480FD063"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1,067</w:t>
            </w:r>
          </w:p>
        </w:tc>
        <w:tc>
          <w:tcPr>
            <w:tcW w:w="964" w:type="dxa"/>
            <w:tcBorders>
              <w:top w:val="nil"/>
              <w:left w:val="nil"/>
              <w:bottom w:val="nil"/>
              <w:right w:val="nil"/>
            </w:tcBorders>
            <w:shd w:val="clear" w:color="auto" w:fill="auto"/>
            <w:noWrap/>
            <w:vAlign w:val="bottom"/>
            <w:hideMark/>
          </w:tcPr>
          <w:p w14:paraId="34980092" w14:textId="7FF82179"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1,067</w:t>
            </w:r>
          </w:p>
        </w:tc>
        <w:tc>
          <w:tcPr>
            <w:tcW w:w="964" w:type="dxa"/>
            <w:tcBorders>
              <w:top w:val="nil"/>
              <w:left w:val="nil"/>
              <w:bottom w:val="nil"/>
              <w:right w:val="nil"/>
            </w:tcBorders>
            <w:shd w:val="clear" w:color="auto" w:fill="auto"/>
            <w:noWrap/>
            <w:vAlign w:val="bottom"/>
            <w:hideMark/>
          </w:tcPr>
          <w:p w14:paraId="465AB748" w14:textId="5B4194CC"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1,067</w:t>
            </w:r>
          </w:p>
        </w:tc>
        <w:tc>
          <w:tcPr>
            <w:tcW w:w="907" w:type="dxa"/>
            <w:tcBorders>
              <w:top w:val="nil"/>
              <w:left w:val="nil"/>
              <w:bottom w:val="nil"/>
              <w:right w:val="nil"/>
            </w:tcBorders>
            <w:shd w:val="clear" w:color="auto" w:fill="auto"/>
            <w:noWrap/>
            <w:vAlign w:val="bottom"/>
            <w:hideMark/>
          </w:tcPr>
          <w:p w14:paraId="2136219F" w14:textId="6CCD5E94"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1,067</w:t>
            </w:r>
          </w:p>
        </w:tc>
      </w:tr>
      <w:tr w:rsidR="007B2D8B" w:rsidRPr="002943D2" w14:paraId="7795D5B7" w14:textId="77777777" w:rsidTr="00F51B52">
        <w:trPr>
          <w:trHeight w:val="425"/>
          <w:jc w:val="center"/>
        </w:trPr>
        <w:tc>
          <w:tcPr>
            <w:tcW w:w="3005" w:type="dxa"/>
            <w:tcBorders>
              <w:top w:val="nil"/>
              <w:left w:val="nil"/>
              <w:bottom w:val="nil"/>
              <w:right w:val="nil"/>
            </w:tcBorders>
            <w:shd w:val="clear" w:color="auto" w:fill="auto"/>
            <w:vAlign w:val="bottom"/>
            <w:hideMark/>
          </w:tcPr>
          <w:p w14:paraId="0D16A044" w14:textId="5C382F41" w:rsidR="007B2D8B" w:rsidRPr="002943D2" w:rsidRDefault="007B2D8B" w:rsidP="007B2D8B">
            <w:pPr>
              <w:spacing w:before="0" w:after="0" w:line="240" w:lineRule="auto"/>
              <w:ind w:leftChars="75" w:left="143"/>
              <w:rPr>
                <w:rFonts w:ascii="Arial" w:hAnsi="Arial" w:cs="Arial"/>
                <w:color w:val="000000"/>
                <w:sz w:val="16"/>
                <w:szCs w:val="16"/>
              </w:rPr>
            </w:pPr>
            <w:r>
              <w:rPr>
                <w:rFonts w:ascii="Arial" w:hAnsi="Arial" w:cs="Arial"/>
                <w:color w:val="000000"/>
                <w:sz w:val="16"/>
                <w:szCs w:val="16"/>
              </w:rPr>
              <w:t>Retained surpluses or (accumulated deficits)</w:t>
            </w:r>
          </w:p>
        </w:tc>
        <w:tc>
          <w:tcPr>
            <w:tcW w:w="964" w:type="dxa"/>
            <w:tcBorders>
              <w:top w:val="nil"/>
              <w:left w:val="nil"/>
              <w:bottom w:val="nil"/>
              <w:right w:val="nil"/>
            </w:tcBorders>
            <w:shd w:val="clear" w:color="auto" w:fill="auto"/>
            <w:noWrap/>
            <w:vAlign w:val="bottom"/>
            <w:hideMark/>
          </w:tcPr>
          <w:p w14:paraId="380F05AE" w14:textId="4352F5DE"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6,833</w:t>
            </w:r>
          </w:p>
        </w:tc>
        <w:tc>
          <w:tcPr>
            <w:tcW w:w="964" w:type="dxa"/>
            <w:tcBorders>
              <w:top w:val="nil"/>
              <w:left w:val="nil"/>
              <w:bottom w:val="nil"/>
              <w:right w:val="nil"/>
            </w:tcBorders>
            <w:shd w:val="clear" w:color="000000" w:fill="D9D9D9"/>
            <w:noWrap/>
            <w:vAlign w:val="bottom"/>
            <w:hideMark/>
          </w:tcPr>
          <w:p w14:paraId="3359A7CC" w14:textId="3BF871D2"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5,954</w:t>
            </w:r>
          </w:p>
        </w:tc>
        <w:tc>
          <w:tcPr>
            <w:tcW w:w="964" w:type="dxa"/>
            <w:tcBorders>
              <w:top w:val="nil"/>
              <w:left w:val="nil"/>
              <w:bottom w:val="nil"/>
              <w:right w:val="nil"/>
            </w:tcBorders>
            <w:shd w:val="clear" w:color="auto" w:fill="auto"/>
            <w:noWrap/>
            <w:vAlign w:val="bottom"/>
            <w:hideMark/>
          </w:tcPr>
          <w:p w14:paraId="118710CF" w14:textId="5DFAD07D"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5,629</w:t>
            </w:r>
          </w:p>
        </w:tc>
        <w:tc>
          <w:tcPr>
            <w:tcW w:w="964" w:type="dxa"/>
            <w:tcBorders>
              <w:top w:val="nil"/>
              <w:left w:val="nil"/>
              <w:bottom w:val="nil"/>
              <w:right w:val="nil"/>
            </w:tcBorders>
            <w:shd w:val="clear" w:color="auto" w:fill="auto"/>
            <w:noWrap/>
            <w:vAlign w:val="bottom"/>
            <w:hideMark/>
          </w:tcPr>
          <w:p w14:paraId="059C848F" w14:textId="4C0B0FD6"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5,276</w:t>
            </w:r>
          </w:p>
        </w:tc>
        <w:tc>
          <w:tcPr>
            <w:tcW w:w="907" w:type="dxa"/>
            <w:tcBorders>
              <w:top w:val="nil"/>
              <w:left w:val="nil"/>
              <w:bottom w:val="nil"/>
              <w:right w:val="nil"/>
            </w:tcBorders>
            <w:shd w:val="clear" w:color="auto" w:fill="auto"/>
            <w:noWrap/>
            <w:vAlign w:val="bottom"/>
            <w:hideMark/>
          </w:tcPr>
          <w:p w14:paraId="60960DA1" w14:textId="32D965AB" w:rsidR="007B2D8B" w:rsidRPr="002943D2" w:rsidRDefault="007B2D8B" w:rsidP="007B2D8B">
            <w:pPr>
              <w:spacing w:before="0" w:after="0" w:line="240" w:lineRule="auto"/>
              <w:jc w:val="right"/>
              <w:rPr>
                <w:rFonts w:ascii="Arial" w:hAnsi="Arial" w:cs="Arial"/>
                <w:color w:val="000000"/>
                <w:sz w:val="16"/>
                <w:szCs w:val="16"/>
              </w:rPr>
            </w:pPr>
            <w:r>
              <w:rPr>
                <w:rFonts w:ascii="Arial" w:hAnsi="Arial" w:cs="Arial"/>
                <w:color w:val="000000"/>
                <w:sz w:val="16"/>
                <w:szCs w:val="16"/>
              </w:rPr>
              <w:t>4,944</w:t>
            </w:r>
          </w:p>
        </w:tc>
      </w:tr>
      <w:tr w:rsidR="007B2D8B" w:rsidRPr="002943D2" w14:paraId="57101DE8" w14:textId="77777777" w:rsidTr="00F51B52">
        <w:trPr>
          <w:trHeight w:val="225"/>
          <w:jc w:val="center"/>
        </w:trPr>
        <w:tc>
          <w:tcPr>
            <w:tcW w:w="3005" w:type="dxa"/>
            <w:tcBorders>
              <w:top w:val="nil"/>
              <w:left w:val="nil"/>
              <w:bottom w:val="single" w:sz="4" w:space="0" w:color="auto"/>
              <w:right w:val="nil"/>
            </w:tcBorders>
            <w:shd w:val="clear" w:color="auto" w:fill="auto"/>
            <w:noWrap/>
            <w:vAlign w:val="bottom"/>
            <w:hideMark/>
          </w:tcPr>
          <w:p w14:paraId="4A34D3D4" w14:textId="725AD3F4" w:rsidR="007B2D8B" w:rsidRPr="002943D2" w:rsidRDefault="007B2D8B" w:rsidP="007B2D8B">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equity</w:t>
            </w:r>
          </w:p>
        </w:tc>
        <w:tc>
          <w:tcPr>
            <w:tcW w:w="964" w:type="dxa"/>
            <w:tcBorders>
              <w:top w:val="nil"/>
              <w:left w:val="nil"/>
              <w:bottom w:val="single" w:sz="4" w:space="0" w:color="auto"/>
              <w:right w:val="nil"/>
            </w:tcBorders>
            <w:shd w:val="clear" w:color="auto" w:fill="auto"/>
            <w:noWrap/>
            <w:vAlign w:val="bottom"/>
            <w:hideMark/>
          </w:tcPr>
          <w:p w14:paraId="67AF39B7" w14:textId="1B99ABBC"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11,089</w:t>
            </w:r>
          </w:p>
        </w:tc>
        <w:tc>
          <w:tcPr>
            <w:tcW w:w="964" w:type="dxa"/>
            <w:tcBorders>
              <w:top w:val="nil"/>
              <w:left w:val="nil"/>
              <w:bottom w:val="single" w:sz="4" w:space="0" w:color="auto"/>
              <w:right w:val="nil"/>
            </w:tcBorders>
            <w:shd w:val="clear" w:color="000000" w:fill="D9D9D9"/>
            <w:noWrap/>
            <w:vAlign w:val="bottom"/>
            <w:hideMark/>
          </w:tcPr>
          <w:p w14:paraId="4846092E" w14:textId="41763BE6"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12,847</w:t>
            </w:r>
          </w:p>
        </w:tc>
        <w:tc>
          <w:tcPr>
            <w:tcW w:w="964" w:type="dxa"/>
            <w:tcBorders>
              <w:top w:val="nil"/>
              <w:left w:val="nil"/>
              <w:bottom w:val="single" w:sz="4" w:space="0" w:color="auto"/>
              <w:right w:val="nil"/>
            </w:tcBorders>
            <w:shd w:val="clear" w:color="auto" w:fill="auto"/>
            <w:noWrap/>
            <w:vAlign w:val="bottom"/>
            <w:hideMark/>
          </w:tcPr>
          <w:p w14:paraId="41DB1289" w14:textId="35C6F397"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12,762</w:t>
            </w:r>
          </w:p>
        </w:tc>
        <w:tc>
          <w:tcPr>
            <w:tcW w:w="964" w:type="dxa"/>
            <w:tcBorders>
              <w:top w:val="nil"/>
              <w:left w:val="nil"/>
              <w:bottom w:val="single" w:sz="4" w:space="0" w:color="auto"/>
              <w:right w:val="nil"/>
            </w:tcBorders>
            <w:shd w:val="clear" w:color="auto" w:fill="auto"/>
            <w:noWrap/>
            <w:vAlign w:val="bottom"/>
            <w:hideMark/>
          </w:tcPr>
          <w:p w14:paraId="0C62F008" w14:textId="1EFCC6CB"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12,650</w:t>
            </w:r>
          </w:p>
        </w:tc>
        <w:tc>
          <w:tcPr>
            <w:tcW w:w="907" w:type="dxa"/>
            <w:tcBorders>
              <w:top w:val="nil"/>
              <w:left w:val="nil"/>
              <w:bottom w:val="single" w:sz="4" w:space="0" w:color="auto"/>
              <w:right w:val="nil"/>
            </w:tcBorders>
            <w:shd w:val="clear" w:color="auto" w:fill="auto"/>
            <w:noWrap/>
            <w:vAlign w:val="bottom"/>
            <w:hideMark/>
          </w:tcPr>
          <w:p w14:paraId="4A9F29B7" w14:textId="0D77CFF3" w:rsidR="007B2D8B" w:rsidRPr="002943D2" w:rsidRDefault="007B2D8B" w:rsidP="007B2D8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12,561</w:t>
            </w:r>
          </w:p>
        </w:tc>
      </w:tr>
    </w:tbl>
    <w:p w14:paraId="72740FD3" w14:textId="37F0075F" w:rsidR="008C73CD" w:rsidRDefault="008C73CD" w:rsidP="008C73CD">
      <w:pPr>
        <w:spacing w:before="0" w:after="0" w:line="240" w:lineRule="auto"/>
        <w:rPr>
          <w:rFonts w:ascii="Arial" w:hAnsi="Arial"/>
          <w:b/>
          <w:snapToGrid w:val="0"/>
          <w:sz w:val="20"/>
        </w:rPr>
      </w:pPr>
      <w:r>
        <w:rPr>
          <w:snapToGrid w:val="0"/>
        </w:rPr>
        <w:br w:type="page"/>
      </w:r>
    </w:p>
    <w:p w14:paraId="69900FE8" w14:textId="290683EA" w:rsidR="008C73CD" w:rsidRDefault="008C73CD" w:rsidP="008C73CD">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0F5337">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711" w:type="dxa"/>
        <w:jc w:val="center"/>
        <w:tblLayout w:type="fixed"/>
        <w:tblLook w:val="04A0" w:firstRow="1" w:lastRow="0" w:firstColumn="1" w:lastColumn="0" w:noHBand="0" w:noVBand="1"/>
      </w:tblPr>
      <w:tblGrid>
        <w:gridCol w:w="3118"/>
        <w:gridCol w:w="1134"/>
        <w:gridCol w:w="1191"/>
        <w:gridCol w:w="1134"/>
        <w:gridCol w:w="1134"/>
      </w:tblGrid>
      <w:tr w:rsidR="00111605" w:rsidRPr="0078028E" w14:paraId="0ABEDF6B" w14:textId="77777777" w:rsidTr="00111605">
        <w:trPr>
          <w:trHeight w:val="765"/>
          <w:jc w:val="center"/>
        </w:trPr>
        <w:tc>
          <w:tcPr>
            <w:tcW w:w="3118" w:type="dxa"/>
            <w:tcBorders>
              <w:top w:val="single" w:sz="4" w:space="0" w:color="auto"/>
              <w:left w:val="nil"/>
              <w:bottom w:val="nil"/>
              <w:right w:val="nil"/>
            </w:tcBorders>
            <w:shd w:val="clear" w:color="auto" w:fill="auto"/>
            <w:hideMark/>
          </w:tcPr>
          <w:p w14:paraId="56BF13AB" w14:textId="77777777" w:rsidR="00111605" w:rsidRPr="0078028E" w:rsidRDefault="00111605" w:rsidP="00111605">
            <w:pPr>
              <w:spacing w:before="24" w:after="0" w:line="240" w:lineRule="auto"/>
              <w:jc w:val="right"/>
              <w:rPr>
                <w:rFonts w:ascii="Times New Roman" w:hAnsi="Times New Roman"/>
                <w:sz w:val="20"/>
                <w:szCs w:val="24"/>
              </w:rPr>
            </w:pPr>
          </w:p>
        </w:tc>
        <w:tc>
          <w:tcPr>
            <w:tcW w:w="1134" w:type="dxa"/>
            <w:tcBorders>
              <w:top w:val="single" w:sz="4" w:space="0" w:color="auto"/>
              <w:left w:val="nil"/>
              <w:bottom w:val="single" w:sz="4" w:space="0" w:color="auto"/>
              <w:right w:val="nil"/>
            </w:tcBorders>
            <w:shd w:val="clear" w:color="auto" w:fill="auto"/>
            <w:hideMark/>
          </w:tcPr>
          <w:p w14:paraId="7B625F88" w14:textId="59377936" w:rsidR="00111605" w:rsidRPr="0078028E" w:rsidRDefault="00111605" w:rsidP="00111605">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Retained earnings </w:t>
            </w:r>
            <w:r>
              <w:rPr>
                <w:rFonts w:ascii="Arial" w:hAnsi="Arial" w:cs="Arial"/>
                <w:color w:val="000000"/>
                <w:sz w:val="16"/>
                <w:szCs w:val="16"/>
              </w:rPr>
              <w:br/>
            </w:r>
            <w:r>
              <w:rPr>
                <w:rFonts w:ascii="Arial" w:hAnsi="Arial" w:cs="Arial"/>
                <w:color w:val="000000"/>
                <w:sz w:val="16"/>
                <w:szCs w:val="16"/>
              </w:rPr>
              <w:br/>
              <w:t>$'000</w:t>
            </w:r>
          </w:p>
        </w:tc>
        <w:tc>
          <w:tcPr>
            <w:tcW w:w="1191" w:type="dxa"/>
            <w:tcBorders>
              <w:top w:val="single" w:sz="4" w:space="0" w:color="auto"/>
              <w:left w:val="nil"/>
              <w:bottom w:val="single" w:sz="4" w:space="0" w:color="auto"/>
              <w:right w:val="nil"/>
            </w:tcBorders>
            <w:shd w:val="clear" w:color="auto" w:fill="auto"/>
            <w:hideMark/>
          </w:tcPr>
          <w:p w14:paraId="07F7F180" w14:textId="56687C68" w:rsidR="00111605" w:rsidRPr="0078028E" w:rsidRDefault="00111605" w:rsidP="00111605">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Asset revaluation reserve </w:t>
            </w:r>
            <w:r>
              <w:rPr>
                <w:rFonts w:ascii="Arial" w:hAnsi="Arial" w:cs="Arial"/>
                <w:color w:val="000000"/>
                <w:sz w:val="16"/>
                <w:szCs w:val="16"/>
              </w:rPr>
              <w:br/>
              <w:t>$'000</w:t>
            </w:r>
          </w:p>
        </w:tc>
        <w:tc>
          <w:tcPr>
            <w:tcW w:w="1134" w:type="dxa"/>
            <w:tcBorders>
              <w:top w:val="single" w:sz="4" w:space="0" w:color="auto"/>
              <w:left w:val="nil"/>
              <w:bottom w:val="single" w:sz="4" w:space="0" w:color="auto"/>
              <w:right w:val="nil"/>
            </w:tcBorders>
            <w:shd w:val="clear" w:color="auto" w:fill="auto"/>
            <w:hideMark/>
          </w:tcPr>
          <w:p w14:paraId="4DF8702D" w14:textId="2DC1A657" w:rsidR="00111605" w:rsidRPr="0078028E" w:rsidRDefault="00111605" w:rsidP="00111605">
            <w:pPr>
              <w:spacing w:before="24" w:after="0" w:line="240" w:lineRule="auto"/>
              <w:jc w:val="right"/>
              <w:rPr>
                <w:rFonts w:ascii="Arial" w:hAnsi="Arial" w:cs="Arial"/>
                <w:color w:val="000000"/>
                <w:sz w:val="16"/>
                <w:szCs w:val="16"/>
              </w:rPr>
            </w:pPr>
            <w:r>
              <w:rPr>
                <w:rFonts w:ascii="Arial" w:hAnsi="Arial" w:cs="Arial"/>
                <w:b/>
                <w:bCs/>
                <w:color w:val="000000"/>
                <w:sz w:val="16"/>
                <w:szCs w:val="16"/>
              </w:rPr>
              <w:t>Contributed equity/</w:t>
            </w:r>
            <w:r>
              <w:rPr>
                <w:rFonts w:ascii="Arial" w:hAnsi="Arial" w:cs="Arial"/>
                <w:b/>
                <w:bCs/>
                <w:color w:val="000000"/>
                <w:sz w:val="16"/>
                <w:szCs w:val="16"/>
              </w:rPr>
              <w:br/>
              <w:t xml:space="preserve">capital </w:t>
            </w:r>
            <w:r>
              <w:rPr>
                <w:rFonts w:ascii="Arial" w:hAnsi="Arial" w:cs="Arial"/>
                <w:color w:val="000000"/>
                <w:sz w:val="16"/>
                <w:szCs w:val="16"/>
              </w:rPr>
              <w:br/>
              <w:t>$'000</w:t>
            </w:r>
          </w:p>
        </w:tc>
        <w:tc>
          <w:tcPr>
            <w:tcW w:w="1134" w:type="dxa"/>
            <w:tcBorders>
              <w:top w:val="single" w:sz="4" w:space="0" w:color="auto"/>
              <w:left w:val="nil"/>
              <w:bottom w:val="single" w:sz="4" w:space="0" w:color="auto"/>
              <w:right w:val="nil"/>
            </w:tcBorders>
            <w:shd w:val="clear" w:color="auto" w:fill="auto"/>
            <w:hideMark/>
          </w:tcPr>
          <w:p w14:paraId="4EF43C6C" w14:textId="05AC0F50" w:rsidR="00111605" w:rsidRPr="0078028E" w:rsidRDefault="00111605" w:rsidP="00111605">
            <w:pPr>
              <w:spacing w:before="24" w:after="0" w:line="240" w:lineRule="auto"/>
              <w:jc w:val="right"/>
              <w:rPr>
                <w:rFonts w:ascii="Arial" w:hAnsi="Arial" w:cs="Arial"/>
                <w:color w:val="000000"/>
                <w:sz w:val="16"/>
                <w:szCs w:val="16"/>
              </w:rPr>
            </w:pPr>
            <w:r>
              <w:rPr>
                <w:rFonts w:ascii="Arial" w:hAnsi="Arial" w:cs="Arial"/>
                <w:b/>
                <w:bCs/>
                <w:color w:val="000000"/>
                <w:sz w:val="16"/>
                <w:szCs w:val="16"/>
              </w:rPr>
              <w:t xml:space="preserve">Total </w:t>
            </w:r>
            <w:r>
              <w:rPr>
                <w:rFonts w:ascii="Arial" w:hAnsi="Arial" w:cs="Arial"/>
                <w:b/>
                <w:bCs/>
                <w:color w:val="000000"/>
                <w:sz w:val="16"/>
                <w:szCs w:val="16"/>
              </w:rPr>
              <w:br/>
              <w:t xml:space="preserve">equity </w:t>
            </w:r>
            <w:r>
              <w:rPr>
                <w:rFonts w:ascii="Arial" w:hAnsi="Arial" w:cs="Arial"/>
                <w:color w:val="000000"/>
                <w:sz w:val="16"/>
                <w:szCs w:val="16"/>
              </w:rPr>
              <w:br/>
            </w:r>
            <w:r>
              <w:rPr>
                <w:rFonts w:ascii="Arial" w:hAnsi="Arial" w:cs="Arial"/>
                <w:color w:val="000000"/>
                <w:sz w:val="16"/>
                <w:szCs w:val="16"/>
              </w:rPr>
              <w:br/>
              <w:t>$'000</w:t>
            </w:r>
          </w:p>
        </w:tc>
      </w:tr>
      <w:tr w:rsidR="00111605" w:rsidRPr="0078028E" w14:paraId="52339011" w14:textId="77777777" w:rsidTr="00F51B52">
        <w:trPr>
          <w:trHeight w:val="225"/>
          <w:jc w:val="center"/>
        </w:trPr>
        <w:tc>
          <w:tcPr>
            <w:tcW w:w="3118" w:type="dxa"/>
            <w:tcBorders>
              <w:top w:val="nil"/>
              <w:left w:val="nil"/>
              <w:bottom w:val="nil"/>
              <w:right w:val="nil"/>
            </w:tcBorders>
            <w:shd w:val="clear" w:color="auto" w:fill="auto"/>
            <w:noWrap/>
            <w:vAlign w:val="bottom"/>
            <w:hideMark/>
          </w:tcPr>
          <w:p w14:paraId="578DB9BA" w14:textId="49757607" w:rsidR="00111605" w:rsidRPr="0078028E" w:rsidRDefault="00111605" w:rsidP="00111605">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Opening balance as </w:t>
            </w:r>
            <w:proofErr w:type="gramStart"/>
            <w:r>
              <w:rPr>
                <w:rFonts w:ascii="Arial" w:hAnsi="Arial" w:cs="Arial"/>
                <w:b/>
                <w:bCs/>
                <w:color w:val="000000"/>
                <w:sz w:val="16"/>
                <w:szCs w:val="16"/>
              </w:rPr>
              <w:t>at</w:t>
            </w:r>
            <w:proofErr w:type="gramEnd"/>
            <w:r>
              <w:rPr>
                <w:rFonts w:ascii="Arial" w:hAnsi="Arial" w:cs="Arial"/>
                <w:b/>
                <w:bCs/>
                <w:color w:val="000000"/>
                <w:sz w:val="16"/>
                <w:szCs w:val="16"/>
              </w:rPr>
              <w:t xml:space="preserve"> 1 July 2023</w:t>
            </w:r>
          </w:p>
        </w:tc>
        <w:tc>
          <w:tcPr>
            <w:tcW w:w="1134" w:type="dxa"/>
            <w:tcBorders>
              <w:top w:val="nil"/>
              <w:left w:val="nil"/>
              <w:bottom w:val="nil"/>
              <w:right w:val="nil"/>
            </w:tcBorders>
            <w:shd w:val="clear" w:color="auto" w:fill="auto"/>
            <w:noWrap/>
            <w:vAlign w:val="bottom"/>
            <w:hideMark/>
          </w:tcPr>
          <w:p w14:paraId="731AF4B3" w14:textId="77777777" w:rsidR="00111605" w:rsidRPr="0078028E" w:rsidRDefault="00111605" w:rsidP="00111605">
            <w:pPr>
              <w:spacing w:before="0" w:after="0" w:line="240" w:lineRule="auto"/>
              <w:rPr>
                <w:rFonts w:ascii="Arial" w:hAnsi="Arial" w:cs="Arial"/>
                <w:b/>
                <w:bCs/>
                <w:color w:val="000000"/>
                <w:sz w:val="16"/>
                <w:szCs w:val="16"/>
              </w:rPr>
            </w:pPr>
          </w:p>
        </w:tc>
        <w:tc>
          <w:tcPr>
            <w:tcW w:w="1191" w:type="dxa"/>
            <w:tcBorders>
              <w:top w:val="nil"/>
              <w:left w:val="nil"/>
              <w:bottom w:val="nil"/>
              <w:right w:val="nil"/>
            </w:tcBorders>
            <w:shd w:val="clear" w:color="auto" w:fill="auto"/>
            <w:noWrap/>
            <w:vAlign w:val="bottom"/>
            <w:hideMark/>
          </w:tcPr>
          <w:p w14:paraId="6C2A78F3" w14:textId="77777777" w:rsidR="00111605" w:rsidRPr="0078028E" w:rsidRDefault="00111605" w:rsidP="00111605">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346F0148" w14:textId="77777777" w:rsidR="00111605" w:rsidRPr="0078028E" w:rsidRDefault="00111605" w:rsidP="00111605">
            <w:pPr>
              <w:spacing w:before="0" w:after="0" w:line="240" w:lineRule="auto"/>
              <w:jc w:val="right"/>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14:paraId="2190FC80" w14:textId="77777777" w:rsidR="00111605" w:rsidRPr="0078028E" w:rsidRDefault="00111605" w:rsidP="00111605">
            <w:pPr>
              <w:spacing w:before="0" w:after="0" w:line="240" w:lineRule="auto"/>
              <w:jc w:val="right"/>
              <w:rPr>
                <w:rFonts w:ascii="Times New Roman" w:hAnsi="Times New Roman"/>
                <w:sz w:val="20"/>
              </w:rPr>
            </w:pPr>
          </w:p>
        </w:tc>
      </w:tr>
      <w:tr w:rsidR="00111605" w:rsidRPr="0078028E" w14:paraId="18F76BF1" w14:textId="77777777" w:rsidTr="00F51B52">
        <w:trPr>
          <w:trHeight w:val="454"/>
          <w:jc w:val="center"/>
        </w:trPr>
        <w:tc>
          <w:tcPr>
            <w:tcW w:w="3118" w:type="dxa"/>
            <w:tcBorders>
              <w:top w:val="nil"/>
              <w:left w:val="nil"/>
              <w:bottom w:val="nil"/>
              <w:right w:val="nil"/>
            </w:tcBorders>
            <w:shd w:val="clear" w:color="auto" w:fill="auto"/>
            <w:vAlign w:val="bottom"/>
            <w:hideMark/>
          </w:tcPr>
          <w:p w14:paraId="1F2AC6A7" w14:textId="709D9E82" w:rsidR="00111605" w:rsidRPr="0078028E" w:rsidRDefault="00111605" w:rsidP="00111605">
            <w:pPr>
              <w:spacing w:before="0" w:after="0" w:line="240" w:lineRule="auto"/>
              <w:ind w:leftChars="75" w:left="143"/>
              <w:rPr>
                <w:rFonts w:ascii="Arial" w:hAnsi="Arial" w:cs="Arial"/>
                <w:color w:val="000000"/>
                <w:sz w:val="16"/>
                <w:szCs w:val="16"/>
              </w:rPr>
            </w:pPr>
            <w:r>
              <w:rPr>
                <w:rFonts w:ascii="Arial" w:hAnsi="Arial" w:cs="Arial"/>
                <w:color w:val="000000"/>
                <w:sz w:val="16"/>
                <w:szCs w:val="16"/>
              </w:rPr>
              <w:t>Balance carried forward from previous period</w:t>
            </w:r>
          </w:p>
        </w:tc>
        <w:tc>
          <w:tcPr>
            <w:tcW w:w="1134" w:type="dxa"/>
            <w:tcBorders>
              <w:top w:val="nil"/>
              <w:left w:val="nil"/>
              <w:bottom w:val="nil"/>
              <w:right w:val="nil"/>
            </w:tcBorders>
            <w:shd w:val="clear" w:color="auto" w:fill="auto"/>
            <w:noWrap/>
            <w:vAlign w:val="bottom"/>
            <w:hideMark/>
          </w:tcPr>
          <w:p w14:paraId="4713AC6A" w14:textId="740BC546"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6,832</w:t>
            </w:r>
          </w:p>
        </w:tc>
        <w:tc>
          <w:tcPr>
            <w:tcW w:w="1191" w:type="dxa"/>
            <w:tcBorders>
              <w:top w:val="nil"/>
              <w:left w:val="nil"/>
              <w:bottom w:val="nil"/>
              <w:right w:val="nil"/>
            </w:tcBorders>
            <w:shd w:val="clear" w:color="auto" w:fill="auto"/>
            <w:noWrap/>
            <w:vAlign w:val="bottom"/>
            <w:hideMark/>
          </w:tcPr>
          <w:p w14:paraId="58CA3DBE" w14:textId="35F32528"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1,067</w:t>
            </w:r>
          </w:p>
        </w:tc>
        <w:tc>
          <w:tcPr>
            <w:tcW w:w="1134" w:type="dxa"/>
            <w:tcBorders>
              <w:top w:val="nil"/>
              <w:left w:val="nil"/>
              <w:bottom w:val="nil"/>
              <w:right w:val="nil"/>
            </w:tcBorders>
            <w:shd w:val="clear" w:color="auto" w:fill="auto"/>
            <w:noWrap/>
            <w:vAlign w:val="bottom"/>
            <w:hideMark/>
          </w:tcPr>
          <w:p w14:paraId="61AF76B1" w14:textId="35035849"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3,190</w:t>
            </w:r>
          </w:p>
        </w:tc>
        <w:tc>
          <w:tcPr>
            <w:tcW w:w="1134" w:type="dxa"/>
            <w:tcBorders>
              <w:top w:val="nil"/>
              <w:left w:val="nil"/>
              <w:bottom w:val="nil"/>
              <w:right w:val="nil"/>
            </w:tcBorders>
            <w:shd w:val="clear" w:color="auto" w:fill="auto"/>
            <w:noWrap/>
            <w:vAlign w:val="bottom"/>
            <w:hideMark/>
          </w:tcPr>
          <w:p w14:paraId="236947E2" w14:textId="3739B8CA"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11,089</w:t>
            </w:r>
          </w:p>
        </w:tc>
      </w:tr>
      <w:tr w:rsidR="00111605" w:rsidRPr="0078028E" w14:paraId="2FB5325D" w14:textId="77777777" w:rsidTr="00F51B52">
        <w:trPr>
          <w:trHeight w:val="283"/>
          <w:jc w:val="center"/>
        </w:trPr>
        <w:tc>
          <w:tcPr>
            <w:tcW w:w="3118" w:type="dxa"/>
            <w:tcBorders>
              <w:top w:val="nil"/>
              <w:left w:val="nil"/>
              <w:bottom w:val="nil"/>
              <w:right w:val="nil"/>
            </w:tcBorders>
            <w:shd w:val="clear" w:color="auto" w:fill="auto"/>
            <w:noWrap/>
            <w:vAlign w:val="bottom"/>
            <w:hideMark/>
          </w:tcPr>
          <w:p w14:paraId="66F4B0EC" w14:textId="1F6C6F70" w:rsidR="00111605" w:rsidRPr="0078028E" w:rsidRDefault="00111605" w:rsidP="00111605">
            <w:pPr>
              <w:spacing w:before="0" w:after="0" w:line="240" w:lineRule="auto"/>
              <w:ind w:leftChars="75" w:left="143"/>
              <w:rPr>
                <w:rFonts w:ascii="Arial" w:hAnsi="Arial" w:cs="Arial"/>
                <w:sz w:val="16"/>
                <w:szCs w:val="16"/>
              </w:rPr>
            </w:pPr>
            <w:r>
              <w:rPr>
                <w:rFonts w:ascii="Arial" w:hAnsi="Arial" w:cs="Arial"/>
                <w:sz w:val="16"/>
                <w:szCs w:val="16"/>
              </w:rPr>
              <w:t>Opening balance adjustment</w:t>
            </w:r>
          </w:p>
        </w:tc>
        <w:tc>
          <w:tcPr>
            <w:tcW w:w="1134" w:type="dxa"/>
            <w:tcBorders>
              <w:top w:val="nil"/>
              <w:left w:val="nil"/>
              <w:bottom w:val="nil"/>
              <w:right w:val="nil"/>
            </w:tcBorders>
            <w:shd w:val="clear" w:color="auto" w:fill="auto"/>
            <w:noWrap/>
            <w:vAlign w:val="bottom"/>
            <w:hideMark/>
          </w:tcPr>
          <w:p w14:paraId="54344CA9" w14:textId="601951FF"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91" w:type="dxa"/>
            <w:tcBorders>
              <w:top w:val="nil"/>
              <w:left w:val="nil"/>
              <w:bottom w:val="nil"/>
              <w:right w:val="nil"/>
            </w:tcBorders>
            <w:shd w:val="clear" w:color="auto" w:fill="auto"/>
            <w:noWrap/>
            <w:vAlign w:val="bottom"/>
            <w:hideMark/>
          </w:tcPr>
          <w:p w14:paraId="756DE40E" w14:textId="28CA142E" w:rsidR="00111605" w:rsidRPr="0078028E" w:rsidRDefault="00111605" w:rsidP="00111605">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13D2E62C" w14:textId="7DC56862" w:rsidR="00111605" w:rsidRPr="0078028E" w:rsidRDefault="00111605" w:rsidP="00111605">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1CD4EDD8" w14:textId="229112E6"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11605" w:rsidRPr="0078028E" w14:paraId="366F9310" w14:textId="77777777" w:rsidTr="00F51B52">
        <w:trPr>
          <w:trHeight w:val="283"/>
          <w:jc w:val="center"/>
        </w:trPr>
        <w:tc>
          <w:tcPr>
            <w:tcW w:w="3118" w:type="dxa"/>
            <w:tcBorders>
              <w:top w:val="nil"/>
              <w:left w:val="nil"/>
              <w:bottom w:val="nil"/>
              <w:right w:val="nil"/>
            </w:tcBorders>
            <w:shd w:val="clear" w:color="auto" w:fill="auto"/>
            <w:noWrap/>
            <w:vAlign w:val="bottom"/>
            <w:hideMark/>
          </w:tcPr>
          <w:p w14:paraId="5559EAC8" w14:textId="2C83AEE0" w:rsidR="00111605" w:rsidRPr="0078028E" w:rsidRDefault="00111605" w:rsidP="00111605">
            <w:pPr>
              <w:spacing w:before="0" w:after="0" w:line="240" w:lineRule="auto"/>
              <w:ind w:leftChars="75" w:left="143"/>
              <w:rPr>
                <w:rFonts w:ascii="Arial" w:hAnsi="Arial" w:cs="Arial"/>
                <w:sz w:val="16"/>
                <w:szCs w:val="16"/>
              </w:rPr>
            </w:pPr>
            <w:r>
              <w:rPr>
                <w:rFonts w:ascii="Arial" w:hAnsi="Arial" w:cs="Arial"/>
                <w:sz w:val="16"/>
                <w:szCs w:val="16"/>
              </w:rPr>
              <w:t>Surplus (deficit) for the period</w:t>
            </w:r>
          </w:p>
        </w:tc>
        <w:tc>
          <w:tcPr>
            <w:tcW w:w="1134" w:type="dxa"/>
            <w:tcBorders>
              <w:top w:val="nil"/>
              <w:left w:val="nil"/>
              <w:bottom w:val="nil"/>
              <w:right w:val="nil"/>
            </w:tcBorders>
            <w:shd w:val="clear" w:color="auto" w:fill="auto"/>
            <w:noWrap/>
            <w:vAlign w:val="bottom"/>
            <w:hideMark/>
          </w:tcPr>
          <w:p w14:paraId="7590E20E" w14:textId="59158A86"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(878)</w:t>
            </w:r>
          </w:p>
        </w:tc>
        <w:tc>
          <w:tcPr>
            <w:tcW w:w="1191" w:type="dxa"/>
            <w:tcBorders>
              <w:top w:val="nil"/>
              <w:left w:val="nil"/>
              <w:bottom w:val="nil"/>
              <w:right w:val="nil"/>
            </w:tcBorders>
            <w:shd w:val="clear" w:color="auto" w:fill="auto"/>
            <w:noWrap/>
            <w:vAlign w:val="bottom"/>
            <w:hideMark/>
          </w:tcPr>
          <w:p w14:paraId="523D2666" w14:textId="2CD3FAD6" w:rsidR="00111605" w:rsidRPr="0078028E" w:rsidRDefault="00111605" w:rsidP="00111605">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0EF705E0" w14:textId="5C693989" w:rsidR="00111605" w:rsidRPr="0078028E" w:rsidRDefault="00111605" w:rsidP="00111605">
            <w:pPr>
              <w:spacing w:before="0"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14:paraId="35A92EA7" w14:textId="2ED056AF"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(878)</w:t>
            </w:r>
          </w:p>
        </w:tc>
      </w:tr>
      <w:tr w:rsidR="00111605" w:rsidRPr="0078028E" w14:paraId="44648DEE" w14:textId="77777777" w:rsidTr="00F51B52">
        <w:trPr>
          <w:trHeight w:val="283"/>
          <w:jc w:val="center"/>
        </w:trPr>
        <w:tc>
          <w:tcPr>
            <w:tcW w:w="3118" w:type="dxa"/>
            <w:tcBorders>
              <w:top w:val="nil"/>
              <w:left w:val="nil"/>
              <w:bottom w:val="nil"/>
              <w:right w:val="nil"/>
            </w:tcBorders>
            <w:shd w:val="clear" w:color="000000" w:fill="FFFFFF"/>
            <w:noWrap/>
            <w:vAlign w:val="bottom"/>
            <w:hideMark/>
          </w:tcPr>
          <w:p w14:paraId="716990D8" w14:textId="7BE532B5" w:rsidR="00111605" w:rsidRPr="0078028E" w:rsidRDefault="00111605" w:rsidP="00111605">
            <w:pPr>
              <w:spacing w:before="0" w:after="0" w:line="240" w:lineRule="auto"/>
              <w:ind w:leftChars="75" w:left="143"/>
              <w:rPr>
                <w:rFonts w:ascii="Arial" w:hAnsi="Arial" w:cs="Arial"/>
                <w:sz w:val="16"/>
                <w:szCs w:val="16"/>
              </w:rPr>
            </w:pPr>
            <w:r>
              <w:rPr>
                <w:rFonts w:ascii="Arial" w:hAnsi="Arial" w:cs="Arial"/>
                <w:sz w:val="16"/>
                <w:szCs w:val="16"/>
              </w:rPr>
              <w:t>Capital budget - Bill 1 (DCB)</w:t>
            </w:r>
          </w:p>
        </w:tc>
        <w:tc>
          <w:tcPr>
            <w:tcW w:w="1134" w:type="dxa"/>
            <w:tcBorders>
              <w:top w:val="nil"/>
              <w:left w:val="nil"/>
              <w:bottom w:val="single" w:sz="4" w:space="0" w:color="auto"/>
              <w:right w:val="nil"/>
            </w:tcBorders>
            <w:shd w:val="clear" w:color="auto" w:fill="auto"/>
            <w:noWrap/>
            <w:vAlign w:val="bottom"/>
            <w:hideMark/>
          </w:tcPr>
          <w:p w14:paraId="79E6ABF8" w14:textId="38FDA529"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91" w:type="dxa"/>
            <w:tcBorders>
              <w:top w:val="nil"/>
              <w:left w:val="nil"/>
              <w:bottom w:val="single" w:sz="4" w:space="0" w:color="auto"/>
              <w:right w:val="nil"/>
            </w:tcBorders>
            <w:shd w:val="clear" w:color="auto" w:fill="auto"/>
            <w:noWrap/>
            <w:vAlign w:val="bottom"/>
            <w:hideMark/>
          </w:tcPr>
          <w:p w14:paraId="216052E4" w14:textId="609DE6C0"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4" w:space="0" w:color="auto"/>
              <w:right w:val="nil"/>
            </w:tcBorders>
            <w:shd w:val="clear" w:color="auto" w:fill="auto"/>
            <w:noWrap/>
            <w:vAlign w:val="bottom"/>
            <w:hideMark/>
          </w:tcPr>
          <w:p w14:paraId="0758A9CE" w14:textId="32896A2A" w:rsidR="00111605" w:rsidRPr="0078028E" w:rsidRDefault="00111605" w:rsidP="00111605">
            <w:pPr>
              <w:spacing w:before="0" w:after="0" w:line="240" w:lineRule="auto"/>
              <w:jc w:val="right"/>
              <w:rPr>
                <w:rFonts w:ascii="Arial" w:hAnsi="Arial" w:cs="Arial"/>
                <w:color w:val="000000"/>
                <w:sz w:val="16"/>
                <w:szCs w:val="16"/>
              </w:rPr>
            </w:pPr>
            <w:r>
              <w:rPr>
                <w:rFonts w:ascii="Arial" w:hAnsi="Arial" w:cs="Arial"/>
                <w:color w:val="000000"/>
                <w:sz w:val="16"/>
                <w:szCs w:val="16"/>
              </w:rPr>
              <w:t>2,636</w:t>
            </w:r>
          </w:p>
        </w:tc>
        <w:tc>
          <w:tcPr>
            <w:tcW w:w="1134" w:type="dxa"/>
            <w:tcBorders>
              <w:top w:val="nil"/>
              <w:left w:val="nil"/>
              <w:bottom w:val="single" w:sz="4" w:space="0" w:color="auto"/>
              <w:right w:val="nil"/>
            </w:tcBorders>
            <w:shd w:val="clear" w:color="auto" w:fill="auto"/>
            <w:noWrap/>
            <w:vAlign w:val="bottom"/>
            <w:hideMark/>
          </w:tcPr>
          <w:p w14:paraId="6F77076B" w14:textId="7B7BEBDC"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2,636</w:t>
            </w:r>
          </w:p>
        </w:tc>
      </w:tr>
      <w:tr w:rsidR="00111605" w:rsidRPr="0078028E" w14:paraId="7F94A457" w14:textId="77777777" w:rsidTr="00F51B52">
        <w:trPr>
          <w:trHeight w:val="454"/>
          <w:jc w:val="center"/>
        </w:trPr>
        <w:tc>
          <w:tcPr>
            <w:tcW w:w="3118" w:type="dxa"/>
            <w:tcBorders>
              <w:top w:val="nil"/>
              <w:left w:val="nil"/>
              <w:bottom w:val="single" w:sz="4" w:space="0" w:color="auto"/>
              <w:right w:val="nil"/>
            </w:tcBorders>
            <w:shd w:val="clear" w:color="auto" w:fill="auto"/>
            <w:vAlign w:val="bottom"/>
            <w:hideMark/>
          </w:tcPr>
          <w:p w14:paraId="60A5B941" w14:textId="13147BBD" w:rsidR="00111605" w:rsidRPr="0078028E" w:rsidRDefault="00111605" w:rsidP="00111605">
            <w:pPr>
              <w:spacing w:before="0" w:after="0" w:line="240" w:lineRule="auto"/>
              <w:rPr>
                <w:rFonts w:ascii="Arial" w:hAnsi="Arial" w:cs="Arial"/>
                <w:b/>
                <w:bCs/>
                <w:color w:val="000000"/>
                <w:sz w:val="16"/>
                <w:szCs w:val="16"/>
              </w:rPr>
            </w:pPr>
            <w:r>
              <w:rPr>
                <w:rFonts w:ascii="Arial" w:hAnsi="Arial" w:cs="Arial"/>
                <w:b/>
                <w:bCs/>
                <w:color w:val="000000"/>
                <w:sz w:val="16"/>
                <w:szCs w:val="16"/>
              </w:rPr>
              <w:t xml:space="preserve">Estimated closing balance as </w:t>
            </w:r>
            <w:proofErr w:type="gramStart"/>
            <w:r>
              <w:rPr>
                <w:rFonts w:ascii="Arial" w:hAnsi="Arial" w:cs="Arial"/>
                <w:b/>
                <w:bCs/>
                <w:color w:val="000000"/>
                <w:sz w:val="16"/>
                <w:szCs w:val="16"/>
              </w:rPr>
              <w:t>at</w:t>
            </w:r>
            <w:proofErr w:type="gramEnd"/>
            <w:r>
              <w:rPr>
                <w:rFonts w:ascii="Arial" w:hAnsi="Arial" w:cs="Arial"/>
                <w:b/>
                <w:bCs/>
                <w:color w:val="000000"/>
                <w:sz w:val="16"/>
                <w:szCs w:val="16"/>
              </w:rPr>
              <w:t xml:space="preserve"> 30 June 2024</w:t>
            </w:r>
          </w:p>
        </w:tc>
        <w:tc>
          <w:tcPr>
            <w:tcW w:w="1134" w:type="dxa"/>
            <w:tcBorders>
              <w:top w:val="nil"/>
              <w:left w:val="nil"/>
              <w:bottom w:val="single" w:sz="4" w:space="0" w:color="auto"/>
              <w:right w:val="nil"/>
            </w:tcBorders>
            <w:shd w:val="clear" w:color="auto" w:fill="auto"/>
            <w:noWrap/>
            <w:vAlign w:val="bottom"/>
            <w:hideMark/>
          </w:tcPr>
          <w:p w14:paraId="50C0CBA1" w14:textId="6E8A33D7"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5,954</w:t>
            </w:r>
          </w:p>
        </w:tc>
        <w:tc>
          <w:tcPr>
            <w:tcW w:w="1191" w:type="dxa"/>
            <w:tcBorders>
              <w:top w:val="nil"/>
              <w:left w:val="nil"/>
              <w:bottom w:val="single" w:sz="4" w:space="0" w:color="auto"/>
              <w:right w:val="nil"/>
            </w:tcBorders>
            <w:shd w:val="clear" w:color="auto" w:fill="auto"/>
            <w:noWrap/>
            <w:vAlign w:val="bottom"/>
            <w:hideMark/>
          </w:tcPr>
          <w:p w14:paraId="0F50B13D" w14:textId="102A2996"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1,067</w:t>
            </w:r>
          </w:p>
        </w:tc>
        <w:tc>
          <w:tcPr>
            <w:tcW w:w="1134" w:type="dxa"/>
            <w:tcBorders>
              <w:top w:val="nil"/>
              <w:left w:val="nil"/>
              <w:bottom w:val="single" w:sz="4" w:space="0" w:color="auto"/>
              <w:right w:val="nil"/>
            </w:tcBorders>
            <w:shd w:val="clear" w:color="auto" w:fill="auto"/>
            <w:noWrap/>
            <w:vAlign w:val="bottom"/>
            <w:hideMark/>
          </w:tcPr>
          <w:p w14:paraId="25AC2B28" w14:textId="168836F8"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5,826</w:t>
            </w:r>
          </w:p>
        </w:tc>
        <w:tc>
          <w:tcPr>
            <w:tcW w:w="1134" w:type="dxa"/>
            <w:tcBorders>
              <w:top w:val="nil"/>
              <w:left w:val="nil"/>
              <w:bottom w:val="single" w:sz="4" w:space="0" w:color="auto"/>
              <w:right w:val="nil"/>
            </w:tcBorders>
            <w:shd w:val="clear" w:color="auto" w:fill="auto"/>
            <w:noWrap/>
            <w:vAlign w:val="bottom"/>
            <w:hideMark/>
          </w:tcPr>
          <w:p w14:paraId="590067A2" w14:textId="6F73AF79" w:rsidR="00111605" w:rsidRPr="0078028E" w:rsidRDefault="00111605" w:rsidP="001116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12,847</w:t>
            </w:r>
          </w:p>
        </w:tc>
      </w:tr>
    </w:tbl>
    <w:p w14:paraId="04718C6E" w14:textId="77777777" w:rsidR="008C73CD" w:rsidRPr="00435A9D" w:rsidRDefault="008C73CD" w:rsidP="006A45F7">
      <w:pPr>
        <w:pStyle w:val="TableGraphic"/>
        <w:spacing w:before="120" w:after="240"/>
        <w:rPr>
          <w:rFonts w:ascii="Arial" w:hAnsi="Arial" w:cs="Arial"/>
          <w:sz w:val="16"/>
          <w:szCs w:val="16"/>
        </w:rPr>
      </w:pPr>
      <w:r w:rsidRPr="00435A9D">
        <w:rPr>
          <w:rFonts w:ascii="Arial" w:hAnsi="Arial" w:cs="Arial"/>
          <w:sz w:val="16"/>
          <w:szCs w:val="16"/>
        </w:rPr>
        <w:t>DCB = Departmental Capital Budget</w:t>
      </w:r>
    </w:p>
    <w:p w14:paraId="314D4516" w14:textId="77777777" w:rsidR="00255841" w:rsidRDefault="00255841">
      <w:pPr>
        <w:spacing w:before="0" w:after="0" w:line="240" w:lineRule="auto"/>
        <w:rPr>
          <w:rFonts w:ascii="Arial" w:hAnsi="Arial"/>
          <w:b/>
          <w:snapToGrid w:val="0"/>
          <w:sz w:val="20"/>
        </w:rPr>
      </w:pPr>
      <w:r>
        <w:rPr>
          <w:snapToGrid w:val="0"/>
        </w:rPr>
        <w:br w:type="page"/>
      </w:r>
    </w:p>
    <w:p w14:paraId="1324FDF4" w14:textId="615FA3B2" w:rsidR="008C73CD" w:rsidRDefault="008C73CD" w:rsidP="006A45F7">
      <w:pPr>
        <w:pStyle w:val="TableHeading"/>
        <w:spacing w:before="24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r w:rsidR="00BF61F1">
        <w:rPr>
          <w:snapToGrid w:val="0"/>
        </w:rPr>
        <w:t xml:space="preserve"> </w:t>
      </w:r>
    </w:p>
    <w:tbl>
      <w:tblPr>
        <w:tblW w:w="7700" w:type="dxa"/>
        <w:jc w:val="center"/>
        <w:tblLayout w:type="fixed"/>
        <w:tblLook w:val="04A0" w:firstRow="1" w:lastRow="0" w:firstColumn="1" w:lastColumn="0" w:noHBand="0" w:noVBand="1"/>
      </w:tblPr>
      <w:tblGrid>
        <w:gridCol w:w="3051"/>
        <w:gridCol w:w="926"/>
        <w:gridCol w:w="930"/>
        <w:gridCol w:w="931"/>
        <w:gridCol w:w="931"/>
        <w:gridCol w:w="931"/>
      </w:tblGrid>
      <w:tr w:rsidR="00255841" w:rsidRPr="00255841" w14:paraId="4D1D7F4F" w14:textId="77777777" w:rsidTr="00A73855">
        <w:trPr>
          <w:trHeight w:val="737"/>
          <w:jc w:val="center"/>
        </w:trPr>
        <w:tc>
          <w:tcPr>
            <w:tcW w:w="3051" w:type="dxa"/>
            <w:tcBorders>
              <w:top w:val="single" w:sz="4" w:space="0" w:color="auto"/>
              <w:left w:val="nil"/>
              <w:bottom w:val="nil"/>
              <w:right w:val="nil"/>
            </w:tcBorders>
            <w:shd w:val="clear" w:color="auto" w:fill="auto"/>
            <w:vAlign w:val="bottom"/>
            <w:hideMark/>
          </w:tcPr>
          <w:p w14:paraId="7307F849" w14:textId="77777777" w:rsidR="00255841" w:rsidRPr="00255841" w:rsidRDefault="00255841" w:rsidP="00255841">
            <w:pPr>
              <w:spacing w:before="24" w:after="0" w:line="240" w:lineRule="auto"/>
              <w:jc w:val="right"/>
              <w:rPr>
                <w:rFonts w:ascii="Arial" w:hAnsi="Arial" w:cs="Arial"/>
                <w:b/>
                <w:bCs/>
                <w:sz w:val="16"/>
                <w:szCs w:val="16"/>
              </w:rPr>
            </w:pPr>
            <w:r w:rsidRPr="00255841">
              <w:rPr>
                <w:rFonts w:ascii="Arial" w:hAnsi="Arial" w:cs="Arial"/>
                <w:b/>
                <w:bCs/>
                <w:sz w:val="16"/>
                <w:szCs w:val="16"/>
              </w:rPr>
              <w:t> </w:t>
            </w:r>
          </w:p>
        </w:tc>
        <w:tc>
          <w:tcPr>
            <w:tcW w:w="926" w:type="dxa"/>
            <w:tcBorders>
              <w:top w:val="single" w:sz="4" w:space="0" w:color="auto"/>
              <w:left w:val="nil"/>
              <w:bottom w:val="single" w:sz="4" w:space="0" w:color="auto"/>
              <w:right w:val="nil"/>
            </w:tcBorders>
            <w:shd w:val="clear" w:color="auto" w:fill="auto"/>
            <w:vAlign w:val="bottom"/>
            <w:hideMark/>
          </w:tcPr>
          <w:p w14:paraId="13CCF611" w14:textId="06A9AA5D" w:rsidR="00255841" w:rsidRPr="00255841" w:rsidRDefault="00255841" w:rsidP="00255841">
            <w:pPr>
              <w:spacing w:before="24" w:after="0" w:line="240" w:lineRule="auto"/>
              <w:jc w:val="right"/>
              <w:rPr>
                <w:rFonts w:ascii="Arial" w:hAnsi="Arial" w:cs="Arial"/>
                <w:b/>
                <w:bCs/>
                <w:sz w:val="16"/>
                <w:szCs w:val="16"/>
              </w:rPr>
            </w:pPr>
            <w:r>
              <w:rPr>
                <w:rFonts w:ascii="Arial" w:hAnsi="Arial" w:cs="Arial"/>
                <w:b/>
                <w:bCs/>
                <w:sz w:val="16"/>
                <w:szCs w:val="16"/>
              </w:rPr>
              <w:t>2022–</w:t>
            </w:r>
            <w:r w:rsidRPr="00255841">
              <w:rPr>
                <w:rFonts w:ascii="Arial" w:hAnsi="Arial" w:cs="Arial"/>
                <w:b/>
                <w:bCs/>
                <w:sz w:val="16"/>
                <w:szCs w:val="16"/>
              </w:rPr>
              <w:t>23</w:t>
            </w:r>
            <w:r w:rsidRPr="00255841">
              <w:rPr>
                <w:rFonts w:ascii="Arial" w:hAnsi="Arial" w:cs="Arial"/>
                <w:b/>
                <w:bCs/>
                <w:sz w:val="16"/>
                <w:szCs w:val="16"/>
              </w:rPr>
              <w:br/>
              <w:t>Actual</w:t>
            </w:r>
            <w:r w:rsidRPr="00255841">
              <w:rPr>
                <w:rFonts w:ascii="Arial" w:hAnsi="Arial" w:cs="Arial"/>
                <w:b/>
                <w:bCs/>
                <w:sz w:val="16"/>
                <w:szCs w:val="16"/>
              </w:rPr>
              <w:br/>
            </w:r>
            <w:r w:rsidRPr="00255841">
              <w:rPr>
                <w:rFonts w:ascii="Arial" w:hAnsi="Arial" w:cs="Arial"/>
                <w:b/>
                <w:bCs/>
                <w:sz w:val="16"/>
                <w:szCs w:val="16"/>
              </w:rPr>
              <w:br/>
            </w:r>
            <w:r w:rsidRPr="00255841">
              <w:rPr>
                <w:rFonts w:ascii="Arial" w:hAnsi="Arial" w:cs="Arial"/>
                <w:sz w:val="16"/>
                <w:szCs w:val="16"/>
              </w:rPr>
              <w:t>$'000</w:t>
            </w:r>
          </w:p>
        </w:tc>
        <w:tc>
          <w:tcPr>
            <w:tcW w:w="930" w:type="dxa"/>
            <w:tcBorders>
              <w:top w:val="single" w:sz="4" w:space="0" w:color="auto"/>
              <w:left w:val="nil"/>
              <w:bottom w:val="single" w:sz="4" w:space="0" w:color="auto"/>
              <w:right w:val="nil"/>
            </w:tcBorders>
            <w:shd w:val="clear" w:color="000000" w:fill="D9D9D9"/>
            <w:vAlign w:val="bottom"/>
            <w:hideMark/>
          </w:tcPr>
          <w:p w14:paraId="3908B33B" w14:textId="15B4CFDC" w:rsidR="00255841" w:rsidRPr="00255841" w:rsidRDefault="00255841" w:rsidP="00255841">
            <w:pPr>
              <w:spacing w:before="24" w:after="0" w:line="240" w:lineRule="auto"/>
              <w:jc w:val="right"/>
              <w:rPr>
                <w:rFonts w:ascii="Arial" w:hAnsi="Arial" w:cs="Arial"/>
                <w:b/>
                <w:bCs/>
                <w:sz w:val="16"/>
                <w:szCs w:val="16"/>
              </w:rPr>
            </w:pPr>
            <w:r>
              <w:rPr>
                <w:rFonts w:ascii="Arial" w:hAnsi="Arial" w:cs="Arial"/>
                <w:b/>
                <w:bCs/>
                <w:sz w:val="16"/>
                <w:szCs w:val="16"/>
              </w:rPr>
              <w:t>2023–</w:t>
            </w:r>
            <w:r w:rsidRPr="00255841">
              <w:rPr>
                <w:rFonts w:ascii="Arial" w:hAnsi="Arial" w:cs="Arial"/>
                <w:b/>
                <w:bCs/>
                <w:sz w:val="16"/>
                <w:szCs w:val="16"/>
              </w:rPr>
              <w:t>24</w:t>
            </w:r>
            <w:r w:rsidRPr="00255841">
              <w:rPr>
                <w:rFonts w:ascii="Arial" w:hAnsi="Arial" w:cs="Arial"/>
                <w:b/>
                <w:bCs/>
                <w:sz w:val="16"/>
                <w:szCs w:val="16"/>
              </w:rPr>
              <w:br/>
              <w:t>Revised</w:t>
            </w:r>
            <w:r w:rsidRPr="00255841">
              <w:rPr>
                <w:rFonts w:ascii="Arial" w:hAnsi="Arial" w:cs="Arial"/>
                <w:b/>
                <w:bCs/>
                <w:sz w:val="16"/>
                <w:szCs w:val="16"/>
              </w:rPr>
              <w:br/>
              <w:t>Budget</w:t>
            </w:r>
            <w:r w:rsidRPr="00255841">
              <w:rPr>
                <w:rFonts w:ascii="Arial" w:hAnsi="Arial" w:cs="Arial"/>
                <w:b/>
                <w:bCs/>
                <w:sz w:val="16"/>
                <w:szCs w:val="16"/>
              </w:rPr>
              <w:br/>
            </w:r>
            <w:r w:rsidRPr="00255841">
              <w:rPr>
                <w:rFonts w:ascii="Arial" w:hAnsi="Arial" w:cs="Arial"/>
                <w:sz w:val="16"/>
                <w:szCs w:val="16"/>
              </w:rPr>
              <w:t>$'000</w:t>
            </w:r>
          </w:p>
        </w:tc>
        <w:tc>
          <w:tcPr>
            <w:tcW w:w="931" w:type="dxa"/>
            <w:tcBorders>
              <w:top w:val="single" w:sz="4" w:space="0" w:color="auto"/>
              <w:left w:val="nil"/>
              <w:bottom w:val="single" w:sz="4" w:space="0" w:color="auto"/>
              <w:right w:val="nil"/>
            </w:tcBorders>
            <w:shd w:val="clear" w:color="auto" w:fill="auto"/>
            <w:vAlign w:val="bottom"/>
            <w:hideMark/>
          </w:tcPr>
          <w:p w14:paraId="1DD0BC19" w14:textId="3989D805" w:rsidR="00255841" w:rsidRPr="00255841" w:rsidRDefault="00255841" w:rsidP="00255841">
            <w:pPr>
              <w:spacing w:before="24" w:after="0" w:line="240" w:lineRule="auto"/>
              <w:jc w:val="right"/>
              <w:rPr>
                <w:rFonts w:ascii="Arial" w:hAnsi="Arial" w:cs="Arial"/>
                <w:b/>
                <w:bCs/>
                <w:sz w:val="16"/>
                <w:szCs w:val="16"/>
              </w:rPr>
            </w:pPr>
            <w:r>
              <w:rPr>
                <w:rFonts w:ascii="Arial" w:hAnsi="Arial" w:cs="Arial"/>
                <w:b/>
                <w:bCs/>
                <w:sz w:val="16"/>
                <w:szCs w:val="16"/>
              </w:rPr>
              <w:t>2024–</w:t>
            </w:r>
            <w:r w:rsidRPr="00255841">
              <w:rPr>
                <w:rFonts w:ascii="Arial" w:hAnsi="Arial" w:cs="Arial"/>
                <w:b/>
                <w:bCs/>
                <w:sz w:val="16"/>
                <w:szCs w:val="16"/>
              </w:rPr>
              <w:t>25 Forward estimate</w:t>
            </w:r>
            <w:r w:rsidRPr="00255841">
              <w:rPr>
                <w:rFonts w:ascii="Arial" w:hAnsi="Arial" w:cs="Arial"/>
                <w:b/>
                <w:bCs/>
                <w:sz w:val="16"/>
                <w:szCs w:val="16"/>
              </w:rPr>
              <w:br/>
              <w:t>$'000</w:t>
            </w:r>
          </w:p>
        </w:tc>
        <w:tc>
          <w:tcPr>
            <w:tcW w:w="931" w:type="dxa"/>
            <w:tcBorders>
              <w:top w:val="single" w:sz="4" w:space="0" w:color="auto"/>
              <w:left w:val="nil"/>
              <w:bottom w:val="single" w:sz="4" w:space="0" w:color="auto"/>
              <w:right w:val="nil"/>
            </w:tcBorders>
            <w:shd w:val="clear" w:color="auto" w:fill="auto"/>
            <w:vAlign w:val="bottom"/>
            <w:hideMark/>
          </w:tcPr>
          <w:p w14:paraId="6BCCC081" w14:textId="36E3042C" w:rsidR="00255841" w:rsidRPr="00255841" w:rsidRDefault="00255841" w:rsidP="00255841">
            <w:pPr>
              <w:spacing w:before="24" w:after="0" w:line="240" w:lineRule="auto"/>
              <w:jc w:val="right"/>
              <w:rPr>
                <w:rFonts w:ascii="Arial" w:hAnsi="Arial" w:cs="Arial"/>
                <w:b/>
                <w:bCs/>
                <w:sz w:val="16"/>
                <w:szCs w:val="16"/>
              </w:rPr>
            </w:pPr>
            <w:r>
              <w:rPr>
                <w:rFonts w:ascii="Arial" w:hAnsi="Arial" w:cs="Arial"/>
                <w:b/>
                <w:bCs/>
                <w:sz w:val="16"/>
                <w:szCs w:val="16"/>
              </w:rPr>
              <w:t>2025–</w:t>
            </w:r>
            <w:r w:rsidRPr="00255841">
              <w:rPr>
                <w:rFonts w:ascii="Arial" w:hAnsi="Arial" w:cs="Arial"/>
                <w:b/>
                <w:bCs/>
                <w:sz w:val="16"/>
                <w:szCs w:val="16"/>
              </w:rPr>
              <w:t>26 Forward estimate</w:t>
            </w:r>
            <w:r w:rsidRPr="00255841">
              <w:rPr>
                <w:rFonts w:ascii="Arial" w:hAnsi="Arial" w:cs="Arial"/>
                <w:b/>
                <w:bCs/>
                <w:sz w:val="16"/>
                <w:szCs w:val="16"/>
              </w:rPr>
              <w:br/>
              <w:t>$'000</w:t>
            </w:r>
          </w:p>
        </w:tc>
        <w:tc>
          <w:tcPr>
            <w:tcW w:w="931" w:type="dxa"/>
            <w:tcBorders>
              <w:top w:val="single" w:sz="4" w:space="0" w:color="auto"/>
              <w:left w:val="nil"/>
              <w:bottom w:val="single" w:sz="4" w:space="0" w:color="auto"/>
              <w:right w:val="nil"/>
            </w:tcBorders>
            <w:shd w:val="clear" w:color="auto" w:fill="auto"/>
            <w:vAlign w:val="bottom"/>
            <w:hideMark/>
          </w:tcPr>
          <w:p w14:paraId="29020243" w14:textId="687493FE" w:rsidR="00255841" w:rsidRPr="00255841" w:rsidRDefault="00255841" w:rsidP="00255841">
            <w:pPr>
              <w:spacing w:before="24" w:after="0" w:line="240" w:lineRule="auto"/>
              <w:jc w:val="right"/>
              <w:rPr>
                <w:rFonts w:ascii="Arial" w:hAnsi="Arial" w:cs="Arial"/>
                <w:b/>
                <w:bCs/>
                <w:sz w:val="16"/>
                <w:szCs w:val="16"/>
              </w:rPr>
            </w:pPr>
            <w:r>
              <w:rPr>
                <w:rFonts w:ascii="Arial" w:hAnsi="Arial" w:cs="Arial"/>
                <w:b/>
                <w:bCs/>
                <w:sz w:val="16"/>
                <w:szCs w:val="16"/>
              </w:rPr>
              <w:t>2026–</w:t>
            </w:r>
            <w:r w:rsidRPr="00255841">
              <w:rPr>
                <w:rFonts w:ascii="Arial" w:hAnsi="Arial" w:cs="Arial"/>
                <w:b/>
                <w:bCs/>
                <w:sz w:val="16"/>
                <w:szCs w:val="16"/>
              </w:rPr>
              <w:t>27 Forward estimate</w:t>
            </w:r>
            <w:r w:rsidRPr="00255841">
              <w:rPr>
                <w:rFonts w:ascii="Arial" w:hAnsi="Arial" w:cs="Arial"/>
                <w:b/>
                <w:bCs/>
                <w:sz w:val="16"/>
                <w:szCs w:val="16"/>
              </w:rPr>
              <w:br/>
            </w:r>
            <w:r w:rsidRPr="00255841">
              <w:rPr>
                <w:rFonts w:ascii="Arial" w:hAnsi="Arial" w:cs="Arial"/>
                <w:sz w:val="16"/>
                <w:szCs w:val="16"/>
              </w:rPr>
              <w:t>$'000</w:t>
            </w:r>
          </w:p>
        </w:tc>
      </w:tr>
      <w:tr w:rsidR="00255841" w:rsidRPr="00255841" w14:paraId="7F94FB3B"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7FA9D1A9" w14:textId="77777777" w:rsidR="00255841" w:rsidRPr="00255841" w:rsidRDefault="00255841" w:rsidP="00255841">
            <w:pPr>
              <w:spacing w:before="0" w:after="0" w:line="240" w:lineRule="auto"/>
              <w:rPr>
                <w:rFonts w:ascii="Arial" w:hAnsi="Arial" w:cs="Arial"/>
                <w:b/>
                <w:bCs/>
                <w:color w:val="000000"/>
                <w:sz w:val="16"/>
                <w:szCs w:val="16"/>
              </w:rPr>
            </w:pPr>
            <w:r w:rsidRPr="00255841">
              <w:rPr>
                <w:rFonts w:ascii="Arial" w:hAnsi="Arial" w:cs="Arial"/>
                <w:b/>
                <w:bCs/>
                <w:color w:val="000000"/>
                <w:sz w:val="16"/>
                <w:szCs w:val="16"/>
              </w:rPr>
              <w:t>OPERATING ACTIVITIES</w:t>
            </w:r>
          </w:p>
        </w:tc>
        <w:tc>
          <w:tcPr>
            <w:tcW w:w="926" w:type="dxa"/>
            <w:tcBorders>
              <w:top w:val="nil"/>
              <w:left w:val="nil"/>
              <w:bottom w:val="nil"/>
              <w:right w:val="nil"/>
            </w:tcBorders>
            <w:shd w:val="clear" w:color="auto" w:fill="auto"/>
            <w:noWrap/>
            <w:vAlign w:val="bottom"/>
            <w:hideMark/>
          </w:tcPr>
          <w:p w14:paraId="30DD4A0A" w14:textId="77777777" w:rsidR="00255841" w:rsidRPr="00255841" w:rsidRDefault="00255841" w:rsidP="00255841">
            <w:pPr>
              <w:spacing w:before="0" w:after="0" w:line="240" w:lineRule="auto"/>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346E2F09"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020F381A"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1CE7EA08"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0809EB4F"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02C43E7A"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1176F5DB"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Cash received</w:t>
            </w:r>
          </w:p>
        </w:tc>
        <w:tc>
          <w:tcPr>
            <w:tcW w:w="926" w:type="dxa"/>
            <w:tcBorders>
              <w:top w:val="nil"/>
              <w:left w:val="nil"/>
              <w:bottom w:val="nil"/>
              <w:right w:val="nil"/>
            </w:tcBorders>
            <w:shd w:val="clear" w:color="auto" w:fill="auto"/>
            <w:noWrap/>
            <w:vAlign w:val="bottom"/>
            <w:hideMark/>
          </w:tcPr>
          <w:p w14:paraId="1BC289EF" w14:textId="77777777" w:rsidR="00255841" w:rsidRPr="00255841" w:rsidRDefault="00255841" w:rsidP="00255841">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1132523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5288F141"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6A9C2C51"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045D1A3D"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56062584"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3D9D7728"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Appropriations</w:t>
            </w:r>
          </w:p>
        </w:tc>
        <w:tc>
          <w:tcPr>
            <w:tcW w:w="926" w:type="dxa"/>
            <w:tcBorders>
              <w:top w:val="nil"/>
              <w:left w:val="nil"/>
              <w:bottom w:val="nil"/>
              <w:right w:val="nil"/>
            </w:tcBorders>
            <w:shd w:val="clear" w:color="auto" w:fill="auto"/>
            <w:noWrap/>
            <w:vAlign w:val="bottom"/>
            <w:hideMark/>
          </w:tcPr>
          <w:p w14:paraId="5CF11325"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9,732</w:t>
            </w:r>
          </w:p>
        </w:tc>
        <w:tc>
          <w:tcPr>
            <w:tcW w:w="930" w:type="dxa"/>
            <w:tcBorders>
              <w:top w:val="nil"/>
              <w:left w:val="nil"/>
              <w:bottom w:val="nil"/>
              <w:right w:val="nil"/>
            </w:tcBorders>
            <w:shd w:val="clear" w:color="000000" w:fill="D9D9D9"/>
            <w:noWrap/>
            <w:vAlign w:val="bottom"/>
            <w:hideMark/>
          </w:tcPr>
          <w:p w14:paraId="27786C94"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14,065</w:t>
            </w:r>
          </w:p>
        </w:tc>
        <w:tc>
          <w:tcPr>
            <w:tcW w:w="931" w:type="dxa"/>
            <w:tcBorders>
              <w:top w:val="nil"/>
              <w:left w:val="nil"/>
              <w:bottom w:val="nil"/>
              <w:right w:val="nil"/>
            </w:tcBorders>
            <w:shd w:val="clear" w:color="auto" w:fill="auto"/>
            <w:noWrap/>
            <w:vAlign w:val="bottom"/>
            <w:hideMark/>
          </w:tcPr>
          <w:p w14:paraId="51EA2016"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16,012</w:t>
            </w:r>
          </w:p>
        </w:tc>
        <w:tc>
          <w:tcPr>
            <w:tcW w:w="931" w:type="dxa"/>
            <w:tcBorders>
              <w:top w:val="nil"/>
              <w:left w:val="nil"/>
              <w:bottom w:val="nil"/>
              <w:right w:val="nil"/>
            </w:tcBorders>
            <w:shd w:val="clear" w:color="auto" w:fill="auto"/>
            <w:noWrap/>
            <w:vAlign w:val="bottom"/>
            <w:hideMark/>
          </w:tcPr>
          <w:p w14:paraId="1DDDE049"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16,261</w:t>
            </w:r>
          </w:p>
        </w:tc>
        <w:tc>
          <w:tcPr>
            <w:tcW w:w="931" w:type="dxa"/>
            <w:tcBorders>
              <w:top w:val="nil"/>
              <w:left w:val="nil"/>
              <w:bottom w:val="nil"/>
              <w:right w:val="nil"/>
            </w:tcBorders>
            <w:shd w:val="clear" w:color="auto" w:fill="auto"/>
            <w:noWrap/>
            <w:vAlign w:val="bottom"/>
            <w:hideMark/>
          </w:tcPr>
          <w:p w14:paraId="63F20066"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16,729</w:t>
            </w:r>
          </w:p>
        </w:tc>
      </w:tr>
      <w:tr w:rsidR="00255841" w:rsidRPr="00255841" w14:paraId="3326C0B5" w14:textId="77777777" w:rsidTr="00255841">
        <w:trPr>
          <w:trHeight w:val="450"/>
          <w:jc w:val="center"/>
        </w:trPr>
        <w:tc>
          <w:tcPr>
            <w:tcW w:w="3051" w:type="dxa"/>
            <w:tcBorders>
              <w:top w:val="nil"/>
              <w:left w:val="nil"/>
              <w:bottom w:val="nil"/>
              <w:right w:val="nil"/>
            </w:tcBorders>
            <w:shd w:val="clear" w:color="auto" w:fill="auto"/>
            <w:vAlign w:val="bottom"/>
            <w:hideMark/>
          </w:tcPr>
          <w:p w14:paraId="44DA1856"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 xml:space="preserve">Sale of goods and rendering of </w:t>
            </w:r>
            <w:r w:rsidRPr="00255841">
              <w:rPr>
                <w:rFonts w:ascii="Arial" w:hAnsi="Arial" w:cs="Arial"/>
                <w:color w:val="000000"/>
                <w:sz w:val="16"/>
                <w:szCs w:val="16"/>
              </w:rPr>
              <w:br/>
              <w:t>services</w:t>
            </w:r>
          </w:p>
        </w:tc>
        <w:tc>
          <w:tcPr>
            <w:tcW w:w="926" w:type="dxa"/>
            <w:tcBorders>
              <w:top w:val="nil"/>
              <w:left w:val="nil"/>
              <w:bottom w:val="nil"/>
              <w:right w:val="nil"/>
            </w:tcBorders>
            <w:shd w:val="clear" w:color="auto" w:fill="auto"/>
            <w:noWrap/>
            <w:vAlign w:val="bottom"/>
            <w:hideMark/>
          </w:tcPr>
          <w:p w14:paraId="7DE47DD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222</w:t>
            </w:r>
          </w:p>
        </w:tc>
        <w:tc>
          <w:tcPr>
            <w:tcW w:w="930" w:type="dxa"/>
            <w:tcBorders>
              <w:top w:val="nil"/>
              <w:left w:val="nil"/>
              <w:bottom w:val="nil"/>
              <w:right w:val="nil"/>
            </w:tcBorders>
            <w:shd w:val="clear" w:color="000000" w:fill="D9D9D9"/>
            <w:noWrap/>
            <w:vAlign w:val="bottom"/>
            <w:hideMark/>
          </w:tcPr>
          <w:p w14:paraId="41BCC92B"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027E60A6"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454E749B"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6DDC2FE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r>
      <w:tr w:rsidR="00255841" w:rsidRPr="00255841" w14:paraId="085B14B9"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70BBA91B"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Net GST received</w:t>
            </w:r>
          </w:p>
        </w:tc>
        <w:tc>
          <w:tcPr>
            <w:tcW w:w="926" w:type="dxa"/>
            <w:tcBorders>
              <w:top w:val="nil"/>
              <w:left w:val="nil"/>
              <w:bottom w:val="nil"/>
              <w:right w:val="nil"/>
            </w:tcBorders>
            <w:shd w:val="clear" w:color="auto" w:fill="auto"/>
            <w:noWrap/>
            <w:vAlign w:val="bottom"/>
            <w:hideMark/>
          </w:tcPr>
          <w:p w14:paraId="6A536A57"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452</w:t>
            </w:r>
          </w:p>
        </w:tc>
        <w:tc>
          <w:tcPr>
            <w:tcW w:w="930" w:type="dxa"/>
            <w:tcBorders>
              <w:top w:val="nil"/>
              <w:left w:val="nil"/>
              <w:bottom w:val="nil"/>
              <w:right w:val="nil"/>
            </w:tcBorders>
            <w:shd w:val="clear" w:color="000000" w:fill="D9D9D9"/>
            <w:noWrap/>
            <w:vAlign w:val="bottom"/>
            <w:hideMark/>
          </w:tcPr>
          <w:p w14:paraId="1D237D6D"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469</w:t>
            </w:r>
          </w:p>
        </w:tc>
        <w:tc>
          <w:tcPr>
            <w:tcW w:w="931" w:type="dxa"/>
            <w:tcBorders>
              <w:top w:val="nil"/>
              <w:left w:val="nil"/>
              <w:bottom w:val="nil"/>
              <w:right w:val="nil"/>
            </w:tcBorders>
            <w:shd w:val="clear" w:color="auto" w:fill="auto"/>
            <w:noWrap/>
            <w:vAlign w:val="bottom"/>
            <w:hideMark/>
          </w:tcPr>
          <w:p w14:paraId="758F6EB3"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470</w:t>
            </w:r>
          </w:p>
        </w:tc>
        <w:tc>
          <w:tcPr>
            <w:tcW w:w="931" w:type="dxa"/>
            <w:tcBorders>
              <w:top w:val="nil"/>
              <w:left w:val="nil"/>
              <w:bottom w:val="nil"/>
              <w:right w:val="nil"/>
            </w:tcBorders>
            <w:shd w:val="clear" w:color="auto" w:fill="auto"/>
            <w:noWrap/>
            <w:vAlign w:val="bottom"/>
            <w:hideMark/>
          </w:tcPr>
          <w:p w14:paraId="1A96BA65"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470</w:t>
            </w:r>
          </w:p>
        </w:tc>
        <w:tc>
          <w:tcPr>
            <w:tcW w:w="931" w:type="dxa"/>
            <w:tcBorders>
              <w:top w:val="nil"/>
              <w:left w:val="nil"/>
              <w:bottom w:val="nil"/>
              <w:right w:val="nil"/>
            </w:tcBorders>
            <w:shd w:val="clear" w:color="auto" w:fill="auto"/>
            <w:noWrap/>
            <w:vAlign w:val="bottom"/>
            <w:hideMark/>
          </w:tcPr>
          <w:p w14:paraId="237987CA"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470</w:t>
            </w:r>
          </w:p>
        </w:tc>
      </w:tr>
      <w:tr w:rsidR="00255841" w:rsidRPr="00255841" w14:paraId="42623E06"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2936A37F" w14:textId="77777777" w:rsidR="00255841" w:rsidRPr="00255841" w:rsidRDefault="00255841" w:rsidP="00255841">
            <w:pPr>
              <w:spacing w:before="0" w:after="0" w:line="240" w:lineRule="auto"/>
              <w:ind w:leftChars="150" w:left="285"/>
              <w:rPr>
                <w:rFonts w:ascii="Arial" w:hAnsi="Arial" w:cs="Arial"/>
                <w:b/>
                <w:bCs/>
                <w:color w:val="000000"/>
                <w:sz w:val="16"/>
                <w:szCs w:val="16"/>
              </w:rPr>
            </w:pPr>
            <w:r w:rsidRPr="00255841">
              <w:rPr>
                <w:rFonts w:ascii="Arial" w:hAnsi="Arial" w:cs="Arial"/>
                <w:b/>
                <w:bCs/>
                <w:color w:val="000000"/>
                <w:sz w:val="16"/>
                <w:szCs w:val="16"/>
              </w:rPr>
              <w:t>Total cash received</w:t>
            </w:r>
          </w:p>
        </w:tc>
        <w:tc>
          <w:tcPr>
            <w:tcW w:w="926" w:type="dxa"/>
            <w:tcBorders>
              <w:top w:val="nil"/>
              <w:left w:val="nil"/>
              <w:bottom w:val="single" w:sz="4" w:space="0" w:color="auto"/>
              <w:right w:val="nil"/>
            </w:tcBorders>
            <w:shd w:val="clear" w:color="auto" w:fill="auto"/>
            <w:noWrap/>
            <w:vAlign w:val="bottom"/>
            <w:hideMark/>
          </w:tcPr>
          <w:p w14:paraId="302B1202"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10,406</w:t>
            </w:r>
          </w:p>
        </w:tc>
        <w:tc>
          <w:tcPr>
            <w:tcW w:w="930" w:type="dxa"/>
            <w:tcBorders>
              <w:top w:val="nil"/>
              <w:left w:val="nil"/>
              <w:bottom w:val="single" w:sz="4" w:space="0" w:color="auto"/>
              <w:right w:val="nil"/>
            </w:tcBorders>
            <w:shd w:val="clear" w:color="000000" w:fill="D9D9D9"/>
            <w:noWrap/>
            <w:vAlign w:val="bottom"/>
            <w:hideMark/>
          </w:tcPr>
          <w:p w14:paraId="7F5EAC84"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14,534</w:t>
            </w:r>
          </w:p>
        </w:tc>
        <w:tc>
          <w:tcPr>
            <w:tcW w:w="931" w:type="dxa"/>
            <w:tcBorders>
              <w:top w:val="nil"/>
              <w:left w:val="nil"/>
              <w:bottom w:val="single" w:sz="4" w:space="0" w:color="auto"/>
              <w:right w:val="nil"/>
            </w:tcBorders>
            <w:shd w:val="clear" w:color="auto" w:fill="auto"/>
            <w:noWrap/>
            <w:vAlign w:val="bottom"/>
            <w:hideMark/>
          </w:tcPr>
          <w:p w14:paraId="6E0D4354"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16,482</w:t>
            </w:r>
          </w:p>
        </w:tc>
        <w:tc>
          <w:tcPr>
            <w:tcW w:w="931" w:type="dxa"/>
            <w:tcBorders>
              <w:top w:val="nil"/>
              <w:left w:val="nil"/>
              <w:bottom w:val="single" w:sz="4" w:space="0" w:color="auto"/>
              <w:right w:val="nil"/>
            </w:tcBorders>
            <w:shd w:val="clear" w:color="auto" w:fill="auto"/>
            <w:noWrap/>
            <w:vAlign w:val="bottom"/>
            <w:hideMark/>
          </w:tcPr>
          <w:p w14:paraId="0DDCE5A1"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16,731</w:t>
            </w:r>
          </w:p>
        </w:tc>
        <w:tc>
          <w:tcPr>
            <w:tcW w:w="931" w:type="dxa"/>
            <w:tcBorders>
              <w:top w:val="nil"/>
              <w:left w:val="nil"/>
              <w:bottom w:val="single" w:sz="4" w:space="0" w:color="auto"/>
              <w:right w:val="nil"/>
            </w:tcBorders>
            <w:shd w:val="clear" w:color="auto" w:fill="auto"/>
            <w:noWrap/>
            <w:vAlign w:val="bottom"/>
            <w:hideMark/>
          </w:tcPr>
          <w:p w14:paraId="6E620B8E"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17,199</w:t>
            </w:r>
          </w:p>
        </w:tc>
      </w:tr>
      <w:tr w:rsidR="00255841" w:rsidRPr="00255841" w14:paraId="06D7CA49" w14:textId="77777777" w:rsidTr="00255841">
        <w:trPr>
          <w:trHeight w:val="300"/>
          <w:jc w:val="center"/>
        </w:trPr>
        <w:tc>
          <w:tcPr>
            <w:tcW w:w="3051" w:type="dxa"/>
            <w:tcBorders>
              <w:top w:val="nil"/>
              <w:left w:val="nil"/>
              <w:bottom w:val="nil"/>
              <w:right w:val="nil"/>
            </w:tcBorders>
            <w:shd w:val="clear" w:color="auto" w:fill="auto"/>
            <w:noWrap/>
            <w:vAlign w:val="bottom"/>
            <w:hideMark/>
          </w:tcPr>
          <w:p w14:paraId="4DF23456"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Cash used</w:t>
            </w:r>
          </w:p>
        </w:tc>
        <w:tc>
          <w:tcPr>
            <w:tcW w:w="926" w:type="dxa"/>
            <w:tcBorders>
              <w:top w:val="nil"/>
              <w:left w:val="nil"/>
              <w:bottom w:val="nil"/>
              <w:right w:val="nil"/>
            </w:tcBorders>
            <w:shd w:val="clear" w:color="auto" w:fill="auto"/>
            <w:noWrap/>
            <w:vAlign w:val="bottom"/>
            <w:hideMark/>
          </w:tcPr>
          <w:p w14:paraId="5FCE9E02" w14:textId="77777777" w:rsidR="00255841" w:rsidRPr="00255841" w:rsidRDefault="00255841" w:rsidP="00255841">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1490999B"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0A6191D9"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5C24F0B2"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1032C5B7"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4B6F9C83"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1F780CF7"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Employees</w:t>
            </w:r>
          </w:p>
        </w:tc>
        <w:tc>
          <w:tcPr>
            <w:tcW w:w="926" w:type="dxa"/>
            <w:tcBorders>
              <w:top w:val="nil"/>
              <w:left w:val="nil"/>
              <w:bottom w:val="nil"/>
              <w:right w:val="nil"/>
            </w:tcBorders>
            <w:shd w:val="clear" w:color="auto" w:fill="auto"/>
            <w:noWrap/>
            <w:vAlign w:val="bottom"/>
            <w:hideMark/>
          </w:tcPr>
          <w:p w14:paraId="5B962D4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4,644</w:t>
            </w:r>
          </w:p>
        </w:tc>
        <w:tc>
          <w:tcPr>
            <w:tcW w:w="930" w:type="dxa"/>
            <w:tcBorders>
              <w:top w:val="nil"/>
              <w:left w:val="nil"/>
              <w:bottom w:val="nil"/>
              <w:right w:val="nil"/>
            </w:tcBorders>
            <w:shd w:val="clear" w:color="000000" w:fill="D9D9D9"/>
            <w:noWrap/>
            <w:vAlign w:val="bottom"/>
            <w:hideMark/>
          </w:tcPr>
          <w:p w14:paraId="2B53FCEC"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5,270</w:t>
            </w:r>
          </w:p>
        </w:tc>
        <w:tc>
          <w:tcPr>
            <w:tcW w:w="931" w:type="dxa"/>
            <w:tcBorders>
              <w:top w:val="nil"/>
              <w:left w:val="nil"/>
              <w:bottom w:val="nil"/>
              <w:right w:val="nil"/>
            </w:tcBorders>
            <w:shd w:val="clear" w:color="auto" w:fill="auto"/>
            <w:noWrap/>
            <w:vAlign w:val="bottom"/>
            <w:hideMark/>
          </w:tcPr>
          <w:p w14:paraId="501AB470"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5,915</w:t>
            </w:r>
          </w:p>
        </w:tc>
        <w:tc>
          <w:tcPr>
            <w:tcW w:w="931" w:type="dxa"/>
            <w:tcBorders>
              <w:top w:val="nil"/>
              <w:left w:val="nil"/>
              <w:bottom w:val="nil"/>
              <w:right w:val="nil"/>
            </w:tcBorders>
            <w:shd w:val="clear" w:color="auto" w:fill="auto"/>
            <w:noWrap/>
            <w:vAlign w:val="bottom"/>
            <w:hideMark/>
          </w:tcPr>
          <w:p w14:paraId="2B890A33"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6,061</w:t>
            </w:r>
          </w:p>
        </w:tc>
        <w:tc>
          <w:tcPr>
            <w:tcW w:w="931" w:type="dxa"/>
            <w:tcBorders>
              <w:top w:val="nil"/>
              <w:left w:val="nil"/>
              <w:bottom w:val="nil"/>
              <w:right w:val="nil"/>
            </w:tcBorders>
            <w:shd w:val="clear" w:color="auto" w:fill="auto"/>
            <w:noWrap/>
            <w:vAlign w:val="bottom"/>
            <w:hideMark/>
          </w:tcPr>
          <w:p w14:paraId="43591461"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6,199</w:t>
            </w:r>
          </w:p>
        </w:tc>
      </w:tr>
      <w:tr w:rsidR="00255841" w:rsidRPr="00255841" w14:paraId="6505CFE3"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13D42E2D"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Suppliers</w:t>
            </w:r>
          </w:p>
        </w:tc>
        <w:tc>
          <w:tcPr>
            <w:tcW w:w="926" w:type="dxa"/>
            <w:tcBorders>
              <w:top w:val="nil"/>
              <w:left w:val="nil"/>
              <w:bottom w:val="nil"/>
              <w:right w:val="nil"/>
            </w:tcBorders>
            <w:shd w:val="clear" w:color="auto" w:fill="auto"/>
            <w:noWrap/>
            <w:vAlign w:val="bottom"/>
            <w:hideMark/>
          </w:tcPr>
          <w:p w14:paraId="4DFC2CFE" w14:textId="77777777" w:rsidR="00255841" w:rsidRPr="00255841" w:rsidRDefault="00255841" w:rsidP="00255841">
            <w:pPr>
              <w:spacing w:before="0" w:after="0" w:line="240" w:lineRule="auto"/>
              <w:jc w:val="right"/>
              <w:rPr>
                <w:rFonts w:ascii="Arial" w:hAnsi="Arial" w:cs="Arial"/>
                <w:sz w:val="16"/>
                <w:szCs w:val="16"/>
              </w:rPr>
            </w:pPr>
            <w:r w:rsidRPr="00255841">
              <w:rPr>
                <w:rFonts w:ascii="Arial" w:hAnsi="Arial" w:cs="Arial"/>
                <w:sz w:val="16"/>
                <w:szCs w:val="16"/>
              </w:rPr>
              <w:t>5,994</w:t>
            </w:r>
          </w:p>
        </w:tc>
        <w:tc>
          <w:tcPr>
            <w:tcW w:w="930" w:type="dxa"/>
            <w:tcBorders>
              <w:top w:val="nil"/>
              <w:left w:val="nil"/>
              <w:bottom w:val="nil"/>
              <w:right w:val="nil"/>
            </w:tcBorders>
            <w:shd w:val="clear" w:color="000000" w:fill="D9D9D9"/>
            <w:noWrap/>
            <w:vAlign w:val="bottom"/>
            <w:hideMark/>
          </w:tcPr>
          <w:p w14:paraId="5E56F266"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7,700</w:t>
            </w:r>
          </w:p>
        </w:tc>
        <w:tc>
          <w:tcPr>
            <w:tcW w:w="931" w:type="dxa"/>
            <w:tcBorders>
              <w:top w:val="nil"/>
              <w:left w:val="nil"/>
              <w:bottom w:val="nil"/>
              <w:right w:val="nil"/>
            </w:tcBorders>
            <w:shd w:val="clear" w:color="auto" w:fill="auto"/>
            <w:noWrap/>
            <w:vAlign w:val="bottom"/>
            <w:hideMark/>
          </w:tcPr>
          <w:p w14:paraId="489E22F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9,951</w:t>
            </w:r>
          </w:p>
        </w:tc>
        <w:tc>
          <w:tcPr>
            <w:tcW w:w="931" w:type="dxa"/>
            <w:tcBorders>
              <w:top w:val="nil"/>
              <w:left w:val="nil"/>
              <w:bottom w:val="nil"/>
              <w:right w:val="nil"/>
            </w:tcBorders>
            <w:shd w:val="clear" w:color="auto" w:fill="auto"/>
            <w:noWrap/>
            <w:vAlign w:val="bottom"/>
            <w:hideMark/>
          </w:tcPr>
          <w:p w14:paraId="75B178B6"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10,048</w:t>
            </w:r>
          </w:p>
        </w:tc>
        <w:tc>
          <w:tcPr>
            <w:tcW w:w="931" w:type="dxa"/>
            <w:tcBorders>
              <w:top w:val="nil"/>
              <w:left w:val="nil"/>
              <w:bottom w:val="nil"/>
              <w:right w:val="nil"/>
            </w:tcBorders>
            <w:shd w:val="clear" w:color="auto" w:fill="auto"/>
            <w:noWrap/>
            <w:vAlign w:val="bottom"/>
            <w:hideMark/>
          </w:tcPr>
          <w:p w14:paraId="3470C36C"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10,372</w:t>
            </w:r>
          </w:p>
        </w:tc>
      </w:tr>
      <w:tr w:rsidR="00255841" w:rsidRPr="00255841" w14:paraId="32D78493"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2B052683"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Interest payments on lease liability</w:t>
            </w:r>
          </w:p>
        </w:tc>
        <w:tc>
          <w:tcPr>
            <w:tcW w:w="926" w:type="dxa"/>
            <w:tcBorders>
              <w:top w:val="nil"/>
              <w:left w:val="nil"/>
              <w:bottom w:val="nil"/>
              <w:right w:val="nil"/>
            </w:tcBorders>
            <w:shd w:val="clear" w:color="auto" w:fill="auto"/>
            <w:noWrap/>
            <w:vAlign w:val="bottom"/>
            <w:hideMark/>
          </w:tcPr>
          <w:p w14:paraId="7FA32A68" w14:textId="77777777" w:rsidR="00255841" w:rsidRPr="00255841" w:rsidRDefault="00255841" w:rsidP="00255841">
            <w:pPr>
              <w:spacing w:before="0" w:after="0" w:line="240" w:lineRule="auto"/>
              <w:jc w:val="right"/>
              <w:rPr>
                <w:rFonts w:ascii="Arial" w:hAnsi="Arial" w:cs="Arial"/>
                <w:sz w:val="16"/>
                <w:szCs w:val="16"/>
              </w:rPr>
            </w:pPr>
            <w:r w:rsidRPr="00255841">
              <w:rPr>
                <w:rFonts w:ascii="Arial" w:hAnsi="Arial" w:cs="Arial"/>
                <w:sz w:val="16"/>
                <w:szCs w:val="16"/>
              </w:rPr>
              <w:t>10</w:t>
            </w:r>
          </w:p>
        </w:tc>
        <w:tc>
          <w:tcPr>
            <w:tcW w:w="930" w:type="dxa"/>
            <w:tcBorders>
              <w:top w:val="nil"/>
              <w:left w:val="nil"/>
              <w:bottom w:val="nil"/>
              <w:right w:val="nil"/>
            </w:tcBorders>
            <w:shd w:val="clear" w:color="000000" w:fill="D9D9D9"/>
            <w:noWrap/>
            <w:vAlign w:val="bottom"/>
            <w:hideMark/>
          </w:tcPr>
          <w:p w14:paraId="319EC82D"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101</w:t>
            </w:r>
          </w:p>
        </w:tc>
        <w:tc>
          <w:tcPr>
            <w:tcW w:w="931" w:type="dxa"/>
            <w:tcBorders>
              <w:top w:val="nil"/>
              <w:left w:val="nil"/>
              <w:bottom w:val="nil"/>
              <w:right w:val="nil"/>
            </w:tcBorders>
            <w:shd w:val="clear" w:color="auto" w:fill="auto"/>
            <w:noWrap/>
            <w:vAlign w:val="bottom"/>
            <w:hideMark/>
          </w:tcPr>
          <w:p w14:paraId="33722B82"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88</w:t>
            </w:r>
          </w:p>
        </w:tc>
        <w:tc>
          <w:tcPr>
            <w:tcW w:w="931" w:type="dxa"/>
            <w:tcBorders>
              <w:top w:val="nil"/>
              <w:left w:val="nil"/>
              <w:bottom w:val="nil"/>
              <w:right w:val="nil"/>
            </w:tcBorders>
            <w:shd w:val="clear" w:color="auto" w:fill="auto"/>
            <w:noWrap/>
            <w:vAlign w:val="bottom"/>
            <w:hideMark/>
          </w:tcPr>
          <w:p w14:paraId="3DFBE6CE"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74</w:t>
            </w:r>
          </w:p>
        </w:tc>
        <w:tc>
          <w:tcPr>
            <w:tcW w:w="931" w:type="dxa"/>
            <w:tcBorders>
              <w:top w:val="nil"/>
              <w:left w:val="nil"/>
              <w:bottom w:val="nil"/>
              <w:right w:val="nil"/>
            </w:tcBorders>
            <w:shd w:val="clear" w:color="auto" w:fill="auto"/>
            <w:noWrap/>
            <w:vAlign w:val="bottom"/>
            <w:hideMark/>
          </w:tcPr>
          <w:p w14:paraId="03D238BE"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59</w:t>
            </w:r>
          </w:p>
        </w:tc>
      </w:tr>
      <w:tr w:rsidR="00255841" w:rsidRPr="00255841" w14:paraId="129138D5" w14:textId="77777777" w:rsidTr="00255841">
        <w:trPr>
          <w:trHeight w:val="225"/>
          <w:jc w:val="center"/>
        </w:trPr>
        <w:tc>
          <w:tcPr>
            <w:tcW w:w="3051" w:type="dxa"/>
            <w:tcBorders>
              <w:top w:val="nil"/>
              <w:left w:val="nil"/>
              <w:bottom w:val="nil"/>
              <w:right w:val="nil"/>
            </w:tcBorders>
            <w:shd w:val="clear" w:color="auto" w:fill="auto"/>
            <w:vAlign w:val="bottom"/>
            <w:hideMark/>
          </w:tcPr>
          <w:p w14:paraId="1105D40C"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Cash to the OPA</w:t>
            </w:r>
          </w:p>
        </w:tc>
        <w:tc>
          <w:tcPr>
            <w:tcW w:w="926" w:type="dxa"/>
            <w:tcBorders>
              <w:top w:val="nil"/>
              <w:left w:val="nil"/>
              <w:bottom w:val="nil"/>
              <w:right w:val="nil"/>
            </w:tcBorders>
            <w:shd w:val="clear" w:color="auto" w:fill="auto"/>
            <w:noWrap/>
            <w:vAlign w:val="bottom"/>
            <w:hideMark/>
          </w:tcPr>
          <w:p w14:paraId="27A47F44" w14:textId="77777777" w:rsidR="00255841" w:rsidRPr="00255841" w:rsidRDefault="00255841" w:rsidP="00255841">
            <w:pPr>
              <w:spacing w:before="0" w:after="0" w:line="240" w:lineRule="auto"/>
              <w:jc w:val="right"/>
              <w:rPr>
                <w:rFonts w:ascii="Arial" w:hAnsi="Arial" w:cs="Arial"/>
                <w:sz w:val="16"/>
                <w:szCs w:val="16"/>
              </w:rPr>
            </w:pPr>
            <w:r w:rsidRPr="00255841">
              <w:rPr>
                <w:rFonts w:ascii="Arial" w:hAnsi="Arial" w:cs="Arial"/>
                <w:sz w:val="16"/>
                <w:szCs w:val="16"/>
              </w:rPr>
              <w:t>213</w:t>
            </w:r>
          </w:p>
        </w:tc>
        <w:tc>
          <w:tcPr>
            <w:tcW w:w="930" w:type="dxa"/>
            <w:tcBorders>
              <w:top w:val="nil"/>
              <w:left w:val="nil"/>
              <w:bottom w:val="nil"/>
              <w:right w:val="nil"/>
            </w:tcBorders>
            <w:shd w:val="clear" w:color="000000" w:fill="D9D9D9"/>
            <w:noWrap/>
            <w:vAlign w:val="bottom"/>
            <w:hideMark/>
          </w:tcPr>
          <w:p w14:paraId="6CB3224D"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2F37D291"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0B95E26A"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c>
          <w:tcPr>
            <w:tcW w:w="931" w:type="dxa"/>
            <w:tcBorders>
              <w:top w:val="nil"/>
              <w:left w:val="nil"/>
              <w:bottom w:val="nil"/>
              <w:right w:val="nil"/>
            </w:tcBorders>
            <w:shd w:val="clear" w:color="auto" w:fill="auto"/>
            <w:noWrap/>
            <w:vAlign w:val="bottom"/>
            <w:hideMark/>
          </w:tcPr>
          <w:p w14:paraId="101BB8E7"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w:t>
            </w:r>
          </w:p>
        </w:tc>
      </w:tr>
      <w:tr w:rsidR="00255841" w:rsidRPr="00255841" w14:paraId="71BBE3D9"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683DFEB8" w14:textId="77777777" w:rsidR="00255841" w:rsidRPr="00255841" w:rsidRDefault="00255841" w:rsidP="00255841">
            <w:pPr>
              <w:spacing w:before="0" w:after="0" w:line="240" w:lineRule="auto"/>
              <w:ind w:leftChars="150" w:left="285"/>
              <w:rPr>
                <w:rFonts w:ascii="Arial" w:hAnsi="Arial" w:cs="Arial"/>
                <w:b/>
                <w:bCs/>
                <w:color w:val="000000"/>
                <w:sz w:val="16"/>
                <w:szCs w:val="16"/>
              </w:rPr>
            </w:pPr>
            <w:r w:rsidRPr="00255841">
              <w:rPr>
                <w:rFonts w:ascii="Arial" w:hAnsi="Arial" w:cs="Arial"/>
                <w:b/>
                <w:bCs/>
                <w:color w:val="000000"/>
                <w:sz w:val="16"/>
                <w:szCs w:val="16"/>
              </w:rPr>
              <w:t>Total cash used</w:t>
            </w:r>
          </w:p>
        </w:tc>
        <w:tc>
          <w:tcPr>
            <w:tcW w:w="926" w:type="dxa"/>
            <w:tcBorders>
              <w:top w:val="nil"/>
              <w:left w:val="nil"/>
              <w:bottom w:val="single" w:sz="4" w:space="0" w:color="auto"/>
              <w:right w:val="nil"/>
            </w:tcBorders>
            <w:shd w:val="clear" w:color="auto" w:fill="auto"/>
            <w:noWrap/>
            <w:vAlign w:val="bottom"/>
            <w:hideMark/>
          </w:tcPr>
          <w:p w14:paraId="2D61D3A7"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10,861</w:t>
            </w:r>
          </w:p>
        </w:tc>
        <w:tc>
          <w:tcPr>
            <w:tcW w:w="930" w:type="dxa"/>
            <w:tcBorders>
              <w:top w:val="nil"/>
              <w:left w:val="nil"/>
              <w:bottom w:val="single" w:sz="4" w:space="0" w:color="auto"/>
              <w:right w:val="nil"/>
            </w:tcBorders>
            <w:shd w:val="clear" w:color="000000" w:fill="D9D9D9"/>
            <w:noWrap/>
            <w:vAlign w:val="bottom"/>
            <w:hideMark/>
          </w:tcPr>
          <w:p w14:paraId="1D017C58"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13,071</w:t>
            </w:r>
          </w:p>
        </w:tc>
        <w:tc>
          <w:tcPr>
            <w:tcW w:w="931" w:type="dxa"/>
            <w:tcBorders>
              <w:top w:val="nil"/>
              <w:left w:val="nil"/>
              <w:bottom w:val="single" w:sz="4" w:space="0" w:color="auto"/>
              <w:right w:val="nil"/>
            </w:tcBorders>
            <w:shd w:val="clear" w:color="auto" w:fill="auto"/>
            <w:noWrap/>
            <w:vAlign w:val="bottom"/>
            <w:hideMark/>
          </w:tcPr>
          <w:p w14:paraId="5D0C0B2B"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15,954</w:t>
            </w:r>
          </w:p>
        </w:tc>
        <w:tc>
          <w:tcPr>
            <w:tcW w:w="931" w:type="dxa"/>
            <w:tcBorders>
              <w:top w:val="nil"/>
              <w:left w:val="nil"/>
              <w:bottom w:val="single" w:sz="4" w:space="0" w:color="auto"/>
              <w:right w:val="nil"/>
            </w:tcBorders>
            <w:shd w:val="clear" w:color="auto" w:fill="auto"/>
            <w:noWrap/>
            <w:vAlign w:val="bottom"/>
            <w:hideMark/>
          </w:tcPr>
          <w:p w14:paraId="32154A3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16,183</w:t>
            </w:r>
          </w:p>
        </w:tc>
        <w:tc>
          <w:tcPr>
            <w:tcW w:w="931" w:type="dxa"/>
            <w:tcBorders>
              <w:top w:val="nil"/>
              <w:left w:val="nil"/>
              <w:bottom w:val="single" w:sz="4" w:space="0" w:color="auto"/>
              <w:right w:val="nil"/>
            </w:tcBorders>
            <w:shd w:val="clear" w:color="auto" w:fill="auto"/>
            <w:noWrap/>
            <w:vAlign w:val="bottom"/>
            <w:hideMark/>
          </w:tcPr>
          <w:p w14:paraId="75CDC2E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16,630</w:t>
            </w:r>
          </w:p>
        </w:tc>
      </w:tr>
      <w:tr w:rsidR="00255841" w:rsidRPr="00255841" w14:paraId="598E87F9" w14:textId="77777777" w:rsidTr="00255841">
        <w:trPr>
          <w:trHeight w:val="450"/>
          <w:jc w:val="center"/>
        </w:trPr>
        <w:tc>
          <w:tcPr>
            <w:tcW w:w="3051" w:type="dxa"/>
            <w:tcBorders>
              <w:top w:val="nil"/>
              <w:left w:val="nil"/>
              <w:bottom w:val="nil"/>
              <w:right w:val="nil"/>
            </w:tcBorders>
            <w:shd w:val="clear" w:color="auto" w:fill="auto"/>
            <w:vAlign w:val="bottom"/>
            <w:hideMark/>
          </w:tcPr>
          <w:p w14:paraId="5020EF72"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Net cash from (or used by) operating activities</w:t>
            </w:r>
          </w:p>
        </w:tc>
        <w:tc>
          <w:tcPr>
            <w:tcW w:w="926" w:type="dxa"/>
            <w:tcBorders>
              <w:top w:val="nil"/>
              <w:left w:val="nil"/>
              <w:bottom w:val="single" w:sz="4" w:space="0" w:color="auto"/>
              <w:right w:val="nil"/>
            </w:tcBorders>
            <w:shd w:val="clear" w:color="auto" w:fill="auto"/>
            <w:noWrap/>
            <w:vAlign w:val="bottom"/>
            <w:hideMark/>
          </w:tcPr>
          <w:p w14:paraId="1A8ECCBF"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(455)</w:t>
            </w:r>
          </w:p>
        </w:tc>
        <w:tc>
          <w:tcPr>
            <w:tcW w:w="930" w:type="dxa"/>
            <w:tcBorders>
              <w:top w:val="nil"/>
              <w:left w:val="nil"/>
              <w:bottom w:val="single" w:sz="4" w:space="0" w:color="auto"/>
              <w:right w:val="nil"/>
            </w:tcBorders>
            <w:shd w:val="clear" w:color="000000" w:fill="D9D9D9"/>
            <w:noWrap/>
            <w:vAlign w:val="bottom"/>
            <w:hideMark/>
          </w:tcPr>
          <w:p w14:paraId="7351772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1,463</w:t>
            </w:r>
          </w:p>
        </w:tc>
        <w:tc>
          <w:tcPr>
            <w:tcW w:w="931" w:type="dxa"/>
            <w:tcBorders>
              <w:top w:val="nil"/>
              <w:left w:val="nil"/>
              <w:bottom w:val="single" w:sz="4" w:space="0" w:color="auto"/>
              <w:right w:val="nil"/>
            </w:tcBorders>
            <w:shd w:val="clear" w:color="auto" w:fill="auto"/>
            <w:noWrap/>
            <w:vAlign w:val="bottom"/>
            <w:hideMark/>
          </w:tcPr>
          <w:p w14:paraId="1755F79B"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528</w:t>
            </w:r>
          </w:p>
        </w:tc>
        <w:tc>
          <w:tcPr>
            <w:tcW w:w="931" w:type="dxa"/>
            <w:tcBorders>
              <w:top w:val="nil"/>
              <w:left w:val="nil"/>
              <w:bottom w:val="single" w:sz="4" w:space="0" w:color="auto"/>
              <w:right w:val="nil"/>
            </w:tcBorders>
            <w:shd w:val="clear" w:color="auto" w:fill="auto"/>
            <w:noWrap/>
            <w:vAlign w:val="bottom"/>
            <w:hideMark/>
          </w:tcPr>
          <w:p w14:paraId="5808AB55"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548</w:t>
            </w:r>
          </w:p>
        </w:tc>
        <w:tc>
          <w:tcPr>
            <w:tcW w:w="931" w:type="dxa"/>
            <w:tcBorders>
              <w:top w:val="nil"/>
              <w:left w:val="nil"/>
              <w:bottom w:val="single" w:sz="4" w:space="0" w:color="auto"/>
              <w:right w:val="nil"/>
            </w:tcBorders>
            <w:shd w:val="clear" w:color="auto" w:fill="auto"/>
            <w:noWrap/>
            <w:vAlign w:val="bottom"/>
            <w:hideMark/>
          </w:tcPr>
          <w:p w14:paraId="5FA1B44B"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569</w:t>
            </w:r>
          </w:p>
        </w:tc>
      </w:tr>
      <w:tr w:rsidR="00255841" w:rsidRPr="00255841" w14:paraId="2A2455FD" w14:textId="77777777" w:rsidTr="00255841">
        <w:trPr>
          <w:trHeight w:val="300"/>
          <w:jc w:val="center"/>
        </w:trPr>
        <w:tc>
          <w:tcPr>
            <w:tcW w:w="3051" w:type="dxa"/>
            <w:tcBorders>
              <w:top w:val="nil"/>
              <w:left w:val="nil"/>
              <w:bottom w:val="nil"/>
              <w:right w:val="nil"/>
            </w:tcBorders>
            <w:shd w:val="clear" w:color="auto" w:fill="auto"/>
            <w:noWrap/>
            <w:vAlign w:val="bottom"/>
            <w:hideMark/>
          </w:tcPr>
          <w:p w14:paraId="4C03366B" w14:textId="77777777" w:rsidR="00255841" w:rsidRPr="00255841" w:rsidRDefault="00255841" w:rsidP="00255841">
            <w:pPr>
              <w:spacing w:before="0" w:after="0" w:line="240" w:lineRule="auto"/>
              <w:rPr>
                <w:rFonts w:ascii="Arial" w:hAnsi="Arial" w:cs="Arial"/>
                <w:b/>
                <w:bCs/>
                <w:color w:val="000000"/>
                <w:sz w:val="16"/>
                <w:szCs w:val="16"/>
              </w:rPr>
            </w:pPr>
            <w:r w:rsidRPr="00255841">
              <w:rPr>
                <w:rFonts w:ascii="Arial" w:hAnsi="Arial" w:cs="Arial"/>
                <w:b/>
                <w:bCs/>
                <w:color w:val="000000"/>
                <w:sz w:val="16"/>
                <w:szCs w:val="16"/>
              </w:rPr>
              <w:t>INVESTING ACTIVITIES</w:t>
            </w:r>
          </w:p>
        </w:tc>
        <w:tc>
          <w:tcPr>
            <w:tcW w:w="926" w:type="dxa"/>
            <w:tcBorders>
              <w:top w:val="nil"/>
              <w:left w:val="nil"/>
              <w:bottom w:val="nil"/>
              <w:right w:val="nil"/>
            </w:tcBorders>
            <w:shd w:val="clear" w:color="auto" w:fill="auto"/>
            <w:noWrap/>
            <w:vAlign w:val="bottom"/>
            <w:hideMark/>
          </w:tcPr>
          <w:p w14:paraId="324B9458" w14:textId="77777777" w:rsidR="00255841" w:rsidRPr="00255841" w:rsidRDefault="00255841" w:rsidP="00255841">
            <w:pPr>
              <w:spacing w:before="0" w:after="0" w:line="240" w:lineRule="auto"/>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1886B5E9"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02FD5921"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4C510447"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5B1E07F6"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6D48B457"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4F039AC8"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Cash used</w:t>
            </w:r>
          </w:p>
        </w:tc>
        <w:tc>
          <w:tcPr>
            <w:tcW w:w="926" w:type="dxa"/>
            <w:tcBorders>
              <w:top w:val="nil"/>
              <w:left w:val="nil"/>
              <w:bottom w:val="nil"/>
              <w:right w:val="nil"/>
            </w:tcBorders>
            <w:shd w:val="clear" w:color="auto" w:fill="auto"/>
            <w:noWrap/>
            <w:vAlign w:val="bottom"/>
            <w:hideMark/>
          </w:tcPr>
          <w:p w14:paraId="5855DC9F" w14:textId="77777777" w:rsidR="00255841" w:rsidRPr="00255841" w:rsidRDefault="00255841" w:rsidP="00255841">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70FDA42A"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4D8FC862"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20072B73"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4E1A9811"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2E2E14B6" w14:textId="77777777" w:rsidTr="00255841">
        <w:trPr>
          <w:trHeight w:val="450"/>
          <w:jc w:val="center"/>
        </w:trPr>
        <w:tc>
          <w:tcPr>
            <w:tcW w:w="3051" w:type="dxa"/>
            <w:tcBorders>
              <w:top w:val="nil"/>
              <w:left w:val="nil"/>
              <w:bottom w:val="nil"/>
              <w:right w:val="nil"/>
            </w:tcBorders>
            <w:shd w:val="clear" w:color="auto" w:fill="auto"/>
            <w:vAlign w:val="bottom"/>
            <w:hideMark/>
          </w:tcPr>
          <w:p w14:paraId="193B6A97" w14:textId="77777777" w:rsidR="00255841" w:rsidRPr="00255841" w:rsidRDefault="00255841" w:rsidP="00255841">
            <w:pPr>
              <w:spacing w:before="0" w:after="0" w:line="240" w:lineRule="auto"/>
              <w:ind w:leftChars="150" w:left="285"/>
              <w:rPr>
                <w:rFonts w:ascii="Arial" w:hAnsi="Arial" w:cs="Arial"/>
                <w:color w:val="000000"/>
                <w:sz w:val="16"/>
                <w:szCs w:val="16"/>
              </w:rPr>
            </w:pPr>
            <w:r w:rsidRPr="00255841">
              <w:rPr>
                <w:rFonts w:ascii="Arial" w:hAnsi="Arial" w:cs="Arial"/>
                <w:color w:val="000000"/>
                <w:sz w:val="16"/>
                <w:szCs w:val="16"/>
              </w:rPr>
              <w:t xml:space="preserve">Purchase of property, </w:t>
            </w:r>
            <w:proofErr w:type="gramStart"/>
            <w:r w:rsidRPr="00255841">
              <w:rPr>
                <w:rFonts w:ascii="Arial" w:hAnsi="Arial" w:cs="Arial"/>
                <w:color w:val="000000"/>
                <w:sz w:val="16"/>
                <w:szCs w:val="16"/>
              </w:rPr>
              <w:t>plant</w:t>
            </w:r>
            <w:proofErr w:type="gramEnd"/>
            <w:r w:rsidRPr="00255841">
              <w:rPr>
                <w:rFonts w:ascii="Arial" w:hAnsi="Arial" w:cs="Arial"/>
                <w:color w:val="000000"/>
                <w:sz w:val="16"/>
                <w:szCs w:val="16"/>
              </w:rPr>
              <w:t xml:space="preserve"> and equipment</w:t>
            </w:r>
          </w:p>
        </w:tc>
        <w:tc>
          <w:tcPr>
            <w:tcW w:w="926" w:type="dxa"/>
            <w:tcBorders>
              <w:top w:val="nil"/>
              <w:left w:val="nil"/>
              <w:bottom w:val="nil"/>
              <w:right w:val="nil"/>
            </w:tcBorders>
            <w:shd w:val="clear" w:color="auto" w:fill="auto"/>
            <w:noWrap/>
            <w:vAlign w:val="bottom"/>
            <w:hideMark/>
          </w:tcPr>
          <w:p w14:paraId="1774D56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98</w:t>
            </w:r>
          </w:p>
        </w:tc>
        <w:tc>
          <w:tcPr>
            <w:tcW w:w="930" w:type="dxa"/>
            <w:tcBorders>
              <w:top w:val="nil"/>
              <w:left w:val="nil"/>
              <w:bottom w:val="nil"/>
              <w:right w:val="nil"/>
            </w:tcBorders>
            <w:shd w:val="clear" w:color="000000" w:fill="D9D9D9"/>
            <w:noWrap/>
            <w:vAlign w:val="bottom"/>
            <w:hideMark/>
          </w:tcPr>
          <w:p w14:paraId="782CCE19"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3,573</w:t>
            </w:r>
          </w:p>
        </w:tc>
        <w:tc>
          <w:tcPr>
            <w:tcW w:w="931" w:type="dxa"/>
            <w:tcBorders>
              <w:top w:val="nil"/>
              <w:left w:val="nil"/>
              <w:bottom w:val="nil"/>
              <w:right w:val="nil"/>
            </w:tcBorders>
            <w:shd w:val="clear" w:color="auto" w:fill="auto"/>
            <w:noWrap/>
            <w:vAlign w:val="bottom"/>
            <w:hideMark/>
          </w:tcPr>
          <w:p w14:paraId="69EB9FEC"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246</w:t>
            </w:r>
          </w:p>
        </w:tc>
        <w:tc>
          <w:tcPr>
            <w:tcW w:w="931" w:type="dxa"/>
            <w:tcBorders>
              <w:top w:val="nil"/>
              <w:left w:val="nil"/>
              <w:bottom w:val="nil"/>
              <w:right w:val="nil"/>
            </w:tcBorders>
            <w:shd w:val="clear" w:color="auto" w:fill="auto"/>
            <w:noWrap/>
            <w:vAlign w:val="bottom"/>
            <w:hideMark/>
          </w:tcPr>
          <w:p w14:paraId="0F6310E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246</w:t>
            </w:r>
          </w:p>
        </w:tc>
        <w:tc>
          <w:tcPr>
            <w:tcW w:w="931" w:type="dxa"/>
            <w:tcBorders>
              <w:top w:val="nil"/>
              <w:left w:val="nil"/>
              <w:bottom w:val="nil"/>
              <w:right w:val="nil"/>
            </w:tcBorders>
            <w:shd w:val="clear" w:color="auto" w:fill="auto"/>
            <w:noWrap/>
            <w:vAlign w:val="bottom"/>
            <w:hideMark/>
          </w:tcPr>
          <w:p w14:paraId="668C448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248</w:t>
            </w:r>
          </w:p>
        </w:tc>
      </w:tr>
      <w:tr w:rsidR="00255841" w:rsidRPr="00255841" w14:paraId="21A6FC21"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38DD54E5" w14:textId="77777777" w:rsidR="00255841" w:rsidRPr="00255841" w:rsidRDefault="00255841" w:rsidP="00255841">
            <w:pPr>
              <w:spacing w:before="0" w:after="0" w:line="240" w:lineRule="auto"/>
              <w:ind w:leftChars="150" w:left="285"/>
              <w:rPr>
                <w:rFonts w:ascii="Arial" w:hAnsi="Arial" w:cs="Arial"/>
                <w:b/>
                <w:bCs/>
                <w:color w:val="000000"/>
                <w:sz w:val="16"/>
                <w:szCs w:val="16"/>
              </w:rPr>
            </w:pPr>
            <w:r w:rsidRPr="00255841">
              <w:rPr>
                <w:rFonts w:ascii="Arial" w:hAnsi="Arial" w:cs="Arial"/>
                <w:b/>
                <w:bCs/>
                <w:color w:val="000000"/>
                <w:sz w:val="16"/>
                <w:szCs w:val="16"/>
              </w:rPr>
              <w:t>Total cash used</w:t>
            </w:r>
          </w:p>
        </w:tc>
        <w:tc>
          <w:tcPr>
            <w:tcW w:w="926" w:type="dxa"/>
            <w:tcBorders>
              <w:top w:val="nil"/>
              <w:left w:val="nil"/>
              <w:bottom w:val="single" w:sz="4" w:space="0" w:color="auto"/>
              <w:right w:val="nil"/>
            </w:tcBorders>
            <w:shd w:val="clear" w:color="auto" w:fill="auto"/>
            <w:noWrap/>
            <w:vAlign w:val="bottom"/>
            <w:hideMark/>
          </w:tcPr>
          <w:p w14:paraId="1E0EB9AC"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98</w:t>
            </w:r>
          </w:p>
        </w:tc>
        <w:tc>
          <w:tcPr>
            <w:tcW w:w="930" w:type="dxa"/>
            <w:tcBorders>
              <w:top w:val="nil"/>
              <w:left w:val="nil"/>
              <w:bottom w:val="single" w:sz="4" w:space="0" w:color="auto"/>
              <w:right w:val="nil"/>
            </w:tcBorders>
            <w:shd w:val="clear" w:color="000000" w:fill="D9D9D9"/>
            <w:noWrap/>
            <w:vAlign w:val="bottom"/>
            <w:hideMark/>
          </w:tcPr>
          <w:p w14:paraId="35F5C537"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3,573</w:t>
            </w:r>
          </w:p>
        </w:tc>
        <w:tc>
          <w:tcPr>
            <w:tcW w:w="931" w:type="dxa"/>
            <w:tcBorders>
              <w:top w:val="nil"/>
              <w:left w:val="nil"/>
              <w:bottom w:val="single" w:sz="4" w:space="0" w:color="auto"/>
              <w:right w:val="nil"/>
            </w:tcBorders>
            <w:shd w:val="clear" w:color="auto" w:fill="auto"/>
            <w:noWrap/>
            <w:vAlign w:val="bottom"/>
            <w:hideMark/>
          </w:tcPr>
          <w:p w14:paraId="309B9EA1"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246</w:t>
            </w:r>
          </w:p>
        </w:tc>
        <w:tc>
          <w:tcPr>
            <w:tcW w:w="931" w:type="dxa"/>
            <w:tcBorders>
              <w:top w:val="nil"/>
              <w:left w:val="nil"/>
              <w:bottom w:val="single" w:sz="4" w:space="0" w:color="auto"/>
              <w:right w:val="nil"/>
            </w:tcBorders>
            <w:shd w:val="clear" w:color="auto" w:fill="auto"/>
            <w:noWrap/>
            <w:vAlign w:val="bottom"/>
            <w:hideMark/>
          </w:tcPr>
          <w:p w14:paraId="5D21638C"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246</w:t>
            </w:r>
          </w:p>
        </w:tc>
        <w:tc>
          <w:tcPr>
            <w:tcW w:w="931" w:type="dxa"/>
            <w:tcBorders>
              <w:top w:val="nil"/>
              <w:left w:val="nil"/>
              <w:bottom w:val="single" w:sz="4" w:space="0" w:color="auto"/>
              <w:right w:val="nil"/>
            </w:tcBorders>
            <w:shd w:val="clear" w:color="auto" w:fill="auto"/>
            <w:noWrap/>
            <w:vAlign w:val="bottom"/>
            <w:hideMark/>
          </w:tcPr>
          <w:p w14:paraId="64F4E2A0"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248</w:t>
            </w:r>
          </w:p>
        </w:tc>
      </w:tr>
      <w:tr w:rsidR="00255841" w:rsidRPr="00255841" w14:paraId="15239623" w14:textId="77777777" w:rsidTr="00255841">
        <w:trPr>
          <w:trHeight w:val="480"/>
          <w:jc w:val="center"/>
        </w:trPr>
        <w:tc>
          <w:tcPr>
            <w:tcW w:w="3051" w:type="dxa"/>
            <w:tcBorders>
              <w:top w:val="nil"/>
              <w:left w:val="nil"/>
              <w:bottom w:val="nil"/>
              <w:right w:val="nil"/>
            </w:tcBorders>
            <w:shd w:val="clear" w:color="auto" w:fill="auto"/>
            <w:vAlign w:val="bottom"/>
            <w:hideMark/>
          </w:tcPr>
          <w:p w14:paraId="1E2335F6"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Net cash from (or used by) investing activities</w:t>
            </w:r>
          </w:p>
        </w:tc>
        <w:tc>
          <w:tcPr>
            <w:tcW w:w="926" w:type="dxa"/>
            <w:tcBorders>
              <w:top w:val="nil"/>
              <w:left w:val="nil"/>
              <w:bottom w:val="single" w:sz="4" w:space="0" w:color="auto"/>
              <w:right w:val="nil"/>
            </w:tcBorders>
            <w:shd w:val="clear" w:color="auto" w:fill="auto"/>
            <w:noWrap/>
            <w:vAlign w:val="bottom"/>
            <w:hideMark/>
          </w:tcPr>
          <w:p w14:paraId="47D9EC25"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(98)</w:t>
            </w:r>
          </w:p>
        </w:tc>
        <w:tc>
          <w:tcPr>
            <w:tcW w:w="930" w:type="dxa"/>
            <w:tcBorders>
              <w:top w:val="nil"/>
              <w:left w:val="nil"/>
              <w:bottom w:val="single" w:sz="4" w:space="0" w:color="auto"/>
              <w:right w:val="nil"/>
            </w:tcBorders>
            <w:shd w:val="clear" w:color="000000" w:fill="D9D9D9"/>
            <w:noWrap/>
            <w:vAlign w:val="bottom"/>
            <w:hideMark/>
          </w:tcPr>
          <w:p w14:paraId="0E450FC0"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(3,573)</w:t>
            </w:r>
          </w:p>
        </w:tc>
        <w:tc>
          <w:tcPr>
            <w:tcW w:w="931" w:type="dxa"/>
            <w:tcBorders>
              <w:top w:val="nil"/>
              <w:left w:val="nil"/>
              <w:bottom w:val="single" w:sz="4" w:space="0" w:color="auto"/>
              <w:right w:val="nil"/>
            </w:tcBorders>
            <w:shd w:val="clear" w:color="auto" w:fill="auto"/>
            <w:noWrap/>
            <w:vAlign w:val="bottom"/>
            <w:hideMark/>
          </w:tcPr>
          <w:p w14:paraId="0A79F718"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(246)</w:t>
            </w:r>
          </w:p>
        </w:tc>
        <w:tc>
          <w:tcPr>
            <w:tcW w:w="931" w:type="dxa"/>
            <w:tcBorders>
              <w:top w:val="nil"/>
              <w:left w:val="nil"/>
              <w:bottom w:val="single" w:sz="4" w:space="0" w:color="auto"/>
              <w:right w:val="nil"/>
            </w:tcBorders>
            <w:shd w:val="clear" w:color="auto" w:fill="auto"/>
            <w:noWrap/>
            <w:vAlign w:val="bottom"/>
            <w:hideMark/>
          </w:tcPr>
          <w:p w14:paraId="04090BFE"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(246)</w:t>
            </w:r>
          </w:p>
        </w:tc>
        <w:tc>
          <w:tcPr>
            <w:tcW w:w="931" w:type="dxa"/>
            <w:tcBorders>
              <w:top w:val="nil"/>
              <w:left w:val="nil"/>
              <w:bottom w:val="single" w:sz="4" w:space="0" w:color="auto"/>
              <w:right w:val="nil"/>
            </w:tcBorders>
            <w:shd w:val="clear" w:color="auto" w:fill="auto"/>
            <w:noWrap/>
            <w:vAlign w:val="bottom"/>
            <w:hideMark/>
          </w:tcPr>
          <w:p w14:paraId="6A1DD28F"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(248)</w:t>
            </w:r>
          </w:p>
        </w:tc>
      </w:tr>
      <w:tr w:rsidR="00255841" w:rsidRPr="00255841" w14:paraId="5065A684" w14:textId="77777777" w:rsidTr="00255841">
        <w:trPr>
          <w:trHeight w:val="300"/>
          <w:jc w:val="center"/>
        </w:trPr>
        <w:tc>
          <w:tcPr>
            <w:tcW w:w="3051" w:type="dxa"/>
            <w:tcBorders>
              <w:top w:val="nil"/>
              <w:left w:val="nil"/>
              <w:bottom w:val="nil"/>
              <w:right w:val="nil"/>
            </w:tcBorders>
            <w:shd w:val="clear" w:color="auto" w:fill="auto"/>
            <w:noWrap/>
            <w:vAlign w:val="bottom"/>
            <w:hideMark/>
          </w:tcPr>
          <w:p w14:paraId="11437C8F" w14:textId="77777777" w:rsidR="00255841" w:rsidRPr="00255841" w:rsidRDefault="00255841" w:rsidP="00255841">
            <w:pPr>
              <w:spacing w:before="0" w:after="0" w:line="240" w:lineRule="auto"/>
              <w:rPr>
                <w:rFonts w:ascii="Arial" w:hAnsi="Arial" w:cs="Arial"/>
                <w:b/>
                <w:bCs/>
                <w:color w:val="000000"/>
                <w:sz w:val="16"/>
                <w:szCs w:val="16"/>
              </w:rPr>
            </w:pPr>
            <w:r w:rsidRPr="00255841">
              <w:rPr>
                <w:rFonts w:ascii="Arial" w:hAnsi="Arial" w:cs="Arial"/>
                <w:b/>
                <w:bCs/>
                <w:color w:val="000000"/>
                <w:sz w:val="16"/>
                <w:szCs w:val="16"/>
              </w:rPr>
              <w:t>FINANCING ACTIVITIES</w:t>
            </w:r>
          </w:p>
        </w:tc>
        <w:tc>
          <w:tcPr>
            <w:tcW w:w="926" w:type="dxa"/>
            <w:tcBorders>
              <w:top w:val="nil"/>
              <w:left w:val="nil"/>
              <w:bottom w:val="nil"/>
              <w:right w:val="nil"/>
            </w:tcBorders>
            <w:shd w:val="clear" w:color="auto" w:fill="auto"/>
            <w:noWrap/>
            <w:vAlign w:val="bottom"/>
            <w:hideMark/>
          </w:tcPr>
          <w:p w14:paraId="650E2422" w14:textId="77777777" w:rsidR="00255841" w:rsidRPr="00255841" w:rsidRDefault="00255841" w:rsidP="00255841">
            <w:pPr>
              <w:spacing w:before="0" w:after="0" w:line="240" w:lineRule="auto"/>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6A8D104E"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40B76604"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56D16D96"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3B65EDEE"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59D8ED43"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66B1F4BC"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Cash received</w:t>
            </w:r>
          </w:p>
        </w:tc>
        <w:tc>
          <w:tcPr>
            <w:tcW w:w="926" w:type="dxa"/>
            <w:tcBorders>
              <w:top w:val="nil"/>
              <w:left w:val="nil"/>
              <w:bottom w:val="nil"/>
              <w:right w:val="nil"/>
            </w:tcBorders>
            <w:shd w:val="clear" w:color="auto" w:fill="auto"/>
            <w:noWrap/>
            <w:vAlign w:val="bottom"/>
            <w:hideMark/>
          </w:tcPr>
          <w:p w14:paraId="5406C7E2" w14:textId="77777777" w:rsidR="00255841" w:rsidRPr="00255841" w:rsidRDefault="00255841" w:rsidP="00255841">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232EFF0C"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5CFB2FF2"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2B6B46C9"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4D8747C3"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5D8345EC" w14:textId="77777777" w:rsidTr="00255841">
        <w:trPr>
          <w:trHeight w:val="225"/>
          <w:jc w:val="center"/>
        </w:trPr>
        <w:tc>
          <w:tcPr>
            <w:tcW w:w="3051" w:type="dxa"/>
            <w:tcBorders>
              <w:top w:val="nil"/>
              <w:left w:val="nil"/>
              <w:bottom w:val="nil"/>
              <w:right w:val="nil"/>
            </w:tcBorders>
            <w:shd w:val="clear" w:color="000000" w:fill="FFFFFF"/>
            <w:noWrap/>
            <w:vAlign w:val="bottom"/>
            <w:hideMark/>
          </w:tcPr>
          <w:p w14:paraId="721312FB" w14:textId="77777777" w:rsidR="00255841" w:rsidRPr="00255841" w:rsidRDefault="00255841" w:rsidP="00255841">
            <w:pPr>
              <w:spacing w:before="0" w:after="0" w:line="240" w:lineRule="auto"/>
              <w:ind w:leftChars="150" w:left="285"/>
              <w:rPr>
                <w:rFonts w:ascii="Arial" w:hAnsi="Arial" w:cs="Arial"/>
                <w:sz w:val="16"/>
                <w:szCs w:val="16"/>
              </w:rPr>
            </w:pPr>
            <w:r w:rsidRPr="00255841">
              <w:rPr>
                <w:rFonts w:ascii="Arial" w:hAnsi="Arial" w:cs="Arial"/>
                <w:sz w:val="16"/>
                <w:szCs w:val="16"/>
              </w:rPr>
              <w:t>Capital budget - Bill 1 (DCB)</w:t>
            </w:r>
          </w:p>
        </w:tc>
        <w:tc>
          <w:tcPr>
            <w:tcW w:w="926" w:type="dxa"/>
            <w:tcBorders>
              <w:top w:val="nil"/>
              <w:left w:val="nil"/>
              <w:bottom w:val="nil"/>
              <w:right w:val="nil"/>
            </w:tcBorders>
            <w:shd w:val="clear" w:color="auto" w:fill="auto"/>
            <w:noWrap/>
            <w:vAlign w:val="bottom"/>
            <w:hideMark/>
          </w:tcPr>
          <w:p w14:paraId="60CC19B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954</w:t>
            </w:r>
          </w:p>
        </w:tc>
        <w:tc>
          <w:tcPr>
            <w:tcW w:w="930" w:type="dxa"/>
            <w:tcBorders>
              <w:top w:val="nil"/>
              <w:left w:val="nil"/>
              <w:bottom w:val="nil"/>
              <w:right w:val="nil"/>
            </w:tcBorders>
            <w:shd w:val="clear" w:color="000000" w:fill="D9D9D9"/>
            <w:noWrap/>
            <w:vAlign w:val="bottom"/>
            <w:hideMark/>
          </w:tcPr>
          <w:p w14:paraId="1104AA41"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2,636</w:t>
            </w:r>
          </w:p>
        </w:tc>
        <w:tc>
          <w:tcPr>
            <w:tcW w:w="931" w:type="dxa"/>
            <w:tcBorders>
              <w:top w:val="nil"/>
              <w:left w:val="nil"/>
              <w:bottom w:val="nil"/>
              <w:right w:val="nil"/>
            </w:tcBorders>
            <w:shd w:val="clear" w:color="auto" w:fill="auto"/>
            <w:noWrap/>
            <w:vAlign w:val="bottom"/>
            <w:hideMark/>
          </w:tcPr>
          <w:p w14:paraId="7B04285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240</w:t>
            </w:r>
          </w:p>
        </w:tc>
        <w:tc>
          <w:tcPr>
            <w:tcW w:w="931" w:type="dxa"/>
            <w:tcBorders>
              <w:top w:val="nil"/>
              <w:left w:val="nil"/>
              <w:bottom w:val="nil"/>
              <w:right w:val="nil"/>
            </w:tcBorders>
            <w:shd w:val="clear" w:color="auto" w:fill="auto"/>
            <w:noWrap/>
            <w:vAlign w:val="bottom"/>
            <w:hideMark/>
          </w:tcPr>
          <w:p w14:paraId="698DBD85"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241</w:t>
            </w:r>
          </w:p>
        </w:tc>
        <w:tc>
          <w:tcPr>
            <w:tcW w:w="931" w:type="dxa"/>
            <w:tcBorders>
              <w:top w:val="nil"/>
              <w:left w:val="nil"/>
              <w:bottom w:val="nil"/>
              <w:right w:val="nil"/>
            </w:tcBorders>
            <w:shd w:val="clear" w:color="auto" w:fill="auto"/>
            <w:noWrap/>
            <w:vAlign w:val="bottom"/>
            <w:hideMark/>
          </w:tcPr>
          <w:p w14:paraId="7DAC7EA4"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243</w:t>
            </w:r>
          </w:p>
        </w:tc>
      </w:tr>
      <w:tr w:rsidR="00255841" w:rsidRPr="00255841" w14:paraId="40A712B4"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101E61C1" w14:textId="77777777" w:rsidR="00255841" w:rsidRPr="00255841" w:rsidRDefault="00255841" w:rsidP="00255841">
            <w:pPr>
              <w:spacing w:before="0" w:after="0" w:line="240" w:lineRule="auto"/>
              <w:ind w:leftChars="150" w:left="285"/>
              <w:rPr>
                <w:rFonts w:ascii="Arial" w:hAnsi="Arial" w:cs="Arial"/>
                <w:b/>
                <w:bCs/>
                <w:color w:val="000000"/>
                <w:sz w:val="16"/>
                <w:szCs w:val="16"/>
              </w:rPr>
            </w:pPr>
            <w:r w:rsidRPr="00255841">
              <w:rPr>
                <w:rFonts w:ascii="Arial" w:hAnsi="Arial" w:cs="Arial"/>
                <w:b/>
                <w:bCs/>
                <w:color w:val="000000"/>
                <w:sz w:val="16"/>
                <w:szCs w:val="16"/>
              </w:rPr>
              <w:t>Total cash received</w:t>
            </w:r>
          </w:p>
        </w:tc>
        <w:tc>
          <w:tcPr>
            <w:tcW w:w="926" w:type="dxa"/>
            <w:tcBorders>
              <w:top w:val="nil"/>
              <w:left w:val="nil"/>
              <w:bottom w:val="single" w:sz="4" w:space="0" w:color="auto"/>
              <w:right w:val="nil"/>
            </w:tcBorders>
            <w:shd w:val="clear" w:color="auto" w:fill="auto"/>
            <w:noWrap/>
            <w:vAlign w:val="bottom"/>
            <w:hideMark/>
          </w:tcPr>
          <w:p w14:paraId="7898D59E"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954</w:t>
            </w:r>
          </w:p>
        </w:tc>
        <w:tc>
          <w:tcPr>
            <w:tcW w:w="930" w:type="dxa"/>
            <w:tcBorders>
              <w:top w:val="nil"/>
              <w:left w:val="nil"/>
              <w:bottom w:val="single" w:sz="4" w:space="0" w:color="auto"/>
              <w:right w:val="nil"/>
            </w:tcBorders>
            <w:shd w:val="clear" w:color="000000" w:fill="D9D9D9"/>
            <w:noWrap/>
            <w:vAlign w:val="bottom"/>
            <w:hideMark/>
          </w:tcPr>
          <w:p w14:paraId="1A480A8F"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2,636</w:t>
            </w:r>
          </w:p>
        </w:tc>
        <w:tc>
          <w:tcPr>
            <w:tcW w:w="931" w:type="dxa"/>
            <w:tcBorders>
              <w:top w:val="nil"/>
              <w:left w:val="nil"/>
              <w:bottom w:val="single" w:sz="4" w:space="0" w:color="auto"/>
              <w:right w:val="nil"/>
            </w:tcBorders>
            <w:shd w:val="clear" w:color="auto" w:fill="auto"/>
            <w:noWrap/>
            <w:vAlign w:val="bottom"/>
            <w:hideMark/>
          </w:tcPr>
          <w:p w14:paraId="58C9C2A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240</w:t>
            </w:r>
          </w:p>
        </w:tc>
        <w:tc>
          <w:tcPr>
            <w:tcW w:w="931" w:type="dxa"/>
            <w:tcBorders>
              <w:top w:val="nil"/>
              <w:left w:val="nil"/>
              <w:bottom w:val="single" w:sz="4" w:space="0" w:color="auto"/>
              <w:right w:val="nil"/>
            </w:tcBorders>
            <w:shd w:val="clear" w:color="auto" w:fill="auto"/>
            <w:noWrap/>
            <w:vAlign w:val="bottom"/>
            <w:hideMark/>
          </w:tcPr>
          <w:p w14:paraId="4F3E3F90"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241</w:t>
            </w:r>
          </w:p>
        </w:tc>
        <w:tc>
          <w:tcPr>
            <w:tcW w:w="931" w:type="dxa"/>
            <w:tcBorders>
              <w:top w:val="nil"/>
              <w:left w:val="nil"/>
              <w:bottom w:val="single" w:sz="4" w:space="0" w:color="auto"/>
              <w:right w:val="nil"/>
            </w:tcBorders>
            <w:shd w:val="clear" w:color="auto" w:fill="auto"/>
            <w:noWrap/>
            <w:vAlign w:val="bottom"/>
            <w:hideMark/>
          </w:tcPr>
          <w:p w14:paraId="2219538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243</w:t>
            </w:r>
          </w:p>
        </w:tc>
      </w:tr>
      <w:tr w:rsidR="00255841" w:rsidRPr="00255841" w14:paraId="379B6F7C" w14:textId="77777777" w:rsidTr="00255841">
        <w:trPr>
          <w:trHeight w:val="300"/>
          <w:jc w:val="center"/>
        </w:trPr>
        <w:tc>
          <w:tcPr>
            <w:tcW w:w="3051" w:type="dxa"/>
            <w:tcBorders>
              <w:top w:val="nil"/>
              <w:left w:val="nil"/>
              <w:bottom w:val="nil"/>
              <w:right w:val="nil"/>
            </w:tcBorders>
            <w:shd w:val="clear" w:color="auto" w:fill="auto"/>
            <w:noWrap/>
            <w:vAlign w:val="bottom"/>
            <w:hideMark/>
          </w:tcPr>
          <w:p w14:paraId="64854BFF"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Cash used</w:t>
            </w:r>
          </w:p>
        </w:tc>
        <w:tc>
          <w:tcPr>
            <w:tcW w:w="926" w:type="dxa"/>
            <w:tcBorders>
              <w:top w:val="nil"/>
              <w:left w:val="nil"/>
              <w:bottom w:val="nil"/>
              <w:right w:val="nil"/>
            </w:tcBorders>
            <w:shd w:val="clear" w:color="auto" w:fill="auto"/>
            <w:noWrap/>
            <w:vAlign w:val="bottom"/>
            <w:hideMark/>
          </w:tcPr>
          <w:p w14:paraId="68C14FD9" w14:textId="77777777" w:rsidR="00255841" w:rsidRPr="00255841" w:rsidRDefault="00255841" w:rsidP="00255841">
            <w:pPr>
              <w:spacing w:before="0" w:after="0" w:line="240" w:lineRule="auto"/>
              <w:ind w:firstLineChars="100" w:firstLine="161"/>
              <w:rPr>
                <w:rFonts w:ascii="Arial" w:hAnsi="Arial" w:cs="Arial"/>
                <w:b/>
                <w:bCs/>
                <w:color w:val="000000"/>
                <w:sz w:val="16"/>
                <w:szCs w:val="16"/>
              </w:rPr>
            </w:pPr>
          </w:p>
        </w:tc>
        <w:tc>
          <w:tcPr>
            <w:tcW w:w="930" w:type="dxa"/>
            <w:tcBorders>
              <w:top w:val="nil"/>
              <w:left w:val="nil"/>
              <w:bottom w:val="nil"/>
              <w:right w:val="nil"/>
            </w:tcBorders>
            <w:shd w:val="clear" w:color="000000" w:fill="D9D9D9"/>
            <w:noWrap/>
            <w:vAlign w:val="bottom"/>
            <w:hideMark/>
          </w:tcPr>
          <w:p w14:paraId="5B212C5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 </w:t>
            </w:r>
          </w:p>
        </w:tc>
        <w:tc>
          <w:tcPr>
            <w:tcW w:w="931" w:type="dxa"/>
            <w:tcBorders>
              <w:top w:val="nil"/>
              <w:left w:val="nil"/>
              <w:bottom w:val="nil"/>
              <w:right w:val="nil"/>
            </w:tcBorders>
            <w:shd w:val="clear" w:color="auto" w:fill="auto"/>
            <w:noWrap/>
            <w:vAlign w:val="bottom"/>
            <w:hideMark/>
          </w:tcPr>
          <w:p w14:paraId="22AF171E" w14:textId="77777777" w:rsidR="00255841" w:rsidRPr="00255841" w:rsidRDefault="00255841" w:rsidP="00255841">
            <w:pPr>
              <w:spacing w:before="0" w:after="0" w:line="240" w:lineRule="auto"/>
              <w:jc w:val="right"/>
              <w:rPr>
                <w:rFonts w:ascii="Arial" w:hAnsi="Arial" w:cs="Arial"/>
                <w:color w:val="000000"/>
                <w:sz w:val="16"/>
                <w:szCs w:val="16"/>
              </w:rPr>
            </w:pPr>
          </w:p>
        </w:tc>
        <w:tc>
          <w:tcPr>
            <w:tcW w:w="931" w:type="dxa"/>
            <w:tcBorders>
              <w:top w:val="nil"/>
              <w:left w:val="nil"/>
              <w:bottom w:val="nil"/>
              <w:right w:val="nil"/>
            </w:tcBorders>
            <w:shd w:val="clear" w:color="auto" w:fill="auto"/>
            <w:noWrap/>
            <w:vAlign w:val="bottom"/>
            <w:hideMark/>
          </w:tcPr>
          <w:p w14:paraId="3216A9FF" w14:textId="77777777" w:rsidR="00255841" w:rsidRPr="00255841" w:rsidRDefault="00255841" w:rsidP="00255841">
            <w:pPr>
              <w:spacing w:before="0" w:after="0" w:line="240" w:lineRule="auto"/>
              <w:jc w:val="right"/>
              <w:rPr>
                <w:rFonts w:ascii="Times New Roman" w:hAnsi="Times New Roman"/>
                <w:sz w:val="20"/>
              </w:rPr>
            </w:pPr>
          </w:p>
        </w:tc>
        <w:tc>
          <w:tcPr>
            <w:tcW w:w="931" w:type="dxa"/>
            <w:tcBorders>
              <w:top w:val="nil"/>
              <w:left w:val="nil"/>
              <w:bottom w:val="nil"/>
              <w:right w:val="nil"/>
            </w:tcBorders>
            <w:shd w:val="clear" w:color="auto" w:fill="auto"/>
            <w:noWrap/>
            <w:vAlign w:val="bottom"/>
            <w:hideMark/>
          </w:tcPr>
          <w:p w14:paraId="2A847C25" w14:textId="77777777" w:rsidR="00255841" w:rsidRPr="00255841" w:rsidRDefault="00255841" w:rsidP="00255841">
            <w:pPr>
              <w:spacing w:before="0" w:after="0" w:line="240" w:lineRule="auto"/>
              <w:jc w:val="right"/>
              <w:rPr>
                <w:rFonts w:ascii="Times New Roman" w:hAnsi="Times New Roman"/>
                <w:sz w:val="20"/>
              </w:rPr>
            </w:pPr>
          </w:p>
        </w:tc>
      </w:tr>
      <w:tr w:rsidR="00255841" w:rsidRPr="00255841" w14:paraId="043339FA" w14:textId="77777777" w:rsidTr="00255841">
        <w:trPr>
          <w:trHeight w:val="225"/>
          <w:jc w:val="center"/>
        </w:trPr>
        <w:tc>
          <w:tcPr>
            <w:tcW w:w="3051" w:type="dxa"/>
            <w:tcBorders>
              <w:top w:val="nil"/>
              <w:left w:val="nil"/>
              <w:bottom w:val="nil"/>
              <w:right w:val="nil"/>
            </w:tcBorders>
            <w:shd w:val="clear" w:color="000000" w:fill="FFFFFF"/>
            <w:noWrap/>
            <w:vAlign w:val="bottom"/>
            <w:hideMark/>
          </w:tcPr>
          <w:p w14:paraId="6110ABEE" w14:textId="77777777" w:rsidR="00255841" w:rsidRPr="00255841" w:rsidRDefault="00255841" w:rsidP="00255841">
            <w:pPr>
              <w:spacing w:before="0" w:after="0" w:line="240" w:lineRule="auto"/>
              <w:ind w:leftChars="150" w:left="285"/>
              <w:rPr>
                <w:rFonts w:ascii="Arial" w:hAnsi="Arial" w:cs="Arial"/>
                <w:sz w:val="16"/>
                <w:szCs w:val="16"/>
              </w:rPr>
            </w:pPr>
            <w:r w:rsidRPr="00255841">
              <w:rPr>
                <w:rFonts w:ascii="Arial" w:hAnsi="Arial" w:cs="Arial"/>
                <w:sz w:val="16"/>
                <w:szCs w:val="16"/>
              </w:rPr>
              <w:t>Lease principal repayments</w:t>
            </w:r>
          </w:p>
        </w:tc>
        <w:tc>
          <w:tcPr>
            <w:tcW w:w="926" w:type="dxa"/>
            <w:tcBorders>
              <w:top w:val="nil"/>
              <w:left w:val="nil"/>
              <w:bottom w:val="nil"/>
              <w:right w:val="nil"/>
            </w:tcBorders>
            <w:shd w:val="clear" w:color="auto" w:fill="auto"/>
            <w:noWrap/>
            <w:vAlign w:val="bottom"/>
            <w:hideMark/>
          </w:tcPr>
          <w:p w14:paraId="57A0B907"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400</w:t>
            </w:r>
          </w:p>
        </w:tc>
        <w:tc>
          <w:tcPr>
            <w:tcW w:w="930" w:type="dxa"/>
            <w:tcBorders>
              <w:top w:val="nil"/>
              <w:left w:val="nil"/>
              <w:bottom w:val="nil"/>
              <w:right w:val="nil"/>
            </w:tcBorders>
            <w:shd w:val="clear" w:color="000000" w:fill="D9D9D9"/>
            <w:noWrap/>
            <w:vAlign w:val="bottom"/>
            <w:hideMark/>
          </w:tcPr>
          <w:p w14:paraId="4BE72D24"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526</w:t>
            </w:r>
          </w:p>
        </w:tc>
        <w:tc>
          <w:tcPr>
            <w:tcW w:w="931" w:type="dxa"/>
            <w:tcBorders>
              <w:top w:val="nil"/>
              <w:left w:val="nil"/>
              <w:bottom w:val="nil"/>
              <w:right w:val="nil"/>
            </w:tcBorders>
            <w:shd w:val="clear" w:color="auto" w:fill="auto"/>
            <w:noWrap/>
            <w:vAlign w:val="bottom"/>
            <w:hideMark/>
          </w:tcPr>
          <w:p w14:paraId="7EBB919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522</w:t>
            </w:r>
          </w:p>
        </w:tc>
        <w:tc>
          <w:tcPr>
            <w:tcW w:w="931" w:type="dxa"/>
            <w:tcBorders>
              <w:top w:val="nil"/>
              <w:left w:val="nil"/>
              <w:bottom w:val="nil"/>
              <w:right w:val="nil"/>
            </w:tcBorders>
            <w:shd w:val="clear" w:color="auto" w:fill="auto"/>
            <w:noWrap/>
            <w:vAlign w:val="bottom"/>
            <w:hideMark/>
          </w:tcPr>
          <w:p w14:paraId="7CCE6EE7"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543</w:t>
            </w:r>
          </w:p>
        </w:tc>
        <w:tc>
          <w:tcPr>
            <w:tcW w:w="931" w:type="dxa"/>
            <w:tcBorders>
              <w:top w:val="nil"/>
              <w:left w:val="nil"/>
              <w:bottom w:val="nil"/>
              <w:right w:val="nil"/>
            </w:tcBorders>
            <w:shd w:val="clear" w:color="auto" w:fill="auto"/>
            <w:noWrap/>
            <w:vAlign w:val="bottom"/>
            <w:hideMark/>
          </w:tcPr>
          <w:p w14:paraId="168194B9"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564</w:t>
            </w:r>
          </w:p>
        </w:tc>
      </w:tr>
      <w:tr w:rsidR="00255841" w:rsidRPr="00255841" w14:paraId="3840EF4D" w14:textId="77777777" w:rsidTr="00255841">
        <w:trPr>
          <w:trHeight w:val="225"/>
          <w:jc w:val="center"/>
        </w:trPr>
        <w:tc>
          <w:tcPr>
            <w:tcW w:w="3051" w:type="dxa"/>
            <w:tcBorders>
              <w:top w:val="nil"/>
              <w:left w:val="nil"/>
              <w:bottom w:val="nil"/>
              <w:right w:val="nil"/>
            </w:tcBorders>
            <w:shd w:val="clear" w:color="auto" w:fill="auto"/>
            <w:noWrap/>
            <w:vAlign w:val="bottom"/>
            <w:hideMark/>
          </w:tcPr>
          <w:p w14:paraId="3C43EB36" w14:textId="77777777" w:rsidR="00255841" w:rsidRPr="00255841" w:rsidRDefault="00255841" w:rsidP="00255841">
            <w:pPr>
              <w:spacing w:before="0" w:after="0" w:line="240" w:lineRule="auto"/>
              <w:ind w:leftChars="150" w:left="285"/>
              <w:rPr>
                <w:rFonts w:ascii="Arial" w:hAnsi="Arial" w:cs="Arial"/>
                <w:b/>
                <w:bCs/>
                <w:color w:val="000000"/>
                <w:sz w:val="16"/>
                <w:szCs w:val="16"/>
              </w:rPr>
            </w:pPr>
            <w:r w:rsidRPr="00255841">
              <w:rPr>
                <w:rFonts w:ascii="Arial" w:hAnsi="Arial" w:cs="Arial"/>
                <w:b/>
                <w:bCs/>
                <w:color w:val="000000"/>
                <w:sz w:val="16"/>
                <w:szCs w:val="16"/>
              </w:rPr>
              <w:t>Total cash used</w:t>
            </w:r>
          </w:p>
        </w:tc>
        <w:tc>
          <w:tcPr>
            <w:tcW w:w="926" w:type="dxa"/>
            <w:tcBorders>
              <w:top w:val="nil"/>
              <w:left w:val="nil"/>
              <w:bottom w:val="single" w:sz="4" w:space="0" w:color="auto"/>
              <w:right w:val="nil"/>
            </w:tcBorders>
            <w:shd w:val="clear" w:color="auto" w:fill="auto"/>
            <w:noWrap/>
            <w:vAlign w:val="bottom"/>
            <w:hideMark/>
          </w:tcPr>
          <w:p w14:paraId="14A343B9"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400</w:t>
            </w:r>
          </w:p>
        </w:tc>
        <w:tc>
          <w:tcPr>
            <w:tcW w:w="930" w:type="dxa"/>
            <w:tcBorders>
              <w:top w:val="nil"/>
              <w:left w:val="nil"/>
              <w:bottom w:val="single" w:sz="4" w:space="0" w:color="auto"/>
              <w:right w:val="nil"/>
            </w:tcBorders>
            <w:shd w:val="clear" w:color="000000" w:fill="D9D9D9"/>
            <w:noWrap/>
            <w:vAlign w:val="bottom"/>
            <w:hideMark/>
          </w:tcPr>
          <w:p w14:paraId="5669C029"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526</w:t>
            </w:r>
          </w:p>
        </w:tc>
        <w:tc>
          <w:tcPr>
            <w:tcW w:w="931" w:type="dxa"/>
            <w:tcBorders>
              <w:top w:val="nil"/>
              <w:left w:val="nil"/>
              <w:bottom w:val="single" w:sz="4" w:space="0" w:color="auto"/>
              <w:right w:val="nil"/>
            </w:tcBorders>
            <w:shd w:val="clear" w:color="auto" w:fill="auto"/>
            <w:noWrap/>
            <w:vAlign w:val="bottom"/>
            <w:hideMark/>
          </w:tcPr>
          <w:p w14:paraId="31FDC853"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522</w:t>
            </w:r>
          </w:p>
        </w:tc>
        <w:tc>
          <w:tcPr>
            <w:tcW w:w="931" w:type="dxa"/>
            <w:tcBorders>
              <w:top w:val="nil"/>
              <w:left w:val="nil"/>
              <w:bottom w:val="single" w:sz="4" w:space="0" w:color="auto"/>
              <w:right w:val="nil"/>
            </w:tcBorders>
            <w:shd w:val="clear" w:color="auto" w:fill="auto"/>
            <w:noWrap/>
            <w:vAlign w:val="bottom"/>
            <w:hideMark/>
          </w:tcPr>
          <w:p w14:paraId="6FFAF36A"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543</w:t>
            </w:r>
          </w:p>
        </w:tc>
        <w:tc>
          <w:tcPr>
            <w:tcW w:w="931" w:type="dxa"/>
            <w:tcBorders>
              <w:top w:val="nil"/>
              <w:left w:val="nil"/>
              <w:bottom w:val="single" w:sz="4" w:space="0" w:color="auto"/>
              <w:right w:val="nil"/>
            </w:tcBorders>
            <w:shd w:val="clear" w:color="auto" w:fill="auto"/>
            <w:noWrap/>
            <w:vAlign w:val="bottom"/>
            <w:hideMark/>
          </w:tcPr>
          <w:p w14:paraId="09590C7E"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564</w:t>
            </w:r>
          </w:p>
        </w:tc>
      </w:tr>
      <w:tr w:rsidR="00255841" w:rsidRPr="00255841" w14:paraId="48B7C810" w14:textId="77777777" w:rsidTr="00255841">
        <w:trPr>
          <w:trHeight w:val="450"/>
          <w:jc w:val="center"/>
        </w:trPr>
        <w:tc>
          <w:tcPr>
            <w:tcW w:w="3051" w:type="dxa"/>
            <w:tcBorders>
              <w:top w:val="nil"/>
              <w:left w:val="nil"/>
              <w:bottom w:val="nil"/>
              <w:right w:val="nil"/>
            </w:tcBorders>
            <w:shd w:val="clear" w:color="auto" w:fill="auto"/>
            <w:vAlign w:val="bottom"/>
            <w:hideMark/>
          </w:tcPr>
          <w:p w14:paraId="2E293949" w14:textId="77777777" w:rsidR="00255841" w:rsidRPr="00255841" w:rsidRDefault="00255841" w:rsidP="00255841">
            <w:pPr>
              <w:spacing w:before="0" w:after="0" w:line="240" w:lineRule="auto"/>
              <w:ind w:leftChars="75" w:left="143"/>
              <w:rPr>
                <w:rFonts w:ascii="Arial" w:hAnsi="Arial" w:cs="Arial"/>
                <w:b/>
                <w:bCs/>
                <w:color w:val="000000"/>
                <w:sz w:val="16"/>
                <w:szCs w:val="16"/>
              </w:rPr>
            </w:pPr>
            <w:r w:rsidRPr="00255841">
              <w:rPr>
                <w:rFonts w:ascii="Arial" w:hAnsi="Arial" w:cs="Arial"/>
                <w:b/>
                <w:bCs/>
                <w:color w:val="000000"/>
                <w:sz w:val="16"/>
                <w:szCs w:val="16"/>
              </w:rPr>
              <w:t>Net cash from (or used by) financing activities</w:t>
            </w:r>
          </w:p>
        </w:tc>
        <w:tc>
          <w:tcPr>
            <w:tcW w:w="926" w:type="dxa"/>
            <w:tcBorders>
              <w:top w:val="nil"/>
              <w:left w:val="nil"/>
              <w:bottom w:val="single" w:sz="4" w:space="0" w:color="auto"/>
              <w:right w:val="nil"/>
            </w:tcBorders>
            <w:shd w:val="clear" w:color="auto" w:fill="auto"/>
            <w:noWrap/>
            <w:vAlign w:val="bottom"/>
            <w:hideMark/>
          </w:tcPr>
          <w:p w14:paraId="7E8776F7"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554</w:t>
            </w:r>
          </w:p>
        </w:tc>
        <w:tc>
          <w:tcPr>
            <w:tcW w:w="930" w:type="dxa"/>
            <w:tcBorders>
              <w:top w:val="nil"/>
              <w:left w:val="nil"/>
              <w:bottom w:val="single" w:sz="4" w:space="0" w:color="auto"/>
              <w:right w:val="nil"/>
            </w:tcBorders>
            <w:shd w:val="clear" w:color="000000" w:fill="D9D9D9"/>
            <w:noWrap/>
            <w:vAlign w:val="bottom"/>
            <w:hideMark/>
          </w:tcPr>
          <w:p w14:paraId="2DEBCC94"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2,110</w:t>
            </w:r>
          </w:p>
        </w:tc>
        <w:tc>
          <w:tcPr>
            <w:tcW w:w="931" w:type="dxa"/>
            <w:tcBorders>
              <w:top w:val="nil"/>
              <w:left w:val="nil"/>
              <w:bottom w:val="single" w:sz="4" w:space="0" w:color="auto"/>
              <w:right w:val="nil"/>
            </w:tcBorders>
            <w:shd w:val="clear" w:color="auto" w:fill="auto"/>
            <w:noWrap/>
            <w:vAlign w:val="bottom"/>
            <w:hideMark/>
          </w:tcPr>
          <w:p w14:paraId="4A142481"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(282)</w:t>
            </w:r>
          </w:p>
        </w:tc>
        <w:tc>
          <w:tcPr>
            <w:tcW w:w="931" w:type="dxa"/>
            <w:tcBorders>
              <w:top w:val="nil"/>
              <w:left w:val="nil"/>
              <w:bottom w:val="single" w:sz="4" w:space="0" w:color="auto"/>
              <w:right w:val="nil"/>
            </w:tcBorders>
            <w:shd w:val="clear" w:color="auto" w:fill="auto"/>
            <w:noWrap/>
            <w:vAlign w:val="bottom"/>
            <w:hideMark/>
          </w:tcPr>
          <w:p w14:paraId="01C9416F"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(302)</w:t>
            </w:r>
          </w:p>
        </w:tc>
        <w:tc>
          <w:tcPr>
            <w:tcW w:w="931" w:type="dxa"/>
            <w:tcBorders>
              <w:top w:val="nil"/>
              <w:left w:val="nil"/>
              <w:bottom w:val="single" w:sz="4" w:space="0" w:color="auto"/>
              <w:right w:val="nil"/>
            </w:tcBorders>
            <w:shd w:val="clear" w:color="auto" w:fill="auto"/>
            <w:noWrap/>
            <w:vAlign w:val="bottom"/>
            <w:hideMark/>
          </w:tcPr>
          <w:p w14:paraId="20DFE743"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(321)</w:t>
            </w:r>
          </w:p>
        </w:tc>
      </w:tr>
      <w:tr w:rsidR="00255841" w:rsidRPr="00255841" w14:paraId="3E04A1E7" w14:textId="77777777" w:rsidTr="00255841">
        <w:trPr>
          <w:trHeight w:val="525"/>
          <w:jc w:val="center"/>
        </w:trPr>
        <w:tc>
          <w:tcPr>
            <w:tcW w:w="3051" w:type="dxa"/>
            <w:tcBorders>
              <w:top w:val="nil"/>
              <w:left w:val="nil"/>
              <w:bottom w:val="nil"/>
              <w:right w:val="nil"/>
            </w:tcBorders>
            <w:shd w:val="clear" w:color="auto" w:fill="auto"/>
            <w:vAlign w:val="bottom"/>
            <w:hideMark/>
          </w:tcPr>
          <w:p w14:paraId="4D82ECAC" w14:textId="77777777" w:rsidR="00255841" w:rsidRPr="00255841" w:rsidRDefault="00255841" w:rsidP="00255841">
            <w:pPr>
              <w:spacing w:before="0" w:after="0" w:line="240" w:lineRule="auto"/>
              <w:rPr>
                <w:rFonts w:ascii="Arial" w:hAnsi="Arial" w:cs="Arial"/>
                <w:b/>
                <w:bCs/>
                <w:color w:val="000000"/>
                <w:sz w:val="16"/>
                <w:szCs w:val="16"/>
              </w:rPr>
            </w:pPr>
            <w:r w:rsidRPr="00255841">
              <w:rPr>
                <w:rFonts w:ascii="Arial" w:hAnsi="Arial" w:cs="Arial"/>
                <w:b/>
                <w:bCs/>
                <w:color w:val="000000"/>
                <w:sz w:val="16"/>
                <w:szCs w:val="16"/>
              </w:rPr>
              <w:t>Net increase (or decrease) in cash held</w:t>
            </w:r>
          </w:p>
        </w:tc>
        <w:tc>
          <w:tcPr>
            <w:tcW w:w="926" w:type="dxa"/>
            <w:tcBorders>
              <w:top w:val="nil"/>
              <w:left w:val="nil"/>
              <w:bottom w:val="single" w:sz="4" w:space="0" w:color="auto"/>
              <w:right w:val="nil"/>
            </w:tcBorders>
            <w:shd w:val="clear" w:color="auto" w:fill="auto"/>
            <w:noWrap/>
            <w:vAlign w:val="bottom"/>
            <w:hideMark/>
          </w:tcPr>
          <w:p w14:paraId="32BE5AAD"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1</w:t>
            </w:r>
          </w:p>
        </w:tc>
        <w:tc>
          <w:tcPr>
            <w:tcW w:w="930" w:type="dxa"/>
            <w:tcBorders>
              <w:top w:val="nil"/>
              <w:left w:val="nil"/>
              <w:bottom w:val="single" w:sz="4" w:space="0" w:color="auto"/>
              <w:right w:val="nil"/>
            </w:tcBorders>
            <w:shd w:val="clear" w:color="000000" w:fill="D9D9D9"/>
            <w:noWrap/>
            <w:vAlign w:val="bottom"/>
            <w:hideMark/>
          </w:tcPr>
          <w:p w14:paraId="4BA970AB"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w:t>
            </w:r>
          </w:p>
        </w:tc>
        <w:tc>
          <w:tcPr>
            <w:tcW w:w="931" w:type="dxa"/>
            <w:tcBorders>
              <w:top w:val="nil"/>
              <w:left w:val="nil"/>
              <w:bottom w:val="single" w:sz="4" w:space="0" w:color="auto"/>
              <w:right w:val="nil"/>
            </w:tcBorders>
            <w:shd w:val="clear" w:color="auto" w:fill="auto"/>
            <w:noWrap/>
            <w:vAlign w:val="bottom"/>
            <w:hideMark/>
          </w:tcPr>
          <w:p w14:paraId="3E543773"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w:t>
            </w:r>
          </w:p>
        </w:tc>
        <w:tc>
          <w:tcPr>
            <w:tcW w:w="931" w:type="dxa"/>
            <w:tcBorders>
              <w:top w:val="nil"/>
              <w:left w:val="nil"/>
              <w:bottom w:val="single" w:sz="4" w:space="0" w:color="auto"/>
              <w:right w:val="nil"/>
            </w:tcBorders>
            <w:shd w:val="clear" w:color="auto" w:fill="auto"/>
            <w:noWrap/>
            <w:vAlign w:val="bottom"/>
            <w:hideMark/>
          </w:tcPr>
          <w:p w14:paraId="3FDFFCC3"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w:t>
            </w:r>
          </w:p>
        </w:tc>
        <w:tc>
          <w:tcPr>
            <w:tcW w:w="931" w:type="dxa"/>
            <w:tcBorders>
              <w:top w:val="nil"/>
              <w:left w:val="nil"/>
              <w:bottom w:val="single" w:sz="4" w:space="0" w:color="auto"/>
              <w:right w:val="nil"/>
            </w:tcBorders>
            <w:shd w:val="clear" w:color="auto" w:fill="auto"/>
            <w:noWrap/>
            <w:vAlign w:val="bottom"/>
            <w:hideMark/>
          </w:tcPr>
          <w:p w14:paraId="0EF09158"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w:t>
            </w:r>
          </w:p>
        </w:tc>
      </w:tr>
      <w:tr w:rsidR="00255841" w:rsidRPr="00255841" w14:paraId="252797D8" w14:textId="77777777" w:rsidTr="00255841">
        <w:trPr>
          <w:trHeight w:val="450"/>
          <w:jc w:val="center"/>
        </w:trPr>
        <w:tc>
          <w:tcPr>
            <w:tcW w:w="3051" w:type="dxa"/>
            <w:tcBorders>
              <w:top w:val="nil"/>
              <w:left w:val="nil"/>
              <w:bottom w:val="nil"/>
              <w:right w:val="nil"/>
            </w:tcBorders>
            <w:shd w:val="clear" w:color="auto" w:fill="auto"/>
            <w:vAlign w:val="bottom"/>
            <w:hideMark/>
          </w:tcPr>
          <w:p w14:paraId="52C3F8F4" w14:textId="77777777" w:rsidR="00255841" w:rsidRPr="00255841" w:rsidRDefault="00255841" w:rsidP="00255841">
            <w:pPr>
              <w:spacing w:before="0" w:after="0" w:line="240" w:lineRule="auto"/>
              <w:ind w:leftChars="75" w:left="143"/>
              <w:rPr>
                <w:rFonts w:ascii="Arial" w:hAnsi="Arial" w:cs="Arial"/>
                <w:color w:val="000000"/>
                <w:sz w:val="16"/>
                <w:szCs w:val="16"/>
              </w:rPr>
            </w:pPr>
            <w:r w:rsidRPr="00255841">
              <w:rPr>
                <w:rFonts w:ascii="Arial" w:hAnsi="Arial" w:cs="Arial"/>
                <w:color w:val="000000"/>
                <w:sz w:val="16"/>
                <w:szCs w:val="16"/>
              </w:rPr>
              <w:t>Cash and cash equivalents at the beginning of the reporting period</w:t>
            </w:r>
          </w:p>
        </w:tc>
        <w:tc>
          <w:tcPr>
            <w:tcW w:w="926" w:type="dxa"/>
            <w:tcBorders>
              <w:top w:val="nil"/>
              <w:left w:val="nil"/>
              <w:bottom w:val="nil"/>
              <w:right w:val="nil"/>
            </w:tcBorders>
            <w:shd w:val="clear" w:color="auto" w:fill="auto"/>
            <w:noWrap/>
            <w:vAlign w:val="bottom"/>
            <w:hideMark/>
          </w:tcPr>
          <w:p w14:paraId="433280E8"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79</w:t>
            </w:r>
          </w:p>
        </w:tc>
        <w:tc>
          <w:tcPr>
            <w:tcW w:w="930" w:type="dxa"/>
            <w:tcBorders>
              <w:top w:val="nil"/>
              <w:left w:val="nil"/>
              <w:bottom w:val="nil"/>
              <w:right w:val="nil"/>
            </w:tcBorders>
            <w:shd w:val="clear" w:color="000000" w:fill="D9D9D9"/>
            <w:noWrap/>
            <w:vAlign w:val="bottom"/>
            <w:hideMark/>
          </w:tcPr>
          <w:p w14:paraId="03881D13"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80</w:t>
            </w:r>
          </w:p>
        </w:tc>
        <w:tc>
          <w:tcPr>
            <w:tcW w:w="931" w:type="dxa"/>
            <w:tcBorders>
              <w:top w:val="nil"/>
              <w:left w:val="nil"/>
              <w:bottom w:val="nil"/>
              <w:right w:val="nil"/>
            </w:tcBorders>
            <w:shd w:val="clear" w:color="auto" w:fill="auto"/>
            <w:noWrap/>
            <w:vAlign w:val="bottom"/>
            <w:hideMark/>
          </w:tcPr>
          <w:p w14:paraId="17D01EB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80</w:t>
            </w:r>
          </w:p>
        </w:tc>
        <w:tc>
          <w:tcPr>
            <w:tcW w:w="931" w:type="dxa"/>
            <w:tcBorders>
              <w:top w:val="nil"/>
              <w:left w:val="nil"/>
              <w:bottom w:val="nil"/>
              <w:right w:val="nil"/>
            </w:tcBorders>
            <w:shd w:val="clear" w:color="auto" w:fill="auto"/>
            <w:noWrap/>
            <w:vAlign w:val="bottom"/>
            <w:hideMark/>
          </w:tcPr>
          <w:p w14:paraId="26384BBF"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80</w:t>
            </w:r>
          </w:p>
        </w:tc>
        <w:tc>
          <w:tcPr>
            <w:tcW w:w="931" w:type="dxa"/>
            <w:tcBorders>
              <w:top w:val="nil"/>
              <w:left w:val="nil"/>
              <w:bottom w:val="nil"/>
              <w:right w:val="nil"/>
            </w:tcBorders>
            <w:shd w:val="clear" w:color="auto" w:fill="auto"/>
            <w:noWrap/>
            <w:vAlign w:val="bottom"/>
            <w:hideMark/>
          </w:tcPr>
          <w:p w14:paraId="58BEA75E" w14:textId="77777777" w:rsidR="00255841" w:rsidRPr="00255841" w:rsidRDefault="00255841" w:rsidP="00255841">
            <w:pPr>
              <w:spacing w:before="0" w:after="0" w:line="240" w:lineRule="auto"/>
              <w:jc w:val="right"/>
              <w:rPr>
                <w:rFonts w:ascii="Arial" w:hAnsi="Arial" w:cs="Arial"/>
                <w:color w:val="000000"/>
                <w:sz w:val="16"/>
                <w:szCs w:val="16"/>
              </w:rPr>
            </w:pPr>
            <w:r w:rsidRPr="00255841">
              <w:rPr>
                <w:rFonts w:ascii="Arial" w:hAnsi="Arial" w:cs="Arial"/>
                <w:color w:val="000000"/>
                <w:sz w:val="16"/>
                <w:szCs w:val="16"/>
              </w:rPr>
              <w:t>80</w:t>
            </w:r>
          </w:p>
        </w:tc>
      </w:tr>
      <w:tr w:rsidR="00255841" w:rsidRPr="00255841" w14:paraId="58926FC2" w14:textId="77777777" w:rsidTr="00255841">
        <w:trPr>
          <w:trHeight w:val="525"/>
          <w:jc w:val="center"/>
        </w:trPr>
        <w:tc>
          <w:tcPr>
            <w:tcW w:w="3051" w:type="dxa"/>
            <w:tcBorders>
              <w:top w:val="nil"/>
              <w:left w:val="nil"/>
              <w:bottom w:val="single" w:sz="4" w:space="0" w:color="auto"/>
              <w:right w:val="nil"/>
            </w:tcBorders>
            <w:shd w:val="clear" w:color="auto" w:fill="auto"/>
            <w:vAlign w:val="bottom"/>
            <w:hideMark/>
          </w:tcPr>
          <w:p w14:paraId="7AF8F303" w14:textId="77777777" w:rsidR="00255841" w:rsidRPr="00255841" w:rsidRDefault="00255841" w:rsidP="00255841">
            <w:pPr>
              <w:spacing w:before="0" w:after="0" w:line="240" w:lineRule="auto"/>
              <w:rPr>
                <w:rFonts w:ascii="Arial" w:hAnsi="Arial" w:cs="Arial"/>
                <w:b/>
                <w:bCs/>
                <w:color w:val="000000"/>
                <w:sz w:val="16"/>
                <w:szCs w:val="16"/>
              </w:rPr>
            </w:pPr>
            <w:r w:rsidRPr="00255841">
              <w:rPr>
                <w:rFonts w:ascii="Arial" w:hAnsi="Arial" w:cs="Arial"/>
                <w:b/>
                <w:bCs/>
                <w:color w:val="000000"/>
                <w:sz w:val="16"/>
                <w:szCs w:val="16"/>
              </w:rPr>
              <w:t>Cash and cash equivalents at the end of the reporting period</w:t>
            </w:r>
          </w:p>
        </w:tc>
        <w:tc>
          <w:tcPr>
            <w:tcW w:w="926" w:type="dxa"/>
            <w:tcBorders>
              <w:top w:val="nil"/>
              <w:left w:val="nil"/>
              <w:bottom w:val="single" w:sz="4" w:space="0" w:color="auto"/>
              <w:right w:val="nil"/>
            </w:tcBorders>
            <w:shd w:val="clear" w:color="auto" w:fill="auto"/>
            <w:noWrap/>
            <w:vAlign w:val="bottom"/>
            <w:hideMark/>
          </w:tcPr>
          <w:p w14:paraId="3B8FA71C"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80</w:t>
            </w:r>
          </w:p>
        </w:tc>
        <w:tc>
          <w:tcPr>
            <w:tcW w:w="930" w:type="dxa"/>
            <w:tcBorders>
              <w:top w:val="nil"/>
              <w:left w:val="nil"/>
              <w:bottom w:val="single" w:sz="4" w:space="0" w:color="auto"/>
              <w:right w:val="nil"/>
            </w:tcBorders>
            <w:shd w:val="clear" w:color="000000" w:fill="D9D9D9"/>
            <w:noWrap/>
            <w:vAlign w:val="bottom"/>
            <w:hideMark/>
          </w:tcPr>
          <w:p w14:paraId="110AC21A"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80</w:t>
            </w:r>
          </w:p>
        </w:tc>
        <w:tc>
          <w:tcPr>
            <w:tcW w:w="931" w:type="dxa"/>
            <w:tcBorders>
              <w:top w:val="nil"/>
              <w:left w:val="nil"/>
              <w:bottom w:val="single" w:sz="4" w:space="0" w:color="auto"/>
              <w:right w:val="nil"/>
            </w:tcBorders>
            <w:shd w:val="clear" w:color="auto" w:fill="auto"/>
            <w:noWrap/>
            <w:vAlign w:val="bottom"/>
            <w:hideMark/>
          </w:tcPr>
          <w:p w14:paraId="64C52C9F"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80</w:t>
            </w:r>
          </w:p>
        </w:tc>
        <w:tc>
          <w:tcPr>
            <w:tcW w:w="931" w:type="dxa"/>
            <w:tcBorders>
              <w:top w:val="nil"/>
              <w:left w:val="nil"/>
              <w:bottom w:val="single" w:sz="4" w:space="0" w:color="auto"/>
              <w:right w:val="nil"/>
            </w:tcBorders>
            <w:shd w:val="clear" w:color="auto" w:fill="auto"/>
            <w:noWrap/>
            <w:vAlign w:val="bottom"/>
            <w:hideMark/>
          </w:tcPr>
          <w:p w14:paraId="7B4DAD0B"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80</w:t>
            </w:r>
          </w:p>
        </w:tc>
        <w:tc>
          <w:tcPr>
            <w:tcW w:w="931" w:type="dxa"/>
            <w:tcBorders>
              <w:top w:val="nil"/>
              <w:left w:val="nil"/>
              <w:bottom w:val="single" w:sz="4" w:space="0" w:color="auto"/>
              <w:right w:val="nil"/>
            </w:tcBorders>
            <w:shd w:val="clear" w:color="auto" w:fill="auto"/>
            <w:noWrap/>
            <w:vAlign w:val="bottom"/>
            <w:hideMark/>
          </w:tcPr>
          <w:p w14:paraId="6DF484AA" w14:textId="77777777" w:rsidR="00255841" w:rsidRPr="00255841" w:rsidRDefault="00255841" w:rsidP="00255841">
            <w:pPr>
              <w:spacing w:before="0" w:after="0" w:line="240" w:lineRule="auto"/>
              <w:jc w:val="right"/>
              <w:rPr>
                <w:rFonts w:ascii="Arial" w:hAnsi="Arial" w:cs="Arial"/>
                <w:b/>
                <w:bCs/>
                <w:color w:val="000000"/>
                <w:sz w:val="16"/>
                <w:szCs w:val="16"/>
              </w:rPr>
            </w:pPr>
            <w:r w:rsidRPr="00255841">
              <w:rPr>
                <w:rFonts w:ascii="Arial" w:hAnsi="Arial" w:cs="Arial"/>
                <w:b/>
                <w:bCs/>
                <w:color w:val="000000"/>
                <w:sz w:val="16"/>
                <w:szCs w:val="16"/>
              </w:rPr>
              <w:t>80</w:t>
            </w:r>
          </w:p>
        </w:tc>
      </w:tr>
    </w:tbl>
    <w:p w14:paraId="10908B57" w14:textId="77777777" w:rsidR="00255841" w:rsidRDefault="008C73CD" w:rsidP="00255841">
      <w:pPr>
        <w:pStyle w:val="FootnoteText"/>
        <w:spacing w:before="120"/>
        <w:rPr>
          <w:snapToGrid w:val="0"/>
        </w:rPr>
      </w:pPr>
      <w:r w:rsidRPr="00606521">
        <w:rPr>
          <w:snapToGrid w:val="0"/>
        </w:rPr>
        <w:t>DCB = Departmental Capital Budget</w:t>
      </w:r>
    </w:p>
    <w:p w14:paraId="3EEB9B1E" w14:textId="656C8E00" w:rsidR="008C73CD" w:rsidRPr="00606521" w:rsidRDefault="008C73CD" w:rsidP="00255841">
      <w:pPr>
        <w:pStyle w:val="FootnoteText"/>
        <w:rPr>
          <w:snapToGrid w:val="0"/>
        </w:rPr>
      </w:pPr>
      <w:r w:rsidRPr="00606521">
        <w:rPr>
          <w:snapToGrid w:val="0"/>
        </w:rPr>
        <w:t>OPA = Official Public Account</w:t>
      </w:r>
      <w:r w:rsidRPr="00606521">
        <w:rPr>
          <w:snapToGrid w:val="0"/>
        </w:rPr>
        <w:tab/>
      </w:r>
    </w:p>
    <w:p w14:paraId="6FAAB17A" w14:textId="77777777" w:rsidR="008C73CD" w:rsidRDefault="008C73CD" w:rsidP="008C73CD">
      <w:pPr>
        <w:spacing w:before="0" w:after="0" w:line="240" w:lineRule="auto"/>
        <w:rPr>
          <w:rFonts w:ascii="Arial" w:hAnsi="Arial"/>
          <w:b/>
          <w:snapToGrid w:val="0"/>
          <w:sz w:val="20"/>
        </w:rPr>
      </w:pPr>
      <w:r>
        <w:rPr>
          <w:snapToGrid w:val="0"/>
        </w:rPr>
        <w:br w:type="page"/>
      </w:r>
    </w:p>
    <w:p w14:paraId="02677E86" w14:textId="77777777" w:rsidR="008C73CD" w:rsidRDefault="008C73CD" w:rsidP="008C73CD">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765" w:type="dxa"/>
        <w:jc w:val="center"/>
        <w:tblLayout w:type="fixed"/>
        <w:tblLook w:val="04A0" w:firstRow="1" w:lastRow="0" w:firstColumn="1" w:lastColumn="0" w:noHBand="0" w:noVBand="1"/>
      </w:tblPr>
      <w:tblGrid>
        <w:gridCol w:w="3118"/>
        <w:gridCol w:w="935"/>
        <w:gridCol w:w="935"/>
        <w:gridCol w:w="935"/>
        <w:gridCol w:w="935"/>
        <w:gridCol w:w="907"/>
      </w:tblGrid>
      <w:tr w:rsidR="003B71E9" w:rsidRPr="00606521" w14:paraId="2BA9B24A" w14:textId="77777777" w:rsidTr="003B71E9">
        <w:trPr>
          <w:trHeight w:val="737"/>
          <w:jc w:val="center"/>
        </w:trPr>
        <w:tc>
          <w:tcPr>
            <w:tcW w:w="3118" w:type="dxa"/>
            <w:tcBorders>
              <w:top w:val="single" w:sz="4" w:space="0" w:color="auto"/>
              <w:left w:val="nil"/>
              <w:bottom w:val="nil"/>
              <w:right w:val="nil"/>
            </w:tcBorders>
            <w:shd w:val="clear" w:color="auto" w:fill="auto"/>
            <w:hideMark/>
          </w:tcPr>
          <w:p w14:paraId="576D8F0E" w14:textId="3E97388C"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 </w:t>
            </w:r>
          </w:p>
        </w:tc>
        <w:tc>
          <w:tcPr>
            <w:tcW w:w="935" w:type="dxa"/>
            <w:tcBorders>
              <w:top w:val="single" w:sz="4" w:space="0" w:color="auto"/>
              <w:left w:val="nil"/>
              <w:bottom w:val="single" w:sz="4" w:space="0" w:color="auto"/>
              <w:right w:val="nil"/>
            </w:tcBorders>
            <w:shd w:val="clear" w:color="auto" w:fill="auto"/>
            <w:hideMark/>
          </w:tcPr>
          <w:p w14:paraId="2115E4A8" w14:textId="14755BD0"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Actual</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935" w:type="dxa"/>
            <w:tcBorders>
              <w:top w:val="single" w:sz="4" w:space="0" w:color="auto"/>
              <w:left w:val="nil"/>
              <w:bottom w:val="single" w:sz="4" w:space="0" w:color="auto"/>
              <w:right w:val="nil"/>
            </w:tcBorders>
            <w:shd w:val="clear" w:color="000000" w:fill="D9D9D9"/>
            <w:hideMark/>
          </w:tcPr>
          <w:p w14:paraId="5FF1BFF8" w14:textId="092F13AC"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Revised</w:t>
            </w:r>
            <w:r>
              <w:rPr>
                <w:rFonts w:ascii="Arial" w:hAnsi="Arial" w:cs="Arial"/>
                <w:b/>
                <w:bCs/>
                <w:sz w:val="16"/>
                <w:szCs w:val="16"/>
              </w:rPr>
              <w:br/>
              <w:t>Budget</w:t>
            </w:r>
            <w:r>
              <w:rPr>
                <w:rFonts w:ascii="Arial" w:hAnsi="Arial" w:cs="Arial"/>
                <w:b/>
                <w:bCs/>
                <w:sz w:val="16"/>
                <w:szCs w:val="16"/>
              </w:rPr>
              <w:br/>
            </w:r>
            <w:r>
              <w:rPr>
                <w:rFonts w:ascii="Arial" w:hAnsi="Arial" w:cs="Arial"/>
                <w:sz w:val="16"/>
                <w:szCs w:val="16"/>
              </w:rPr>
              <w:t>$'000</w:t>
            </w:r>
          </w:p>
        </w:tc>
        <w:tc>
          <w:tcPr>
            <w:tcW w:w="935" w:type="dxa"/>
            <w:tcBorders>
              <w:top w:val="single" w:sz="4" w:space="0" w:color="auto"/>
              <w:left w:val="nil"/>
              <w:bottom w:val="single" w:sz="4" w:space="0" w:color="auto"/>
              <w:right w:val="nil"/>
            </w:tcBorders>
            <w:shd w:val="clear" w:color="auto" w:fill="auto"/>
            <w:hideMark/>
          </w:tcPr>
          <w:p w14:paraId="585E7D1C" w14:textId="43B762D9"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35" w:type="dxa"/>
            <w:tcBorders>
              <w:top w:val="single" w:sz="4" w:space="0" w:color="auto"/>
              <w:left w:val="nil"/>
              <w:bottom w:val="single" w:sz="4" w:space="0" w:color="auto"/>
              <w:right w:val="nil"/>
            </w:tcBorders>
            <w:shd w:val="clear" w:color="auto" w:fill="auto"/>
            <w:hideMark/>
          </w:tcPr>
          <w:p w14:paraId="3BF28A37" w14:textId="1AEDB332"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c>
          <w:tcPr>
            <w:tcW w:w="907" w:type="dxa"/>
            <w:tcBorders>
              <w:top w:val="single" w:sz="4" w:space="0" w:color="auto"/>
              <w:left w:val="nil"/>
              <w:bottom w:val="single" w:sz="4" w:space="0" w:color="auto"/>
              <w:right w:val="nil"/>
            </w:tcBorders>
            <w:shd w:val="clear" w:color="auto" w:fill="auto"/>
            <w:hideMark/>
          </w:tcPr>
          <w:p w14:paraId="62AD4129" w14:textId="4D2E26F9" w:rsidR="003B71E9" w:rsidRPr="00606521" w:rsidRDefault="003B71E9" w:rsidP="003B71E9">
            <w:pPr>
              <w:spacing w:before="24" w:after="0" w:line="240" w:lineRule="auto"/>
              <w:jc w:val="right"/>
              <w:rPr>
                <w:rFonts w:ascii="Arial" w:hAnsi="Arial" w:cs="Arial"/>
                <w:b/>
                <w:bCs/>
                <w:sz w:val="16"/>
                <w:szCs w:val="16"/>
              </w:rPr>
            </w:pPr>
            <w:r>
              <w:rPr>
                <w:rFonts w:ascii="Arial" w:hAnsi="Arial" w:cs="Arial"/>
                <w:b/>
                <w:bCs/>
                <w:sz w:val="16"/>
                <w:szCs w:val="16"/>
              </w:rPr>
              <w:t>2026–27 Forward estimate</w:t>
            </w:r>
            <w:r>
              <w:rPr>
                <w:rFonts w:ascii="Arial" w:hAnsi="Arial" w:cs="Arial"/>
                <w:b/>
                <w:bCs/>
                <w:sz w:val="16"/>
                <w:szCs w:val="16"/>
              </w:rPr>
              <w:br/>
            </w:r>
            <w:r>
              <w:rPr>
                <w:rFonts w:ascii="Arial" w:hAnsi="Arial" w:cs="Arial"/>
                <w:sz w:val="16"/>
                <w:szCs w:val="16"/>
              </w:rPr>
              <w:t>$'000</w:t>
            </w:r>
          </w:p>
        </w:tc>
      </w:tr>
      <w:tr w:rsidR="003B71E9" w:rsidRPr="00606521" w14:paraId="015749B0"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2829860B" w14:textId="120C9850" w:rsidR="003B71E9" w:rsidRPr="00606521" w:rsidRDefault="003B71E9" w:rsidP="003B71E9">
            <w:pPr>
              <w:spacing w:before="0" w:after="0" w:line="240" w:lineRule="auto"/>
              <w:rPr>
                <w:rFonts w:ascii="Arial" w:hAnsi="Arial" w:cs="Arial"/>
                <w:b/>
                <w:bCs/>
                <w:sz w:val="16"/>
                <w:szCs w:val="16"/>
              </w:rPr>
            </w:pPr>
            <w:r>
              <w:rPr>
                <w:rFonts w:ascii="Arial" w:hAnsi="Arial" w:cs="Arial"/>
                <w:b/>
                <w:bCs/>
                <w:sz w:val="16"/>
                <w:szCs w:val="16"/>
              </w:rPr>
              <w:t>CAPITAL APPROPRIATIONS</w:t>
            </w:r>
          </w:p>
        </w:tc>
        <w:tc>
          <w:tcPr>
            <w:tcW w:w="935" w:type="dxa"/>
            <w:tcBorders>
              <w:top w:val="nil"/>
              <w:left w:val="nil"/>
              <w:bottom w:val="nil"/>
              <w:right w:val="nil"/>
            </w:tcBorders>
            <w:shd w:val="clear" w:color="000000" w:fill="FFFFFF"/>
            <w:noWrap/>
            <w:vAlign w:val="bottom"/>
            <w:hideMark/>
          </w:tcPr>
          <w:p w14:paraId="5C082092" w14:textId="7DC7C2A1"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000000" w:fill="D9D9D9"/>
            <w:noWrap/>
            <w:vAlign w:val="bottom"/>
            <w:hideMark/>
          </w:tcPr>
          <w:p w14:paraId="3ED6734E" w14:textId="72AF1E7A"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auto" w:fill="auto"/>
            <w:noWrap/>
            <w:vAlign w:val="bottom"/>
            <w:hideMark/>
          </w:tcPr>
          <w:p w14:paraId="44125140" w14:textId="77777777" w:rsidR="003B71E9" w:rsidRPr="00606521" w:rsidRDefault="003B71E9" w:rsidP="003B71E9">
            <w:pPr>
              <w:spacing w:before="0" w:after="0" w:line="240" w:lineRule="auto"/>
              <w:jc w:val="right"/>
              <w:rPr>
                <w:rFonts w:ascii="Arial" w:hAnsi="Arial" w:cs="Arial"/>
                <w:sz w:val="16"/>
                <w:szCs w:val="16"/>
              </w:rPr>
            </w:pPr>
          </w:p>
        </w:tc>
        <w:tc>
          <w:tcPr>
            <w:tcW w:w="935" w:type="dxa"/>
            <w:tcBorders>
              <w:top w:val="nil"/>
              <w:left w:val="nil"/>
              <w:bottom w:val="nil"/>
              <w:right w:val="nil"/>
            </w:tcBorders>
            <w:shd w:val="clear" w:color="000000" w:fill="FFFFFF"/>
            <w:noWrap/>
            <w:vAlign w:val="bottom"/>
            <w:hideMark/>
          </w:tcPr>
          <w:p w14:paraId="0DC3DCE5" w14:textId="51A752DB"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14:paraId="2DFDEC19" w14:textId="15436D1E"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r>
      <w:tr w:rsidR="003B71E9" w:rsidRPr="00606521" w14:paraId="67EAA156"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0CB286CF" w14:textId="49529D81" w:rsidR="003B71E9" w:rsidRPr="00606521" w:rsidRDefault="003B71E9" w:rsidP="003B71E9">
            <w:pPr>
              <w:spacing w:before="0" w:after="0" w:line="240" w:lineRule="auto"/>
              <w:ind w:leftChars="75" w:left="143"/>
              <w:rPr>
                <w:rFonts w:ascii="Arial" w:hAnsi="Arial" w:cs="Arial"/>
                <w:sz w:val="16"/>
                <w:szCs w:val="16"/>
              </w:rPr>
            </w:pPr>
            <w:r>
              <w:rPr>
                <w:rFonts w:ascii="Arial" w:hAnsi="Arial" w:cs="Arial"/>
                <w:sz w:val="16"/>
                <w:szCs w:val="16"/>
              </w:rPr>
              <w:t>Capital budget - Bill 1 (DCB)</w:t>
            </w:r>
          </w:p>
        </w:tc>
        <w:tc>
          <w:tcPr>
            <w:tcW w:w="935" w:type="dxa"/>
            <w:tcBorders>
              <w:top w:val="nil"/>
              <w:left w:val="nil"/>
              <w:bottom w:val="nil"/>
              <w:right w:val="nil"/>
            </w:tcBorders>
            <w:shd w:val="clear" w:color="auto" w:fill="auto"/>
            <w:noWrap/>
            <w:vAlign w:val="bottom"/>
            <w:hideMark/>
          </w:tcPr>
          <w:p w14:paraId="37EA6A93" w14:textId="70F114DC"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954</w:t>
            </w:r>
          </w:p>
        </w:tc>
        <w:tc>
          <w:tcPr>
            <w:tcW w:w="935" w:type="dxa"/>
            <w:tcBorders>
              <w:top w:val="nil"/>
              <w:left w:val="nil"/>
              <w:bottom w:val="nil"/>
              <w:right w:val="nil"/>
            </w:tcBorders>
            <w:shd w:val="clear" w:color="000000" w:fill="D9D9D9"/>
            <w:noWrap/>
            <w:vAlign w:val="bottom"/>
            <w:hideMark/>
          </w:tcPr>
          <w:p w14:paraId="3707514C" w14:textId="60E9A89F"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2,636</w:t>
            </w:r>
          </w:p>
        </w:tc>
        <w:tc>
          <w:tcPr>
            <w:tcW w:w="935" w:type="dxa"/>
            <w:tcBorders>
              <w:top w:val="nil"/>
              <w:left w:val="nil"/>
              <w:bottom w:val="nil"/>
              <w:right w:val="nil"/>
            </w:tcBorders>
            <w:shd w:val="clear" w:color="auto" w:fill="auto"/>
            <w:noWrap/>
            <w:vAlign w:val="bottom"/>
            <w:hideMark/>
          </w:tcPr>
          <w:p w14:paraId="2EC6A222" w14:textId="5BEC0C3C"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240</w:t>
            </w:r>
          </w:p>
        </w:tc>
        <w:tc>
          <w:tcPr>
            <w:tcW w:w="935" w:type="dxa"/>
            <w:tcBorders>
              <w:top w:val="nil"/>
              <w:left w:val="nil"/>
              <w:bottom w:val="nil"/>
              <w:right w:val="nil"/>
            </w:tcBorders>
            <w:shd w:val="clear" w:color="auto" w:fill="auto"/>
            <w:noWrap/>
            <w:vAlign w:val="bottom"/>
            <w:hideMark/>
          </w:tcPr>
          <w:p w14:paraId="1546BDCF" w14:textId="15A2C0B7"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241</w:t>
            </w:r>
          </w:p>
        </w:tc>
        <w:tc>
          <w:tcPr>
            <w:tcW w:w="907" w:type="dxa"/>
            <w:tcBorders>
              <w:top w:val="nil"/>
              <w:left w:val="nil"/>
              <w:bottom w:val="nil"/>
              <w:right w:val="nil"/>
            </w:tcBorders>
            <w:shd w:val="clear" w:color="auto" w:fill="auto"/>
            <w:noWrap/>
            <w:vAlign w:val="bottom"/>
            <w:hideMark/>
          </w:tcPr>
          <w:p w14:paraId="55EC5E4D" w14:textId="55E11DE5"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243</w:t>
            </w:r>
          </w:p>
        </w:tc>
      </w:tr>
      <w:tr w:rsidR="003B71E9" w:rsidRPr="00606521" w14:paraId="78352F36"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2F3C59A1" w14:textId="3E81EB2A" w:rsidR="003B71E9" w:rsidRPr="00606521" w:rsidRDefault="003B71E9" w:rsidP="003B71E9">
            <w:pPr>
              <w:spacing w:before="0" w:after="0" w:line="240" w:lineRule="auto"/>
              <w:ind w:leftChars="75" w:left="143"/>
              <w:rPr>
                <w:rFonts w:ascii="Arial" w:hAnsi="Arial" w:cs="Arial"/>
                <w:b/>
                <w:bCs/>
                <w:sz w:val="16"/>
                <w:szCs w:val="16"/>
              </w:rPr>
            </w:pPr>
            <w:r>
              <w:rPr>
                <w:rFonts w:ascii="Arial" w:hAnsi="Arial" w:cs="Arial"/>
                <w:b/>
                <w:bCs/>
                <w:sz w:val="16"/>
                <w:szCs w:val="16"/>
              </w:rPr>
              <w:t>Total capital appropriations</w:t>
            </w:r>
          </w:p>
        </w:tc>
        <w:tc>
          <w:tcPr>
            <w:tcW w:w="935" w:type="dxa"/>
            <w:tcBorders>
              <w:top w:val="nil"/>
              <w:left w:val="nil"/>
              <w:bottom w:val="single" w:sz="4" w:space="0" w:color="auto"/>
              <w:right w:val="nil"/>
            </w:tcBorders>
            <w:shd w:val="clear" w:color="auto" w:fill="auto"/>
            <w:noWrap/>
            <w:vAlign w:val="bottom"/>
            <w:hideMark/>
          </w:tcPr>
          <w:p w14:paraId="394732DB" w14:textId="1CCCBBB4"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954</w:t>
            </w:r>
          </w:p>
        </w:tc>
        <w:tc>
          <w:tcPr>
            <w:tcW w:w="935" w:type="dxa"/>
            <w:tcBorders>
              <w:top w:val="nil"/>
              <w:left w:val="nil"/>
              <w:bottom w:val="single" w:sz="4" w:space="0" w:color="auto"/>
              <w:right w:val="nil"/>
            </w:tcBorders>
            <w:shd w:val="clear" w:color="000000" w:fill="D9D9D9"/>
            <w:noWrap/>
            <w:vAlign w:val="bottom"/>
            <w:hideMark/>
          </w:tcPr>
          <w:p w14:paraId="7B76CC54" w14:textId="269F4649"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2,636</w:t>
            </w:r>
          </w:p>
        </w:tc>
        <w:tc>
          <w:tcPr>
            <w:tcW w:w="935" w:type="dxa"/>
            <w:tcBorders>
              <w:top w:val="nil"/>
              <w:left w:val="nil"/>
              <w:bottom w:val="single" w:sz="4" w:space="0" w:color="auto"/>
              <w:right w:val="nil"/>
            </w:tcBorders>
            <w:shd w:val="clear" w:color="auto" w:fill="auto"/>
            <w:noWrap/>
            <w:vAlign w:val="bottom"/>
            <w:hideMark/>
          </w:tcPr>
          <w:p w14:paraId="1789AB61" w14:textId="19EDA758"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240</w:t>
            </w:r>
          </w:p>
        </w:tc>
        <w:tc>
          <w:tcPr>
            <w:tcW w:w="935" w:type="dxa"/>
            <w:tcBorders>
              <w:top w:val="nil"/>
              <w:left w:val="nil"/>
              <w:bottom w:val="single" w:sz="4" w:space="0" w:color="auto"/>
              <w:right w:val="nil"/>
            </w:tcBorders>
            <w:shd w:val="clear" w:color="auto" w:fill="auto"/>
            <w:noWrap/>
            <w:vAlign w:val="bottom"/>
            <w:hideMark/>
          </w:tcPr>
          <w:p w14:paraId="17805B44" w14:textId="3653A37B"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241</w:t>
            </w:r>
          </w:p>
        </w:tc>
        <w:tc>
          <w:tcPr>
            <w:tcW w:w="907" w:type="dxa"/>
            <w:tcBorders>
              <w:top w:val="nil"/>
              <w:left w:val="nil"/>
              <w:bottom w:val="single" w:sz="4" w:space="0" w:color="auto"/>
              <w:right w:val="nil"/>
            </w:tcBorders>
            <w:shd w:val="clear" w:color="auto" w:fill="auto"/>
            <w:noWrap/>
            <w:vAlign w:val="bottom"/>
            <w:hideMark/>
          </w:tcPr>
          <w:p w14:paraId="323A0DEE" w14:textId="1C921BFA"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243</w:t>
            </w:r>
          </w:p>
        </w:tc>
      </w:tr>
      <w:tr w:rsidR="003B71E9" w:rsidRPr="00606521" w14:paraId="7F48E9E1" w14:textId="77777777" w:rsidTr="00F51B52">
        <w:trPr>
          <w:trHeight w:val="454"/>
          <w:jc w:val="center"/>
        </w:trPr>
        <w:tc>
          <w:tcPr>
            <w:tcW w:w="3118" w:type="dxa"/>
            <w:tcBorders>
              <w:top w:val="nil"/>
              <w:left w:val="nil"/>
              <w:bottom w:val="nil"/>
              <w:right w:val="nil"/>
            </w:tcBorders>
            <w:shd w:val="clear" w:color="000000" w:fill="FFFFFF"/>
            <w:vAlign w:val="bottom"/>
            <w:hideMark/>
          </w:tcPr>
          <w:p w14:paraId="2B611CF6" w14:textId="62D44C04" w:rsidR="003B71E9" w:rsidRPr="00606521" w:rsidRDefault="003B71E9" w:rsidP="003B71E9">
            <w:pPr>
              <w:spacing w:before="0" w:after="0" w:line="240" w:lineRule="auto"/>
              <w:rPr>
                <w:rFonts w:ascii="Arial" w:hAnsi="Arial" w:cs="Arial"/>
                <w:b/>
                <w:bCs/>
                <w:sz w:val="16"/>
                <w:szCs w:val="16"/>
              </w:rPr>
            </w:pPr>
            <w:r>
              <w:rPr>
                <w:rFonts w:ascii="Arial" w:hAnsi="Arial" w:cs="Arial"/>
                <w:b/>
                <w:bCs/>
                <w:sz w:val="16"/>
                <w:szCs w:val="16"/>
              </w:rPr>
              <w:t>Total new capital appropriations represented by:</w:t>
            </w:r>
          </w:p>
        </w:tc>
        <w:tc>
          <w:tcPr>
            <w:tcW w:w="935" w:type="dxa"/>
            <w:tcBorders>
              <w:top w:val="nil"/>
              <w:left w:val="nil"/>
              <w:bottom w:val="nil"/>
              <w:right w:val="nil"/>
            </w:tcBorders>
            <w:shd w:val="clear" w:color="000000" w:fill="FFFFFF"/>
            <w:noWrap/>
            <w:vAlign w:val="bottom"/>
            <w:hideMark/>
          </w:tcPr>
          <w:p w14:paraId="47A0C409" w14:textId="7BBDC987"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000000" w:fill="D9D9D9"/>
            <w:noWrap/>
            <w:vAlign w:val="bottom"/>
            <w:hideMark/>
          </w:tcPr>
          <w:p w14:paraId="7D8D6FB9" w14:textId="2232B88C"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auto" w:fill="auto"/>
            <w:noWrap/>
            <w:vAlign w:val="bottom"/>
            <w:hideMark/>
          </w:tcPr>
          <w:p w14:paraId="3603FFF9" w14:textId="77777777" w:rsidR="003B71E9" w:rsidRPr="00606521" w:rsidRDefault="003B71E9" w:rsidP="003B71E9">
            <w:pPr>
              <w:spacing w:before="0" w:after="0" w:line="240" w:lineRule="auto"/>
              <w:jc w:val="right"/>
              <w:rPr>
                <w:rFonts w:ascii="Arial" w:hAnsi="Arial" w:cs="Arial"/>
                <w:sz w:val="16"/>
                <w:szCs w:val="16"/>
              </w:rPr>
            </w:pPr>
          </w:p>
        </w:tc>
        <w:tc>
          <w:tcPr>
            <w:tcW w:w="935" w:type="dxa"/>
            <w:tcBorders>
              <w:top w:val="nil"/>
              <w:left w:val="nil"/>
              <w:bottom w:val="nil"/>
              <w:right w:val="nil"/>
            </w:tcBorders>
            <w:shd w:val="clear" w:color="000000" w:fill="FFFFFF"/>
            <w:noWrap/>
            <w:vAlign w:val="bottom"/>
            <w:hideMark/>
          </w:tcPr>
          <w:p w14:paraId="527FBF5C" w14:textId="0E608E8A"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14:paraId="09DD0657" w14:textId="7215ED66"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r>
      <w:tr w:rsidR="003B71E9" w:rsidRPr="00606521" w14:paraId="12C8A82D"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2B41585F" w14:textId="3A4153BB" w:rsidR="003B71E9" w:rsidRPr="00606521" w:rsidRDefault="003B71E9" w:rsidP="003B71E9">
            <w:pPr>
              <w:spacing w:before="0" w:after="0" w:line="240" w:lineRule="auto"/>
              <w:ind w:leftChars="75" w:left="143"/>
              <w:rPr>
                <w:rFonts w:ascii="Arial" w:hAnsi="Arial" w:cs="Arial"/>
                <w:sz w:val="16"/>
                <w:szCs w:val="16"/>
              </w:rPr>
            </w:pPr>
            <w:r>
              <w:rPr>
                <w:rFonts w:ascii="Arial" w:hAnsi="Arial" w:cs="Arial"/>
                <w:sz w:val="16"/>
                <w:szCs w:val="16"/>
              </w:rPr>
              <w:t>Purchase of non-financial assets</w:t>
            </w:r>
          </w:p>
        </w:tc>
        <w:tc>
          <w:tcPr>
            <w:tcW w:w="935" w:type="dxa"/>
            <w:tcBorders>
              <w:top w:val="nil"/>
              <w:left w:val="nil"/>
              <w:bottom w:val="nil"/>
              <w:right w:val="nil"/>
            </w:tcBorders>
            <w:shd w:val="clear" w:color="auto" w:fill="auto"/>
            <w:noWrap/>
            <w:vAlign w:val="bottom"/>
            <w:hideMark/>
          </w:tcPr>
          <w:p w14:paraId="04E80344" w14:textId="6E724E51"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97</w:t>
            </w:r>
          </w:p>
        </w:tc>
        <w:tc>
          <w:tcPr>
            <w:tcW w:w="935" w:type="dxa"/>
            <w:tcBorders>
              <w:top w:val="nil"/>
              <w:left w:val="nil"/>
              <w:bottom w:val="nil"/>
              <w:right w:val="nil"/>
            </w:tcBorders>
            <w:shd w:val="clear" w:color="000000" w:fill="D9D9D9"/>
            <w:noWrap/>
            <w:vAlign w:val="bottom"/>
            <w:hideMark/>
          </w:tcPr>
          <w:p w14:paraId="53D1F782" w14:textId="77785927"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2,636</w:t>
            </w:r>
          </w:p>
        </w:tc>
        <w:tc>
          <w:tcPr>
            <w:tcW w:w="935" w:type="dxa"/>
            <w:tcBorders>
              <w:top w:val="nil"/>
              <w:left w:val="nil"/>
              <w:bottom w:val="nil"/>
              <w:right w:val="nil"/>
            </w:tcBorders>
            <w:shd w:val="clear" w:color="auto" w:fill="auto"/>
            <w:noWrap/>
            <w:vAlign w:val="bottom"/>
            <w:hideMark/>
          </w:tcPr>
          <w:p w14:paraId="39110BB8" w14:textId="491CDF5E"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240</w:t>
            </w:r>
          </w:p>
        </w:tc>
        <w:tc>
          <w:tcPr>
            <w:tcW w:w="935" w:type="dxa"/>
            <w:tcBorders>
              <w:top w:val="nil"/>
              <w:left w:val="nil"/>
              <w:bottom w:val="nil"/>
              <w:right w:val="nil"/>
            </w:tcBorders>
            <w:shd w:val="clear" w:color="auto" w:fill="auto"/>
            <w:noWrap/>
            <w:vAlign w:val="bottom"/>
            <w:hideMark/>
          </w:tcPr>
          <w:p w14:paraId="5DFB7559" w14:textId="0D33C08B"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241</w:t>
            </w:r>
          </w:p>
        </w:tc>
        <w:tc>
          <w:tcPr>
            <w:tcW w:w="907" w:type="dxa"/>
            <w:tcBorders>
              <w:top w:val="nil"/>
              <w:left w:val="nil"/>
              <w:bottom w:val="nil"/>
              <w:right w:val="nil"/>
            </w:tcBorders>
            <w:shd w:val="clear" w:color="auto" w:fill="auto"/>
            <w:noWrap/>
            <w:vAlign w:val="bottom"/>
            <w:hideMark/>
          </w:tcPr>
          <w:p w14:paraId="12D1B991" w14:textId="41A6BA52"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243</w:t>
            </w:r>
          </w:p>
        </w:tc>
      </w:tr>
      <w:tr w:rsidR="003B71E9" w:rsidRPr="00606521" w14:paraId="4658DA74"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36E8782D" w14:textId="176236C9" w:rsidR="003B71E9" w:rsidRPr="00606521" w:rsidRDefault="003B71E9" w:rsidP="003B71E9">
            <w:pPr>
              <w:spacing w:before="0" w:after="0" w:line="240" w:lineRule="auto"/>
              <w:ind w:leftChars="75" w:left="143"/>
              <w:rPr>
                <w:rFonts w:ascii="Arial" w:hAnsi="Arial" w:cs="Arial"/>
                <w:b/>
                <w:bCs/>
                <w:sz w:val="16"/>
                <w:szCs w:val="16"/>
              </w:rPr>
            </w:pPr>
            <w:r>
              <w:rPr>
                <w:rFonts w:ascii="Arial" w:hAnsi="Arial" w:cs="Arial"/>
                <w:b/>
                <w:bCs/>
                <w:sz w:val="16"/>
                <w:szCs w:val="16"/>
              </w:rPr>
              <w:t>Total items</w:t>
            </w:r>
          </w:p>
        </w:tc>
        <w:tc>
          <w:tcPr>
            <w:tcW w:w="935" w:type="dxa"/>
            <w:tcBorders>
              <w:top w:val="nil"/>
              <w:left w:val="nil"/>
              <w:bottom w:val="single" w:sz="4" w:space="0" w:color="auto"/>
              <w:right w:val="nil"/>
            </w:tcBorders>
            <w:shd w:val="clear" w:color="auto" w:fill="auto"/>
            <w:noWrap/>
            <w:vAlign w:val="bottom"/>
            <w:hideMark/>
          </w:tcPr>
          <w:p w14:paraId="0F57282C" w14:textId="7CCECA10"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97</w:t>
            </w:r>
          </w:p>
        </w:tc>
        <w:tc>
          <w:tcPr>
            <w:tcW w:w="935" w:type="dxa"/>
            <w:tcBorders>
              <w:top w:val="nil"/>
              <w:left w:val="nil"/>
              <w:bottom w:val="single" w:sz="4" w:space="0" w:color="auto"/>
              <w:right w:val="nil"/>
            </w:tcBorders>
            <w:shd w:val="clear" w:color="000000" w:fill="D9D9D9"/>
            <w:noWrap/>
            <w:vAlign w:val="bottom"/>
            <w:hideMark/>
          </w:tcPr>
          <w:p w14:paraId="1DACE0F3" w14:textId="197305C1"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2,636</w:t>
            </w:r>
          </w:p>
        </w:tc>
        <w:tc>
          <w:tcPr>
            <w:tcW w:w="935" w:type="dxa"/>
            <w:tcBorders>
              <w:top w:val="nil"/>
              <w:left w:val="nil"/>
              <w:bottom w:val="single" w:sz="4" w:space="0" w:color="auto"/>
              <w:right w:val="nil"/>
            </w:tcBorders>
            <w:shd w:val="clear" w:color="auto" w:fill="auto"/>
            <w:noWrap/>
            <w:vAlign w:val="bottom"/>
            <w:hideMark/>
          </w:tcPr>
          <w:p w14:paraId="0C3E9044" w14:textId="47D942A8"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240</w:t>
            </w:r>
          </w:p>
        </w:tc>
        <w:tc>
          <w:tcPr>
            <w:tcW w:w="935" w:type="dxa"/>
            <w:tcBorders>
              <w:top w:val="nil"/>
              <w:left w:val="nil"/>
              <w:bottom w:val="single" w:sz="4" w:space="0" w:color="auto"/>
              <w:right w:val="nil"/>
            </w:tcBorders>
            <w:shd w:val="clear" w:color="auto" w:fill="auto"/>
            <w:noWrap/>
            <w:vAlign w:val="bottom"/>
            <w:hideMark/>
          </w:tcPr>
          <w:p w14:paraId="573126D7" w14:textId="2AC0F638"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241</w:t>
            </w:r>
          </w:p>
        </w:tc>
        <w:tc>
          <w:tcPr>
            <w:tcW w:w="907" w:type="dxa"/>
            <w:tcBorders>
              <w:top w:val="nil"/>
              <w:left w:val="nil"/>
              <w:bottom w:val="single" w:sz="4" w:space="0" w:color="auto"/>
              <w:right w:val="nil"/>
            </w:tcBorders>
            <w:shd w:val="clear" w:color="auto" w:fill="auto"/>
            <w:noWrap/>
            <w:vAlign w:val="bottom"/>
            <w:hideMark/>
          </w:tcPr>
          <w:p w14:paraId="13ABF168" w14:textId="27EB2219"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243</w:t>
            </w:r>
          </w:p>
        </w:tc>
      </w:tr>
      <w:tr w:rsidR="003B71E9" w:rsidRPr="00606521" w14:paraId="27C5F297" w14:textId="77777777" w:rsidTr="00F51B52">
        <w:trPr>
          <w:trHeight w:val="454"/>
          <w:jc w:val="center"/>
        </w:trPr>
        <w:tc>
          <w:tcPr>
            <w:tcW w:w="3118" w:type="dxa"/>
            <w:tcBorders>
              <w:top w:val="nil"/>
              <w:left w:val="nil"/>
              <w:bottom w:val="nil"/>
              <w:right w:val="nil"/>
            </w:tcBorders>
            <w:shd w:val="clear" w:color="000000" w:fill="FFFFFF"/>
            <w:vAlign w:val="bottom"/>
            <w:hideMark/>
          </w:tcPr>
          <w:p w14:paraId="59C16C68" w14:textId="2EFE98C7" w:rsidR="003B71E9" w:rsidRPr="00606521" w:rsidRDefault="003B71E9" w:rsidP="003B71E9">
            <w:pPr>
              <w:spacing w:before="0" w:after="0" w:line="240" w:lineRule="auto"/>
              <w:rPr>
                <w:rFonts w:ascii="Arial" w:hAnsi="Arial" w:cs="Arial"/>
                <w:b/>
                <w:bCs/>
                <w:sz w:val="16"/>
                <w:szCs w:val="16"/>
              </w:rPr>
            </w:pPr>
            <w:r>
              <w:rPr>
                <w:rFonts w:ascii="Arial" w:hAnsi="Arial" w:cs="Arial"/>
                <w:b/>
                <w:bCs/>
                <w:sz w:val="16"/>
                <w:szCs w:val="16"/>
              </w:rPr>
              <w:t>PURCHASE OF NON-FINANCIAL ASSETS</w:t>
            </w:r>
          </w:p>
        </w:tc>
        <w:tc>
          <w:tcPr>
            <w:tcW w:w="935" w:type="dxa"/>
            <w:tcBorders>
              <w:top w:val="nil"/>
              <w:left w:val="nil"/>
              <w:bottom w:val="nil"/>
              <w:right w:val="nil"/>
            </w:tcBorders>
            <w:shd w:val="clear" w:color="000000" w:fill="FFFFFF"/>
            <w:noWrap/>
            <w:vAlign w:val="bottom"/>
            <w:hideMark/>
          </w:tcPr>
          <w:p w14:paraId="6C68AA92" w14:textId="110FEDDC"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000000" w:fill="D9D9D9"/>
            <w:noWrap/>
            <w:vAlign w:val="bottom"/>
            <w:hideMark/>
          </w:tcPr>
          <w:p w14:paraId="0664863F" w14:textId="3EBCF5A3"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 </w:t>
            </w:r>
          </w:p>
        </w:tc>
        <w:tc>
          <w:tcPr>
            <w:tcW w:w="935" w:type="dxa"/>
            <w:tcBorders>
              <w:top w:val="nil"/>
              <w:left w:val="nil"/>
              <w:bottom w:val="nil"/>
              <w:right w:val="nil"/>
            </w:tcBorders>
            <w:shd w:val="clear" w:color="auto" w:fill="auto"/>
            <w:noWrap/>
            <w:vAlign w:val="bottom"/>
            <w:hideMark/>
          </w:tcPr>
          <w:p w14:paraId="597EE53E" w14:textId="77777777" w:rsidR="003B71E9" w:rsidRPr="00606521" w:rsidRDefault="003B71E9" w:rsidP="003B71E9">
            <w:pPr>
              <w:spacing w:before="0" w:after="0" w:line="240" w:lineRule="auto"/>
              <w:jc w:val="right"/>
              <w:rPr>
                <w:rFonts w:ascii="Arial" w:hAnsi="Arial" w:cs="Arial"/>
                <w:b/>
                <w:bCs/>
                <w:sz w:val="16"/>
                <w:szCs w:val="16"/>
              </w:rPr>
            </w:pPr>
          </w:p>
        </w:tc>
        <w:tc>
          <w:tcPr>
            <w:tcW w:w="935" w:type="dxa"/>
            <w:tcBorders>
              <w:top w:val="nil"/>
              <w:left w:val="nil"/>
              <w:bottom w:val="nil"/>
              <w:right w:val="nil"/>
            </w:tcBorders>
            <w:shd w:val="clear" w:color="000000" w:fill="FFFFFF"/>
            <w:noWrap/>
            <w:vAlign w:val="bottom"/>
            <w:hideMark/>
          </w:tcPr>
          <w:p w14:paraId="742D6ADD" w14:textId="0F3B88EF"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14:paraId="0D699D58" w14:textId="0F792307"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r>
      <w:tr w:rsidR="003B71E9" w:rsidRPr="00606521" w14:paraId="3DC9FBD2" w14:textId="77777777" w:rsidTr="00F51B52">
        <w:trPr>
          <w:trHeight w:val="225"/>
          <w:jc w:val="center"/>
        </w:trPr>
        <w:tc>
          <w:tcPr>
            <w:tcW w:w="3118" w:type="dxa"/>
            <w:tcBorders>
              <w:top w:val="nil"/>
              <w:left w:val="nil"/>
              <w:bottom w:val="nil"/>
              <w:right w:val="nil"/>
            </w:tcBorders>
            <w:shd w:val="clear" w:color="000000" w:fill="FFFFFF"/>
            <w:vAlign w:val="bottom"/>
            <w:hideMark/>
          </w:tcPr>
          <w:p w14:paraId="6FF8587B" w14:textId="2E0F2F01" w:rsidR="003B71E9" w:rsidRPr="00606521" w:rsidRDefault="003B71E9" w:rsidP="003B71E9">
            <w:pPr>
              <w:spacing w:before="0" w:after="0" w:line="240" w:lineRule="auto"/>
              <w:ind w:leftChars="75" w:left="143"/>
              <w:rPr>
                <w:rFonts w:ascii="Arial" w:hAnsi="Arial" w:cs="Arial"/>
                <w:sz w:val="16"/>
                <w:szCs w:val="16"/>
              </w:rPr>
            </w:pPr>
            <w:r>
              <w:rPr>
                <w:rFonts w:ascii="Arial" w:hAnsi="Arial" w:cs="Arial"/>
                <w:sz w:val="16"/>
                <w:szCs w:val="16"/>
              </w:rPr>
              <w:t xml:space="preserve">Funded by capital appropriations </w:t>
            </w:r>
          </w:p>
        </w:tc>
        <w:tc>
          <w:tcPr>
            <w:tcW w:w="935" w:type="dxa"/>
            <w:tcBorders>
              <w:top w:val="nil"/>
              <w:left w:val="nil"/>
              <w:bottom w:val="nil"/>
              <w:right w:val="nil"/>
            </w:tcBorders>
            <w:shd w:val="clear" w:color="000000" w:fill="FFFFFF"/>
            <w:noWrap/>
            <w:vAlign w:val="bottom"/>
            <w:hideMark/>
          </w:tcPr>
          <w:p w14:paraId="2567476B" w14:textId="4A86E4EE"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35" w:type="dxa"/>
            <w:tcBorders>
              <w:top w:val="nil"/>
              <w:left w:val="nil"/>
              <w:bottom w:val="nil"/>
              <w:right w:val="nil"/>
            </w:tcBorders>
            <w:shd w:val="clear" w:color="000000" w:fill="D9D9D9"/>
            <w:noWrap/>
            <w:vAlign w:val="bottom"/>
            <w:hideMark/>
          </w:tcPr>
          <w:p w14:paraId="062B9A88" w14:textId="63D8674D"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 </w:t>
            </w:r>
          </w:p>
        </w:tc>
        <w:tc>
          <w:tcPr>
            <w:tcW w:w="935" w:type="dxa"/>
            <w:tcBorders>
              <w:top w:val="nil"/>
              <w:left w:val="nil"/>
              <w:bottom w:val="nil"/>
              <w:right w:val="nil"/>
            </w:tcBorders>
            <w:shd w:val="clear" w:color="auto" w:fill="auto"/>
            <w:noWrap/>
            <w:vAlign w:val="bottom"/>
            <w:hideMark/>
          </w:tcPr>
          <w:p w14:paraId="51D411E5" w14:textId="77777777" w:rsidR="003B71E9" w:rsidRPr="00606521" w:rsidRDefault="003B71E9" w:rsidP="003B71E9">
            <w:pPr>
              <w:spacing w:before="0" w:after="0" w:line="240" w:lineRule="auto"/>
              <w:jc w:val="right"/>
              <w:rPr>
                <w:rFonts w:ascii="Arial" w:hAnsi="Arial" w:cs="Arial"/>
                <w:b/>
                <w:bCs/>
                <w:sz w:val="16"/>
                <w:szCs w:val="16"/>
              </w:rPr>
            </w:pPr>
          </w:p>
        </w:tc>
        <w:tc>
          <w:tcPr>
            <w:tcW w:w="935" w:type="dxa"/>
            <w:tcBorders>
              <w:top w:val="nil"/>
              <w:left w:val="nil"/>
              <w:bottom w:val="nil"/>
              <w:right w:val="nil"/>
            </w:tcBorders>
            <w:shd w:val="clear" w:color="000000" w:fill="FFFFFF"/>
            <w:noWrap/>
            <w:vAlign w:val="bottom"/>
            <w:hideMark/>
          </w:tcPr>
          <w:p w14:paraId="4FBF6AC3" w14:textId="157F7E49"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c>
          <w:tcPr>
            <w:tcW w:w="907" w:type="dxa"/>
            <w:tcBorders>
              <w:top w:val="nil"/>
              <w:left w:val="nil"/>
              <w:bottom w:val="nil"/>
              <w:right w:val="nil"/>
            </w:tcBorders>
            <w:shd w:val="clear" w:color="000000" w:fill="FFFFFF"/>
            <w:noWrap/>
            <w:vAlign w:val="bottom"/>
            <w:hideMark/>
          </w:tcPr>
          <w:p w14:paraId="7D6F9C3E" w14:textId="7B798682"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 </w:t>
            </w:r>
          </w:p>
        </w:tc>
      </w:tr>
      <w:tr w:rsidR="003B71E9" w:rsidRPr="00606521" w14:paraId="542FCFCA" w14:textId="77777777" w:rsidTr="00F01DDB">
        <w:trPr>
          <w:trHeight w:val="225"/>
          <w:jc w:val="center"/>
        </w:trPr>
        <w:tc>
          <w:tcPr>
            <w:tcW w:w="3118" w:type="dxa"/>
            <w:tcBorders>
              <w:top w:val="nil"/>
              <w:left w:val="nil"/>
              <w:bottom w:val="nil"/>
              <w:right w:val="nil"/>
            </w:tcBorders>
            <w:shd w:val="clear" w:color="000000" w:fill="FFFFFF"/>
            <w:noWrap/>
            <w:vAlign w:val="bottom"/>
            <w:hideMark/>
          </w:tcPr>
          <w:p w14:paraId="08CE8687" w14:textId="507CAC1D" w:rsidR="003B71E9" w:rsidRPr="00606521" w:rsidRDefault="003B71E9" w:rsidP="001A21D7">
            <w:pPr>
              <w:spacing w:before="0" w:after="0" w:line="240" w:lineRule="auto"/>
              <w:ind w:leftChars="75" w:left="143"/>
              <w:rPr>
                <w:rFonts w:ascii="Arial" w:hAnsi="Arial" w:cs="Arial"/>
                <w:sz w:val="16"/>
                <w:szCs w:val="16"/>
              </w:rPr>
            </w:pPr>
            <w:r>
              <w:rPr>
                <w:rFonts w:ascii="Arial" w:hAnsi="Arial" w:cs="Arial"/>
                <w:sz w:val="16"/>
                <w:szCs w:val="16"/>
              </w:rPr>
              <w:t>- DCB</w:t>
            </w:r>
            <w:r>
              <w:rPr>
                <w:rFonts w:ascii="Arial" w:hAnsi="Arial" w:cs="Arial"/>
                <w:sz w:val="16"/>
                <w:szCs w:val="16"/>
                <w:vertAlign w:val="superscript"/>
              </w:rPr>
              <w:t>(a)</w:t>
            </w:r>
          </w:p>
        </w:tc>
        <w:tc>
          <w:tcPr>
            <w:tcW w:w="935" w:type="dxa"/>
            <w:tcBorders>
              <w:top w:val="nil"/>
              <w:left w:val="nil"/>
              <w:bottom w:val="nil"/>
              <w:right w:val="nil"/>
            </w:tcBorders>
            <w:shd w:val="clear" w:color="auto" w:fill="auto"/>
            <w:noWrap/>
            <w:vAlign w:val="bottom"/>
            <w:hideMark/>
          </w:tcPr>
          <w:p w14:paraId="760B9758" w14:textId="70F03A49"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954</w:t>
            </w:r>
          </w:p>
        </w:tc>
        <w:tc>
          <w:tcPr>
            <w:tcW w:w="935" w:type="dxa"/>
            <w:tcBorders>
              <w:top w:val="nil"/>
              <w:left w:val="nil"/>
              <w:bottom w:val="nil"/>
              <w:right w:val="nil"/>
            </w:tcBorders>
            <w:shd w:val="clear" w:color="auto" w:fill="D9D9D9" w:themeFill="background1" w:themeFillShade="D9"/>
            <w:noWrap/>
            <w:vAlign w:val="bottom"/>
            <w:hideMark/>
          </w:tcPr>
          <w:p w14:paraId="35BA14EA" w14:textId="4C4977C8"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2,636</w:t>
            </w:r>
          </w:p>
        </w:tc>
        <w:tc>
          <w:tcPr>
            <w:tcW w:w="935" w:type="dxa"/>
            <w:tcBorders>
              <w:top w:val="nil"/>
              <w:left w:val="nil"/>
              <w:bottom w:val="nil"/>
              <w:right w:val="nil"/>
            </w:tcBorders>
            <w:shd w:val="clear" w:color="auto" w:fill="auto"/>
            <w:noWrap/>
            <w:vAlign w:val="bottom"/>
            <w:hideMark/>
          </w:tcPr>
          <w:p w14:paraId="3EC117EB" w14:textId="3FF93798"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240</w:t>
            </w:r>
          </w:p>
        </w:tc>
        <w:tc>
          <w:tcPr>
            <w:tcW w:w="935" w:type="dxa"/>
            <w:tcBorders>
              <w:top w:val="nil"/>
              <w:left w:val="nil"/>
              <w:bottom w:val="nil"/>
              <w:right w:val="nil"/>
            </w:tcBorders>
            <w:shd w:val="clear" w:color="auto" w:fill="auto"/>
            <w:noWrap/>
            <w:vAlign w:val="bottom"/>
            <w:hideMark/>
          </w:tcPr>
          <w:p w14:paraId="10BF7415" w14:textId="01F71F95"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241</w:t>
            </w:r>
          </w:p>
        </w:tc>
        <w:tc>
          <w:tcPr>
            <w:tcW w:w="907" w:type="dxa"/>
            <w:tcBorders>
              <w:top w:val="nil"/>
              <w:left w:val="nil"/>
              <w:bottom w:val="nil"/>
              <w:right w:val="nil"/>
            </w:tcBorders>
            <w:shd w:val="clear" w:color="auto" w:fill="auto"/>
            <w:noWrap/>
            <w:vAlign w:val="bottom"/>
            <w:hideMark/>
          </w:tcPr>
          <w:p w14:paraId="1BD4F7B6" w14:textId="47FD0C0B"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243</w:t>
            </w:r>
          </w:p>
        </w:tc>
      </w:tr>
      <w:tr w:rsidR="003B71E9" w:rsidRPr="00606521" w14:paraId="0DCF18F7" w14:textId="77777777" w:rsidTr="00F01DDB">
        <w:trPr>
          <w:trHeight w:val="454"/>
          <w:jc w:val="center"/>
        </w:trPr>
        <w:tc>
          <w:tcPr>
            <w:tcW w:w="3118" w:type="dxa"/>
            <w:tcBorders>
              <w:top w:val="nil"/>
              <w:left w:val="nil"/>
              <w:bottom w:val="nil"/>
              <w:right w:val="nil"/>
            </w:tcBorders>
            <w:shd w:val="clear" w:color="000000" w:fill="FFFFFF"/>
            <w:vAlign w:val="bottom"/>
            <w:hideMark/>
          </w:tcPr>
          <w:p w14:paraId="49436DF2" w14:textId="61B2BA7F" w:rsidR="003B71E9" w:rsidRPr="00606521" w:rsidRDefault="003B71E9" w:rsidP="003B71E9">
            <w:pPr>
              <w:spacing w:before="0" w:after="0" w:line="240" w:lineRule="auto"/>
              <w:ind w:leftChars="75" w:left="143"/>
              <w:rPr>
                <w:rFonts w:ascii="Arial" w:hAnsi="Arial" w:cs="Arial"/>
                <w:sz w:val="16"/>
                <w:szCs w:val="16"/>
              </w:rPr>
            </w:pPr>
            <w:r>
              <w:rPr>
                <w:rFonts w:ascii="Arial" w:hAnsi="Arial" w:cs="Arial"/>
                <w:sz w:val="16"/>
                <w:szCs w:val="16"/>
              </w:rPr>
              <w:t>Funded internally from departmental resources</w:t>
            </w:r>
          </w:p>
        </w:tc>
        <w:tc>
          <w:tcPr>
            <w:tcW w:w="935" w:type="dxa"/>
            <w:tcBorders>
              <w:top w:val="nil"/>
              <w:left w:val="nil"/>
              <w:bottom w:val="nil"/>
              <w:right w:val="nil"/>
            </w:tcBorders>
            <w:shd w:val="clear" w:color="auto" w:fill="auto"/>
            <w:noWrap/>
            <w:vAlign w:val="bottom"/>
            <w:hideMark/>
          </w:tcPr>
          <w:p w14:paraId="3ADDB687" w14:textId="1F96B236"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5" w:type="dxa"/>
            <w:tcBorders>
              <w:top w:val="nil"/>
              <w:left w:val="nil"/>
              <w:bottom w:val="nil"/>
              <w:right w:val="nil"/>
            </w:tcBorders>
            <w:shd w:val="clear" w:color="auto" w:fill="D9D9D9" w:themeFill="background1" w:themeFillShade="D9"/>
            <w:noWrap/>
            <w:vAlign w:val="bottom"/>
            <w:hideMark/>
          </w:tcPr>
          <w:p w14:paraId="66B03C2C" w14:textId="65E33B39"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1,000</w:t>
            </w:r>
          </w:p>
        </w:tc>
        <w:tc>
          <w:tcPr>
            <w:tcW w:w="935" w:type="dxa"/>
            <w:tcBorders>
              <w:top w:val="nil"/>
              <w:left w:val="nil"/>
              <w:bottom w:val="nil"/>
              <w:right w:val="nil"/>
            </w:tcBorders>
            <w:shd w:val="clear" w:color="auto" w:fill="auto"/>
            <w:noWrap/>
            <w:vAlign w:val="bottom"/>
            <w:hideMark/>
          </w:tcPr>
          <w:p w14:paraId="120149BD" w14:textId="68F34E48"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35" w:type="dxa"/>
            <w:tcBorders>
              <w:top w:val="nil"/>
              <w:left w:val="nil"/>
              <w:bottom w:val="nil"/>
              <w:right w:val="nil"/>
            </w:tcBorders>
            <w:shd w:val="clear" w:color="auto" w:fill="auto"/>
            <w:noWrap/>
            <w:vAlign w:val="bottom"/>
            <w:hideMark/>
          </w:tcPr>
          <w:p w14:paraId="5676A4C3" w14:textId="34A3F7BB"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bottom"/>
            <w:hideMark/>
          </w:tcPr>
          <w:p w14:paraId="209BA329" w14:textId="3654E2AB" w:rsidR="003B71E9" w:rsidRPr="00606521" w:rsidRDefault="003B71E9" w:rsidP="003B71E9">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3B71E9" w:rsidRPr="00606521" w14:paraId="0E7233CB" w14:textId="77777777" w:rsidTr="00F51B52">
        <w:trPr>
          <w:trHeight w:val="425"/>
          <w:jc w:val="center"/>
        </w:trPr>
        <w:tc>
          <w:tcPr>
            <w:tcW w:w="3118" w:type="dxa"/>
            <w:tcBorders>
              <w:top w:val="nil"/>
              <w:left w:val="nil"/>
              <w:bottom w:val="nil"/>
              <w:right w:val="nil"/>
            </w:tcBorders>
            <w:shd w:val="clear" w:color="000000" w:fill="FFFFFF"/>
            <w:vAlign w:val="bottom"/>
            <w:hideMark/>
          </w:tcPr>
          <w:p w14:paraId="5CFD70A1" w14:textId="210B45BF" w:rsidR="003B71E9" w:rsidRPr="00606521" w:rsidRDefault="003B71E9" w:rsidP="003B71E9">
            <w:pPr>
              <w:spacing w:before="0" w:after="0" w:line="240" w:lineRule="auto"/>
              <w:ind w:leftChars="75" w:left="143"/>
              <w:rPr>
                <w:rFonts w:ascii="Arial" w:hAnsi="Arial" w:cs="Arial"/>
                <w:b/>
                <w:bCs/>
                <w:sz w:val="16"/>
                <w:szCs w:val="16"/>
              </w:rPr>
            </w:pPr>
            <w:r>
              <w:rPr>
                <w:rFonts w:ascii="Arial" w:hAnsi="Arial" w:cs="Arial"/>
                <w:b/>
                <w:bCs/>
                <w:sz w:val="16"/>
                <w:szCs w:val="16"/>
              </w:rPr>
              <w:t xml:space="preserve">Total acquisitions of </w:t>
            </w:r>
            <w:r>
              <w:rPr>
                <w:rFonts w:ascii="Arial" w:hAnsi="Arial" w:cs="Arial"/>
                <w:b/>
                <w:bCs/>
                <w:sz w:val="16"/>
                <w:szCs w:val="16"/>
              </w:rPr>
              <w:br/>
              <w:t>non-financial assets</w:t>
            </w:r>
          </w:p>
        </w:tc>
        <w:tc>
          <w:tcPr>
            <w:tcW w:w="935" w:type="dxa"/>
            <w:tcBorders>
              <w:top w:val="nil"/>
              <w:left w:val="nil"/>
              <w:bottom w:val="single" w:sz="4" w:space="0" w:color="auto"/>
              <w:right w:val="nil"/>
            </w:tcBorders>
            <w:shd w:val="clear" w:color="auto" w:fill="auto"/>
            <w:noWrap/>
            <w:vAlign w:val="bottom"/>
            <w:hideMark/>
          </w:tcPr>
          <w:p w14:paraId="01D6B379" w14:textId="5CC1C8F4"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954</w:t>
            </w:r>
          </w:p>
        </w:tc>
        <w:tc>
          <w:tcPr>
            <w:tcW w:w="935" w:type="dxa"/>
            <w:tcBorders>
              <w:top w:val="nil"/>
              <w:left w:val="nil"/>
              <w:bottom w:val="single" w:sz="4" w:space="0" w:color="auto"/>
              <w:right w:val="nil"/>
            </w:tcBorders>
            <w:shd w:val="clear" w:color="000000" w:fill="D9D9D9"/>
            <w:noWrap/>
            <w:vAlign w:val="bottom"/>
            <w:hideMark/>
          </w:tcPr>
          <w:p w14:paraId="24AFDA69" w14:textId="6EFE85F5"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3,636</w:t>
            </w:r>
          </w:p>
        </w:tc>
        <w:tc>
          <w:tcPr>
            <w:tcW w:w="935" w:type="dxa"/>
            <w:tcBorders>
              <w:top w:val="nil"/>
              <w:left w:val="nil"/>
              <w:bottom w:val="single" w:sz="4" w:space="0" w:color="auto"/>
              <w:right w:val="nil"/>
            </w:tcBorders>
            <w:shd w:val="clear" w:color="auto" w:fill="auto"/>
            <w:noWrap/>
            <w:vAlign w:val="bottom"/>
            <w:hideMark/>
          </w:tcPr>
          <w:p w14:paraId="095AC37E" w14:textId="228456F9"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240</w:t>
            </w:r>
          </w:p>
        </w:tc>
        <w:tc>
          <w:tcPr>
            <w:tcW w:w="935" w:type="dxa"/>
            <w:tcBorders>
              <w:top w:val="nil"/>
              <w:left w:val="nil"/>
              <w:bottom w:val="single" w:sz="4" w:space="0" w:color="auto"/>
              <w:right w:val="nil"/>
            </w:tcBorders>
            <w:shd w:val="clear" w:color="auto" w:fill="auto"/>
            <w:noWrap/>
            <w:vAlign w:val="bottom"/>
            <w:hideMark/>
          </w:tcPr>
          <w:p w14:paraId="7A0A7EFA" w14:textId="642FB195"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241</w:t>
            </w:r>
          </w:p>
        </w:tc>
        <w:tc>
          <w:tcPr>
            <w:tcW w:w="907" w:type="dxa"/>
            <w:tcBorders>
              <w:top w:val="nil"/>
              <w:left w:val="nil"/>
              <w:bottom w:val="single" w:sz="4" w:space="0" w:color="auto"/>
              <w:right w:val="nil"/>
            </w:tcBorders>
            <w:shd w:val="clear" w:color="auto" w:fill="auto"/>
            <w:noWrap/>
            <w:vAlign w:val="bottom"/>
            <w:hideMark/>
          </w:tcPr>
          <w:p w14:paraId="7FB64496" w14:textId="22AE7541"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243</w:t>
            </w:r>
          </w:p>
        </w:tc>
      </w:tr>
      <w:tr w:rsidR="003B71E9" w:rsidRPr="00606521" w14:paraId="0BF5AA67" w14:textId="77777777" w:rsidTr="00F51B52">
        <w:trPr>
          <w:trHeight w:val="624"/>
          <w:jc w:val="center"/>
        </w:trPr>
        <w:tc>
          <w:tcPr>
            <w:tcW w:w="3118" w:type="dxa"/>
            <w:tcBorders>
              <w:top w:val="nil"/>
              <w:left w:val="nil"/>
              <w:bottom w:val="nil"/>
              <w:right w:val="nil"/>
            </w:tcBorders>
            <w:shd w:val="clear" w:color="000000" w:fill="FFFFFF"/>
            <w:vAlign w:val="bottom"/>
            <w:hideMark/>
          </w:tcPr>
          <w:p w14:paraId="4E39AB9E" w14:textId="199A4B0E" w:rsidR="003B71E9" w:rsidRPr="00606521" w:rsidRDefault="003B71E9" w:rsidP="003B71E9">
            <w:pPr>
              <w:spacing w:before="0" w:after="0" w:line="240" w:lineRule="auto"/>
              <w:rPr>
                <w:rFonts w:ascii="Arial" w:hAnsi="Arial" w:cs="Arial"/>
                <w:b/>
                <w:bCs/>
                <w:sz w:val="16"/>
                <w:szCs w:val="16"/>
              </w:rPr>
            </w:pPr>
            <w:r>
              <w:rPr>
                <w:rFonts w:ascii="Arial" w:hAnsi="Arial" w:cs="Arial"/>
                <w:b/>
                <w:bCs/>
                <w:sz w:val="16"/>
                <w:szCs w:val="16"/>
              </w:rPr>
              <w:t>RECONCILIATION OF CASH USED TO ACQUIRE ASSETS TO ASSET MOVEMENT TABLE</w:t>
            </w:r>
          </w:p>
        </w:tc>
        <w:tc>
          <w:tcPr>
            <w:tcW w:w="935" w:type="dxa"/>
            <w:tcBorders>
              <w:top w:val="nil"/>
              <w:left w:val="nil"/>
              <w:bottom w:val="nil"/>
              <w:right w:val="nil"/>
            </w:tcBorders>
            <w:shd w:val="clear" w:color="auto" w:fill="auto"/>
            <w:noWrap/>
            <w:vAlign w:val="bottom"/>
            <w:hideMark/>
          </w:tcPr>
          <w:p w14:paraId="1579A112" w14:textId="77777777" w:rsidR="003B71E9" w:rsidRPr="00606521" w:rsidRDefault="003B71E9" w:rsidP="003B71E9">
            <w:pPr>
              <w:spacing w:before="0" w:after="0" w:line="240" w:lineRule="auto"/>
              <w:rPr>
                <w:rFonts w:ascii="Arial" w:hAnsi="Arial" w:cs="Arial"/>
                <w:b/>
                <w:bCs/>
                <w:sz w:val="16"/>
                <w:szCs w:val="16"/>
              </w:rPr>
            </w:pPr>
          </w:p>
        </w:tc>
        <w:tc>
          <w:tcPr>
            <w:tcW w:w="935" w:type="dxa"/>
            <w:tcBorders>
              <w:top w:val="nil"/>
              <w:left w:val="nil"/>
              <w:bottom w:val="nil"/>
              <w:right w:val="nil"/>
            </w:tcBorders>
            <w:shd w:val="clear" w:color="000000" w:fill="D9D9D9"/>
            <w:noWrap/>
            <w:vAlign w:val="bottom"/>
            <w:hideMark/>
          </w:tcPr>
          <w:p w14:paraId="7624ECC1" w14:textId="1D4822B7"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 </w:t>
            </w:r>
          </w:p>
        </w:tc>
        <w:tc>
          <w:tcPr>
            <w:tcW w:w="935" w:type="dxa"/>
            <w:tcBorders>
              <w:top w:val="nil"/>
              <w:left w:val="nil"/>
              <w:bottom w:val="nil"/>
              <w:right w:val="nil"/>
            </w:tcBorders>
            <w:shd w:val="clear" w:color="auto" w:fill="auto"/>
            <w:noWrap/>
            <w:vAlign w:val="bottom"/>
            <w:hideMark/>
          </w:tcPr>
          <w:p w14:paraId="019B9151" w14:textId="77777777" w:rsidR="003B71E9" w:rsidRPr="00606521" w:rsidRDefault="003B71E9" w:rsidP="003B71E9">
            <w:pPr>
              <w:spacing w:before="0" w:after="0" w:line="240" w:lineRule="auto"/>
              <w:jc w:val="right"/>
              <w:rPr>
                <w:rFonts w:ascii="Arial" w:hAnsi="Arial" w:cs="Arial"/>
                <w:b/>
                <w:bCs/>
                <w:sz w:val="16"/>
                <w:szCs w:val="16"/>
              </w:rPr>
            </w:pPr>
          </w:p>
        </w:tc>
        <w:tc>
          <w:tcPr>
            <w:tcW w:w="935" w:type="dxa"/>
            <w:tcBorders>
              <w:top w:val="nil"/>
              <w:left w:val="nil"/>
              <w:bottom w:val="nil"/>
              <w:right w:val="nil"/>
            </w:tcBorders>
            <w:shd w:val="clear" w:color="auto" w:fill="auto"/>
            <w:noWrap/>
            <w:vAlign w:val="bottom"/>
            <w:hideMark/>
          </w:tcPr>
          <w:p w14:paraId="482284CD" w14:textId="77777777" w:rsidR="003B71E9" w:rsidRPr="00606521" w:rsidRDefault="003B71E9" w:rsidP="003B71E9">
            <w:pPr>
              <w:spacing w:before="0" w:after="0" w:line="240" w:lineRule="auto"/>
              <w:jc w:val="right"/>
              <w:rPr>
                <w:rFonts w:ascii="Times New Roman" w:hAnsi="Times New Roman"/>
                <w:sz w:val="20"/>
              </w:rPr>
            </w:pPr>
          </w:p>
        </w:tc>
        <w:tc>
          <w:tcPr>
            <w:tcW w:w="907" w:type="dxa"/>
            <w:tcBorders>
              <w:top w:val="nil"/>
              <w:left w:val="nil"/>
              <w:bottom w:val="nil"/>
              <w:right w:val="nil"/>
            </w:tcBorders>
            <w:shd w:val="clear" w:color="auto" w:fill="auto"/>
            <w:noWrap/>
            <w:vAlign w:val="bottom"/>
            <w:hideMark/>
          </w:tcPr>
          <w:p w14:paraId="6F4D8509" w14:textId="77777777" w:rsidR="003B71E9" w:rsidRPr="00606521" w:rsidRDefault="003B71E9" w:rsidP="003B71E9">
            <w:pPr>
              <w:spacing w:before="0" w:after="0" w:line="240" w:lineRule="auto"/>
              <w:jc w:val="right"/>
              <w:rPr>
                <w:rFonts w:ascii="Times New Roman" w:hAnsi="Times New Roman"/>
                <w:sz w:val="20"/>
              </w:rPr>
            </w:pPr>
          </w:p>
        </w:tc>
      </w:tr>
      <w:tr w:rsidR="003B71E9" w:rsidRPr="00606521" w14:paraId="6D4C53B7" w14:textId="77777777" w:rsidTr="00F51B52">
        <w:trPr>
          <w:trHeight w:val="225"/>
          <w:jc w:val="center"/>
        </w:trPr>
        <w:tc>
          <w:tcPr>
            <w:tcW w:w="3118" w:type="dxa"/>
            <w:tcBorders>
              <w:top w:val="nil"/>
              <w:left w:val="nil"/>
              <w:bottom w:val="nil"/>
              <w:right w:val="nil"/>
            </w:tcBorders>
            <w:shd w:val="clear" w:color="000000" w:fill="FFFFFF"/>
            <w:noWrap/>
            <w:vAlign w:val="bottom"/>
            <w:hideMark/>
          </w:tcPr>
          <w:p w14:paraId="6A96D5E8" w14:textId="0D1AFB26" w:rsidR="003B71E9" w:rsidRPr="00606521" w:rsidRDefault="003B71E9" w:rsidP="003B71E9">
            <w:pPr>
              <w:spacing w:before="0" w:after="0" w:line="240" w:lineRule="auto"/>
              <w:ind w:leftChars="75" w:left="143"/>
              <w:rPr>
                <w:rFonts w:ascii="Arial" w:hAnsi="Arial" w:cs="Arial"/>
                <w:sz w:val="16"/>
                <w:szCs w:val="16"/>
              </w:rPr>
            </w:pPr>
            <w:r>
              <w:rPr>
                <w:rFonts w:ascii="Arial" w:hAnsi="Arial" w:cs="Arial"/>
                <w:sz w:val="16"/>
                <w:szCs w:val="16"/>
              </w:rPr>
              <w:t>Total purchases</w:t>
            </w:r>
          </w:p>
        </w:tc>
        <w:tc>
          <w:tcPr>
            <w:tcW w:w="935" w:type="dxa"/>
            <w:tcBorders>
              <w:top w:val="nil"/>
              <w:left w:val="nil"/>
              <w:bottom w:val="single" w:sz="4" w:space="0" w:color="auto"/>
              <w:right w:val="nil"/>
            </w:tcBorders>
            <w:shd w:val="clear" w:color="auto" w:fill="auto"/>
            <w:noWrap/>
            <w:vAlign w:val="bottom"/>
            <w:hideMark/>
          </w:tcPr>
          <w:p w14:paraId="379910BB" w14:textId="28088B65"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98</w:t>
            </w:r>
          </w:p>
        </w:tc>
        <w:tc>
          <w:tcPr>
            <w:tcW w:w="935" w:type="dxa"/>
            <w:tcBorders>
              <w:top w:val="nil"/>
              <w:left w:val="nil"/>
              <w:bottom w:val="single" w:sz="4" w:space="0" w:color="auto"/>
              <w:right w:val="nil"/>
            </w:tcBorders>
            <w:shd w:val="clear" w:color="000000" w:fill="D9D9D9"/>
            <w:noWrap/>
            <w:vAlign w:val="bottom"/>
            <w:hideMark/>
          </w:tcPr>
          <w:p w14:paraId="06239B8C" w14:textId="0E1EE10C"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3,573</w:t>
            </w:r>
          </w:p>
        </w:tc>
        <w:tc>
          <w:tcPr>
            <w:tcW w:w="935" w:type="dxa"/>
            <w:tcBorders>
              <w:top w:val="nil"/>
              <w:left w:val="nil"/>
              <w:bottom w:val="single" w:sz="4" w:space="0" w:color="auto"/>
              <w:right w:val="nil"/>
            </w:tcBorders>
            <w:shd w:val="clear" w:color="auto" w:fill="auto"/>
            <w:noWrap/>
            <w:vAlign w:val="bottom"/>
            <w:hideMark/>
          </w:tcPr>
          <w:p w14:paraId="1F12F386" w14:textId="586A269E"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246</w:t>
            </w:r>
          </w:p>
        </w:tc>
        <w:tc>
          <w:tcPr>
            <w:tcW w:w="935" w:type="dxa"/>
            <w:tcBorders>
              <w:top w:val="nil"/>
              <w:left w:val="nil"/>
              <w:bottom w:val="single" w:sz="4" w:space="0" w:color="auto"/>
              <w:right w:val="nil"/>
            </w:tcBorders>
            <w:shd w:val="clear" w:color="auto" w:fill="auto"/>
            <w:noWrap/>
            <w:vAlign w:val="bottom"/>
            <w:hideMark/>
          </w:tcPr>
          <w:p w14:paraId="35150EDB" w14:textId="0AB8E992"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246</w:t>
            </w:r>
          </w:p>
        </w:tc>
        <w:tc>
          <w:tcPr>
            <w:tcW w:w="907" w:type="dxa"/>
            <w:tcBorders>
              <w:top w:val="nil"/>
              <w:left w:val="nil"/>
              <w:bottom w:val="single" w:sz="4" w:space="0" w:color="auto"/>
              <w:right w:val="nil"/>
            </w:tcBorders>
            <w:shd w:val="clear" w:color="auto" w:fill="auto"/>
            <w:noWrap/>
            <w:vAlign w:val="bottom"/>
            <w:hideMark/>
          </w:tcPr>
          <w:p w14:paraId="03E7C3B9" w14:textId="611B34C2" w:rsidR="003B71E9" w:rsidRPr="00606521" w:rsidRDefault="003B71E9" w:rsidP="003B71E9">
            <w:pPr>
              <w:spacing w:before="0" w:after="0" w:line="240" w:lineRule="auto"/>
              <w:jc w:val="right"/>
              <w:rPr>
                <w:rFonts w:ascii="Arial" w:hAnsi="Arial" w:cs="Arial"/>
                <w:sz w:val="16"/>
                <w:szCs w:val="16"/>
              </w:rPr>
            </w:pPr>
            <w:r>
              <w:rPr>
                <w:rFonts w:ascii="Arial" w:hAnsi="Arial" w:cs="Arial"/>
                <w:sz w:val="16"/>
                <w:szCs w:val="16"/>
              </w:rPr>
              <w:t>248</w:t>
            </w:r>
          </w:p>
        </w:tc>
      </w:tr>
      <w:tr w:rsidR="003B71E9" w:rsidRPr="00606521" w14:paraId="77AF494D" w14:textId="77777777" w:rsidTr="00F01DDB">
        <w:trPr>
          <w:trHeight w:val="283"/>
          <w:jc w:val="center"/>
        </w:trPr>
        <w:tc>
          <w:tcPr>
            <w:tcW w:w="3118" w:type="dxa"/>
            <w:tcBorders>
              <w:top w:val="nil"/>
              <w:left w:val="nil"/>
              <w:bottom w:val="single" w:sz="4" w:space="0" w:color="auto"/>
              <w:right w:val="nil"/>
            </w:tcBorders>
            <w:shd w:val="clear" w:color="000000" w:fill="FFFFFF"/>
            <w:vAlign w:val="bottom"/>
            <w:hideMark/>
          </w:tcPr>
          <w:p w14:paraId="24348693" w14:textId="5506E379" w:rsidR="003B71E9" w:rsidRPr="00606521" w:rsidRDefault="003B71E9" w:rsidP="003B71E9">
            <w:pPr>
              <w:spacing w:before="0" w:after="0" w:line="240" w:lineRule="auto"/>
              <w:ind w:leftChars="75" w:left="143"/>
              <w:rPr>
                <w:rFonts w:ascii="Arial" w:hAnsi="Arial" w:cs="Arial"/>
                <w:b/>
                <w:bCs/>
                <w:sz w:val="16"/>
                <w:szCs w:val="16"/>
              </w:rPr>
            </w:pPr>
            <w:r>
              <w:rPr>
                <w:rFonts w:ascii="Arial" w:hAnsi="Arial" w:cs="Arial"/>
                <w:b/>
                <w:bCs/>
                <w:sz w:val="16"/>
                <w:szCs w:val="16"/>
              </w:rPr>
              <w:t>Total cash used to acquire assets</w:t>
            </w:r>
          </w:p>
        </w:tc>
        <w:tc>
          <w:tcPr>
            <w:tcW w:w="935" w:type="dxa"/>
            <w:tcBorders>
              <w:top w:val="nil"/>
              <w:left w:val="nil"/>
              <w:bottom w:val="single" w:sz="4" w:space="0" w:color="auto"/>
              <w:right w:val="nil"/>
            </w:tcBorders>
            <w:shd w:val="clear" w:color="auto" w:fill="auto"/>
            <w:noWrap/>
            <w:vAlign w:val="bottom"/>
            <w:hideMark/>
          </w:tcPr>
          <w:p w14:paraId="0E1B68E2" w14:textId="4409C9A5"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98</w:t>
            </w:r>
          </w:p>
        </w:tc>
        <w:tc>
          <w:tcPr>
            <w:tcW w:w="935" w:type="dxa"/>
            <w:tcBorders>
              <w:top w:val="nil"/>
              <w:left w:val="nil"/>
              <w:bottom w:val="single" w:sz="4" w:space="0" w:color="auto"/>
              <w:right w:val="nil"/>
            </w:tcBorders>
            <w:shd w:val="clear" w:color="000000" w:fill="D9D9D9"/>
            <w:noWrap/>
            <w:vAlign w:val="bottom"/>
            <w:hideMark/>
          </w:tcPr>
          <w:p w14:paraId="4C935169" w14:textId="2521E013"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3,573</w:t>
            </w:r>
          </w:p>
        </w:tc>
        <w:tc>
          <w:tcPr>
            <w:tcW w:w="935" w:type="dxa"/>
            <w:tcBorders>
              <w:top w:val="nil"/>
              <w:left w:val="nil"/>
              <w:bottom w:val="single" w:sz="4" w:space="0" w:color="auto"/>
              <w:right w:val="nil"/>
            </w:tcBorders>
            <w:shd w:val="clear" w:color="auto" w:fill="auto"/>
            <w:noWrap/>
            <w:vAlign w:val="bottom"/>
            <w:hideMark/>
          </w:tcPr>
          <w:p w14:paraId="4AA70289" w14:textId="0C8168E0"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246</w:t>
            </w:r>
          </w:p>
        </w:tc>
        <w:tc>
          <w:tcPr>
            <w:tcW w:w="935" w:type="dxa"/>
            <w:tcBorders>
              <w:top w:val="nil"/>
              <w:left w:val="nil"/>
              <w:bottom w:val="single" w:sz="4" w:space="0" w:color="auto"/>
              <w:right w:val="nil"/>
            </w:tcBorders>
            <w:shd w:val="clear" w:color="auto" w:fill="auto"/>
            <w:noWrap/>
            <w:vAlign w:val="bottom"/>
            <w:hideMark/>
          </w:tcPr>
          <w:p w14:paraId="04191000" w14:textId="4B0129AE"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246</w:t>
            </w:r>
          </w:p>
        </w:tc>
        <w:tc>
          <w:tcPr>
            <w:tcW w:w="907" w:type="dxa"/>
            <w:tcBorders>
              <w:top w:val="nil"/>
              <w:left w:val="nil"/>
              <w:bottom w:val="single" w:sz="4" w:space="0" w:color="auto"/>
              <w:right w:val="nil"/>
            </w:tcBorders>
            <w:shd w:val="clear" w:color="auto" w:fill="auto"/>
            <w:noWrap/>
            <w:vAlign w:val="bottom"/>
            <w:hideMark/>
          </w:tcPr>
          <w:p w14:paraId="50877563" w14:textId="154A1180" w:rsidR="003B71E9" w:rsidRPr="00606521" w:rsidRDefault="003B71E9" w:rsidP="003B71E9">
            <w:pPr>
              <w:spacing w:before="0" w:after="0" w:line="240" w:lineRule="auto"/>
              <w:jc w:val="right"/>
              <w:rPr>
                <w:rFonts w:ascii="Arial" w:hAnsi="Arial" w:cs="Arial"/>
                <w:b/>
                <w:bCs/>
                <w:sz w:val="16"/>
                <w:szCs w:val="16"/>
              </w:rPr>
            </w:pPr>
            <w:r>
              <w:rPr>
                <w:rFonts w:ascii="Arial" w:hAnsi="Arial" w:cs="Arial"/>
                <w:b/>
                <w:bCs/>
                <w:sz w:val="16"/>
                <w:szCs w:val="16"/>
              </w:rPr>
              <w:t>248</w:t>
            </w:r>
          </w:p>
        </w:tc>
      </w:tr>
    </w:tbl>
    <w:p w14:paraId="1A9C1639" w14:textId="2BDF1A8C" w:rsidR="008C73CD" w:rsidRPr="001337BD" w:rsidRDefault="008C73CD" w:rsidP="001337BD">
      <w:pPr>
        <w:pStyle w:val="FootnoteText"/>
        <w:spacing w:before="120"/>
        <w:ind w:left="0" w:firstLine="0"/>
      </w:pPr>
      <w:r w:rsidRPr="001337BD">
        <w:t>DCB = Departmental Capital Budget</w:t>
      </w:r>
      <w:r w:rsidRPr="001337BD">
        <w:br/>
      </w:r>
      <w:r w:rsidRPr="001337BD">
        <w:rPr>
          <w:vertAlign w:val="superscript"/>
        </w:rPr>
        <w:t>(</w:t>
      </w:r>
      <w:r w:rsidRPr="001337BD">
        <w:rPr>
          <w:rStyle w:val="FootnoteTextChar"/>
          <w:vertAlign w:val="superscript"/>
        </w:rPr>
        <w:t>a)</w:t>
      </w:r>
      <w:r w:rsidR="001337BD">
        <w:tab/>
      </w:r>
      <w:r w:rsidRPr="001337BD">
        <w:rPr>
          <w:rStyle w:val="FootnoteTextChar"/>
        </w:rPr>
        <w:t>Does not include annual finance lease costs. Includes purchases from current and previous years' DCB.</w:t>
      </w:r>
    </w:p>
    <w:p w14:paraId="710D36EF" w14:textId="77777777" w:rsidR="008C73CD" w:rsidRDefault="008C73CD" w:rsidP="008C73CD">
      <w:pPr>
        <w:spacing w:before="0" w:after="0" w:line="240" w:lineRule="auto"/>
        <w:rPr>
          <w:rFonts w:ascii="Arial" w:hAnsi="Arial"/>
          <w:b/>
          <w:snapToGrid w:val="0"/>
          <w:sz w:val="20"/>
        </w:rPr>
      </w:pPr>
      <w:r>
        <w:rPr>
          <w:snapToGrid w:val="0"/>
        </w:rPr>
        <w:br w:type="page"/>
      </w:r>
    </w:p>
    <w:p w14:paraId="230171CD" w14:textId="77777777" w:rsidR="008C73CD" w:rsidRDefault="008C73CD" w:rsidP="00C36246">
      <w:pPr>
        <w:pStyle w:val="TableHeading"/>
        <w:spacing w:before="0"/>
        <w:rPr>
          <w:snapToGrid w:val="0"/>
        </w:rPr>
      </w:pPr>
      <w:r>
        <w:rPr>
          <w:snapToGrid w:val="0"/>
        </w:rPr>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7721" w:type="dxa"/>
        <w:jc w:val="center"/>
        <w:tblLayout w:type="fixed"/>
        <w:tblLook w:val="04A0" w:firstRow="1" w:lastRow="0" w:firstColumn="1" w:lastColumn="0" w:noHBand="0" w:noVBand="1"/>
      </w:tblPr>
      <w:tblGrid>
        <w:gridCol w:w="3220"/>
        <w:gridCol w:w="1100"/>
        <w:gridCol w:w="1304"/>
        <w:gridCol w:w="1077"/>
        <w:gridCol w:w="1020"/>
      </w:tblGrid>
      <w:tr w:rsidR="002D602C" w:rsidRPr="00CC56DE" w14:paraId="4DCF55A5" w14:textId="77777777" w:rsidTr="002D602C">
        <w:trPr>
          <w:trHeight w:val="765"/>
          <w:jc w:val="center"/>
        </w:trPr>
        <w:tc>
          <w:tcPr>
            <w:tcW w:w="3220" w:type="dxa"/>
            <w:tcBorders>
              <w:top w:val="single" w:sz="4" w:space="0" w:color="auto"/>
              <w:left w:val="nil"/>
              <w:bottom w:val="nil"/>
              <w:right w:val="nil"/>
            </w:tcBorders>
            <w:shd w:val="clear" w:color="auto" w:fill="auto"/>
            <w:noWrap/>
            <w:hideMark/>
          </w:tcPr>
          <w:p w14:paraId="09778C6F" w14:textId="77777777" w:rsidR="002D602C" w:rsidRPr="00CC56DE" w:rsidRDefault="002D602C" w:rsidP="002D602C">
            <w:pPr>
              <w:spacing w:before="24" w:after="0" w:line="240" w:lineRule="auto"/>
              <w:jc w:val="right"/>
              <w:rPr>
                <w:rFonts w:ascii="Times New Roman" w:hAnsi="Times New Roman"/>
                <w:sz w:val="20"/>
                <w:szCs w:val="24"/>
              </w:rPr>
            </w:pPr>
          </w:p>
        </w:tc>
        <w:tc>
          <w:tcPr>
            <w:tcW w:w="1100" w:type="dxa"/>
            <w:tcBorders>
              <w:top w:val="single" w:sz="4" w:space="0" w:color="auto"/>
              <w:left w:val="nil"/>
              <w:bottom w:val="single" w:sz="4" w:space="0" w:color="auto"/>
              <w:right w:val="nil"/>
            </w:tcBorders>
            <w:shd w:val="clear" w:color="auto" w:fill="auto"/>
            <w:hideMark/>
          </w:tcPr>
          <w:p w14:paraId="4A533253" w14:textId="1A229288" w:rsidR="002D602C" w:rsidRPr="00CC56DE" w:rsidRDefault="002D602C" w:rsidP="002D602C">
            <w:pPr>
              <w:spacing w:before="24" w:after="0" w:line="240" w:lineRule="auto"/>
              <w:jc w:val="right"/>
              <w:rPr>
                <w:rFonts w:ascii="Arial" w:hAnsi="Arial" w:cs="Arial"/>
                <w:b/>
                <w:bCs/>
                <w:sz w:val="16"/>
                <w:szCs w:val="16"/>
              </w:rPr>
            </w:pPr>
            <w:r>
              <w:rPr>
                <w:rFonts w:ascii="Arial" w:hAnsi="Arial" w:cs="Arial"/>
                <w:b/>
                <w:bCs/>
                <w:sz w:val="16"/>
                <w:szCs w:val="16"/>
              </w:rPr>
              <w:t xml:space="preserve">Buildings </w:t>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1304" w:type="dxa"/>
            <w:tcBorders>
              <w:top w:val="single" w:sz="4" w:space="0" w:color="auto"/>
              <w:left w:val="nil"/>
              <w:bottom w:val="single" w:sz="4" w:space="0" w:color="auto"/>
              <w:right w:val="nil"/>
            </w:tcBorders>
            <w:shd w:val="clear" w:color="auto" w:fill="auto"/>
            <w:hideMark/>
          </w:tcPr>
          <w:p w14:paraId="74BE763C" w14:textId="5883F0FD" w:rsidR="002D602C" w:rsidRPr="00CC56DE" w:rsidRDefault="002D602C" w:rsidP="002D602C">
            <w:pPr>
              <w:spacing w:before="24" w:after="0" w:line="240" w:lineRule="auto"/>
              <w:jc w:val="right"/>
              <w:rPr>
                <w:rFonts w:ascii="Arial" w:hAnsi="Arial" w:cs="Arial"/>
                <w:b/>
                <w:bCs/>
                <w:sz w:val="16"/>
                <w:szCs w:val="16"/>
              </w:rPr>
            </w:pPr>
            <w:r>
              <w:rPr>
                <w:rFonts w:ascii="Arial" w:hAnsi="Arial" w:cs="Arial"/>
                <w:b/>
                <w:bCs/>
                <w:sz w:val="16"/>
                <w:szCs w:val="16"/>
              </w:rPr>
              <w:t>Property,</w:t>
            </w:r>
            <w:r>
              <w:rPr>
                <w:rFonts w:ascii="Arial" w:hAnsi="Arial" w:cs="Arial"/>
                <w:b/>
                <w:bCs/>
                <w:sz w:val="16"/>
                <w:szCs w:val="16"/>
              </w:rPr>
              <w:br/>
              <w:t xml:space="preserve">plant and </w:t>
            </w:r>
            <w:r>
              <w:rPr>
                <w:rFonts w:ascii="Arial" w:hAnsi="Arial" w:cs="Arial"/>
                <w:b/>
                <w:bCs/>
                <w:sz w:val="16"/>
                <w:szCs w:val="16"/>
              </w:rPr>
              <w:br/>
              <w:t xml:space="preserve">equipment </w:t>
            </w:r>
            <w:r>
              <w:rPr>
                <w:rFonts w:ascii="Arial" w:hAnsi="Arial" w:cs="Arial"/>
                <w:b/>
                <w:bCs/>
                <w:sz w:val="16"/>
                <w:szCs w:val="16"/>
              </w:rPr>
              <w:br/>
            </w:r>
            <w:r>
              <w:rPr>
                <w:rFonts w:ascii="Arial" w:hAnsi="Arial" w:cs="Arial"/>
                <w:sz w:val="16"/>
                <w:szCs w:val="16"/>
              </w:rPr>
              <w:t>$'000</w:t>
            </w:r>
          </w:p>
        </w:tc>
        <w:tc>
          <w:tcPr>
            <w:tcW w:w="1077" w:type="dxa"/>
            <w:tcBorders>
              <w:top w:val="single" w:sz="4" w:space="0" w:color="auto"/>
              <w:left w:val="nil"/>
              <w:bottom w:val="single" w:sz="4" w:space="0" w:color="auto"/>
              <w:right w:val="nil"/>
            </w:tcBorders>
            <w:shd w:val="clear" w:color="auto" w:fill="auto"/>
            <w:hideMark/>
          </w:tcPr>
          <w:p w14:paraId="49CAE511" w14:textId="7D67FD83" w:rsidR="002D602C" w:rsidRPr="00CC56DE" w:rsidRDefault="002D602C" w:rsidP="002D602C">
            <w:pPr>
              <w:spacing w:before="24" w:after="0" w:line="240" w:lineRule="auto"/>
              <w:jc w:val="right"/>
              <w:rPr>
                <w:rFonts w:ascii="Arial" w:hAnsi="Arial" w:cs="Arial"/>
                <w:b/>
                <w:bCs/>
                <w:sz w:val="16"/>
                <w:szCs w:val="16"/>
              </w:rPr>
            </w:pPr>
            <w:r>
              <w:rPr>
                <w:rFonts w:ascii="Arial" w:hAnsi="Arial" w:cs="Arial"/>
                <w:b/>
                <w:bCs/>
                <w:sz w:val="16"/>
                <w:szCs w:val="16"/>
              </w:rPr>
              <w:t>Intangibles</w:t>
            </w:r>
            <w:r>
              <w:rPr>
                <w:rFonts w:ascii="Arial" w:hAnsi="Arial" w:cs="Arial"/>
                <w:sz w:val="16"/>
                <w:szCs w:val="16"/>
              </w:rPr>
              <w:t xml:space="preserve"> </w:t>
            </w:r>
            <w:r>
              <w:rPr>
                <w:rFonts w:ascii="Arial" w:hAnsi="Arial" w:cs="Arial"/>
                <w:sz w:val="16"/>
                <w:szCs w:val="16"/>
              </w:rPr>
              <w:br/>
            </w:r>
            <w:r>
              <w:rPr>
                <w:rFonts w:ascii="Arial" w:hAnsi="Arial" w:cs="Arial"/>
                <w:sz w:val="16"/>
                <w:szCs w:val="16"/>
              </w:rPr>
              <w:br/>
            </w:r>
            <w:r>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hideMark/>
          </w:tcPr>
          <w:p w14:paraId="07C28E07" w14:textId="4EB62FC5" w:rsidR="002D602C" w:rsidRPr="00CC56DE" w:rsidRDefault="002D602C" w:rsidP="002D602C">
            <w:pPr>
              <w:spacing w:before="24" w:after="0" w:line="240" w:lineRule="auto"/>
              <w:jc w:val="right"/>
              <w:rPr>
                <w:rFonts w:ascii="Arial" w:hAnsi="Arial" w:cs="Arial"/>
                <w:b/>
                <w:bCs/>
                <w:sz w:val="16"/>
                <w:szCs w:val="16"/>
              </w:rPr>
            </w:pPr>
            <w:r>
              <w:rPr>
                <w:rFonts w:ascii="Arial" w:hAnsi="Arial" w:cs="Arial"/>
                <w:b/>
                <w:bCs/>
                <w:sz w:val="16"/>
                <w:szCs w:val="16"/>
              </w:rPr>
              <w:t xml:space="preserve">Total </w:t>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r>
      <w:tr w:rsidR="002D602C" w:rsidRPr="00CC56DE" w14:paraId="0027BDF7"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26157023" w14:textId="224A721A" w:rsidR="002D602C" w:rsidRPr="00CC56DE" w:rsidRDefault="002D602C" w:rsidP="002D602C">
            <w:pPr>
              <w:spacing w:before="0" w:after="0" w:line="240" w:lineRule="auto"/>
              <w:rPr>
                <w:rFonts w:ascii="Arial" w:hAnsi="Arial" w:cs="Arial"/>
                <w:b/>
                <w:bCs/>
                <w:sz w:val="16"/>
                <w:szCs w:val="16"/>
              </w:rPr>
            </w:pPr>
            <w:r>
              <w:rPr>
                <w:rFonts w:ascii="Arial" w:hAnsi="Arial" w:cs="Arial"/>
                <w:b/>
                <w:bCs/>
                <w:sz w:val="16"/>
                <w:szCs w:val="16"/>
              </w:rPr>
              <w:t xml:space="preserve">As </w:t>
            </w:r>
            <w:proofErr w:type="gramStart"/>
            <w:r>
              <w:rPr>
                <w:rFonts w:ascii="Arial" w:hAnsi="Arial" w:cs="Arial"/>
                <w:b/>
                <w:bCs/>
                <w:sz w:val="16"/>
                <w:szCs w:val="16"/>
              </w:rPr>
              <w:t>at</w:t>
            </w:r>
            <w:proofErr w:type="gramEnd"/>
            <w:r>
              <w:rPr>
                <w:rFonts w:ascii="Arial" w:hAnsi="Arial" w:cs="Arial"/>
                <w:b/>
                <w:bCs/>
                <w:sz w:val="16"/>
                <w:szCs w:val="16"/>
              </w:rPr>
              <w:t xml:space="preserve"> 1 July 2023</w:t>
            </w:r>
          </w:p>
        </w:tc>
        <w:tc>
          <w:tcPr>
            <w:tcW w:w="1100" w:type="dxa"/>
            <w:tcBorders>
              <w:top w:val="nil"/>
              <w:left w:val="nil"/>
              <w:bottom w:val="nil"/>
              <w:right w:val="nil"/>
            </w:tcBorders>
            <w:shd w:val="clear" w:color="auto" w:fill="auto"/>
            <w:noWrap/>
            <w:vAlign w:val="bottom"/>
            <w:hideMark/>
          </w:tcPr>
          <w:p w14:paraId="1F7BB659" w14:textId="77777777" w:rsidR="002D602C" w:rsidRPr="00CC56DE" w:rsidRDefault="002D602C" w:rsidP="002D602C">
            <w:pPr>
              <w:spacing w:before="0" w:after="0" w:line="240" w:lineRule="auto"/>
              <w:rPr>
                <w:rFonts w:ascii="Arial" w:hAnsi="Arial" w:cs="Arial"/>
                <w:b/>
                <w:bCs/>
                <w:sz w:val="16"/>
                <w:szCs w:val="16"/>
              </w:rPr>
            </w:pPr>
          </w:p>
        </w:tc>
        <w:tc>
          <w:tcPr>
            <w:tcW w:w="1304" w:type="dxa"/>
            <w:tcBorders>
              <w:top w:val="nil"/>
              <w:left w:val="nil"/>
              <w:bottom w:val="nil"/>
              <w:right w:val="nil"/>
            </w:tcBorders>
            <w:shd w:val="clear" w:color="auto" w:fill="auto"/>
            <w:noWrap/>
            <w:vAlign w:val="bottom"/>
            <w:hideMark/>
          </w:tcPr>
          <w:p w14:paraId="680F40AF" w14:textId="77777777" w:rsidR="002D602C" w:rsidRPr="00CC56DE" w:rsidRDefault="002D602C" w:rsidP="002D602C">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2C3156F0" w14:textId="77777777" w:rsidR="002D602C" w:rsidRPr="00CC56DE" w:rsidRDefault="002D602C" w:rsidP="002D602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7BE0F519" w14:textId="77777777" w:rsidR="002D602C" w:rsidRPr="00CC56DE" w:rsidRDefault="002D602C" w:rsidP="002D602C">
            <w:pPr>
              <w:spacing w:before="0" w:after="0" w:line="240" w:lineRule="auto"/>
              <w:jc w:val="right"/>
              <w:rPr>
                <w:rFonts w:ascii="Times New Roman" w:hAnsi="Times New Roman"/>
                <w:sz w:val="20"/>
              </w:rPr>
            </w:pPr>
          </w:p>
        </w:tc>
      </w:tr>
      <w:tr w:rsidR="002D602C" w:rsidRPr="00CC56DE" w14:paraId="1A5487F1"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0FAF6634" w14:textId="5A6A269E"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Gross book value </w:t>
            </w:r>
          </w:p>
        </w:tc>
        <w:tc>
          <w:tcPr>
            <w:tcW w:w="1100" w:type="dxa"/>
            <w:tcBorders>
              <w:top w:val="nil"/>
              <w:left w:val="nil"/>
              <w:bottom w:val="nil"/>
              <w:right w:val="nil"/>
            </w:tcBorders>
            <w:shd w:val="clear" w:color="auto" w:fill="auto"/>
            <w:noWrap/>
            <w:vAlign w:val="bottom"/>
            <w:hideMark/>
          </w:tcPr>
          <w:p w14:paraId="56F09894" w14:textId="1951F0C2"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176</w:t>
            </w:r>
          </w:p>
        </w:tc>
        <w:tc>
          <w:tcPr>
            <w:tcW w:w="1304" w:type="dxa"/>
            <w:tcBorders>
              <w:top w:val="nil"/>
              <w:left w:val="nil"/>
              <w:bottom w:val="nil"/>
              <w:right w:val="nil"/>
            </w:tcBorders>
            <w:shd w:val="clear" w:color="auto" w:fill="auto"/>
            <w:noWrap/>
            <w:vAlign w:val="bottom"/>
            <w:hideMark/>
          </w:tcPr>
          <w:p w14:paraId="671A5D1B" w14:textId="1BC8475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510</w:t>
            </w:r>
          </w:p>
        </w:tc>
        <w:tc>
          <w:tcPr>
            <w:tcW w:w="1077" w:type="dxa"/>
            <w:tcBorders>
              <w:top w:val="nil"/>
              <w:left w:val="nil"/>
              <w:bottom w:val="nil"/>
              <w:right w:val="nil"/>
            </w:tcBorders>
            <w:shd w:val="clear" w:color="auto" w:fill="auto"/>
            <w:noWrap/>
            <w:vAlign w:val="bottom"/>
            <w:hideMark/>
          </w:tcPr>
          <w:p w14:paraId="7972C413" w14:textId="55FAD2F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690</w:t>
            </w:r>
          </w:p>
        </w:tc>
        <w:tc>
          <w:tcPr>
            <w:tcW w:w="1020" w:type="dxa"/>
            <w:tcBorders>
              <w:top w:val="nil"/>
              <w:left w:val="nil"/>
              <w:bottom w:val="nil"/>
              <w:right w:val="nil"/>
            </w:tcBorders>
            <w:shd w:val="clear" w:color="auto" w:fill="auto"/>
            <w:noWrap/>
            <w:vAlign w:val="bottom"/>
            <w:hideMark/>
          </w:tcPr>
          <w:p w14:paraId="42D902FD" w14:textId="2B2FCDBE"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1,376</w:t>
            </w:r>
          </w:p>
        </w:tc>
      </w:tr>
      <w:tr w:rsidR="002D602C" w:rsidRPr="00CC56DE" w14:paraId="1C056501" w14:textId="77777777" w:rsidTr="00F51B52">
        <w:trPr>
          <w:trHeight w:val="227"/>
          <w:jc w:val="center"/>
        </w:trPr>
        <w:tc>
          <w:tcPr>
            <w:tcW w:w="3220" w:type="dxa"/>
            <w:tcBorders>
              <w:top w:val="nil"/>
              <w:left w:val="nil"/>
              <w:bottom w:val="nil"/>
              <w:right w:val="nil"/>
            </w:tcBorders>
            <w:shd w:val="clear" w:color="auto" w:fill="auto"/>
            <w:noWrap/>
            <w:vAlign w:val="bottom"/>
            <w:hideMark/>
          </w:tcPr>
          <w:p w14:paraId="37EFEED6" w14:textId="3D94991E"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Gross book value - </w:t>
            </w:r>
            <w:proofErr w:type="spellStart"/>
            <w:r>
              <w:rPr>
                <w:rFonts w:ascii="Arial" w:hAnsi="Arial"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0AAA49C2" w14:textId="3932BCD1"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1,604</w:t>
            </w:r>
          </w:p>
        </w:tc>
        <w:tc>
          <w:tcPr>
            <w:tcW w:w="1304" w:type="dxa"/>
            <w:tcBorders>
              <w:top w:val="nil"/>
              <w:left w:val="nil"/>
              <w:bottom w:val="nil"/>
              <w:right w:val="nil"/>
            </w:tcBorders>
            <w:shd w:val="clear" w:color="auto" w:fill="auto"/>
            <w:noWrap/>
            <w:vAlign w:val="bottom"/>
            <w:hideMark/>
          </w:tcPr>
          <w:p w14:paraId="41DC4BED" w14:textId="27AFC91B"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3B59A2A2" w14:textId="5577E49A"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bottom"/>
            <w:hideMark/>
          </w:tcPr>
          <w:p w14:paraId="78C0EB07" w14:textId="0909B49B"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1,604</w:t>
            </w:r>
          </w:p>
        </w:tc>
      </w:tr>
      <w:tr w:rsidR="002D602C" w:rsidRPr="00CC56DE" w14:paraId="013B72E8" w14:textId="77777777" w:rsidTr="00F51B52">
        <w:trPr>
          <w:trHeight w:val="425"/>
          <w:jc w:val="center"/>
        </w:trPr>
        <w:tc>
          <w:tcPr>
            <w:tcW w:w="3220" w:type="dxa"/>
            <w:tcBorders>
              <w:top w:val="nil"/>
              <w:left w:val="nil"/>
              <w:bottom w:val="nil"/>
              <w:right w:val="nil"/>
            </w:tcBorders>
            <w:shd w:val="clear" w:color="auto" w:fill="auto"/>
            <w:vAlign w:val="bottom"/>
            <w:hideMark/>
          </w:tcPr>
          <w:p w14:paraId="16009BC7" w14:textId="5BC2D3DC"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Accumulated depreciation/amortisation and impairment</w:t>
            </w:r>
          </w:p>
        </w:tc>
        <w:tc>
          <w:tcPr>
            <w:tcW w:w="1100" w:type="dxa"/>
            <w:tcBorders>
              <w:top w:val="nil"/>
              <w:left w:val="nil"/>
              <w:bottom w:val="nil"/>
              <w:right w:val="nil"/>
            </w:tcBorders>
            <w:shd w:val="clear" w:color="auto" w:fill="auto"/>
            <w:noWrap/>
            <w:vAlign w:val="bottom"/>
            <w:hideMark/>
          </w:tcPr>
          <w:p w14:paraId="3064CE8D" w14:textId="1B50ABF0"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(11)</w:t>
            </w:r>
          </w:p>
        </w:tc>
        <w:tc>
          <w:tcPr>
            <w:tcW w:w="1304" w:type="dxa"/>
            <w:tcBorders>
              <w:top w:val="nil"/>
              <w:left w:val="nil"/>
              <w:bottom w:val="nil"/>
              <w:right w:val="nil"/>
            </w:tcBorders>
            <w:shd w:val="clear" w:color="auto" w:fill="auto"/>
            <w:noWrap/>
            <w:vAlign w:val="bottom"/>
            <w:hideMark/>
          </w:tcPr>
          <w:p w14:paraId="2654C5F9" w14:textId="4E6B24FA"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(314)</w:t>
            </w:r>
          </w:p>
        </w:tc>
        <w:tc>
          <w:tcPr>
            <w:tcW w:w="1077" w:type="dxa"/>
            <w:tcBorders>
              <w:top w:val="nil"/>
              <w:left w:val="nil"/>
              <w:bottom w:val="nil"/>
              <w:right w:val="nil"/>
            </w:tcBorders>
            <w:shd w:val="clear" w:color="auto" w:fill="auto"/>
            <w:noWrap/>
            <w:vAlign w:val="bottom"/>
            <w:hideMark/>
          </w:tcPr>
          <w:p w14:paraId="1D3BB7A1" w14:textId="7B654B8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(543)</w:t>
            </w:r>
          </w:p>
        </w:tc>
        <w:tc>
          <w:tcPr>
            <w:tcW w:w="1020" w:type="dxa"/>
            <w:tcBorders>
              <w:top w:val="nil"/>
              <w:left w:val="nil"/>
              <w:bottom w:val="nil"/>
              <w:right w:val="nil"/>
            </w:tcBorders>
            <w:shd w:val="clear" w:color="auto" w:fill="auto"/>
            <w:noWrap/>
            <w:vAlign w:val="bottom"/>
            <w:hideMark/>
          </w:tcPr>
          <w:p w14:paraId="17004A9F" w14:textId="6B6B792B"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(868)</w:t>
            </w:r>
          </w:p>
        </w:tc>
      </w:tr>
      <w:tr w:rsidR="002D602C" w:rsidRPr="00CC56DE" w14:paraId="337075EF" w14:textId="77777777" w:rsidTr="00F51B52">
        <w:trPr>
          <w:trHeight w:val="425"/>
          <w:jc w:val="center"/>
        </w:trPr>
        <w:tc>
          <w:tcPr>
            <w:tcW w:w="3220" w:type="dxa"/>
            <w:tcBorders>
              <w:top w:val="nil"/>
              <w:left w:val="nil"/>
              <w:bottom w:val="nil"/>
              <w:right w:val="nil"/>
            </w:tcBorders>
            <w:shd w:val="clear" w:color="auto" w:fill="auto"/>
            <w:vAlign w:val="bottom"/>
            <w:hideMark/>
          </w:tcPr>
          <w:p w14:paraId="60B3EA26" w14:textId="45E57602"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Accumulated depreciation/amortisation and impairment - </w:t>
            </w:r>
            <w:proofErr w:type="spellStart"/>
            <w:r>
              <w:rPr>
                <w:rFonts w:ascii="Arial" w:hAnsi="Arial"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712A92AA" w14:textId="37E8C86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(1,385)</w:t>
            </w:r>
          </w:p>
        </w:tc>
        <w:tc>
          <w:tcPr>
            <w:tcW w:w="1304" w:type="dxa"/>
            <w:tcBorders>
              <w:top w:val="nil"/>
              <w:left w:val="nil"/>
              <w:bottom w:val="nil"/>
              <w:right w:val="nil"/>
            </w:tcBorders>
            <w:shd w:val="clear" w:color="auto" w:fill="auto"/>
            <w:noWrap/>
            <w:vAlign w:val="bottom"/>
            <w:hideMark/>
          </w:tcPr>
          <w:p w14:paraId="0949676B" w14:textId="3E088FF2"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60111776" w14:textId="7B9AE4CD"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bottom"/>
            <w:hideMark/>
          </w:tcPr>
          <w:p w14:paraId="0ABDEE6D" w14:textId="7AEA935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(1,385)</w:t>
            </w:r>
          </w:p>
        </w:tc>
      </w:tr>
      <w:tr w:rsidR="002D602C" w:rsidRPr="00CC56DE" w14:paraId="1D569E8A"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7C691D59" w14:textId="3B0E269D" w:rsidR="002D602C" w:rsidRPr="00CC56DE" w:rsidRDefault="002D602C" w:rsidP="002D602C">
            <w:pPr>
              <w:spacing w:before="0" w:after="0" w:line="240" w:lineRule="auto"/>
              <w:ind w:leftChars="75" w:left="143"/>
              <w:rPr>
                <w:rFonts w:ascii="Arial" w:hAnsi="Arial" w:cs="Arial"/>
                <w:b/>
                <w:bCs/>
                <w:sz w:val="16"/>
                <w:szCs w:val="16"/>
              </w:rPr>
            </w:pPr>
            <w:r>
              <w:rPr>
                <w:rFonts w:ascii="Arial" w:hAnsi="Arial"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bottom"/>
            <w:hideMark/>
          </w:tcPr>
          <w:p w14:paraId="6797E321" w14:textId="043A224E"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384</w:t>
            </w:r>
          </w:p>
        </w:tc>
        <w:tc>
          <w:tcPr>
            <w:tcW w:w="1304" w:type="dxa"/>
            <w:tcBorders>
              <w:top w:val="nil"/>
              <w:left w:val="nil"/>
              <w:bottom w:val="single" w:sz="4" w:space="0" w:color="auto"/>
              <w:right w:val="nil"/>
            </w:tcBorders>
            <w:shd w:val="clear" w:color="auto" w:fill="auto"/>
            <w:noWrap/>
            <w:vAlign w:val="bottom"/>
            <w:hideMark/>
          </w:tcPr>
          <w:p w14:paraId="48F1564F" w14:textId="2DF1354B"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196</w:t>
            </w:r>
          </w:p>
        </w:tc>
        <w:tc>
          <w:tcPr>
            <w:tcW w:w="1077" w:type="dxa"/>
            <w:tcBorders>
              <w:top w:val="nil"/>
              <w:left w:val="nil"/>
              <w:bottom w:val="single" w:sz="4" w:space="0" w:color="auto"/>
              <w:right w:val="nil"/>
            </w:tcBorders>
            <w:shd w:val="clear" w:color="auto" w:fill="auto"/>
            <w:noWrap/>
            <w:vAlign w:val="bottom"/>
            <w:hideMark/>
          </w:tcPr>
          <w:p w14:paraId="6D88EF0F" w14:textId="37427B3A"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147</w:t>
            </w:r>
          </w:p>
        </w:tc>
        <w:tc>
          <w:tcPr>
            <w:tcW w:w="1020" w:type="dxa"/>
            <w:tcBorders>
              <w:top w:val="nil"/>
              <w:left w:val="nil"/>
              <w:bottom w:val="single" w:sz="4" w:space="0" w:color="auto"/>
              <w:right w:val="nil"/>
            </w:tcBorders>
            <w:shd w:val="clear" w:color="auto" w:fill="auto"/>
            <w:noWrap/>
            <w:vAlign w:val="bottom"/>
            <w:hideMark/>
          </w:tcPr>
          <w:p w14:paraId="394814E6" w14:textId="5F3EAB4F"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727</w:t>
            </w:r>
          </w:p>
        </w:tc>
      </w:tr>
      <w:tr w:rsidR="002D602C" w:rsidRPr="00CC56DE" w14:paraId="240921D3" w14:textId="77777777" w:rsidTr="00F51B52">
        <w:trPr>
          <w:trHeight w:val="283"/>
          <w:jc w:val="center"/>
        </w:trPr>
        <w:tc>
          <w:tcPr>
            <w:tcW w:w="3220" w:type="dxa"/>
            <w:tcBorders>
              <w:top w:val="nil"/>
              <w:left w:val="nil"/>
              <w:bottom w:val="nil"/>
              <w:right w:val="nil"/>
            </w:tcBorders>
            <w:shd w:val="clear" w:color="auto" w:fill="auto"/>
            <w:noWrap/>
            <w:vAlign w:val="bottom"/>
            <w:hideMark/>
          </w:tcPr>
          <w:p w14:paraId="1F0CC596" w14:textId="42026C65" w:rsidR="002D602C" w:rsidRPr="00CC56DE" w:rsidRDefault="002D602C" w:rsidP="002D602C">
            <w:pPr>
              <w:spacing w:before="0" w:after="0" w:line="240" w:lineRule="auto"/>
              <w:rPr>
                <w:rFonts w:ascii="Arial" w:hAnsi="Arial" w:cs="Arial"/>
                <w:b/>
                <w:bCs/>
                <w:sz w:val="16"/>
                <w:szCs w:val="16"/>
              </w:rPr>
            </w:pPr>
            <w:r>
              <w:rPr>
                <w:rFonts w:ascii="Arial" w:hAnsi="Arial" w:cs="Arial"/>
                <w:b/>
                <w:bCs/>
                <w:sz w:val="16"/>
                <w:szCs w:val="16"/>
              </w:rPr>
              <w:t>CAPITAL ASSET ADDITIONS</w:t>
            </w:r>
          </w:p>
        </w:tc>
        <w:tc>
          <w:tcPr>
            <w:tcW w:w="1100" w:type="dxa"/>
            <w:tcBorders>
              <w:top w:val="nil"/>
              <w:left w:val="nil"/>
              <w:bottom w:val="nil"/>
              <w:right w:val="nil"/>
            </w:tcBorders>
            <w:shd w:val="clear" w:color="auto" w:fill="auto"/>
            <w:noWrap/>
            <w:vAlign w:val="bottom"/>
            <w:hideMark/>
          </w:tcPr>
          <w:p w14:paraId="4804E0D6" w14:textId="77777777" w:rsidR="002D602C" w:rsidRPr="00CC56DE" w:rsidRDefault="002D602C" w:rsidP="002D602C">
            <w:pPr>
              <w:spacing w:before="0" w:after="0" w:line="240" w:lineRule="auto"/>
              <w:rPr>
                <w:rFonts w:ascii="Arial" w:hAnsi="Arial" w:cs="Arial"/>
                <w:b/>
                <w:bCs/>
                <w:sz w:val="16"/>
                <w:szCs w:val="16"/>
              </w:rPr>
            </w:pPr>
          </w:p>
        </w:tc>
        <w:tc>
          <w:tcPr>
            <w:tcW w:w="1304" w:type="dxa"/>
            <w:tcBorders>
              <w:top w:val="nil"/>
              <w:left w:val="nil"/>
              <w:bottom w:val="nil"/>
              <w:right w:val="nil"/>
            </w:tcBorders>
            <w:shd w:val="clear" w:color="auto" w:fill="auto"/>
            <w:noWrap/>
            <w:vAlign w:val="bottom"/>
            <w:hideMark/>
          </w:tcPr>
          <w:p w14:paraId="7E32474F" w14:textId="77777777" w:rsidR="002D602C" w:rsidRPr="00CC56DE" w:rsidRDefault="002D602C" w:rsidP="002D602C">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69E68C2C" w14:textId="77777777" w:rsidR="002D602C" w:rsidRPr="00CC56DE" w:rsidRDefault="002D602C" w:rsidP="002D602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4C9C522B" w14:textId="77777777" w:rsidR="002D602C" w:rsidRPr="00CC56DE" w:rsidRDefault="002D602C" w:rsidP="002D602C">
            <w:pPr>
              <w:spacing w:before="0" w:after="0" w:line="240" w:lineRule="auto"/>
              <w:jc w:val="right"/>
              <w:rPr>
                <w:rFonts w:ascii="Times New Roman" w:hAnsi="Times New Roman"/>
                <w:sz w:val="20"/>
              </w:rPr>
            </w:pPr>
          </w:p>
        </w:tc>
      </w:tr>
      <w:tr w:rsidR="002D602C" w:rsidRPr="00CC56DE" w14:paraId="14D3DA55" w14:textId="77777777" w:rsidTr="00F51B52">
        <w:trPr>
          <w:trHeight w:val="425"/>
          <w:jc w:val="center"/>
        </w:trPr>
        <w:tc>
          <w:tcPr>
            <w:tcW w:w="3220" w:type="dxa"/>
            <w:tcBorders>
              <w:top w:val="nil"/>
              <w:left w:val="nil"/>
              <w:bottom w:val="nil"/>
              <w:right w:val="nil"/>
            </w:tcBorders>
            <w:shd w:val="clear" w:color="auto" w:fill="auto"/>
            <w:vAlign w:val="bottom"/>
            <w:hideMark/>
          </w:tcPr>
          <w:p w14:paraId="0D636C34" w14:textId="4DD23C85" w:rsidR="002D602C" w:rsidRPr="00CC56DE" w:rsidRDefault="002D602C" w:rsidP="002D602C">
            <w:pPr>
              <w:spacing w:before="0" w:after="0" w:line="240" w:lineRule="auto"/>
              <w:rPr>
                <w:rFonts w:ascii="Arial" w:hAnsi="Arial" w:cs="Arial"/>
                <w:b/>
                <w:bCs/>
                <w:sz w:val="16"/>
                <w:szCs w:val="16"/>
              </w:rPr>
            </w:pPr>
            <w:r>
              <w:rPr>
                <w:rFonts w:ascii="Arial" w:hAnsi="Arial" w:cs="Arial"/>
                <w:b/>
                <w:bCs/>
                <w:sz w:val="16"/>
                <w:szCs w:val="16"/>
              </w:rPr>
              <w:t>Estimated expenditure on new or replacement assets</w:t>
            </w:r>
          </w:p>
        </w:tc>
        <w:tc>
          <w:tcPr>
            <w:tcW w:w="1100" w:type="dxa"/>
            <w:tcBorders>
              <w:top w:val="nil"/>
              <w:left w:val="nil"/>
              <w:bottom w:val="nil"/>
              <w:right w:val="nil"/>
            </w:tcBorders>
            <w:shd w:val="clear" w:color="auto" w:fill="auto"/>
            <w:noWrap/>
            <w:vAlign w:val="bottom"/>
            <w:hideMark/>
          </w:tcPr>
          <w:p w14:paraId="3A3AC47B" w14:textId="77777777" w:rsidR="002D602C" w:rsidRPr="00CC56DE" w:rsidRDefault="002D602C" w:rsidP="002D602C">
            <w:pPr>
              <w:spacing w:before="0" w:after="0" w:line="240" w:lineRule="auto"/>
              <w:rPr>
                <w:rFonts w:ascii="Arial" w:hAnsi="Arial" w:cs="Arial"/>
                <w:b/>
                <w:bCs/>
                <w:sz w:val="16"/>
                <w:szCs w:val="16"/>
              </w:rPr>
            </w:pPr>
          </w:p>
        </w:tc>
        <w:tc>
          <w:tcPr>
            <w:tcW w:w="1304" w:type="dxa"/>
            <w:tcBorders>
              <w:top w:val="nil"/>
              <w:left w:val="nil"/>
              <w:bottom w:val="nil"/>
              <w:right w:val="nil"/>
            </w:tcBorders>
            <w:shd w:val="clear" w:color="auto" w:fill="auto"/>
            <w:noWrap/>
            <w:vAlign w:val="bottom"/>
            <w:hideMark/>
          </w:tcPr>
          <w:p w14:paraId="7B90885C" w14:textId="77777777" w:rsidR="002D602C" w:rsidRPr="00CC56DE" w:rsidRDefault="002D602C" w:rsidP="002D602C">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72CC1DEA" w14:textId="77777777" w:rsidR="002D602C" w:rsidRPr="00CC56DE" w:rsidRDefault="002D602C" w:rsidP="002D602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1BA49AD0" w14:textId="77777777" w:rsidR="002D602C" w:rsidRPr="00CC56DE" w:rsidRDefault="002D602C" w:rsidP="002D602C">
            <w:pPr>
              <w:spacing w:before="0" w:after="0" w:line="240" w:lineRule="auto"/>
              <w:jc w:val="right"/>
              <w:rPr>
                <w:rFonts w:ascii="Times New Roman" w:hAnsi="Times New Roman"/>
                <w:sz w:val="20"/>
              </w:rPr>
            </w:pPr>
          </w:p>
        </w:tc>
      </w:tr>
      <w:tr w:rsidR="002D602C" w:rsidRPr="00CC56DE" w14:paraId="7E99A55F" w14:textId="77777777" w:rsidTr="00F51B52">
        <w:trPr>
          <w:trHeight w:val="425"/>
          <w:jc w:val="center"/>
        </w:trPr>
        <w:tc>
          <w:tcPr>
            <w:tcW w:w="3220" w:type="dxa"/>
            <w:tcBorders>
              <w:top w:val="nil"/>
              <w:left w:val="nil"/>
              <w:bottom w:val="nil"/>
              <w:right w:val="nil"/>
            </w:tcBorders>
            <w:shd w:val="clear" w:color="auto" w:fill="auto"/>
            <w:vAlign w:val="bottom"/>
            <w:hideMark/>
          </w:tcPr>
          <w:p w14:paraId="1E6BAE45" w14:textId="68CC0B68"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By purchase - appropriation ordinary annual services</w:t>
            </w:r>
          </w:p>
        </w:tc>
        <w:tc>
          <w:tcPr>
            <w:tcW w:w="1100" w:type="dxa"/>
            <w:tcBorders>
              <w:top w:val="nil"/>
              <w:left w:val="nil"/>
              <w:bottom w:val="nil"/>
              <w:right w:val="nil"/>
            </w:tcBorders>
            <w:shd w:val="clear" w:color="auto" w:fill="auto"/>
            <w:noWrap/>
            <w:vAlign w:val="bottom"/>
            <w:hideMark/>
          </w:tcPr>
          <w:p w14:paraId="24095A2B" w14:textId="5234AE2B"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3,085</w:t>
            </w:r>
          </w:p>
        </w:tc>
        <w:tc>
          <w:tcPr>
            <w:tcW w:w="1304" w:type="dxa"/>
            <w:tcBorders>
              <w:top w:val="nil"/>
              <w:left w:val="nil"/>
              <w:bottom w:val="nil"/>
              <w:right w:val="nil"/>
            </w:tcBorders>
            <w:shd w:val="clear" w:color="auto" w:fill="auto"/>
            <w:noWrap/>
            <w:vAlign w:val="bottom"/>
            <w:hideMark/>
          </w:tcPr>
          <w:p w14:paraId="15D4F9F1" w14:textId="125443AD"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200</w:t>
            </w:r>
          </w:p>
        </w:tc>
        <w:tc>
          <w:tcPr>
            <w:tcW w:w="1077" w:type="dxa"/>
            <w:tcBorders>
              <w:top w:val="nil"/>
              <w:left w:val="nil"/>
              <w:bottom w:val="nil"/>
              <w:right w:val="nil"/>
            </w:tcBorders>
            <w:shd w:val="clear" w:color="auto" w:fill="auto"/>
            <w:noWrap/>
            <w:vAlign w:val="bottom"/>
            <w:hideMark/>
          </w:tcPr>
          <w:p w14:paraId="26854F9F" w14:textId="4D669B75"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351</w:t>
            </w:r>
          </w:p>
        </w:tc>
        <w:tc>
          <w:tcPr>
            <w:tcW w:w="1020" w:type="dxa"/>
            <w:tcBorders>
              <w:top w:val="nil"/>
              <w:left w:val="nil"/>
              <w:bottom w:val="nil"/>
              <w:right w:val="nil"/>
            </w:tcBorders>
            <w:shd w:val="clear" w:color="auto" w:fill="auto"/>
            <w:noWrap/>
            <w:vAlign w:val="bottom"/>
            <w:hideMark/>
          </w:tcPr>
          <w:p w14:paraId="634C3BA9" w14:textId="2440BC8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3,636</w:t>
            </w:r>
          </w:p>
        </w:tc>
      </w:tr>
      <w:tr w:rsidR="002D602C" w:rsidRPr="00CC56DE" w14:paraId="57635099" w14:textId="77777777" w:rsidTr="00F51B52">
        <w:trPr>
          <w:trHeight w:val="227"/>
          <w:jc w:val="center"/>
        </w:trPr>
        <w:tc>
          <w:tcPr>
            <w:tcW w:w="3220" w:type="dxa"/>
            <w:tcBorders>
              <w:top w:val="nil"/>
              <w:left w:val="nil"/>
              <w:bottom w:val="nil"/>
              <w:right w:val="nil"/>
            </w:tcBorders>
            <w:shd w:val="clear" w:color="auto" w:fill="auto"/>
            <w:vAlign w:val="bottom"/>
            <w:hideMark/>
          </w:tcPr>
          <w:p w14:paraId="676A2BB0" w14:textId="70050E72"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By purchase - </w:t>
            </w:r>
            <w:proofErr w:type="spellStart"/>
            <w:r>
              <w:rPr>
                <w:rFonts w:ascii="Arial" w:hAnsi="Arial"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6F1AFAA4" w14:textId="0AFFFAD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3,394</w:t>
            </w:r>
          </w:p>
        </w:tc>
        <w:tc>
          <w:tcPr>
            <w:tcW w:w="1304" w:type="dxa"/>
            <w:tcBorders>
              <w:top w:val="nil"/>
              <w:left w:val="nil"/>
              <w:bottom w:val="nil"/>
              <w:right w:val="nil"/>
            </w:tcBorders>
            <w:shd w:val="clear" w:color="auto" w:fill="auto"/>
            <w:noWrap/>
            <w:vAlign w:val="bottom"/>
            <w:hideMark/>
          </w:tcPr>
          <w:p w14:paraId="790E6182" w14:textId="66BC6290"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37BFA2DA" w14:textId="6F4B306A"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bottom"/>
            <w:hideMark/>
          </w:tcPr>
          <w:p w14:paraId="4DD74AF4" w14:textId="718E4E97"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3,394</w:t>
            </w:r>
          </w:p>
        </w:tc>
      </w:tr>
      <w:tr w:rsidR="002D602C" w:rsidRPr="00CC56DE" w14:paraId="1405B8C1"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1817F53F" w14:textId="290D053C" w:rsidR="002D602C" w:rsidRPr="00CC56DE" w:rsidRDefault="002D602C" w:rsidP="002D602C">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additions</w:t>
            </w:r>
          </w:p>
        </w:tc>
        <w:tc>
          <w:tcPr>
            <w:tcW w:w="1100" w:type="dxa"/>
            <w:tcBorders>
              <w:top w:val="nil"/>
              <w:left w:val="nil"/>
              <w:bottom w:val="single" w:sz="4" w:space="0" w:color="auto"/>
              <w:right w:val="nil"/>
            </w:tcBorders>
            <w:shd w:val="clear" w:color="auto" w:fill="auto"/>
            <w:noWrap/>
            <w:vAlign w:val="bottom"/>
            <w:hideMark/>
          </w:tcPr>
          <w:p w14:paraId="6A28286F" w14:textId="3DA7036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6,479</w:t>
            </w:r>
          </w:p>
        </w:tc>
        <w:tc>
          <w:tcPr>
            <w:tcW w:w="1304" w:type="dxa"/>
            <w:tcBorders>
              <w:top w:val="nil"/>
              <w:left w:val="nil"/>
              <w:bottom w:val="single" w:sz="4" w:space="0" w:color="auto"/>
              <w:right w:val="nil"/>
            </w:tcBorders>
            <w:shd w:val="clear" w:color="auto" w:fill="auto"/>
            <w:noWrap/>
            <w:vAlign w:val="bottom"/>
            <w:hideMark/>
          </w:tcPr>
          <w:p w14:paraId="21A40D28" w14:textId="2691FFA2"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w:t>
            </w:r>
          </w:p>
        </w:tc>
        <w:tc>
          <w:tcPr>
            <w:tcW w:w="1077" w:type="dxa"/>
            <w:tcBorders>
              <w:top w:val="nil"/>
              <w:left w:val="nil"/>
              <w:bottom w:val="single" w:sz="4" w:space="0" w:color="auto"/>
              <w:right w:val="nil"/>
            </w:tcBorders>
            <w:shd w:val="clear" w:color="auto" w:fill="auto"/>
            <w:noWrap/>
            <w:vAlign w:val="bottom"/>
            <w:hideMark/>
          </w:tcPr>
          <w:p w14:paraId="2D998169" w14:textId="49B6181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351</w:t>
            </w:r>
          </w:p>
        </w:tc>
        <w:tc>
          <w:tcPr>
            <w:tcW w:w="1020" w:type="dxa"/>
            <w:tcBorders>
              <w:top w:val="nil"/>
              <w:left w:val="nil"/>
              <w:bottom w:val="single" w:sz="4" w:space="0" w:color="auto"/>
              <w:right w:val="nil"/>
            </w:tcBorders>
            <w:shd w:val="clear" w:color="auto" w:fill="auto"/>
            <w:noWrap/>
            <w:vAlign w:val="bottom"/>
            <w:hideMark/>
          </w:tcPr>
          <w:p w14:paraId="750676BA" w14:textId="1F52B594"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7,030</w:t>
            </w:r>
          </w:p>
        </w:tc>
      </w:tr>
      <w:tr w:rsidR="002D602C" w:rsidRPr="00CC56DE" w14:paraId="7403263B" w14:textId="77777777" w:rsidTr="00F51B52">
        <w:trPr>
          <w:trHeight w:val="283"/>
          <w:jc w:val="center"/>
        </w:trPr>
        <w:tc>
          <w:tcPr>
            <w:tcW w:w="3220" w:type="dxa"/>
            <w:tcBorders>
              <w:top w:val="nil"/>
              <w:left w:val="nil"/>
              <w:bottom w:val="nil"/>
              <w:right w:val="nil"/>
            </w:tcBorders>
            <w:shd w:val="clear" w:color="auto" w:fill="auto"/>
            <w:noWrap/>
            <w:vAlign w:val="bottom"/>
            <w:hideMark/>
          </w:tcPr>
          <w:p w14:paraId="3A8D8F44" w14:textId="5B75FF9E" w:rsidR="002D602C" w:rsidRPr="00CC56DE" w:rsidRDefault="002D602C" w:rsidP="002D602C">
            <w:pPr>
              <w:spacing w:before="0" w:after="0" w:line="240" w:lineRule="auto"/>
              <w:rPr>
                <w:rFonts w:ascii="Arial" w:hAnsi="Arial" w:cs="Arial"/>
                <w:b/>
                <w:bCs/>
                <w:sz w:val="16"/>
                <w:szCs w:val="16"/>
              </w:rPr>
            </w:pPr>
            <w:r>
              <w:rPr>
                <w:rFonts w:ascii="Arial" w:hAnsi="Arial" w:cs="Arial"/>
                <w:b/>
                <w:bCs/>
                <w:sz w:val="16"/>
                <w:szCs w:val="16"/>
              </w:rPr>
              <w:t>Other movements</w:t>
            </w:r>
          </w:p>
        </w:tc>
        <w:tc>
          <w:tcPr>
            <w:tcW w:w="1100" w:type="dxa"/>
            <w:tcBorders>
              <w:top w:val="nil"/>
              <w:left w:val="nil"/>
              <w:bottom w:val="nil"/>
              <w:right w:val="nil"/>
            </w:tcBorders>
            <w:shd w:val="clear" w:color="auto" w:fill="auto"/>
            <w:noWrap/>
            <w:vAlign w:val="bottom"/>
            <w:hideMark/>
          </w:tcPr>
          <w:p w14:paraId="63BE04A9" w14:textId="77777777" w:rsidR="002D602C" w:rsidRPr="00CC56DE" w:rsidRDefault="002D602C" w:rsidP="002D602C">
            <w:pPr>
              <w:spacing w:before="0" w:after="0" w:line="240" w:lineRule="auto"/>
              <w:rPr>
                <w:rFonts w:ascii="Arial" w:hAnsi="Arial" w:cs="Arial"/>
                <w:b/>
                <w:bCs/>
                <w:sz w:val="16"/>
                <w:szCs w:val="16"/>
              </w:rPr>
            </w:pPr>
          </w:p>
        </w:tc>
        <w:tc>
          <w:tcPr>
            <w:tcW w:w="1304" w:type="dxa"/>
            <w:tcBorders>
              <w:top w:val="nil"/>
              <w:left w:val="nil"/>
              <w:bottom w:val="nil"/>
              <w:right w:val="nil"/>
            </w:tcBorders>
            <w:shd w:val="clear" w:color="auto" w:fill="auto"/>
            <w:noWrap/>
            <w:vAlign w:val="bottom"/>
            <w:hideMark/>
          </w:tcPr>
          <w:p w14:paraId="0BC5A2E3" w14:textId="77777777" w:rsidR="002D602C" w:rsidRPr="00CC56DE" w:rsidRDefault="002D602C" w:rsidP="002D602C">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bottom"/>
            <w:hideMark/>
          </w:tcPr>
          <w:p w14:paraId="380689A0" w14:textId="77777777" w:rsidR="002D602C" w:rsidRPr="00CC56DE" w:rsidRDefault="002D602C" w:rsidP="002D602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bottom"/>
            <w:hideMark/>
          </w:tcPr>
          <w:p w14:paraId="6DDA8A93" w14:textId="77777777" w:rsidR="002D602C" w:rsidRPr="00CC56DE" w:rsidRDefault="002D602C" w:rsidP="002D602C">
            <w:pPr>
              <w:spacing w:before="0" w:after="0" w:line="240" w:lineRule="auto"/>
              <w:jc w:val="right"/>
              <w:rPr>
                <w:rFonts w:ascii="Times New Roman" w:hAnsi="Times New Roman"/>
                <w:sz w:val="20"/>
              </w:rPr>
            </w:pPr>
          </w:p>
        </w:tc>
      </w:tr>
      <w:tr w:rsidR="002D602C" w:rsidRPr="00CC56DE" w14:paraId="04CB728C"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37DE96F3" w14:textId="15130C62"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Depreciation/amortisation expense</w:t>
            </w:r>
          </w:p>
        </w:tc>
        <w:tc>
          <w:tcPr>
            <w:tcW w:w="1100" w:type="dxa"/>
            <w:tcBorders>
              <w:top w:val="nil"/>
              <w:left w:val="nil"/>
              <w:bottom w:val="nil"/>
              <w:right w:val="nil"/>
            </w:tcBorders>
            <w:shd w:val="clear" w:color="auto" w:fill="auto"/>
            <w:noWrap/>
            <w:vAlign w:val="bottom"/>
            <w:hideMark/>
          </w:tcPr>
          <w:p w14:paraId="7151C94F" w14:textId="13E9FAED"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(555)</w:t>
            </w:r>
          </w:p>
        </w:tc>
        <w:tc>
          <w:tcPr>
            <w:tcW w:w="1304" w:type="dxa"/>
            <w:tcBorders>
              <w:top w:val="nil"/>
              <w:left w:val="nil"/>
              <w:bottom w:val="nil"/>
              <w:right w:val="nil"/>
            </w:tcBorders>
            <w:shd w:val="clear" w:color="auto" w:fill="auto"/>
            <w:noWrap/>
            <w:vAlign w:val="bottom"/>
            <w:hideMark/>
          </w:tcPr>
          <w:p w14:paraId="69A4BE27" w14:textId="08E1AC0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(97)</w:t>
            </w:r>
          </w:p>
        </w:tc>
        <w:tc>
          <w:tcPr>
            <w:tcW w:w="1077" w:type="dxa"/>
            <w:tcBorders>
              <w:top w:val="nil"/>
              <w:left w:val="nil"/>
              <w:bottom w:val="nil"/>
              <w:right w:val="nil"/>
            </w:tcBorders>
            <w:shd w:val="clear" w:color="auto" w:fill="auto"/>
            <w:noWrap/>
            <w:vAlign w:val="bottom"/>
            <w:hideMark/>
          </w:tcPr>
          <w:p w14:paraId="701FD214" w14:textId="7D1B6D92"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(89)</w:t>
            </w:r>
          </w:p>
        </w:tc>
        <w:tc>
          <w:tcPr>
            <w:tcW w:w="1020" w:type="dxa"/>
            <w:tcBorders>
              <w:top w:val="nil"/>
              <w:left w:val="nil"/>
              <w:bottom w:val="nil"/>
              <w:right w:val="nil"/>
            </w:tcBorders>
            <w:shd w:val="clear" w:color="auto" w:fill="auto"/>
            <w:noWrap/>
            <w:vAlign w:val="bottom"/>
            <w:hideMark/>
          </w:tcPr>
          <w:p w14:paraId="0FCB4965" w14:textId="6E8E8C45"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(741)</w:t>
            </w:r>
          </w:p>
        </w:tc>
      </w:tr>
      <w:tr w:rsidR="002D602C" w:rsidRPr="00CC56DE" w14:paraId="0065EF96" w14:textId="77777777" w:rsidTr="00F51B52">
        <w:trPr>
          <w:trHeight w:val="425"/>
          <w:jc w:val="center"/>
        </w:trPr>
        <w:tc>
          <w:tcPr>
            <w:tcW w:w="3220" w:type="dxa"/>
            <w:tcBorders>
              <w:top w:val="nil"/>
              <w:left w:val="nil"/>
              <w:bottom w:val="nil"/>
              <w:right w:val="nil"/>
            </w:tcBorders>
            <w:shd w:val="clear" w:color="auto" w:fill="auto"/>
            <w:vAlign w:val="bottom"/>
            <w:hideMark/>
          </w:tcPr>
          <w:p w14:paraId="0BF629F2" w14:textId="694AC9CF"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Depreciation/amortisation expense - </w:t>
            </w:r>
            <w:proofErr w:type="spellStart"/>
            <w:r>
              <w:rPr>
                <w:rFonts w:ascii="Arial" w:hAnsi="Arial"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7DB3EE85" w14:textId="57F59121"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(663)</w:t>
            </w:r>
          </w:p>
        </w:tc>
        <w:tc>
          <w:tcPr>
            <w:tcW w:w="1304" w:type="dxa"/>
            <w:tcBorders>
              <w:top w:val="nil"/>
              <w:left w:val="nil"/>
              <w:bottom w:val="nil"/>
              <w:right w:val="nil"/>
            </w:tcBorders>
            <w:shd w:val="clear" w:color="auto" w:fill="auto"/>
            <w:noWrap/>
            <w:vAlign w:val="bottom"/>
            <w:hideMark/>
          </w:tcPr>
          <w:p w14:paraId="7AD25AB3" w14:textId="20FA1F2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72EE84ED" w14:textId="7D17E71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bottom"/>
            <w:hideMark/>
          </w:tcPr>
          <w:p w14:paraId="436E7AB3" w14:textId="7CC8DAA0"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(663)</w:t>
            </w:r>
          </w:p>
        </w:tc>
      </w:tr>
      <w:tr w:rsidR="002D602C" w:rsidRPr="00CC56DE" w14:paraId="4AE65359"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61A4F6B3" w14:textId="59DCABC8" w:rsidR="002D602C" w:rsidRPr="00CC56DE" w:rsidRDefault="002D602C" w:rsidP="002D602C">
            <w:pPr>
              <w:spacing w:before="0" w:after="0" w:line="240" w:lineRule="auto"/>
              <w:ind w:leftChars="75" w:left="143"/>
              <w:rPr>
                <w:rFonts w:ascii="Arial" w:hAnsi="Arial" w:cs="Arial"/>
                <w:b/>
                <w:bCs/>
                <w:color w:val="000000"/>
                <w:sz w:val="16"/>
                <w:szCs w:val="16"/>
              </w:rPr>
            </w:pPr>
            <w:r>
              <w:rPr>
                <w:rFonts w:ascii="Arial" w:hAnsi="Arial" w:cs="Arial"/>
                <w:b/>
                <w:bCs/>
                <w:color w:val="000000"/>
                <w:sz w:val="16"/>
                <w:szCs w:val="16"/>
              </w:rPr>
              <w:t>Total other movements</w:t>
            </w:r>
          </w:p>
        </w:tc>
        <w:tc>
          <w:tcPr>
            <w:tcW w:w="1100" w:type="dxa"/>
            <w:tcBorders>
              <w:top w:val="nil"/>
              <w:left w:val="nil"/>
              <w:bottom w:val="single" w:sz="4" w:space="0" w:color="auto"/>
              <w:right w:val="nil"/>
            </w:tcBorders>
            <w:shd w:val="clear" w:color="auto" w:fill="auto"/>
            <w:noWrap/>
            <w:vAlign w:val="bottom"/>
            <w:hideMark/>
          </w:tcPr>
          <w:p w14:paraId="10992D7D" w14:textId="6304FF2D"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(1,218)</w:t>
            </w:r>
          </w:p>
        </w:tc>
        <w:tc>
          <w:tcPr>
            <w:tcW w:w="1304" w:type="dxa"/>
            <w:tcBorders>
              <w:top w:val="nil"/>
              <w:left w:val="nil"/>
              <w:bottom w:val="single" w:sz="4" w:space="0" w:color="auto"/>
              <w:right w:val="nil"/>
            </w:tcBorders>
            <w:shd w:val="clear" w:color="auto" w:fill="auto"/>
            <w:noWrap/>
            <w:vAlign w:val="bottom"/>
            <w:hideMark/>
          </w:tcPr>
          <w:p w14:paraId="5F72CAF5" w14:textId="0DAEBE0D"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1077" w:type="dxa"/>
            <w:tcBorders>
              <w:top w:val="nil"/>
              <w:left w:val="nil"/>
              <w:bottom w:val="single" w:sz="4" w:space="0" w:color="auto"/>
              <w:right w:val="nil"/>
            </w:tcBorders>
            <w:shd w:val="clear" w:color="auto" w:fill="auto"/>
            <w:noWrap/>
            <w:vAlign w:val="bottom"/>
            <w:hideMark/>
          </w:tcPr>
          <w:p w14:paraId="51E0FBD5" w14:textId="1E67337F"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(89)</w:t>
            </w:r>
          </w:p>
        </w:tc>
        <w:tc>
          <w:tcPr>
            <w:tcW w:w="1020" w:type="dxa"/>
            <w:tcBorders>
              <w:top w:val="nil"/>
              <w:left w:val="nil"/>
              <w:bottom w:val="single" w:sz="4" w:space="0" w:color="auto"/>
              <w:right w:val="nil"/>
            </w:tcBorders>
            <w:shd w:val="clear" w:color="auto" w:fill="auto"/>
            <w:noWrap/>
            <w:vAlign w:val="bottom"/>
            <w:hideMark/>
          </w:tcPr>
          <w:p w14:paraId="3F2A0A9F" w14:textId="48774E92"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(1,404)</w:t>
            </w:r>
          </w:p>
        </w:tc>
      </w:tr>
      <w:tr w:rsidR="002D602C" w:rsidRPr="00CC56DE" w14:paraId="5945F443" w14:textId="77777777" w:rsidTr="00F51B52">
        <w:trPr>
          <w:trHeight w:val="283"/>
          <w:jc w:val="center"/>
        </w:trPr>
        <w:tc>
          <w:tcPr>
            <w:tcW w:w="3220" w:type="dxa"/>
            <w:tcBorders>
              <w:top w:val="nil"/>
              <w:left w:val="nil"/>
              <w:bottom w:val="nil"/>
              <w:right w:val="nil"/>
            </w:tcBorders>
            <w:shd w:val="clear" w:color="auto" w:fill="auto"/>
            <w:noWrap/>
            <w:vAlign w:val="bottom"/>
            <w:hideMark/>
          </w:tcPr>
          <w:p w14:paraId="01185228" w14:textId="481AF6E5" w:rsidR="002D602C" w:rsidRPr="00CC56DE" w:rsidRDefault="002D602C" w:rsidP="002D602C">
            <w:pPr>
              <w:spacing w:before="0" w:after="0" w:line="240" w:lineRule="auto"/>
              <w:rPr>
                <w:rFonts w:ascii="Arial" w:hAnsi="Arial" w:cs="Arial"/>
                <w:b/>
                <w:bCs/>
                <w:sz w:val="16"/>
                <w:szCs w:val="16"/>
              </w:rPr>
            </w:pPr>
            <w:r>
              <w:rPr>
                <w:rFonts w:ascii="Arial" w:hAnsi="Arial" w:cs="Arial"/>
                <w:b/>
                <w:bCs/>
                <w:sz w:val="16"/>
                <w:szCs w:val="16"/>
              </w:rPr>
              <w:t xml:space="preserve">As </w:t>
            </w:r>
            <w:proofErr w:type="gramStart"/>
            <w:r>
              <w:rPr>
                <w:rFonts w:ascii="Arial" w:hAnsi="Arial" w:cs="Arial"/>
                <w:b/>
                <w:bCs/>
                <w:sz w:val="16"/>
                <w:szCs w:val="16"/>
              </w:rPr>
              <w:t>at</w:t>
            </w:r>
            <w:proofErr w:type="gramEnd"/>
            <w:r>
              <w:rPr>
                <w:rFonts w:ascii="Arial" w:hAnsi="Arial" w:cs="Arial"/>
                <w:b/>
                <w:bCs/>
                <w:sz w:val="16"/>
                <w:szCs w:val="16"/>
              </w:rPr>
              <w:t xml:space="preserve"> 30 June 2024</w:t>
            </w:r>
          </w:p>
        </w:tc>
        <w:tc>
          <w:tcPr>
            <w:tcW w:w="1100" w:type="dxa"/>
            <w:tcBorders>
              <w:top w:val="nil"/>
              <w:left w:val="nil"/>
              <w:bottom w:val="nil"/>
              <w:right w:val="nil"/>
            </w:tcBorders>
            <w:shd w:val="clear" w:color="auto" w:fill="auto"/>
            <w:noWrap/>
            <w:vAlign w:val="center"/>
            <w:hideMark/>
          </w:tcPr>
          <w:p w14:paraId="1D146D53" w14:textId="77777777" w:rsidR="002D602C" w:rsidRPr="00CC56DE" w:rsidRDefault="002D602C" w:rsidP="002D602C">
            <w:pPr>
              <w:spacing w:before="0" w:after="0" w:line="240" w:lineRule="auto"/>
              <w:rPr>
                <w:rFonts w:ascii="Arial" w:hAnsi="Arial" w:cs="Arial"/>
                <w:b/>
                <w:bCs/>
                <w:sz w:val="16"/>
                <w:szCs w:val="16"/>
              </w:rPr>
            </w:pPr>
          </w:p>
        </w:tc>
        <w:tc>
          <w:tcPr>
            <w:tcW w:w="1304" w:type="dxa"/>
            <w:tcBorders>
              <w:top w:val="nil"/>
              <w:left w:val="nil"/>
              <w:bottom w:val="nil"/>
              <w:right w:val="nil"/>
            </w:tcBorders>
            <w:shd w:val="clear" w:color="auto" w:fill="auto"/>
            <w:noWrap/>
            <w:vAlign w:val="center"/>
            <w:hideMark/>
          </w:tcPr>
          <w:p w14:paraId="33B2C3C0" w14:textId="77777777" w:rsidR="002D602C" w:rsidRPr="00CC56DE" w:rsidRDefault="002D602C" w:rsidP="002D602C">
            <w:pPr>
              <w:spacing w:before="0" w:after="0" w:line="240" w:lineRule="auto"/>
              <w:jc w:val="right"/>
              <w:rPr>
                <w:rFonts w:ascii="Times New Roman" w:hAnsi="Times New Roman"/>
                <w:sz w:val="20"/>
              </w:rPr>
            </w:pPr>
          </w:p>
        </w:tc>
        <w:tc>
          <w:tcPr>
            <w:tcW w:w="1077" w:type="dxa"/>
            <w:tcBorders>
              <w:top w:val="nil"/>
              <w:left w:val="nil"/>
              <w:bottom w:val="nil"/>
              <w:right w:val="nil"/>
            </w:tcBorders>
            <w:shd w:val="clear" w:color="auto" w:fill="auto"/>
            <w:noWrap/>
            <w:vAlign w:val="center"/>
            <w:hideMark/>
          </w:tcPr>
          <w:p w14:paraId="6C0C5D60" w14:textId="77777777" w:rsidR="002D602C" w:rsidRPr="00CC56DE" w:rsidRDefault="002D602C" w:rsidP="002D602C">
            <w:pPr>
              <w:spacing w:before="0" w:after="0" w:line="240" w:lineRule="auto"/>
              <w:jc w:val="right"/>
              <w:rPr>
                <w:rFonts w:ascii="Times New Roman" w:hAnsi="Times New Roman"/>
                <w:sz w:val="20"/>
              </w:rPr>
            </w:pPr>
          </w:p>
        </w:tc>
        <w:tc>
          <w:tcPr>
            <w:tcW w:w="1020" w:type="dxa"/>
            <w:tcBorders>
              <w:top w:val="nil"/>
              <w:left w:val="nil"/>
              <w:bottom w:val="nil"/>
              <w:right w:val="nil"/>
            </w:tcBorders>
            <w:shd w:val="clear" w:color="auto" w:fill="auto"/>
            <w:noWrap/>
            <w:vAlign w:val="center"/>
            <w:hideMark/>
          </w:tcPr>
          <w:p w14:paraId="31670C0C" w14:textId="77777777" w:rsidR="002D602C" w:rsidRPr="00CC56DE" w:rsidRDefault="002D602C" w:rsidP="002D602C">
            <w:pPr>
              <w:spacing w:before="0" w:after="0" w:line="240" w:lineRule="auto"/>
              <w:jc w:val="right"/>
              <w:rPr>
                <w:rFonts w:ascii="Times New Roman" w:hAnsi="Times New Roman"/>
                <w:sz w:val="20"/>
              </w:rPr>
            </w:pPr>
          </w:p>
        </w:tc>
      </w:tr>
      <w:tr w:rsidR="002D602C" w:rsidRPr="00CC56DE" w14:paraId="242A62B4" w14:textId="77777777" w:rsidTr="00F51B52">
        <w:trPr>
          <w:trHeight w:val="225"/>
          <w:jc w:val="center"/>
        </w:trPr>
        <w:tc>
          <w:tcPr>
            <w:tcW w:w="3220" w:type="dxa"/>
            <w:tcBorders>
              <w:top w:val="nil"/>
              <w:left w:val="nil"/>
              <w:bottom w:val="nil"/>
              <w:right w:val="nil"/>
            </w:tcBorders>
            <w:shd w:val="clear" w:color="auto" w:fill="auto"/>
            <w:noWrap/>
            <w:vAlign w:val="bottom"/>
            <w:hideMark/>
          </w:tcPr>
          <w:p w14:paraId="6BB88840" w14:textId="0D1EE9C4"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Gross book value</w:t>
            </w:r>
          </w:p>
        </w:tc>
        <w:tc>
          <w:tcPr>
            <w:tcW w:w="1100" w:type="dxa"/>
            <w:tcBorders>
              <w:top w:val="nil"/>
              <w:left w:val="nil"/>
              <w:bottom w:val="nil"/>
              <w:right w:val="nil"/>
            </w:tcBorders>
            <w:shd w:val="clear" w:color="auto" w:fill="auto"/>
            <w:noWrap/>
            <w:vAlign w:val="bottom"/>
            <w:hideMark/>
          </w:tcPr>
          <w:p w14:paraId="214FFE41" w14:textId="31A13AA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3,261</w:t>
            </w:r>
          </w:p>
        </w:tc>
        <w:tc>
          <w:tcPr>
            <w:tcW w:w="1304" w:type="dxa"/>
            <w:tcBorders>
              <w:top w:val="nil"/>
              <w:left w:val="nil"/>
              <w:bottom w:val="nil"/>
              <w:right w:val="nil"/>
            </w:tcBorders>
            <w:shd w:val="clear" w:color="auto" w:fill="auto"/>
            <w:noWrap/>
            <w:vAlign w:val="bottom"/>
            <w:hideMark/>
          </w:tcPr>
          <w:p w14:paraId="14D9D8F6" w14:textId="45DCBC2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710</w:t>
            </w:r>
          </w:p>
        </w:tc>
        <w:tc>
          <w:tcPr>
            <w:tcW w:w="1077" w:type="dxa"/>
            <w:tcBorders>
              <w:top w:val="nil"/>
              <w:left w:val="nil"/>
              <w:bottom w:val="nil"/>
              <w:right w:val="nil"/>
            </w:tcBorders>
            <w:shd w:val="clear" w:color="auto" w:fill="auto"/>
            <w:noWrap/>
            <w:vAlign w:val="bottom"/>
            <w:hideMark/>
          </w:tcPr>
          <w:p w14:paraId="04650493" w14:textId="3543AE8D"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1,041</w:t>
            </w:r>
          </w:p>
        </w:tc>
        <w:tc>
          <w:tcPr>
            <w:tcW w:w="1020" w:type="dxa"/>
            <w:tcBorders>
              <w:top w:val="nil"/>
              <w:left w:val="nil"/>
              <w:bottom w:val="nil"/>
              <w:right w:val="nil"/>
            </w:tcBorders>
            <w:shd w:val="clear" w:color="auto" w:fill="auto"/>
            <w:noWrap/>
            <w:vAlign w:val="bottom"/>
            <w:hideMark/>
          </w:tcPr>
          <w:p w14:paraId="326D3F83" w14:textId="1D9F005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5,012</w:t>
            </w:r>
          </w:p>
        </w:tc>
      </w:tr>
      <w:tr w:rsidR="002D602C" w:rsidRPr="00CC56DE" w14:paraId="3F7469CB" w14:textId="77777777" w:rsidTr="00F51B52">
        <w:trPr>
          <w:trHeight w:val="227"/>
          <w:jc w:val="center"/>
        </w:trPr>
        <w:tc>
          <w:tcPr>
            <w:tcW w:w="3220" w:type="dxa"/>
            <w:tcBorders>
              <w:top w:val="nil"/>
              <w:left w:val="nil"/>
              <w:bottom w:val="nil"/>
              <w:right w:val="nil"/>
            </w:tcBorders>
            <w:shd w:val="clear" w:color="auto" w:fill="auto"/>
            <w:noWrap/>
            <w:vAlign w:val="bottom"/>
            <w:hideMark/>
          </w:tcPr>
          <w:p w14:paraId="09194C44" w14:textId="78F8C2E6"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Gross book value - </w:t>
            </w:r>
            <w:proofErr w:type="spellStart"/>
            <w:r>
              <w:rPr>
                <w:rFonts w:ascii="Arial" w:hAnsi="Arial" w:cs="Arial"/>
                <w:sz w:val="16"/>
                <w:szCs w:val="16"/>
              </w:rPr>
              <w:t>RoU</w:t>
            </w:r>
            <w:proofErr w:type="spellEnd"/>
          </w:p>
        </w:tc>
        <w:tc>
          <w:tcPr>
            <w:tcW w:w="1100" w:type="dxa"/>
            <w:tcBorders>
              <w:top w:val="nil"/>
              <w:left w:val="nil"/>
              <w:bottom w:val="nil"/>
              <w:right w:val="nil"/>
            </w:tcBorders>
            <w:shd w:val="clear" w:color="auto" w:fill="auto"/>
            <w:noWrap/>
            <w:vAlign w:val="bottom"/>
            <w:hideMark/>
          </w:tcPr>
          <w:p w14:paraId="2A8F7B03" w14:textId="680F6C0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4,998</w:t>
            </w:r>
          </w:p>
        </w:tc>
        <w:tc>
          <w:tcPr>
            <w:tcW w:w="1304" w:type="dxa"/>
            <w:tcBorders>
              <w:top w:val="nil"/>
              <w:left w:val="nil"/>
              <w:bottom w:val="nil"/>
              <w:right w:val="nil"/>
            </w:tcBorders>
            <w:shd w:val="clear" w:color="auto" w:fill="auto"/>
            <w:noWrap/>
            <w:vAlign w:val="bottom"/>
            <w:hideMark/>
          </w:tcPr>
          <w:p w14:paraId="5D6EDF4E" w14:textId="4BEA5643"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bottom"/>
            <w:hideMark/>
          </w:tcPr>
          <w:p w14:paraId="01799C8A" w14:textId="1DEED970"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bottom"/>
            <w:hideMark/>
          </w:tcPr>
          <w:p w14:paraId="31770E82" w14:textId="15D9E84F"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4,998</w:t>
            </w:r>
          </w:p>
        </w:tc>
      </w:tr>
      <w:tr w:rsidR="002D602C" w:rsidRPr="00CC56DE" w14:paraId="62FFC02F" w14:textId="77777777" w:rsidTr="00F51B52">
        <w:trPr>
          <w:trHeight w:val="425"/>
          <w:jc w:val="center"/>
        </w:trPr>
        <w:tc>
          <w:tcPr>
            <w:tcW w:w="3220" w:type="dxa"/>
            <w:tcBorders>
              <w:top w:val="nil"/>
              <w:left w:val="nil"/>
              <w:bottom w:val="nil"/>
              <w:right w:val="nil"/>
            </w:tcBorders>
            <w:shd w:val="clear" w:color="auto" w:fill="auto"/>
            <w:vAlign w:val="bottom"/>
            <w:hideMark/>
          </w:tcPr>
          <w:p w14:paraId="700B6A8C" w14:textId="3834D5E2"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Accumulated depreciation/amortisation and impairment</w:t>
            </w:r>
          </w:p>
        </w:tc>
        <w:tc>
          <w:tcPr>
            <w:tcW w:w="1100" w:type="dxa"/>
            <w:tcBorders>
              <w:top w:val="nil"/>
              <w:left w:val="nil"/>
              <w:bottom w:val="nil"/>
              <w:right w:val="nil"/>
            </w:tcBorders>
            <w:shd w:val="clear" w:color="auto" w:fill="auto"/>
            <w:noWrap/>
            <w:vAlign w:val="bottom"/>
            <w:hideMark/>
          </w:tcPr>
          <w:p w14:paraId="01035E45" w14:textId="757A84F7"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(566)</w:t>
            </w:r>
          </w:p>
        </w:tc>
        <w:tc>
          <w:tcPr>
            <w:tcW w:w="1304" w:type="dxa"/>
            <w:tcBorders>
              <w:top w:val="nil"/>
              <w:left w:val="nil"/>
              <w:bottom w:val="nil"/>
              <w:right w:val="nil"/>
            </w:tcBorders>
            <w:shd w:val="clear" w:color="auto" w:fill="auto"/>
            <w:noWrap/>
            <w:vAlign w:val="bottom"/>
            <w:hideMark/>
          </w:tcPr>
          <w:p w14:paraId="794435A2" w14:textId="13B2F1C0"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(411)</w:t>
            </w:r>
          </w:p>
        </w:tc>
        <w:tc>
          <w:tcPr>
            <w:tcW w:w="1077" w:type="dxa"/>
            <w:tcBorders>
              <w:top w:val="nil"/>
              <w:left w:val="nil"/>
              <w:bottom w:val="nil"/>
              <w:right w:val="nil"/>
            </w:tcBorders>
            <w:shd w:val="clear" w:color="auto" w:fill="auto"/>
            <w:noWrap/>
            <w:vAlign w:val="bottom"/>
            <w:hideMark/>
          </w:tcPr>
          <w:p w14:paraId="48CA8D60" w14:textId="03213567"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(632)</w:t>
            </w:r>
          </w:p>
        </w:tc>
        <w:tc>
          <w:tcPr>
            <w:tcW w:w="1020" w:type="dxa"/>
            <w:tcBorders>
              <w:top w:val="nil"/>
              <w:left w:val="nil"/>
              <w:bottom w:val="nil"/>
              <w:right w:val="nil"/>
            </w:tcBorders>
            <w:shd w:val="clear" w:color="auto" w:fill="auto"/>
            <w:noWrap/>
            <w:vAlign w:val="bottom"/>
            <w:hideMark/>
          </w:tcPr>
          <w:p w14:paraId="1D9E751E" w14:textId="24D26370"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(1,609)</w:t>
            </w:r>
          </w:p>
        </w:tc>
      </w:tr>
      <w:tr w:rsidR="002D602C" w:rsidRPr="00CC56DE" w14:paraId="0045E709" w14:textId="77777777" w:rsidTr="00F51B52">
        <w:trPr>
          <w:trHeight w:val="425"/>
          <w:jc w:val="center"/>
        </w:trPr>
        <w:tc>
          <w:tcPr>
            <w:tcW w:w="3220" w:type="dxa"/>
            <w:tcBorders>
              <w:top w:val="nil"/>
              <w:left w:val="nil"/>
              <w:bottom w:val="nil"/>
              <w:right w:val="nil"/>
            </w:tcBorders>
            <w:shd w:val="clear" w:color="auto" w:fill="auto"/>
            <w:vAlign w:val="bottom"/>
            <w:hideMark/>
          </w:tcPr>
          <w:p w14:paraId="087CC570" w14:textId="718E605D" w:rsidR="002D602C" w:rsidRPr="00CC56DE" w:rsidRDefault="002D602C" w:rsidP="002D602C">
            <w:pPr>
              <w:spacing w:before="0" w:after="0" w:line="240" w:lineRule="auto"/>
              <w:ind w:leftChars="75" w:left="143"/>
              <w:rPr>
                <w:rFonts w:ascii="Arial" w:hAnsi="Arial" w:cs="Arial"/>
                <w:sz w:val="16"/>
                <w:szCs w:val="16"/>
              </w:rPr>
            </w:pPr>
            <w:r>
              <w:rPr>
                <w:rFonts w:ascii="Arial" w:hAnsi="Arial" w:cs="Arial"/>
                <w:sz w:val="16"/>
                <w:szCs w:val="16"/>
              </w:rPr>
              <w:t xml:space="preserve">Accumulated depreciation/amortisation and impairment - </w:t>
            </w:r>
            <w:proofErr w:type="spellStart"/>
            <w:r>
              <w:rPr>
                <w:rFonts w:ascii="Arial" w:hAnsi="Arial" w:cs="Arial"/>
                <w:sz w:val="16"/>
                <w:szCs w:val="16"/>
              </w:rPr>
              <w:t>RoU</w:t>
            </w:r>
            <w:proofErr w:type="spellEnd"/>
          </w:p>
        </w:tc>
        <w:tc>
          <w:tcPr>
            <w:tcW w:w="1100" w:type="dxa"/>
            <w:tcBorders>
              <w:top w:val="nil"/>
              <w:left w:val="nil"/>
              <w:bottom w:val="single" w:sz="4" w:space="0" w:color="auto"/>
              <w:right w:val="nil"/>
            </w:tcBorders>
            <w:shd w:val="clear" w:color="auto" w:fill="auto"/>
            <w:noWrap/>
            <w:vAlign w:val="bottom"/>
            <w:hideMark/>
          </w:tcPr>
          <w:p w14:paraId="35AEFE8E" w14:textId="55F1732E"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(2,048)</w:t>
            </w:r>
          </w:p>
        </w:tc>
        <w:tc>
          <w:tcPr>
            <w:tcW w:w="1304" w:type="dxa"/>
            <w:tcBorders>
              <w:top w:val="nil"/>
              <w:left w:val="nil"/>
              <w:bottom w:val="single" w:sz="4" w:space="0" w:color="auto"/>
              <w:right w:val="nil"/>
            </w:tcBorders>
            <w:shd w:val="clear" w:color="auto" w:fill="auto"/>
            <w:noWrap/>
            <w:vAlign w:val="bottom"/>
            <w:hideMark/>
          </w:tcPr>
          <w:p w14:paraId="15684F27" w14:textId="6B3B2A07"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single" w:sz="4" w:space="0" w:color="auto"/>
              <w:right w:val="nil"/>
            </w:tcBorders>
            <w:shd w:val="clear" w:color="auto" w:fill="auto"/>
            <w:noWrap/>
            <w:vAlign w:val="bottom"/>
            <w:hideMark/>
          </w:tcPr>
          <w:p w14:paraId="5DB13C2B" w14:textId="37A7A7FC" w:rsidR="002D602C" w:rsidRPr="00CC56DE" w:rsidRDefault="002D602C" w:rsidP="002D602C">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single" w:sz="4" w:space="0" w:color="auto"/>
              <w:right w:val="nil"/>
            </w:tcBorders>
            <w:shd w:val="clear" w:color="auto" w:fill="auto"/>
            <w:noWrap/>
            <w:vAlign w:val="bottom"/>
            <w:hideMark/>
          </w:tcPr>
          <w:p w14:paraId="735E35E1" w14:textId="0E97D3B9"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(2,048)</w:t>
            </w:r>
          </w:p>
        </w:tc>
      </w:tr>
      <w:tr w:rsidR="002D602C" w:rsidRPr="00CC56DE" w14:paraId="79BC7037" w14:textId="77777777" w:rsidTr="00F51B52">
        <w:trPr>
          <w:trHeight w:val="225"/>
          <w:jc w:val="center"/>
        </w:trPr>
        <w:tc>
          <w:tcPr>
            <w:tcW w:w="3220" w:type="dxa"/>
            <w:tcBorders>
              <w:top w:val="nil"/>
              <w:left w:val="nil"/>
              <w:bottom w:val="single" w:sz="4" w:space="0" w:color="auto"/>
              <w:right w:val="nil"/>
            </w:tcBorders>
            <w:shd w:val="clear" w:color="auto" w:fill="auto"/>
            <w:noWrap/>
            <w:vAlign w:val="bottom"/>
            <w:hideMark/>
          </w:tcPr>
          <w:p w14:paraId="14BD0622" w14:textId="719D94F6" w:rsidR="002D602C" w:rsidRPr="00CC56DE" w:rsidRDefault="002D602C" w:rsidP="002D602C">
            <w:pPr>
              <w:spacing w:before="0" w:after="0" w:line="240" w:lineRule="auto"/>
              <w:ind w:leftChars="75" w:left="143"/>
              <w:rPr>
                <w:rFonts w:ascii="Arial" w:hAnsi="Arial" w:cs="Arial"/>
                <w:b/>
                <w:bCs/>
                <w:sz w:val="16"/>
                <w:szCs w:val="16"/>
              </w:rPr>
            </w:pPr>
            <w:r>
              <w:rPr>
                <w:rFonts w:ascii="Arial" w:hAnsi="Arial"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bottom"/>
            <w:hideMark/>
          </w:tcPr>
          <w:p w14:paraId="32A1133B" w14:textId="55B5A1B4"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5,645</w:t>
            </w:r>
          </w:p>
        </w:tc>
        <w:tc>
          <w:tcPr>
            <w:tcW w:w="1304" w:type="dxa"/>
            <w:tcBorders>
              <w:top w:val="nil"/>
              <w:left w:val="nil"/>
              <w:bottom w:val="single" w:sz="4" w:space="0" w:color="auto"/>
              <w:right w:val="nil"/>
            </w:tcBorders>
            <w:shd w:val="clear" w:color="auto" w:fill="auto"/>
            <w:noWrap/>
            <w:vAlign w:val="bottom"/>
            <w:hideMark/>
          </w:tcPr>
          <w:p w14:paraId="686B8E36" w14:textId="67FDEF13"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299</w:t>
            </w:r>
          </w:p>
        </w:tc>
        <w:tc>
          <w:tcPr>
            <w:tcW w:w="1077" w:type="dxa"/>
            <w:tcBorders>
              <w:top w:val="nil"/>
              <w:left w:val="nil"/>
              <w:bottom w:val="single" w:sz="4" w:space="0" w:color="auto"/>
              <w:right w:val="nil"/>
            </w:tcBorders>
            <w:shd w:val="clear" w:color="auto" w:fill="auto"/>
            <w:noWrap/>
            <w:vAlign w:val="bottom"/>
            <w:hideMark/>
          </w:tcPr>
          <w:p w14:paraId="013BA07D" w14:textId="358CB6A7"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409</w:t>
            </w:r>
          </w:p>
        </w:tc>
        <w:tc>
          <w:tcPr>
            <w:tcW w:w="1020" w:type="dxa"/>
            <w:tcBorders>
              <w:top w:val="nil"/>
              <w:left w:val="nil"/>
              <w:bottom w:val="single" w:sz="4" w:space="0" w:color="auto"/>
              <w:right w:val="nil"/>
            </w:tcBorders>
            <w:shd w:val="clear" w:color="auto" w:fill="auto"/>
            <w:noWrap/>
            <w:vAlign w:val="bottom"/>
            <w:hideMark/>
          </w:tcPr>
          <w:p w14:paraId="678879FB" w14:textId="4DD38038" w:rsidR="002D602C" w:rsidRPr="00CC56DE" w:rsidRDefault="002D602C" w:rsidP="002D602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6,353</w:t>
            </w:r>
          </w:p>
        </w:tc>
      </w:tr>
    </w:tbl>
    <w:p w14:paraId="4D29F813" w14:textId="77777777" w:rsidR="008C73CD" w:rsidRPr="004B644D" w:rsidRDefault="008C73CD" w:rsidP="008C73CD">
      <w:pPr>
        <w:pStyle w:val="TableHeadingcontinued"/>
        <w:spacing w:after="120"/>
        <w:rPr>
          <w:b w:val="0"/>
          <w:sz w:val="16"/>
          <w:szCs w:val="16"/>
        </w:rPr>
      </w:pPr>
      <w:proofErr w:type="spellStart"/>
      <w:r w:rsidRPr="004B644D">
        <w:rPr>
          <w:b w:val="0"/>
          <w:sz w:val="16"/>
          <w:szCs w:val="16"/>
        </w:rPr>
        <w:t>RoU</w:t>
      </w:r>
      <w:proofErr w:type="spellEnd"/>
      <w:r w:rsidRPr="004B644D">
        <w:rPr>
          <w:b w:val="0"/>
          <w:sz w:val="16"/>
          <w:szCs w:val="16"/>
        </w:rPr>
        <w:t xml:space="preserve"> = Right-of-Use asset</w:t>
      </w:r>
    </w:p>
    <w:p w14:paraId="5A8D1CAB" w14:textId="4FC0CB85" w:rsidR="00EA38F7" w:rsidRDefault="00EA38F7" w:rsidP="00860712">
      <w:pPr>
        <w:pStyle w:val="Heading1-NoTOC"/>
      </w:pPr>
    </w:p>
    <w:p w14:paraId="324C8B0E" w14:textId="77777777" w:rsidR="00E432F7" w:rsidRDefault="00E432F7" w:rsidP="00860712">
      <w:pPr>
        <w:pStyle w:val="Heading1-NoTOC"/>
        <w:sectPr w:rsidR="00E432F7" w:rsidSect="006621FC">
          <w:footerReference w:type="even" r:id="rId72"/>
          <w:footerReference w:type="default" r:id="rId73"/>
          <w:footerReference w:type="first" r:id="rId74"/>
          <w:pgSz w:w="11907" w:h="16840" w:code="9"/>
          <w:pgMar w:top="2835" w:right="2098" w:bottom="2466" w:left="2098" w:header="1814" w:footer="1814" w:gutter="0"/>
          <w:cols w:space="708"/>
          <w:titlePg/>
          <w:docGrid w:linePitch="360"/>
        </w:sectPr>
      </w:pPr>
    </w:p>
    <w:p w14:paraId="594473F1" w14:textId="0CA61555" w:rsidR="00526CE6" w:rsidRDefault="00DC1569" w:rsidP="00860712">
      <w:pPr>
        <w:pStyle w:val="Heading1-NoTOC"/>
      </w:pPr>
      <w:r>
        <w:fldChar w:fldCharType="begin"/>
      </w:r>
      <w:r>
        <w:instrText xml:space="preserve"> </w:instrText>
      </w:r>
      <w:proofErr w:type="gramStart"/>
      <w:r>
        <w:instrText>TC  "</w:instrText>
      </w:r>
      <w:bookmarkStart w:id="565" w:name="_Toc157520023"/>
      <w:proofErr w:type="gramEnd"/>
      <w:r>
        <w:instrText>Sport Integrity Australia</w:instrText>
      </w:r>
      <w:bookmarkEnd w:id="565"/>
      <w:r>
        <w:instrText xml:space="preserve">" \f m \l 2 </w:instrText>
      </w:r>
      <w:r>
        <w:fldChar w:fldCharType="end"/>
      </w:r>
      <w:r w:rsidR="00526CE6">
        <w:t xml:space="preserve">Sport Integrity Australia </w:t>
      </w:r>
      <w:r w:rsidR="00687AF6">
        <w:fldChar w:fldCharType="begin"/>
      </w:r>
      <w:r w:rsidR="00687AF6">
        <w:instrText xml:space="preserve"> TOC \h \z \t "Heading 3,2,Heading 2 - TOC,1" </w:instrText>
      </w:r>
      <w:r w:rsidR="00687AF6">
        <w:fldChar w:fldCharType="end"/>
      </w:r>
    </w:p>
    <w:p w14:paraId="07544327" w14:textId="007BCB67" w:rsidR="00C00779" w:rsidRDefault="00F552F6">
      <w:pPr>
        <w:pStyle w:val="TOC1"/>
        <w:rPr>
          <w:rFonts w:asciiTheme="minorHAnsi" w:eastAsiaTheme="minorEastAsia" w:hAnsiTheme="minorHAnsi" w:cstheme="minorBidi"/>
          <w:b w:val="0"/>
          <w:noProof/>
          <w:sz w:val="22"/>
          <w:szCs w:val="22"/>
        </w:rPr>
      </w:pPr>
      <w:r>
        <w:fldChar w:fldCharType="begin"/>
      </w:r>
      <w:r>
        <w:instrText xml:space="preserve"> TOC \f</w:instrText>
      </w:r>
      <w:r w:rsidR="00860712">
        <w:instrText xml:space="preserve"> sia</w:instrText>
      </w:r>
      <w:r>
        <w:instrText xml:space="preserve"> \h \z </w:instrText>
      </w:r>
      <w:r>
        <w:fldChar w:fldCharType="separate"/>
      </w:r>
      <w:hyperlink w:anchor="_Toc157520569" w:history="1">
        <w:r w:rsidR="00C00779" w:rsidRPr="00485211">
          <w:rPr>
            <w:rStyle w:val="Hyperlink"/>
            <w:noProof/>
          </w:rPr>
          <w:t>Section 1: Entity overview and resources</w:t>
        </w:r>
        <w:r w:rsidR="00C00779">
          <w:rPr>
            <w:noProof/>
            <w:webHidden/>
          </w:rPr>
          <w:tab/>
        </w:r>
        <w:r w:rsidR="00C00779">
          <w:rPr>
            <w:noProof/>
            <w:webHidden/>
          </w:rPr>
          <w:fldChar w:fldCharType="begin"/>
        </w:r>
        <w:r w:rsidR="00C00779">
          <w:rPr>
            <w:noProof/>
            <w:webHidden/>
          </w:rPr>
          <w:instrText xml:space="preserve"> PAGEREF _Toc157520569 \h </w:instrText>
        </w:r>
        <w:r w:rsidR="00C00779">
          <w:rPr>
            <w:noProof/>
            <w:webHidden/>
          </w:rPr>
        </w:r>
        <w:r w:rsidR="00C00779">
          <w:rPr>
            <w:noProof/>
            <w:webHidden/>
          </w:rPr>
          <w:fldChar w:fldCharType="separate"/>
        </w:r>
        <w:r w:rsidR="004344FF">
          <w:rPr>
            <w:noProof/>
            <w:webHidden/>
          </w:rPr>
          <w:t>148</w:t>
        </w:r>
        <w:r w:rsidR="00C00779">
          <w:rPr>
            <w:noProof/>
            <w:webHidden/>
          </w:rPr>
          <w:fldChar w:fldCharType="end"/>
        </w:r>
      </w:hyperlink>
    </w:p>
    <w:p w14:paraId="46A0E62A" w14:textId="62A13831" w:rsidR="00C00779" w:rsidRDefault="00000000">
      <w:pPr>
        <w:pStyle w:val="TOC2"/>
        <w:rPr>
          <w:rFonts w:asciiTheme="minorHAnsi" w:eastAsiaTheme="minorEastAsia" w:hAnsiTheme="minorHAnsi" w:cstheme="minorBidi"/>
          <w:noProof/>
          <w:sz w:val="22"/>
          <w:szCs w:val="22"/>
        </w:rPr>
      </w:pPr>
      <w:hyperlink w:anchor="_Toc157520570" w:history="1">
        <w:r w:rsidR="00C00779" w:rsidRPr="00485211">
          <w:rPr>
            <w:rStyle w:val="Hyperlink"/>
            <w:noProof/>
          </w:rPr>
          <w:t>1.1</w:t>
        </w:r>
        <w:r w:rsidR="00C00779">
          <w:rPr>
            <w:rFonts w:asciiTheme="minorHAnsi" w:eastAsiaTheme="minorEastAsia" w:hAnsiTheme="minorHAnsi" w:cstheme="minorBidi"/>
            <w:noProof/>
            <w:sz w:val="22"/>
            <w:szCs w:val="22"/>
          </w:rPr>
          <w:tab/>
        </w:r>
        <w:r w:rsidR="00C00779" w:rsidRPr="00485211">
          <w:rPr>
            <w:rStyle w:val="Hyperlink"/>
            <w:noProof/>
          </w:rPr>
          <w:t>Strategic direction statement</w:t>
        </w:r>
        <w:r w:rsidR="00C00779">
          <w:rPr>
            <w:noProof/>
            <w:webHidden/>
          </w:rPr>
          <w:tab/>
        </w:r>
        <w:r w:rsidR="00C00779">
          <w:rPr>
            <w:noProof/>
            <w:webHidden/>
          </w:rPr>
          <w:fldChar w:fldCharType="begin"/>
        </w:r>
        <w:r w:rsidR="00C00779">
          <w:rPr>
            <w:noProof/>
            <w:webHidden/>
          </w:rPr>
          <w:instrText xml:space="preserve"> PAGEREF _Toc157520570 \h </w:instrText>
        </w:r>
        <w:r w:rsidR="00C00779">
          <w:rPr>
            <w:noProof/>
            <w:webHidden/>
          </w:rPr>
        </w:r>
        <w:r w:rsidR="00C00779">
          <w:rPr>
            <w:noProof/>
            <w:webHidden/>
          </w:rPr>
          <w:fldChar w:fldCharType="separate"/>
        </w:r>
        <w:r w:rsidR="004344FF">
          <w:rPr>
            <w:noProof/>
            <w:webHidden/>
          </w:rPr>
          <w:t>148</w:t>
        </w:r>
        <w:r w:rsidR="00C00779">
          <w:rPr>
            <w:noProof/>
            <w:webHidden/>
          </w:rPr>
          <w:fldChar w:fldCharType="end"/>
        </w:r>
      </w:hyperlink>
    </w:p>
    <w:p w14:paraId="25AABF89" w14:textId="3CFD385C" w:rsidR="00C00779" w:rsidRDefault="00000000">
      <w:pPr>
        <w:pStyle w:val="TOC2"/>
        <w:rPr>
          <w:rFonts w:asciiTheme="minorHAnsi" w:eastAsiaTheme="minorEastAsia" w:hAnsiTheme="minorHAnsi" w:cstheme="minorBidi"/>
          <w:noProof/>
          <w:sz w:val="22"/>
          <w:szCs w:val="22"/>
        </w:rPr>
      </w:pPr>
      <w:hyperlink w:anchor="_Toc157520571" w:history="1">
        <w:r w:rsidR="00C00779" w:rsidRPr="00485211">
          <w:rPr>
            <w:rStyle w:val="Hyperlink"/>
            <w:noProof/>
          </w:rPr>
          <w:t>1.2</w:t>
        </w:r>
        <w:r w:rsidR="00C00779">
          <w:rPr>
            <w:rFonts w:asciiTheme="minorHAnsi" w:eastAsiaTheme="minorEastAsia" w:hAnsiTheme="minorHAnsi" w:cstheme="minorBidi"/>
            <w:noProof/>
            <w:sz w:val="22"/>
            <w:szCs w:val="22"/>
          </w:rPr>
          <w:tab/>
        </w:r>
        <w:r w:rsidR="00C00779" w:rsidRPr="00485211">
          <w:rPr>
            <w:rStyle w:val="Hyperlink"/>
            <w:noProof/>
          </w:rPr>
          <w:t>Entity resource statement</w:t>
        </w:r>
        <w:r w:rsidR="00C00779">
          <w:rPr>
            <w:noProof/>
            <w:webHidden/>
          </w:rPr>
          <w:tab/>
        </w:r>
        <w:r w:rsidR="00C00779">
          <w:rPr>
            <w:noProof/>
            <w:webHidden/>
          </w:rPr>
          <w:fldChar w:fldCharType="begin"/>
        </w:r>
        <w:r w:rsidR="00C00779">
          <w:rPr>
            <w:noProof/>
            <w:webHidden/>
          </w:rPr>
          <w:instrText xml:space="preserve"> PAGEREF _Toc157520571 \h </w:instrText>
        </w:r>
        <w:r w:rsidR="00C00779">
          <w:rPr>
            <w:noProof/>
            <w:webHidden/>
          </w:rPr>
        </w:r>
        <w:r w:rsidR="00C00779">
          <w:rPr>
            <w:noProof/>
            <w:webHidden/>
          </w:rPr>
          <w:fldChar w:fldCharType="separate"/>
        </w:r>
        <w:r w:rsidR="004344FF">
          <w:rPr>
            <w:noProof/>
            <w:webHidden/>
          </w:rPr>
          <w:t>149</w:t>
        </w:r>
        <w:r w:rsidR="00C00779">
          <w:rPr>
            <w:noProof/>
            <w:webHidden/>
          </w:rPr>
          <w:fldChar w:fldCharType="end"/>
        </w:r>
      </w:hyperlink>
    </w:p>
    <w:p w14:paraId="2282C24A" w14:textId="6600AAF0" w:rsidR="00C00779" w:rsidRDefault="00000000">
      <w:pPr>
        <w:pStyle w:val="TOC2"/>
        <w:rPr>
          <w:rFonts w:asciiTheme="minorHAnsi" w:eastAsiaTheme="minorEastAsia" w:hAnsiTheme="minorHAnsi" w:cstheme="minorBidi"/>
          <w:noProof/>
          <w:sz w:val="22"/>
          <w:szCs w:val="22"/>
        </w:rPr>
      </w:pPr>
      <w:hyperlink w:anchor="_Toc157520572" w:history="1">
        <w:r w:rsidR="00C00779" w:rsidRPr="00485211">
          <w:rPr>
            <w:rStyle w:val="Hyperlink"/>
            <w:noProof/>
          </w:rPr>
          <w:t>1.3</w:t>
        </w:r>
        <w:r w:rsidR="00C00779">
          <w:rPr>
            <w:rFonts w:asciiTheme="minorHAnsi" w:eastAsiaTheme="minorEastAsia" w:hAnsiTheme="minorHAnsi" w:cstheme="minorBidi"/>
            <w:noProof/>
            <w:sz w:val="22"/>
            <w:szCs w:val="22"/>
          </w:rPr>
          <w:tab/>
        </w:r>
        <w:r w:rsidR="00C00779" w:rsidRPr="00485211">
          <w:rPr>
            <w:rStyle w:val="Hyperlink"/>
            <w:noProof/>
          </w:rPr>
          <w:t>Entity measures</w:t>
        </w:r>
        <w:r w:rsidR="00C00779">
          <w:rPr>
            <w:noProof/>
            <w:webHidden/>
          </w:rPr>
          <w:tab/>
        </w:r>
        <w:r w:rsidR="00C00779">
          <w:rPr>
            <w:noProof/>
            <w:webHidden/>
          </w:rPr>
          <w:fldChar w:fldCharType="begin"/>
        </w:r>
        <w:r w:rsidR="00C00779">
          <w:rPr>
            <w:noProof/>
            <w:webHidden/>
          </w:rPr>
          <w:instrText xml:space="preserve"> PAGEREF _Toc157520572 \h </w:instrText>
        </w:r>
        <w:r w:rsidR="00C00779">
          <w:rPr>
            <w:noProof/>
            <w:webHidden/>
          </w:rPr>
        </w:r>
        <w:r w:rsidR="00C00779">
          <w:rPr>
            <w:noProof/>
            <w:webHidden/>
          </w:rPr>
          <w:fldChar w:fldCharType="separate"/>
        </w:r>
        <w:r w:rsidR="004344FF">
          <w:rPr>
            <w:noProof/>
            <w:webHidden/>
          </w:rPr>
          <w:t>151</w:t>
        </w:r>
        <w:r w:rsidR="00C00779">
          <w:rPr>
            <w:noProof/>
            <w:webHidden/>
          </w:rPr>
          <w:fldChar w:fldCharType="end"/>
        </w:r>
      </w:hyperlink>
    </w:p>
    <w:p w14:paraId="0D644A5B" w14:textId="7606B8FB" w:rsidR="00C00779" w:rsidRDefault="00000000">
      <w:pPr>
        <w:pStyle w:val="TOC2"/>
        <w:rPr>
          <w:rFonts w:asciiTheme="minorHAnsi" w:eastAsiaTheme="minorEastAsia" w:hAnsiTheme="minorHAnsi" w:cstheme="minorBidi"/>
          <w:noProof/>
          <w:sz w:val="22"/>
          <w:szCs w:val="22"/>
        </w:rPr>
      </w:pPr>
      <w:hyperlink w:anchor="_Toc157520573" w:history="1">
        <w:r w:rsidR="00C00779" w:rsidRPr="00485211">
          <w:rPr>
            <w:rStyle w:val="Hyperlink"/>
            <w:noProof/>
          </w:rPr>
          <w:t>1.4</w:t>
        </w:r>
        <w:r w:rsidR="00C00779">
          <w:rPr>
            <w:rFonts w:asciiTheme="minorHAnsi" w:eastAsiaTheme="minorEastAsia" w:hAnsiTheme="minorHAnsi" w:cstheme="minorBidi"/>
            <w:noProof/>
            <w:sz w:val="22"/>
            <w:szCs w:val="22"/>
          </w:rPr>
          <w:tab/>
        </w:r>
        <w:r w:rsidR="00C00779" w:rsidRPr="00485211">
          <w:rPr>
            <w:rStyle w:val="Hyperlink"/>
            <w:noProof/>
          </w:rPr>
          <w:t>Additional estimates, resourcing and variations to outcomes</w:t>
        </w:r>
        <w:r w:rsidR="00C00779">
          <w:rPr>
            <w:noProof/>
            <w:webHidden/>
          </w:rPr>
          <w:tab/>
        </w:r>
        <w:r w:rsidR="00C00779">
          <w:rPr>
            <w:noProof/>
            <w:webHidden/>
          </w:rPr>
          <w:fldChar w:fldCharType="begin"/>
        </w:r>
        <w:r w:rsidR="00C00779">
          <w:rPr>
            <w:noProof/>
            <w:webHidden/>
          </w:rPr>
          <w:instrText xml:space="preserve"> PAGEREF _Toc157520573 \h </w:instrText>
        </w:r>
        <w:r w:rsidR="00C00779">
          <w:rPr>
            <w:noProof/>
            <w:webHidden/>
          </w:rPr>
        </w:r>
        <w:r w:rsidR="00C00779">
          <w:rPr>
            <w:noProof/>
            <w:webHidden/>
          </w:rPr>
          <w:fldChar w:fldCharType="separate"/>
        </w:r>
        <w:r w:rsidR="004344FF">
          <w:rPr>
            <w:noProof/>
            <w:webHidden/>
          </w:rPr>
          <w:t>151</w:t>
        </w:r>
        <w:r w:rsidR="00C00779">
          <w:rPr>
            <w:noProof/>
            <w:webHidden/>
          </w:rPr>
          <w:fldChar w:fldCharType="end"/>
        </w:r>
      </w:hyperlink>
    </w:p>
    <w:p w14:paraId="5B8544BF" w14:textId="5E0B8FA5" w:rsidR="00C00779" w:rsidRDefault="00000000">
      <w:pPr>
        <w:pStyle w:val="TOC2"/>
        <w:rPr>
          <w:rFonts w:asciiTheme="minorHAnsi" w:eastAsiaTheme="minorEastAsia" w:hAnsiTheme="minorHAnsi" w:cstheme="minorBidi"/>
          <w:noProof/>
          <w:sz w:val="22"/>
          <w:szCs w:val="22"/>
        </w:rPr>
      </w:pPr>
      <w:hyperlink w:anchor="_Toc157520574" w:history="1">
        <w:r w:rsidR="00C00779" w:rsidRPr="00485211">
          <w:rPr>
            <w:rStyle w:val="Hyperlink"/>
            <w:noProof/>
          </w:rPr>
          <w:t>1.5</w:t>
        </w:r>
        <w:r w:rsidR="00C00779">
          <w:rPr>
            <w:rFonts w:asciiTheme="minorHAnsi" w:eastAsiaTheme="minorEastAsia" w:hAnsiTheme="minorHAnsi" w:cstheme="minorBidi"/>
            <w:noProof/>
            <w:sz w:val="22"/>
            <w:szCs w:val="22"/>
          </w:rPr>
          <w:tab/>
        </w:r>
        <w:r w:rsidR="00C00779" w:rsidRPr="00485211">
          <w:rPr>
            <w:rStyle w:val="Hyperlink"/>
            <w:noProof/>
          </w:rPr>
          <w:t>Breakdown of estimates by appropriation bill</w:t>
        </w:r>
        <w:r w:rsidR="00C00779">
          <w:rPr>
            <w:noProof/>
            <w:webHidden/>
          </w:rPr>
          <w:tab/>
        </w:r>
        <w:r w:rsidR="00C00779">
          <w:rPr>
            <w:noProof/>
            <w:webHidden/>
          </w:rPr>
          <w:fldChar w:fldCharType="begin"/>
        </w:r>
        <w:r w:rsidR="00C00779">
          <w:rPr>
            <w:noProof/>
            <w:webHidden/>
          </w:rPr>
          <w:instrText xml:space="preserve"> PAGEREF _Toc157520574 \h </w:instrText>
        </w:r>
        <w:r w:rsidR="00C00779">
          <w:rPr>
            <w:noProof/>
            <w:webHidden/>
          </w:rPr>
        </w:r>
        <w:r w:rsidR="00C00779">
          <w:rPr>
            <w:noProof/>
            <w:webHidden/>
          </w:rPr>
          <w:fldChar w:fldCharType="separate"/>
        </w:r>
        <w:r w:rsidR="004344FF">
          <w:rPr>
            <w:noProof/>
            <w:webHidden/>
          </w:rPr>
          <w:t>152</w:t>
        </w:r>
        <w:r w:rsidR="00C00779">
          <w:rPr>
            <w:noProof/>
            <w:webHidden/>
          </w:rPr>
          <w:fldChar w:fldCharType="end"/>
        </w:r>
      </w:hyperlink>
    </w:p>
    <w:p w14:paraId="22AB3C5D" w14:textId="0C5540F9" w:rsidR="00C00779" w:rsidRDefault="00000000">
      <w:pPr>
        <w:pStyle w:val="TOC1"/>
        <w:rPr>
          <w:rFonts w:asciiTheme="minorHAnsi" w:eastAsiaTheme="minorEastAsia" w:hAnsiTheme="minorHAnsi" w:cstheme="minorBidi"/>
          <w:b w:val="0"/>
          <w:noProof/>
          <w:sz w:val="22"/>
          <w:szCs w:val="22"/>
        </w:rPr>
      </w:pPr>
      <w:hyperlink w:anchor="_Toc157520575" w:history="1">
        <w:r w:rsidR="00C00779" w:rsidRPr="00485211">
          <w:rPr>
            <w:rStyle w:val="Hyperlink"/>
            <w:noProof/>
          </w:rPr>
          <w:t>Section 2: Revisions to outcomes and planned performance</w:t>
        </w:r>
        <w:r w:rsidR="00C00779">
          <w:rPr>
            <w:noProof/>
            <w:webHidden/>
          </w:rPr>
          <w:tab/>
        </w:r>
        <w:r w:rsidR="00C00779">
          <w:rPr>
            <w:noProof/>
            <w:webHidden/>
          </w:rPr>
          <w:fldChar w:fldCharType="begin"/>
        </w:r>
        <w:r w:rsidR="00C00779">
          <w:rPr>
            <w:noProof/>
            <w:webHidden/>
          </w:rPr>
          <w:instrText xml:space="preserve"> PAGEREF _Toc157520575 \h </w:instrText>
        </w:r>
        <w:r w:rsidR="00C00779">
          <w:rPr>
            <w:noProof/>
            <w:webHidden/>
          </w:rPr>
        </w:r>
        <w:r w:rsidR="00C00779">
          <w:rPr>
            <w:noProof/>
            <w:webHidden/>
          </w:rPr>
          <w:fldChar w:fldCharType="separate"/>
        </w:r>
        <w:r w:rsidR="004344FF">
          <w:rPr>
            <w:noProof/>
            <w:webHidden/>
          </w:rPr>
          <w:t>153</w:t>
        </w:r>
        <w:r w:rsidR="00C00779">
          <w:rPr>
            <w:noProof/>
            <w:webHidden/>
          </w:rPr>
          <w:fldChar w:fldCharType="end"/>
        </w:r>
      </w:hyperlink>
    </w:p>
    <w:p w14:paraId="1E37819F" w14:textId="5AC3063B" w:rsidR="00C00779" w:rsidRDefault="00000000">
      <w:pPr>
        <w:pStyle w:val="TOC2"/>
        <w:rPr>
          <w:rFonts w:asciiTheme="minorHAnsi" w:eastAsiaTheme="minorEastAsia" w:hAnsiTheme="minorHAnsi" w:cstheme="minorBidi"/>
          <w:noProof/>
          <w:sz w:val="22"/>
          <w:szCs w:val="22"/>
        </w:rPr>
      </w:pPr>
      <w:hyperlink w:anchor="_Toc157520576" w:history="1">
        <w:r w:rsidR="00C00779" w:rsidRPr="00485211">
          <w:rPr>
            <w:rStyle w:val="Hyperlink"/>
            <w:noProof/>
          </w:rPr>
          <w:t>2.1</w:t>
        </w:r>
        <w:r w:rsidR="00C00779">
          <w:rPr>
            <w:rFonts w:asciiTheme="minorHAnsi" w:eastAsiaTheme="minorEastAsia" w:hAnsiTheme="minorHAnsi" w:cstheme="minorBidi"/>
            <w:noProof/>
            <w:sz w:val="22"/>
            <w:szCs w:val="22"/>
          </w:rPr>
          <w:tab/>
        </w:r>
        <w:r w:rsidR="00C00779" w:rsidRPr="00485211">
          <w:rPr>
            <w:rStyle w:val="Hyperlink"/>
            <w:noProof/>
          </w:rPr>
          <w:t>Budgeted expenses and performance for Outcome 1</w:t>
        </w:r>
        <w:r w:rsidR="00C00779">
          <w:rPr>
            <w:noProof/>
            <w:webHidden/>
          </w:rPr>
          <w:tab/>
        </w:r>
        <w:r w:rsidR="00C00779">
          <w:rPr>
            <w:noProof/>
            <w:webHidden/>
          </w:rPr>
          <w:fldChar w:fldCharType="begin"/>
        </w:r>
        <w:r w:rsidR="00C00779">
          <w:rPr>
            <w:noProof/>
            <w:webHidden/>
          </w:rPr>
          <w:instrText xml:space="preserve"> PAGEREF _Toc157520576 \h </w:instrText>
        </w:r>
        <w:r w:rsidR="00C00779">
          <w:rPr>
            <w:noProof/>
            <w:webHidden/>
          </w:rPr>
        </w:r>
        <w:r w:rsidR="00C00779">
          <w:rPr>
            <w:noProof/>
            <w:webHidden/>
          </w:rPr>
          <w:fldChar w:fldCharType="separate"/>
        </w:r>
        <w:r w:rsidR="004344FF">
          <w:rPr>
            <w:noProof/>
            <w:webHidden/>
          </w:rPr>
          <w:t>153</w:t>
        </w:r>
        <w:r w:rsidR="00C00779">
          <w:rPr>
            <w:noProof/>
            <w:webHidden/>
          </w:rPr>
          <w:fldChar w:fldCharType="end"/>
        </w:r>
      </w:hyperlink>
    </w:p>
    <w:p w14:paraId="52746F53" w14:textId="49B5DA4D" w:rsidR="00C00779" w:rsidRDefault="00000000">
      <w:pPr>
        <w:pStyle w:val="TOC1"/>
        <w:rPr>
          <w:rFonts w:asciiTheme="minorHAnsi" w:eastAsiaTheme="minorEastAsia" w:hAnsiTheme="minorHAnsi" w:cstheme="minorBidi"/>
          <w:b w:val="0"/>
          <w:noProof/>
          <w:sz w:val="22"/>
          <w:szCs w:val="22"/>
        </w:rPr>
      </w:pPr>
      <w:hyperlink w:anchor="_Toc157520577" w:history="1">
        <w:r w:rsidR="00C00779" w:rsidRPr="00485211">
          <w:rPr>
            <w:rStyle w:val="Hyperlink"/>
            <w:noProof/>
          </w:rPr>
          <w:t>Section 3: Special account flows and budgeted financial statements</w:t>
        </w:r>
        <w:r w:rsidR="00C00779">
          <w:rPr>
            <w:noProof/>
            <w:webHidden/>
          </w:rPr>
          <w:tab/>
        </w:r>
        <w:r w:rsidR="00C00779">
          <w:rPr>
            <w:noProof/>
            <w:webHidden/>
          </w:rPr>
          <w:fldChar w:fldCharType="begin"/>
        </w:r>
        <w:r w:rsidR="00C00779">
          <w:rPr>
            <w:noProof/>
            <w:webHidden/>
          </w:rPr>
          <w:instrText xml:space="preserve"> PAGEREF _Toc157520577 \h </w:instrText>
        </w:r>
        <w:r w:rsidR="00C00779">
          <w:rPr>
            <w:noProof/>
            <w:webHidden/>
          </w:rPr>
        </w:r>
        <w:r w:rsidR="00C00779">
          <w:rPr>
            <w:noProof/>
            <w:webHidden/>
          </w:rPr>
          <w:fldChar w:fldCharType="separate"/>
        </w:r>
        <w:r w:rsidR="004344FF">
          <w:rPr>
            <w:noProof/>
            <w:webHidden/>
          </w:rPr>
          <w:t>155</w:t>
        </w:r>
        <w:r w:rsidR="00C00779">
          <w:rPr>
            <w:noProof/>
            <w:webHidden/>
          </w:rPr>
          <w:fldChar w:fldCharType="end"/>
        </w:r>
      </w:hyperlink>
    </w:p>
    <w:p w14:paraId="57DFB6B1" w14:textId="6E26FF7C" w:rsidR="00C00779" w:rsidRDefault="00000000">
      <w:pPr>
        <w:pStyle w:val="TOC2"/>
        <w:rPr>
          <w:rFonts w:asciiTheme="minorHAnsi" w:eastAsiaTheme="minorEastAsia" w:hAnsiTheme="minorHAnsi" w:cstheme="minorBidi"/>
          <w:noProof/>
          <w:sz w:val="22"/>
          <w:szCs w:val="22"/>
        </w:rPr>
      </w:pPr>
      <w:hyperlink w:anchor="_Toc157520578" w:history="1">
        <w:r w:rsidR="00C00779" w:rsidRPr="00485211">
          <w:rPr>
            <w:rStyle w:val="Hyperlink"/>
            <w:noProof/>
          </w:rPr>
          <w:t>3.1</w:t>
        </w:r>
        <w:r w:rsidR="00C00779">
          <w:rPr>
            <w:rFonts w:asciiTheme="minorHAnsi" w:eastAsiaTheme="minorEastAsia" w:hAnsiTheme="minorHAnsi" w:cstheme="minorBidi"/>
            <w:noProof/>
            <w:sz w:val="22"/>
            <w:szCs w:val="22"/>
          </w:rPr>
          <w:tab/>
        </w:r>
        <w:r w:rsidR="00C00779" w:rsidRPr="00485211">
          <w:rPr>
            <w:rStyle w:val="Hyperlink"/>
            <w:noProof/>
          </w:rPr>
          <w:t>Special account flows and balances</w:t>
        </w:r>
        <w:r w:rsidR="00C00779">
          <w:rPr>
            <w:noProof/>
            <w:webHidden/>
          </w:rPr>
          <w:tab/>
        </w:r>
        <w:r w:rsidR="00C00779">
          <w:rPr>
            <w:noProof/>
            <w:webHidden/>
          </w:rPr>
          <w:fldChar w:fldCharType="begin"/>
        </w:r>
        <w:r w:rsidR="00C00779">
          <w:rPr>
            <w:noProof/>
            <w:webHidden/>
          </w:rPr>
          <w:instrText xml:space="preserve"> PAGEREF _Toc157520578 \h </w:instrText>
        </w:r>
        <w:r w:rsidR="00C00779">
          <w:rPr>
            <w:noProof/>
            <w:webHidden/>
          </w:rPr>
        </w:r>
        <w:r w:rsidR="00C00779">
          <w:rPr>
            <w:noProof/>
            <w:webHidden/>
          </w:rPr>
          <w:fldChar w:fldCharType="separate"/>
        </w:r>
        <w:r w:rsidR="004344FF">
          <w:rPr>
            <w:noProof/>
            <w:webHidden/>
          </w:rPr>
          <w:t>155</w:t>
        </w:r>
        <w:r w:rsidR="00C00779">
          <w:rPr>
            <w:noProof/>
            <w:webHidden/>
          </w:rPr>
          <w:fldChar w:fldCharType="end"/>
        </w:r>
      </w:hyperlink>
    </w:p>
    <w:p w14:paraId="3C708196" w14:textId="7C403D6C" w:rsidR="00C00779" w:rsidRDefault="00000000">
      <w:pPr>
        <w:pStyle w:val="TOC2"/>
        <w:rPr>
          <w:rFonts w:asciiTheme="minorHAnsi" w:eastAsiaTheme="minorEastAsia" w:hAnsiTheme="minorHAnsi" w:cstheme="minorBidi"/>
          <w:noProof/>
          <w:sz w:val="22"/>
          <w:szCs w:val="22"/>
        </w:rPr>
      </w:pPr>
      <w:hyperlink w:anchor="_Toc157520579" w:history="1">
        <w:r w:rsidR="00C00779" w:rsidRPr="00485211">
          <w:rPr>
            <w:rStyle w:val="Hyperlink"/>
            <w:noProof/>
          </w:rPr>
          <w:t>3.2</w:t>
        </w:r>
        <w:r w:rsidR="00C00779">
          <w:rPr>
            <w:rFonts w:asciiTheme="minorHAnsi" w:eastAsiaTheme="minorEastAsia" w:hAnsiTheme="minorHAnsi" w:cstheme="minorBidi"/>
            <w:noProof/>
            <w:sz w:val="22"/>
            <w:szCs w:val="22"/>
          </w:rPr>
          <w:tab/>
        </w:r>
        <w:r w:rsidR="00C00779" w:rsidRPr="00485211">
          <w:rPr>
            <w:rStyle w:val="Hyperlink"/>
            <w:noProof/>
          </w:rPr>
          <w:t>Budgeted financial statements</w:t>
        </w:r>
        <w:r w:rsidR="00C00779">
          <w:rPr>
            <w:noProof/>
            <w:webHidden/>
          </w:rPr>
          <w:tab/>
        </w:r>
        <w:r w:rsidR="00C00779">
          <w:rPr>
            <w:noProof/>
            <w:webHidden/>
          </w:rPr>
          <w:fldChar w:fldCharType="begin"/>
        </w:r>
        <w:r w:rsidR="00C00779">
          <w:rPr>
            <w:noProof/>
            <w:webHidden/>
          </w:rPr>
          <w:instrText xml:space="preserve"> PAGEREF _Toc157520579 \h </w:instrText>
        </w:r>
        <w:r w:rsidR="00C00779">
          <w:rPr>
            <w:noProof/>
            <w:webHidden/>
          </w:rPr>
        </w:r>
        <w:r w:rsidR="00C00779">
          <w:rPr>
            <w:noProof/>
            <w:webHidden/>
          </w:rPr>
          <w:fldChar w:fldCharType="separate"/>
        </w:r>
        <w:r w:rsidR="004344FF">
          <w:rPr>
            <w:noProof/>
            <w:webHidden/>
          </w:rPr>
          <w:t>155</w:t>
        </w:r>
        <w:r w:rsidR="00C00779">
          <w:rPr>
            <w:noProof/>
            <w:webHidden/>
          </w:rPr>
          <w:fldChar w:fldCharType="end"/>
        </w:r>
      </w:hyperlink>
    </w:p>
    <w:p w14:paraId="3220DB03" w14:textId="5F3ECD3B" w:rsidR="00526CE6" w:rsidRDefault="00F552F6" w:rsidP="00526CE6">
      <w:r>
        <w:fldChar w:fldCharType="end"/>
      </w:r>
    </w:p>
    <w:p w14:paraId="317EE299" w14:textId="77777777" w:rsidR="00526CE6" w:rsidRDefault="00526CE6" w:rsidP="00526CE6">
      <w:pPr>
        <w:spacing w:before="0" w:after="0" w:line="240" w:lineRule="auto"/>
      </w:pPr>
      <w:r>
        <w:br w:type="page"/>
      </w:r>
    </w:p>
    <w:p w14:paraId="6BC7DF9F" w14:textId="77777777" w:rsidR="00526CE6" w:rsidRDefault="00526CE6" w:rsidP="00526CE6">
      <w:pPr>
        <w:pStyle w:val="Heading1-LVL2"/>
      </w:pPr>
      <w:bookmarkStart w:id="566" w:name="_Toc155859225"/>
      <w:r>
        <w:t>Sport Integrity Australia</w:t>
      </w:r>
      <w:bookmarkEnd w:id="566"/>
    </w:p>
    <w:p w14:paraId="6DDAC102" w14:textId="2F1C79FE" w:rsidR="00526CE6" w:rsidRPr="00F045E6" w:rsidRDefault="00F552F6" w:rsidP="00526CE6">
      <w:pPr>
        <w:pStyle w:val="Heading2-TOC"/>
      </w:pPr>
      <w:r>
        <w:fldChar w:fldCharType="begin"/>
      </w:r>
      <w:r>
        <w:instrText xml:space="preserve"> </w:instrText>
      </w:r>
      <w:proofErr w:type="gramStart"/>
      <w:r>
        <w:instrText>TC  "</w:instrText>
      </w:r>
      <w:bookmarkStart w:id="567" w:name="_Toc157520569"/>
      <w:proofErr w:type="gramEnd"/>
      <w:r>
        <w:instrText>Section 1: Entity overview and resources</w:instrText>
      </w:r>
      <w:bookmarkEnd w:id="567"/>
      <w:r>
        <w:instrText xml:space="preserve">" \f </w:instrText>
      </w:r>
      <w:proofErr w:type="spellStart"/>
      <w:r>
        <w:instrText>sia</w:instrText>
      </w:r>
      <w:proofErr w:type="spellEnd"/>
      <w:r>
        <w:instrText xml:space="preserve"> \l 1 </w:instrText>
      </w:r>
      <w:r>
        <w:fldChar w:fldCharType="end"/>
      </w:r>
      <w:bookmarkStart w:id="568" w:name="_Toc157592046"/>
      <w:bookmarkStart w:id="569" w:name="_Toc157592229"/>
      <w:r w:rsidR="00526CE6" w:rsidRPr="00F045E6">
        <w:t>Section 1: Entity overview and resources</w:t>
      </w:r>
      <w:bookmarkEnd w:id="568"/>
      <w:bookmarkEnd w:id="569"/>
    </w:p>
    <w:p w14:paraId="26133DA9" w14:textId="624C33A1" w:rsidR="00526CE6" w:rsidRPr="002322E9" w:rsidRDefault="00F552F6" w:rsidP="00526CE6">
      <w:pPr>
        <w:pStyle w:val="Heading3"/>
      </w:pPr>
      <w:r>
        <w:fldChar w:fldCharType="begin"/>
      </w:r>
      <w:r>
        <w:instrText xml:space="preserve"> </w:instrText>
      </w:r>
      <w:proofErr w:type="gramStart"/>
      <w:r>
        <w:instrText>TC  "</w:instrText>
      </w:r>
      <w:bookmarkStart w:id="570" w:name="_Toc157520570"/>
      <w:proofErr w:type="gramEnd"/>
      <w:r>
        <w:instrText>1.1</w:instrText>
      </w:r>
      <w:r>
        <w:tab/>
        <w:instrText>Strategic direction statement</w:instrText>
      </w:r>
      <w:bookmarkEnd w:id="570"/>
      <w:r>
        <w:instrText xml:space="preserve">" \f </w:instrText>
      </w:r>
      <w:proofErr w:type="spellStart"/>
      <w:r>
        <w:instrText>sia</w:instrText>
      </w:r>
      <w:proofErr w:type="spellEnd"/>
      <w:r>
        <w:instrText xml:space="preserve"> \l 2 </w:instrText>
      </w:r>
      <w:r>
        <w:fldChar w:fldCharType="end"/>
      </w:r>
      <w:bookmarkStart w:id="571" w:name="_Toc157592047"/>
      <w:bookmarkStart w:id="572" w:name="_Toc157592230"/>
      <w:r w:rsidR="00526CE6">
        <w:t>1.1:</w:t>
      </w:r>
      <w:r w:rsidR="00526CE6" w:rsidRPr="004928FF">
        <w:t xml:space="preserve"> Strategic direction</w:t>
      </w:r>
      <w:r w:rsidR="00526CE6">
        <w:t xml:space="preserve"> statement</w:t>
      </w:r>
      <w:bookmarkEnd w:id="571"/>
      <w:bookmarkEnd w:id="572"/>
    </w:p>
    <w:p w14:paraId="4B314EBE" w14:textId="1D1CC6F7" w:rsidR="00526CE6" w:rsidRPr="00BF26E9" w:rsidRDefault="00526CE6" w:rsidP="00526CE6">
      <w:pPr>
        <w:spacing w:after="120"/>
        <w:rPr>
          <w:i/>
          <w:sz w:val="20"/>
        </w:rPr>
      </w:pPr>
      <w:r w:rsidRPr="00BF26E9">
        <w:rPr>
          <w:sz w:val="20"/>
        </w:rPr>
        <w:t xml:space="preserve">The role and functions of Sport Integrity Australia are set out in the </w:t>
      </w:r>
      <w:r w:rsidRPr="00BF26E9">
        <w:rPr>
          <w:i/>
          <w:sz w:val="20"/>
        </w:rPr>
        <w:t>Sport Integrity Australia Act 2020</w:t>
      </w:r>
      <w:r w:rsidRPr="00BF26E9">
        <w:rPr>
          <w:sz w:val="20"/>
        </w:rPr>
        <w:t xml:space="preserve">, the </w:t>
      </w:r>
      <w:r w:rsidRPr="00BF26E9">
        <w:rPr>
          <w:i/>
          <w:sz w:val="20"/>
        </w:rPr>
        <w:t>Sport Integrity Australia Regulations 2020</w:t>
      </w:r>
      <w:r w:rsidRPr="00BF26E9">
        <w:rPr>
          <w:sz w:val="20"/>
        </w:rPr>
        <w:t xml:space="preserve"> and the National </w:t>
      </w:r>
      <w:r w:rsidR="000D2365">
        <w:rPr>
          <w:sz w:val="20"/>
        </w:rPr>
        <w:br/>
      </w:r>
      <w:r w:rsidRPr="00BF26E9">
        <w:rPr>
          <w:sz w:val="20"/>
        </w:rPr>
        <w:t xml:space="preserve">Anti-Doping Scheme. The agency is a non-corporate Commonwealth entity under the </w:t>
      </w:r>
      <w:r w:rsidRPr="00BF26E9">
        <w:rPr>
          <w:i/>
          <w:sz w:val="20"/>
        </w:rPr>
        <w:t>Public Governance, Performance and Accountability Act 2013.</w:t>
      </w:r>
    </w:p>
    <w:p w14:paraId="3DA69A67" w14:textId="4D3207A3" w:rsidR="00526CE6" w:rsidRPr="002F4BDE" w:rsidRDefault="00526CE6" w:rsidP="00526CE6">
      <w:pPr>
        <w:pStyle w:val="ExampleText"/>
        <w:jc w:val="both"/>
        <w:rPr>
          <w:color w:val="auto"/>
          <w:sz w:val="20"/>
        </w:rPr>
      </w:pPr>
      <w:r w:rsidRPr="00BF26E9">
        <w:rPr>
          <w:i w:val="0"/>
          <w:color w:val="auto"/>
          <w:sz w:val="20"/>
        </w:rPr>
        <w:t>For a full outline of Sport I</w:t>
      </w:r>
      <w:r w:rsidR="004A3473">
        <w:rPr>
          <w:i w:val="0"/>
          <w:color w:val="auto"/>
          <w:sz w:val="20"/>
        </w:rPr>
        <w:t>ntegrity Australia’s strategic d</w:t>
      </w:r>
      <w:r w:rsidRPr="00BF26E9">
        <w:rPr>
          <w:i w:val="0"/>
          <w:color w:val="auto"/>
          <w:sz w:val="20"/>
        </w:rPr>
        <w:t xml:space="preserve">irection, refer page 442 of the </w:t>
      </w:r>
      <w:r w:rsidRPr="002F4BDE">
        <w:rPr>
          <w:color w:val="auto"/>
          <w:sz w:val="20"/>
        </w:rPr>
        <w:t>Health and Aged Care Portfolio Budget Statements 2023–24</w:t>
      </w:r>
      <w:r w:rsidR="002F4BDE" w:rsidRPr="002F4BDE">
        <w:rPr>
          <w:i w:val="0"/>
          <w:color w:val="auto"/>
          <w:sz w:val="20"/>
        </w:rPr>
        <w:t>.</w:t>
      </w:r>
    </w:p>
    <w:p w14:paraId="33768808" w14:textId="77777777" w:rsidR="002F4BDE" w:rsidRDefault="002F4BDE">
      <w:pPr>
        <w:spacing w:before="0" w:after="0" w:line="240" w:lineRule="auto"/>
        <w:rPr>
          <w:rFonts w:ascii="Arial Bold" w:hAnsi="Arial Bold"/>
          <w:b/>
          <w:sz w:val="22"/>
        </w:rPr>
      </w:pPr>
      <w:r>
        <w:br w:type="page"/>
      </w:r>
    </w:p>
    <w:p w14:paraId="3B7E30EB" w14:textId="29DD323A" w:rsidR="00526CE6" w:rsidRPr="004928FF" w:rsidRDefault="00F552F6" w:rsidP="00526CE6">
      <w:pPr>
        <w:pStyle w:val="Heading3"/>
      </w:pPr>
      <w:r>
        <w:fldChar w:fldCharType="begin"/>
      </w:r>
      <w:r>
        <w:instrText xml:space="preserve"> </w:instrText>
      </w:r>
      <w:proofErr w:type="gramStart"/>
      <w:r>
        <w:instrText>TC  "</w:instrText>
      </w:r>
      <w:bookmarkStart w:id="573" w:name="_Toc157520571"/>
      <w:proofErr w:type="gramEnd"/>
      <w:r>
        <w:instrText>1.2</w:instrText>
      </w:r>
      <w:r>
        <w:tab/>
        <w:instrText>Entity resource statement</w:instrText>
      </w:r>
      <w:bookmarkEnd w:id="573"/>
      <w:r>
        <w:instrText xml:space="preserve">" \f </w:instrText>
      </w:r>
      <w:proofErr w:type="spellStart"/>
      <w:r>
        <w:instrText>sia</w:instrText>
      </w:r>
      <w:proofErr w:type="spellEnd"/>
      <w:r>
        <w:instrText xml:space="preserve"> \l 2 </w:instrText>
      </w:r>
      <w:r>
        <w:fldChar w:fldCharType="end"/>
      </w:r>
      <w:bookmarkStart w:id="574" w:name="_Toc157592048"/>
      <w:bookmarkStart w:id="575" w:name="_Toc157592231"/>
      <w:r w:rsidR="00526CE6">
        <w:t>1.2: Entity resource statement</w:t>
      </w:r>
      <w:bookmarkEnd w:id="574"/>
      <w:bookmarkEnd w:id="575"/>
    </w:p>
    <w:p w14:paraId="7327767E" w14:textId="401CCA65" w:rsidR="00526CE6" w:rsidRPr="00BF26E9" w:rsidRDefault="004C11AA" w:rsidP="00526CE6">
      <w:pPr>
        <w:rPr>
          <w:sz w:val="20"/>
        </w:rPr>
      </w:pPr>
      <w:r>
        <w:rPr>
          <w:sz w:val="20"/>
        </w:rPr>
        <w:t>The entity resource s</w:t>
      </w:r>
      <w:r w:rsidR="00526CE6" w:rsidRPr="00BF26E9">
        <w:rPr>
          <w:sz w:val="20"/>
        </w:rPr>
        <w:t xml:space="preserve">tatement details the resourcing for </w:t>
      </w:r>
      <w:r w:rsidR="002F4BDE">
        <w:rPr>
          <w:sz w:val="20"/>
        </w:rPr>
        <w:t>Sport Integrity Australia</w:t>
      </w:r>
      <w:r w:rsidR="00526CE6" w:rsidRPr="00BF26E9">
        <w:rPr>
          <w:sz w:val="20"/>
        </w:rPr>
        <w:t xml:space="preserve"> at Additional Estimates. Table 1.1 outlines the total resourcing available from all sources for the 2023–24 Budget year, including variations through Appropriation Bills </w:t>
      </w:r>
      <w:r>
        <w:rPr>
          <w:sz w:val="20"/>
        </w:rPr>
        <w:t>(</w:t>
      </w:r>
      <w:r w:rsidR="00526CE6" w:rsidRPr="00BF26E9">
        <w:rPr>
          <w:sz w:val="20"/>
        </w:rPr>
        <w:t>No</w:t>
      </w:r>
      <w:r>
        <w:rPr>
          <w:sz w:val="20"/>
        </w:rPr>
        <w:t>s</w:t>
      </w:r>
      <w:r w:rsidR="00526CE6" w:rsidRPr="00BF26E9">
        <w:rPr>
          <w:sz w:val="20"/>
        </w:rPr>
        <w:t>.</w:t>
      </w:r>
      <w:r>
        <w:rPr>
          <w:sz w:val="20"/>
        </w:rPr>
        <w:t> </w:t>
      </w:r>
      <w:r w:rsidR="00526CE6" w:rsidRPr="00BF26E9">
        <w:rPr>
          <w:sz w:val="20"/>
        </w:rPr>
        <w:t>3</w:t>
      </w:r>
      <w:r>
        <w:rPr>
          <w:sz w:val="20"/>
        </w:rPr>
        <w:t> </w:t>
      </w:r>
      <w:r w:rsidR="00526CE6" w:rsidRPr="00BF26E9">
        <w:rPr>
          <w:sz w:val="20"/>
        </w:rPr>
        <w:t>and</w:t>
      </w:r>
      <w:r>
        <w:rPr>
          <w:sz w:val="20"/>
        </w:rPr>
        <w:t> </w:t>
      </w:r>
      <w:r w:rsidR="00526CE6" w:rsidRPr="00BF26E9">
        <w:rPr>
          <w:sz w:val="20"/>
        </w:rPr>
        <w:t>4</w:t>
      </w:r>
      <w:r>
        <w:rPr>
          <w:sz w:val="20"/>
        </w:rPr>
        <w:t>)</w:t>
      </w:r>
      <w:r w:rsidR="00526CE6" w:rsidRPr="00BF26E9">
        <w:rPr>
          <w:i/>
          <w:sz w:val="20"/>
        </w:rPr>
        <w:t>,</w:t>
      </w:r>
      <w:r w:rsidR="00526CE6" w:rsidRPr="00BF26E9">
        <w:rPr>
          <w:sz w:val="20"/>
        </w:rPr>
        <w:t xml:space="preserve"> Special Appropriations and Special Accounts. </w:t>
      </w:r>
    </w:p>
    <w:p w14:paraId="7CE7BDBB" w14:textId="77777777" w:rsidR="002F4BDE" w:rsidRDefault="00526CE6" w:rsidP="002F4BDE">
      <w:pPr>
        <w:rPr>
          <w:sz w:val="20"/>
        </w:rPr>
      </w:pPr>
      <w:r w:rsidRPr="00BF26E9">
        <w:rPr>
          <w:sz w:val="20"/>
        </w:rPr>
        <w:t xml:space="preserve">Amounts presented below are consistent with amounts presented in the Appropriation Bills themselves, and as published in appropriation notes to the 2022–23 financial statements. </w:t>
      </w:r>
    </w:p>
    <w:p w14:paraId="5DEF50B4" w14:textId="77777777" w:rsidR="00507815" w:rsidRDefault="00507815">
      <w:pPr>
        <w:spacing w:before="0" w:after="0" w:line="240" w:lineRule="auto"/>
        <w:rPr>
          <w:rFonts w:ascii="Arial" w:hAnsi="Arial" w:cs="Arial"/>
          <w:b/>
          <w:sz w:val="20"/>
        </w:rPr>
      </w:pPr>
      <w:r>
        <w:rPr>
          <w:rFonts w:ascii="Arial" w:hAnsi="Arial" w:cs="Arial"/>
          <w:b/>
          <w:sz w:val="20"/>
        </w:rPr>
        <w:br w:type="page"/>
      </w:r>
    </w:p>
    <w:p w14:paraId="4632B7FB" w14:textId="04A8E1E9" w:rsidR="00526CE6" w:rsidRDefault="00526CE6" w:rsidP="00751257">
      <w:pPr>
        <w:spacing w:after="20"/>
        <w:rPr>
          <w:rFonts w:ascii="Arial" w:hAnsi="Arial" w:cs="Arial"/>
          <w:b/>
          <w:sz w:val="20"/>
        </w:rPr>
      </w:pPr>
      <w:r w:rsidRPr="002F4BDE">
        <w:rPr>
          <w:rFonts w:ascii="Arial" w:hAnsi="Arial" w:cs="Arial"/>
          <w:b/>
          <w:sz w:val="20"/>
        </w:rPr>
        <w:t xml:space="preserve">Table 1.1: Sport Integrity Australia resource statements — Additional Estimates for 2023–24 as </w:t>
      </w:r>
      <w:proofErr w:type="gramStart"/>
      <w:r w:rsidRPr="002F4BDE">
        <w:rPr>
          <w:rFonts w:ascii="Arial" w:hAnsi="Arial" w:cs="Arial"/>
          <w:b/>
          <w:sz w:val="20"/>
        </w:rPr>
        <w:t>at</w:t>
      </w:r>
      <w:proofErr w:type="gramEnd"/>
      <w:r w:rsidRPr="002F4BDE">
        <w:rPr>
          <w:rFonts w:ascii="Arial" w:hAnsi="Arial" w:cs="Arial"/>
          <w:b/>
          <w:sz w:val="20"/>
        </w:rPr>
        <w:t xml:space="preserve"> February 2024</w:t>
      </w:r>
    </w:p>
    <w:tbl>
      <w:tblPr>
        <w:tblW w:w="7880" w:type="dxa"/>
        <w:jc w:val="center"/>
        <w:tblLayout w:type="fixed"/>
        <w:tblLook w:val="04A0" w:firstRow="1" w:lastRow="0" w:firstColumn="1" w:lastColumn="0" w:noHBand="0" w:noVBand="1"/>
      </w:tblPr>
      <w:tblGrid>
        <w:gridCol w:w="3097"/>
        <w:gridCol w:w="1238"/>
        <w:gridCol w:w="1155"/>
        <w:gridCol w:w="1235"/>
        <w:gridCol w:w="1155"/>
      </w:tblGrid>
      <w:tr w:rsidR="00986870" w:rsidRPr="00986870" w14:paraId="68D13EB7" w14:textId="77777777" w:rsidTr="005C6BDD">
        <w:trPr>
          <w:trHeight w:val="765"/>
          <w:jc w:val="center"/>
        </w:trPr>
        <w:tc>
          <w:tcPr>
            <w:tcW w:w="3097" w:type="dxa"/>
            <w:tcBorders>
              <w:top w:val="single" w:sz="4" w:space="0" w:color="auto"/>
              <w:left w:val="nil"/>
              <w:bottom w:val="nil"/>
              <w:right w:val="nil"/>
            </w:tcBorders>
            <w:shd w:val="clear" w:color="auto" w:fill="auto"/>
            <w:hideMark/>
          </w:tcPr>
          <w:p w14:paraId="31653F89" w14:textId="77777777" w:rsidR="00986870" w:rsidRPr="00986870" w:rsidRDefault="00986870" w:rsidP="00986870">
            <w:pPr>
              <w:spacing w:before="24" w:after="0" w:line="240" w:lineRule="auto"/>
              <w:jc w:val="right"/>
              <w:rPr>
                <w:rFonts w:ascii="Arial" w:hAnsi="Arial" w:cs="Arial"/>
                <w:b/>
                <w:bCs/>
                <w:sz w:val="16"/>
                <w:szCs w:val="16"/>
              </w:rPr>
            </w:pPr>
            <w:r w:rsidRPr="00986870">
              <w:rPr>
                <w:rFonts w:ascii="Arial" w:hAnsi="Arial" w:cs="Arial"/>
                <w:b/>
                <w:bCs/>
                <w:sz w:val="16"/>
                <w:szCs w:val="16"/>
              </w:rPr>
              <w:t> </w:t>
            </w:r>
          </w:p>
        </w:tc>
        <w:tc>
          <w:tcPr>
            <w:tcW w:w="1238" w:type="dxa"/>
            <w:tcBorders>
              <w:top w:val="single" w:sz="4" w:space="0" w:color="auto"/>
              <w:left w:val="nil"/>
              <w:bottom w:val="single" w:sz="4" w:space="0" w:color="auto"/>
              <w:right w:val="nil"/>
            </w:tcBorders>
            <w:shd w:val="clear" w:color="auto" w:fill="auto"/>
            <w:tcMar>
              <w:left w:w="0" w:type="dxa"/>
            </w:tcMar>
            <w:hideMark/>
          </w:tcPr>
          <w:p w14:paraId="14433DDE" w14:textId="456BF6F2" w:rsidR="00986870" w:rsidRPr="00986870" w:rsidRDefault="00986870" w:rsidP="00986870">
            <w:pPr>
              <w:spacing w:before="24" w:after="0" w:line="240" w:lineRule="auto"/>
              <w:jc w:val="right"/>
              <w:rPr>
                <w:rFonts w:ascii="Arial" w:hAnsi="Arial" w:cs="Arial"/>
                <w:b/>
                <w:bCs/>
                <w:sz w:val="16"/>
                <w:szCs w:val="16"/>
              </w:rPr>
            </w:pPr>
            <w:r>
              <w:rPr>
                <w:rFonts w:ascii="Arial" w:hAnsi="Arial" w:cs="Arial"/>
                <w:b/>
                <w:bCs/>
                <w:sz w:val="16"/>
                <w:szCs w:val="16"/>
              </w:rPr>
              <w:t>2022–</w:t>
            </w:r>
            <w:r w:rsidRPr="00986870">
              <w:rPr>
                <w:rFonts w:ascii="Arial" w:hAnsi="Arial" w:cs="Arial"/>
                <w:b/>
                <w:bCs/>
                <w:sz w:val="16"/>
                <w:szCs w:val="16"/>
              </w:rPr>
              <w:t>23</w:t>
            </w:r>
            <w:r w:rsidRPr="00986870">
              <w:rPr>
                <w:rFonts w:ascii="Arial" w:hAnsi="Arial" w:cs="Arial"/>
                <w:b/>
                <w:bCs/>
                <w:sz w:val="16"/>
                <w:szCs w:val="16"/>
              </w:rPr>
              <w:br/>
              <w:t>Actual</w:t>
            </w:r>
            <w:r w:rsidRPr="00986870">
              <w:rPr>
                <w:rFonts w:ascii="Arial" w:hAnsi="Arial" w:cs="Arial"/>
                <w:b/>
                <w:bCs/>
                <w:sz w:val="16"/>
                <w:szCs w:val="16"/>
              </w:rPr>
              <w:br/>
              <w:t>available</w:t>
            </w:r>
            <w:r w:rsidRPr="00986870">
              <w:rPr>
                <w:rFonts w:ascii="Arial" w:hAnsi="Arial" w:cs="Arial"/>
                <w:b/>
                <w:bCs/>
                <w:sz w:val="16"/>
                <w:szCs w:val="16"/>
              </w:rPr>
              <w:br/>
              <w:t xml:space="preserve">appropriation                                                                                                                                                                                                                                                                                                                                                                                                                                                                                                                                               </w:t>
            </w:r>
            <w:r w:rsidRPr="00986870">
              <w:rPr>
                <w:rFonts w:ascii="Arial" w:hAnsi="Arial" w:cs="Arial"/>
                <w:sz w:val="16"/>
                <w:szCs w:val="16"/>
              </w:rPr>
              <w:t>$'000</w:t>
            </w:r>
          </w:p>
        </w:tc>
        <w:tc>
          <w:tcPr>
            <w:tcW w:w="1155" w:type="dxa"/>
            <w:tcBorders>
              <w:top w:val="single" w:sz="4" w:space="0" w:color="auto"/>
              <w:left w:val="nil"/>
              <w:bottom w:val="single" w:sz="4" w:space="0" w:color="auto"/>
              <w:right w:val="nil"/>
            </w:tcBorders>
            <w:shd w:val="clear" w:color="000000" w:fill="D9D9D9"/>
            <w:hideMark/>
          </w:tcPr>
          <w:p w14:paraId="72A931FB" w14:textId="471C336D" w:rsidR="00986870" w:rsidRPr="00986870" w:rsidRDefault="00986870" w:rsidP="00986870">
            <w:pPr>
              <w:spacing w:before="24" w:after="0" w:line="240" w:lineRule="auto"/>
              <w:jc w:val="right"/>
              <w:rPr>
                <w:rFonts w:ascii="Arial" w:hAnsi="Arial" w:cs="Arial"/>
                <w:b/>
                <w:bCs/>
                <w:sz w:val="16"/>
                <w:szCs w:val="16"/>
              </w:rPr>
            </w:pPr>
            <w:r>
              <w:rPr>
                <w:rFonts w:ascii="Arial" w:hAnsi="Arial" w:cs="Arial"/>
                <w:b/>
                <w:bCs/>
                <w:sz w:val="16"/>
                <w:szCs w:val="16"/>
              </w:rPr>
              <w:t>2023–</w:t>
            </w:r>
            <w:r w:rsidRPr="00986870">
              <w:rPr>
                <w:rFonts w:ascii="Arial" w:hAnsi="Arial" w:cs="Arial"/>
                <w:b/>
                <w:bCs/>
                <w:sz w:val="16"/>
                <w:szCs w:val="16"/>
              </w:rPr>
              <w:t xml:space="preserve">24 </w:t>
            </w:r>
            <w:r w:rsidRPr="00986870">
              <w:rPr>
                <w:rFonts w:ascii="Arial" w:hAnsi="Arial" w:cs="Arial"/>
                <w:b/>
                <w:bCs/>
                <w:sz w:val="16"/>
                <w:szCs w:val="16"/>
              </w:rPr>
              <w:br/>
              <w:t>Estimate as</w:t>
            </w:r>
            <w:r w:rsidRPr="00986870">
              <w:rPr>
                <w:rFonts w:ascii="Arial" w:hAnsi="Arial" w:cs="Arial"/>
                <w:b/>
                <w:bCs/>
                <w:sz w:val="16"/>
                <w:szCs w:val="16"/>
              </w:rPr>
              <w:br/>
              <w:t>at Budget</w:t>
            </w:r>
            <w:r w:rsidRPr="00986870">
              <w:rPr>
                <w:rFonts w:ascii="Arial" w:hAnsi="Arial" w:cs="Arial"/>
                <w:b/>
                <w:bCs/>
                <w:sz w:val="16"/>
                <w:szCs w:val="16"/>
              </w:rPr>
              <w:br/>
            </w:r>
            <w:r w:rsidRPr="00986870">
              <w:rPr>
                <w:rFonts w:ascii="Arial" w:hAnsi="Arial" w:cs="Arial"/>
                <w:b/>
                <w:bCs/>
                <w:sz w:val="16"/>
                <w:szCs w:val="16"/>
              </w:rPr>
              <w:br/>
            </w:r>
            <w:r w:rsidRPr="00986870">
              <w:rPr>
                <w:rFonts w:ascii="Arial" w:hAnsi="Arial" w:cs="Arial"/>
                <w:sz w:val="16"/>
                <w:szCs w:val="16"/>
              </w:rPr>
              <w:t>$'000</w:t>
            </w:r>
          </w:p>
        </w:tc>
        <w:tc>
          <w:tcPr>
            <w:tcW w:w="1235" w:type="dxa"/>
            <w:tcBorders>
              <w:top w:val="single" w:sz="4" w:space="0" w:color="auto"/>
              <w:left w:val="nil"/>
              <w:bottom w:val="single" w:sz="4" w:space="0" w:color="auto"/>
              <w:right w:val="nil"/>
            </w:tcBorders>
            <w:shd w:val="clear" w:color="auto" w:fill="auto"/>
            <w:hideMark/>
          </w:tcPr>
          <w:p w14:paraId="5FEF5D32" w14:textId="111CDE14" w:rsidR="00986870" w:rsidRPr="00986870" w:rsidRDefault="00986870" w:rsidP="00986870">
            <w:pPr>
              <w:spacing w:before="24" w:after="0" w:line="240" w:lineRule="auto"/>
              <w:jc w:val="right"/>
              <w:rPr>
                <w:rFonts w:ascii="Arial" w:hAnsi="Arial" w:cs="Arial"/>
                <w:b/>
                <w:bCs/>
                <w:sz w:val="16"/>
                <w:szCs w:val="16"/>
              </w:rPr>
            </w:pPr>
            <w:r>
              <w:rPr>
                <w:rFonts w:ascii="Arial" w:hAnsi="Arial" w:cs="Arial"/>
                <w:b/>
                <w:bCs/>
                <w:sz w:val="16"/>
                <w:szCs w:val="16"/>
              </w:rPr>
              <w:t>2023–</w:t>
            </w:r>
            <w:r w:rsidRPr="00986870">
              <w:rPr>
                <w:rFonts w:ascii="Arial" w:hAnsi="Arial" w:cs="Arial"/>
                <w:b/>
                <w:bCs/>
                <w:sz w:val="16"/>
                <w:szCs w:val="16"/>
              </w:rPr>
              <w:t>24</w:t>
            </w:r>
            <w:r w:rsidRPr="00986870">
              <w:rPr>
                <w:rFonts w:ascii="Arial" w:hAnsi="Arial" w:cs="Arial"/>
                <w:b/>
                <w:bCs/>
                <w:sz w:val="16"/>
                <w:szCs w:val="16"/>
              </w:rPr>
              <w:br/>
              <w:t>Proposed</w:t>
            </w:r>
            <w:r w:rsidRPr="00986870">
              <w:rPr>
                <w:rFonts w:ascii="Arial" w:hAnsi="Arial" w:cs="Arial"/>
                <w:b/>
                <w:bCs/>
                <w:sz w:val="16"/>
                <w:szCs w:val="16"/>
              </w:rPr>
              <w:br/>
              <w:t>Additional</w:t>
            </w:r>
            <w:r w:rsidRPr="00986870">
              <w:rPr>
                <w:rFonts w:ascii="Arial" w:hAnsi="Arial" w:cs="Arial"/>
                <w:b/>
                <w:bCs/>
                <w:sz w:val="16"/>
                <w:szCs w:val="16"/>
              </w:rPr>
              <w:br/>
              <w:t>Estimates</w:t>
            </w:r>
            <w:r w:rsidRPr="00986870">
              <w:rPr>
                <w:rFonts w:ascii="Arial" w:hAnsi="Arial" w:cs="Arial"/>
                <w:b/>
                <w:bCs/>
                <w:sz w:val="16"/>
                <w:szCs w:val="16"/>
              </w:rPr>
              <w:br/>
            </w:r>
            <w:r w:rsidRPr="00986870">
              <w:rPr>
                <w:rFonts w:ascii="Arial" w:hAnsi="Arial" w:cs="Arial"/>
                <w:sz w:val="16"/>
                <w:szCs w:val="16"/>
              </w:rPr>
              <w:t>$'000</w:t>
            </w:r>
          </w:p>
        </w:tc>
        <w:tc>
          <w:tcPr>
            <w:tcW w:w="1155" w:type="dxa"/>
            <w:tcBorders>
              <w:top w:val="single" w:sz="4" w:space="0" w:color="auto"/>
              <w:left w:val="nil"/>
              <w:bottom w:val="single" w:sz="4" w:space="0" w:color="auto"/>
              <w:right w:val="nil"/>
            </w:tcBorders>
            <w:shd w:val="clear" w:color="auto" w:fill="auto"/>
            <w:hideMark/>
          </w:tcPr>
          <w:p w14:paraId="7CD74078" w14:textId="4DA91FEE" w:rsidR="00986870" w:rsidRPr="00986870" w:rsidRDefault="00986870" w:rsidP="00986870">
            <w:pPr>
              <w:spacing w:before="24" w:after="0" w:line="240" w:lineRule="auto"/>
              <w:jc w:val="right"/>
              <w:rPr>
                <w:rFonts w:ascii="Arial" w:hAnsi="Arial" w:cs="Arial"/>
                <w:b/>
                <w:bCs/>
                <w:sz w:val="16"/>
                <w:szCs w:val="16"/>
              </w:rPr>
            </w:pPr>
            <w:r>
              <w:rPr>
                <w:rFonts w:ascii="Arial" w:hAnsi="Arial" w:cs="Arial"/>
                <w:b/>
                <w:bCs/>
                <w:sz w:val="16"/>
                <w:szCs w:val="16"/>
              </w:rPr>
              <w:t>2023–</w:t>
            </w:r>
            <w:r w:rsidRPr="00986870">
              <w:rPr>
                <w:rFonts w:ascii="Arial" w:hAnsi="Arial" w:cs="Arial"/>
                <w:b/>
                <w:bCs/>
                <w:sz w:val="16"/>
                <w:szCs w:val="16"/>
              </w:rPr>
              <w:t>24</w:t>
            </w:r>
            <w:r w:rsidRPr="00986870">
              <w:rPr>
                <w:rFonts w:ascii="Arial" w:hAnsi="Arial" w:cs="Arial"/>
                <w:b/>
                <w:bCs/>
                <w:sz w:val="16"/>
                <w:szCs w:val="16"/>
              </w:rPr>
              <w:br/>
              <w:t>Total</w:t>
            </w:r>
            <w:r w:rsidRPr="00986870">
              <w:rPr>
                <w:rFonts w:ascii="Arial" w:hAnsi="Arial" w:cs="Arial"/>
                <w:b/>
                <w:bCs/>
                <w:sz w:val="16"/>
                <w:szCs w:val="16"/>
              </w:rPr>
              <w:br/>
              <w:t>estimate</w:t>
            </w:r>
            <w:r w:rsidRPr="00986870">
              <w:rPr>
                <w:rFonts w:ascii="Arial" w:hAnsi="Arial" w:cs="Arial"/>
                <w:b/>
                <w:bCs/>
                <w:sz w:val="16"/>
                <w:szCs w:val="16"/>
              </w:rPr>
              <w:br/>
              <w:t>at AEs</w:t>
            </w:r>
            <w:r w:rsidRPr="00986870">
              <w:rPr>
                <w:rFonts w:ascii="Arial" w:hAnsi="Arial" w:cs="Arial"/>
                <w:b/>
                <w:bCs/>
                <w:sz w:val="16"/>
                <w:szCs w:val="16"/>
              </w:rPr>
              <w:br/>
            </w:r>
            <w:r w:rsidRPr="00986870">
              <w:rPr>
                <w:rFonts w:ascii="Arial" w:hAnsi="Arial" w:cs="Arial"/>
                <w:sz w:val="16"/>
                <w:szCs w:val="16"/>
              </w:rPr>
              <w:t>$'000</w:t>
            </w:r>
          </w:p>
        </w:tc>
      </w:tr>
      <w:tr w:rsidR="00986870" w:rsidRPr="00986870" w14:paraId="5C82A743"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3E5FEDE3"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DEPARTMENTAL</w:t>
            </w:r>
          </w:p>
        </w:tc>
        <w:tc>
          <w:tcPr>
            <w:tcW w:w="1238" w:type="dxa"/>
            <w:tcBorders>
              <w:top w:val="nil"/>
              <w:left w:val="nil"/>
              <w:bottom w:val="nil"/>
              <w:right w:val="nil"/>
            </w:tcBorders>
            <w:shd w:val="clear" w:color="auto" w:fill="auto"/>
            <w:vAlign w:val="bottom"/>
            <w:hideMark/>
          </w:tcPr>
          <w:p w14:paraId="0135FD87"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000000" w:fill="D9D9D9"/>
            <w:vAlign w:val="bottom"/>
            <w:hideMark/>
          </w:tcPr>
          <w:p w14:paraId="0F4BD247"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vAlign w:val="bottom"/>
            <w:hideMark/>
          </w:tcPr>
          <w:p w14:paraId="6ACEA40A"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vAlign w:val="bottom"/>
            <w:hideMark/>
          </w:tcPr>
          <w:p w14:paraId="14780C75" w14:textId="77777777" w:rsidR="00986870" w:rsidRPr="00986870" w:rsidRDefault="00986870" w:rsidP="00986870">
            <w:pPr>
              <w:spacing w:before="0" w:after="0" w:line="240" w:lineRule="auto"/>
              <w:jc w:val="right"/>
              <w:rPr>
                <w:rFonts w:ascii="Arial" w:hAnsi="Arial" w:cs="Arial"/>
                <w:sz w:val="16"/>
                <w:szCs w:val="16"/>
              </w:rPr>
            </w:pPr>
          </w:p>
        </w:tc>
      </w:tr>
      <w:tr w:rsidR="00986870" w:rsidRPr="00986870" w14:paraId="5DFFEF6A"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1B57AF7A" w14:textId="77777777" w:rsidR="00986870" w:rsidRPr="00986870" w:rsidRDefault="00986870" w:rsidP="008E079A">
            <w:pPr>
              <w:spacing w:before="0" w:after="0" w:line="240" w:lineRule="auto"/>
              <w:ind w:leftChars="75" w:left="143"/>
              <w:rPr>
                <w:rFonts w:ascii="Arial" w:hAnsi="Arial" w:cs="Arial"/>
                <w:sz w:val="16"/>
                <w:szCs w:val="16"/>
              </w:rPr>
            </w:pPr>
            <w:r w:rsidRPr="00986870">
              <w:rPr>
                <w:rFonts w:ascii="Arial" w:hAnsi="Arial" w:cs="Arial"/>
                <w:sz w:val="16"/>
                <w:szCs w:val="16"/>
              </w:rPr>
              <w:t>Prior year appropriation available</w:t>
            </w:r>
          </w:p>
        </w:tc>
        <w:tc>
          <w:tcPr>
            <w:tcW w:w="1238" w:type="dxa"/>
            <w:tcBorders>
              <w:top w:val="nil"/>
              <w:left w:val="nil"/>
              <w:bottom w:val="nil"/>
              <w:right w:val="nil"/>
            </w:tcBorders>
            <w:shd w:val="clear" w:color="auto" w:fill="auto"/>
            <w:noWrap/>
            <w:vAlign w:val="bottom"/>
            <w:hideMark/>
          </w:tcPr>
          <w:p w14:paraId="0DF391A6"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9,745</w:t>
            </w:r>
          </w:p>
        </w:tc>
        <w:tc>
          <w:tcPr>
            <w:tcW w:w="1155" w:type="dxa"/>
            <w:tcBorders>
              <w:top w:val="nil"/>
              <w:left w:val="nil"/>
              <w:bottom w:val="nil"/>
              <w:right w:val="nil"/>
            </w:tcBorders>
            <w:shd w:val="clear" w:color="000000" w:fill="D9D9D9"/>
            <w:noWrap/>
            <w:vAlign w:val="bottom"/>
            <w:hideMark/>
          </w:tcPr>
          <w:p w14:paraId="542734DE"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10,181</w:t>
            </w:r>
          </w:p>
        </w:tc>
        <w:tc>
          <w:tcPr>
            <w:tcW w:w="1235" w:type="dxa"/>
            <w:tcBorders>
              <w:top w:val="nil"/>
              <w:left w:val="nil"/>
              <w:bottom w:val="nil"/>
              <w:right w:val="nil"/>
            </w:tcBorders>
            <w:shd w:val="clear" w:color="auto" w:fill="auto"/>
            <w:noWrap/>
            <w:vAlign w:val="bottom"/>
            <w:hideMark/>
          </w:tcPr>
          <w:p w14:paraId="7F23FEE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22F64D4B"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8,569</w:t>
            </w:r>
          </w:p>
        </w:tc>
      </w:tr>
      <w:tr w:rsidR="00986870" w:rsidRPr="00986870" w14:paraId="2AFD370D" w14:textId="77777777" w:rsidTr="00E05771">
        <w:trPr>
          <w:trHeight w:val="283"/>
          <w:jc w:val="center"/>
        </w:trPr>
        <w:tc>
          <w:tcPr>
            <w:tcW w:w="3097" w:type="dxa"/>
            <w:tcBorders>
              <w:top w:val="nil"/>
              <w:left w:val="nil"/>
              <w:bottom w:val="nil"/>
              <w:right w:val="nil"/>
            </w:tcBorders>
            <w:shd w:val="clear" w:color="auto" w:fill="auto"/>
            <w:noWrap/>
            <w:vAlign w:val="bottom"/>
            <w:hideMark/>
          </w:tcPr>
          <w:p w14:paraId="3E90A60D"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Annual appropriations</w:t>
            </w:r>
          </w:p>
        </w:tc>
        <w:tc>
          <w:tcPr>
            <w:tcW w:w="1238" w:type="dxa"/>
            <w:tcBorders>
              <w:top w:val="nil"/>
              <w:left w:val="nil"/>
              <w:bottom w:val="nil"/>
              <w:right w:val="nil"/>
            </w:tcBorders>
            <w:shd w:val="clear" w:color="auto" w:fill="auto"/>
            <w:noWrap/>
            <w:vAlign w:val="bottom"/>
            <w:hideMark/>
          </w:tcPr>
          <w:p w14:paraId="4E3F13D1" w14:textId="77777777" w:rsidR="00986870" w:rsidRPr="00986870" w:rsidRDefault="00986870" w:rsidP="00986870">
            <w:pPr>
              <w:spacing w:before="0" w:after="0" w:line="240" w:lineRule="auto"/>
              <w:rPr>
                <w:rFonts w:ascii="Arial" w:hAnsi="Arial" w:cs="Arial"/>
                <w:b/>
                <w:bCs/>
                <w:sz w:val="16"/>
                <w:szCs w:val="16"/>
              </w:rPr>
            </w:pPr>
          </w:p>
        </w:tc>
        <w:tc>
          <w:tcPr>
            <w:tcW w:w="1155" w:type="dxa"/>
            <w:tcBorders>
              <w:top w:val="nil"/>
              <w:left w:val="nil"/>
              <w:bottom w:val="nil"/>
              <w:right w:val="nil"/>
            </w:tcBorders>
            <w:shd w:val="clear" w:color="000000" w:fill="D9D9D9"/>
            <w:noWrap/>
            <w:vAlign w:val="bottom"/>
            <w:hideMark/>
          </w:tcPr>
          <w:p w14:paraId="64E8239F"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noWrap/>
            <w:vAlign w:val="bottom"/>
            <w:hideMark/>
          </w:tcPr>
          <w:p w14:paraId="38AB7DC7"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noWrap/>
            <w:vAlign w:val="bottom"/>
            <w:hideMark/>
          </w:tcPr>
          <w:p w14:paraId="26050E2A"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482E9559" w14:textId="77777777" w:rsidTr="00986870">
        <w:trPr>
          <w:trHeight w:val="228"/>
          <w:jc w:val="center"/>
        </w:trPr>
        <w:tc>
          <w:tcPr>
            <w:tcW w:w="3097" w:type="dxa"/>
            <w:tcBorders>
              <w:top w:val="nil"/>
              <w:left w:val="nil"/>
              <w:bottom w:val="nil"/>
              <w:right w:val="nil"/>
            </w:tcBorders>
            <w:shd w:val="clear" w:color="auto" w:fill="auto"/>
            <w:noWrap/>
            <w:vAlign w:val="bottom"/>
            <w:hideMark/>
          </w:tcPr>
          <w:p w14:paraId="4F35C6BD" w14:textId="5438157C" w:rsidR="00986870" w:rsidRPr="00986870" w:rsidRDefault="00986870" w:rsidP="004C11AA">
            <w:pPr>
              <w:spacing w:before="0" w:after="0" w:line="240" w:lineRule="auto"/>
              <w:ind w:leftChars="75" w:left="143"/>
              <w:rPr>
                <w:rFonts w:ascii="Arial" w:hAnsi="Arial" w:cs="Arial"/>
                <w:sz w:val="16"/>
                <w:szCs w:val="16"/>
              </w:rPr>
            </w:pPr>
            <w:r w:rsidRPr="00986870">
              <w:rPr>
                <w:rFonts w:ascii="Arial" w:hAnsi="Arial" w:cs="Arial"/>
                <w:sz w:val="16"/>
                <w:szCs w:val="16"/>
              </w:rPr>
              <w:t>Ordinary annual services</w:t>
            </w:r>
            <w:r w:rsidRPr="00986870">
              <w:rPr>
                <w:rFonts w:ascii="Arial" w:hAnsi="Arial" w:cs="Arial"/>
                <w:sz w:val="16"/>
                <w:szCs w:val="16"/>
                <w:vertAlign w:val="superscript"/>
              </w:rPr>
              <w:t>(a)</w:t>
            </w:r>
          </w:p>
        </w:tc>
        <w:tc>
          <w:tcPr>
            <w:tcW w:w="1238" w:type="dxa"/>
            <w:tcBorders>
              <w:top w:val="nil"/>
              <w:left w:val="nil"/>
              <w:bottom w:val="nil"/>
              <w:right w:val="nil"/>
            </w:tcBorders>
            <w:shd w:val="clear" w:color="auto" w:fill="auto"/>
            <w:noWrap/>
            <w:vAlign w:val="bottom"/>
            <w:hideMark/>
          </w:tcPr>
          <w:p w14:paraId="5D161268" w14:textId="77777777" w:rsidR="00986870" w:rsidRPr="00986870" w:rsidRDefault="00986870" w:rsidP="00986870">
            <w:pPr>
              <w:spacing w:before="0" w:after="0" w:line="240" w:lineRule="auto"/>
              <w:ind w:firstLineChars="100" w:firstLine="160"/>
              <w:rPr>
                <w:rFonts w:ascii="Arial" w:hAnsi="Arial" w:cs="Arial"/>
                <w:sz w:val="16"/>
                <w:szCs w:val="16"/>
              </w:rPr>
            </w:pPr>
          </w:p>
        </w:tc>
        <w:tc>
          <w:tcPr>
            <w:tcW w:w="1155" w:type="dxa"/>
            <w:tcBorders>
              <w:top w:val="nil"/>
              <w:left w:val="nil"/>
              <w:bottom w:val="nil"/>
              <w:right w:val="nil"/>
            </w:tcBorders>
            <w:shd w:val="clear" w:color="000000" w:fill="D9D9D9"/>
            <w:noWrap/>
            <w:vAlign w:val="bottom"/>
            <w:hideMark/>
          </w:tcPr>
          <w:p w14:paraId="32CD0024"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noWrap/>
            <w:vAlign w:val="bottom"/>
            <w:hideMark/>
          </w:tcPr>
          <w:p w14:paraId="7D8B2F2E"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noWrap/>
            <w:vAlign w:val="bottom"/>
            <w:hideMark/>
          </w:tcPr>
          <w:p w14:paraId="5F9DEA33"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38321CAD"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3E24439C" w14:textId="77777777" w:rsidR="00986870" w:rsidRPr="00986870" w:rsidRDefault="00986870" w:rsidP="008E079A">
            <w:pPr>
              <w:spacing w:before="0" w:after="0" w:line="240" w:lineRule="auto"/>
              <w:ind w:leftChars="150" w:left="285"/>
              <w:rPr>
                <w:rFonts w:ascii="Arial" w:hAnsi="Arial" w:cs="Arial"/>
                <w:sz w:val="16"/>
                <w:szCs w:val="16"/>
              </w:rPr>
            </w:pPr>
            <w:r w:rsidRPr="00986870">
              <w:rPr>
                <w:rFonts w:ascii="Arial" w:hAnsi="Arial" w:cs="Arial"/>
                <w:sz w:val="16"/>
                <w:szCs w:val="16"/>
              </w:rPr>
              <w:t>Departmental appropriation</w:t>
            </w:r>
          </w:p>
        </w:tc>
        <w:tc>
          <w:tcPr>
            <w:tcW w:w="1238" w:type="dxa"/>
            <w:tcBorders>
              <w:top w:val="nil"/>
              <w:left w:val="nil"/>
              <w:bottom w:val="nil"/>
              <w:right w:val="nil"/>
            </w:tcBorders>
            <w:shd w:val="clear" w:color="auto" w:fill="auto"/>
            <w:noWrap/>
            <w:vAlign w:val="bottom"/>
            <w:hideMark/>
          </w:tcPr>
          <w:p w14:paraId="10428E11"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31,601</w:t>
            </w:r>
          </w:p>
        </w:tc>
        <w:tc>
          <w:tcPr>
            <w:tcW w:w="1155" w:type="dxa"/>
            <w:tcBorders>
              <w:top w:val="nil"/>
              <w:left w:val="nil"/>
              <w:bottom w:val="nil"/>
              <w:right w:val="nil"/>
            </w:tcBorders>
            <w:shd w:val="clear" w:color="000000" w:fill="D9D9D9"/>
            <w:noWrap/>
            <w:vAlign w:val="bottom"/>
            <w:hideMark/>
          </w:tcPr>
          <w:p w14:paraId="6450E635"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32,308</w:t>
            </w:r>
          </w:p>
        </w:tc>
        <w:tc>
          <w:tcPr>
            <w:tcW w:w="1235" w:type="dxa"/>
            <w:tcBorders>
              <w:top w:val="nil"/>
              <w:left w:val="nil"/>
              <w:bottom w:val="nil"/>
              <w:right w:val="nil"/>
            </w:tcBorders>
            <w:shd w:val="clear" w:color="auto" w:fill="auto"/>
            <w:noWrap/>
            <w:vAlign w:val="bottom"/>
            <w:hideMark/>
          </w:tcPr>
          <w:p w14:paraId="0E9C7CC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3,721</w:t>
            </w:r>
          </w:p>
        </w:tc>
        <w:tc>
          <w:tcPr>
            <w:tcW w:w="1155" w:type="dxa"/>
            <w:tcBorders>
              <w:top w:val="nil"/>
              <w:left w:val="nil"/>
              <w:bottom w:val="nil"/>
              <w:right w:val="nil"/>
            </w:tcBorders>
            <w:shd w:val="clear" w:color="auto" w:fill="auto"/>
            <w:noWrap/>
            <w:vAlign w:val="bottom"/>
            <w:hideMark/>
          </w:tcPr>
          <w:p w14:paraId="246B01D5"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36,029</w:t>
            </w:r>
          </w:p>
        </w:tc>
      </w:tr>
      <w:tr w:rsidR="00986870" w:rsidRPr="00986870" w14:paraId="3AF0643B" w14:textId="77777777" w:rsidTr="00986870">
        <w:trPr>
          <w:trHeight w:val="228"/>
          <w:jc w:val="center"/>
        </w:trPr>
        <w:tc>
          <w:tcPr>
            <w:tcW w:w="3097" w:type="dxa"/>
            <w:tcBorders>
              <w:top w:val="nil"/>
              <w:left w:val="nil"/>
              <w:bottom w:val="nil"/>
              <w:right w:val="nil"/>
            </w:tcBorders>
            <w:shd w:val="clear" w:color="auto" w:fill="auto"/>
            <w:noWrap/>
            <w:vAlign w:val="bottom"/>
            <w:hideMark/>
          </w:tcPr>
          <w:p w14:paraId="7582D995" w14:textId="6BC7C36C" w:rsidR="00986870" w:rsidRPr="00986870" w:rsidRDefault="00986870" w:rsidP="004C11AA">
            <w:pPr>
              <w:spacing w:before="0" w:after="0" w:line="240" w:lineRule="auto"/>
              <w:ind w:leftChars="150" w:left="285"/>
              <w:rPr>
                <w:rFonts w:ascii="Arial" w:hAnsi="Arial" w:cs="Arial"/>
                <w:sz w:val="16"/>
                <w:szCs w:val="16"/>
              </w:rPr>
            </w:pPr>
            <w:r w:rsidRPr="00986870">
              <w:rPr>
                <w:rFonts w:ascii="Arial" w:hAnsi="Arial" w:cs="Arial"/>
                <w:sz w:val="16"/>
                <w:szCs w:val="16"/>
              </w:rPr>
              <w:t>s74 retained revenue receipts</w:t>
            </w:r>
            <w:r w:rsidRPr="00986870">
              <w:rPr>
                <w:rFonts w:ascii="Arial" w:hAnsi="Arial" w:cs="Arial"/>
                <w:sz w:val="16"/>
                <w:szCs w:val="16"/>
                <w:vertAlign w:val="superscript"/>
              </w:rPr>
              <w:t>(b)</w:t>
            </w:r>
          </w:p>
        </w:tc>
        <w:tc>
          <w:tcPr>
            <w:tcW w:w="1238" w:type="dxa"/>
            <w:tcBorders>
              <w:top w:val="nil"/>
              <w:left w:val="nil"/>
              <w:bottom w:val="nil"/>
              <w:right w:val="nil"/>
            </w:tcBorders>
            <w:shd w:val="clear" w:color="auto" w:fill="auto"/>
            <w:noWrap/>
            <w:vAlign w:val="bottom"/>
            <w:hideMark/>
          </w:tcPr>
          <w:p w14:paraId="37E226EF"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4,312</w:t>
            </w:r>
          </w:p>
        </w:tc>
        <w:tc>
          <w:tcPr>
            <w:tcW w:w="1155" w:type="dxa"/>
            <w:tcBorders>
              <w:top w:val="nil"/>
              <w:left w:val="nil"/>
              <w:bottom w:val="nil"/>
              <w:right w:val="nil"/>
            </w:tcBorders>
            <w:shd w:val="clear" w:color="000000" w:fill="D9D9D9"/>
            <w:noWrap/>
            <w:vAlign w:val="bottom"/>
            <w:hideMark/>
          </w:tcPr>
          <w:p w14:paraId="79FC77C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1,986</w:t>
            </w:r>
          </w:p>
        </w:tc>
        <w:tc>
          <w:tcPr>
            <w:tcW w:w="1235" w:type="dxa"/>
            <w:tcBorders>
              <w:top w:val="nil"/>
              <w:left w:val="nil"/>
              <w:bottom w:val="nil"/>
              <w:right w:val="nil"/>
            </w:tcBorders>
            <w:shd w:val="clear" w:color="auto" w:fill="auto"/>
            <w:noWrap/>
            <w:vAlign w:val="bottom"/>
            <w:hideMark/>
          </w:tcPr>
          <w:p w14:paraId="658B64FB"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2FADD5D0"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1,986</w:t>
            </w:r>
          </w:p>
        </w:tc>
      </w:tr>
      <w:tr w:rsidR="00986870" w:rsidRPr="00986870" w14:paraId="16A9F3D4" w14:textId="77777777" w:rsidTr="00986870">
        <w:trPr>
          <w:trHeight w:val="228"/>
          <w:jc w:val="center"/>
        </w:trPr>
        <w:tc>
          <w:tcPr>
            <w:tcW w:w="3097" w:type="dxa"/>
            <w:tcBorders>
              <w:top w:val="nil"/>
              <w:left w:val="nil"/>
              <w:bottom w:val="nil"/>
              <w:right w:val="nil"/>
            </w:tcBorders>
            <w:shd w:val="clear" w:color="auto" w:fill="auto"/>
            <w:noWrap/>
            <w:vAlign w:val="bottom"/>
            <w:hideMark/>
          </w:tcPr>
          <w:p w14:paraId="3341F2D7" w14:textId="3DFD0763" w:rsidR="00986870" w:rsidRPr="00986870" w:rsidRDefault="004C11AA" w:rsidP="008E079A">
            <w:pPr>
              <w:spacing w:before="0" w:after="0" w:line="240" w:lineRule="auto"/>
              <w:ind w:leftChars="150" w:left="285"/>
              <w:rPr>
                <w:rFonts w:ascii="Arial" w:hAnsi="Arial" w:cs="Arial"/>
                <w:sz w:val="16"/>
                <w:szCs w:val="16"/>
              </w:rPr>
            </w:pPr>
            <w:r>
              <w:rPr>
                <w:rFonts w:ascii="Arial" w:hAnsi="Arial" w:cs="Arial"/>
                <w:sz w:val="16"/>
                <w:szCs w:val="16"/>
              </w:rPr>
              <w:t>Departmental Capital Budget</w:t>
            </w:r>
            <w:r w:rsidR="00986870" w:rsidRPr="00986870">
              <w:rPr>
                <w:rFonts w:ascii="Arial" w:hAnsi="Arial" w:cs="Arial"/>
                <w:sz w:val="16"/>
                <w:szCs w:val="16"/>
                <w:vertAlign w:val="superscript"/>
              </w:rPr>
              <w:t>(c)</w:t>
            </w:r>
          </w:p>
        </w:tc>
        <w:tc>
          <w:tcPr>
            <w:tcW w:w="1238" w:type="dxa"/>
            <w:tcBorders>
              <w:top w:val="nil"/>
              <w:left w:val="nil"/>
              <w:bottom w:val="nil"/>
              <w:right w:val="nil"/>
            </w:tcBorders>
            <w:shd w:val="clear" w:color="auto" w:fill="auto"/>
            <w:noWrap/>
            <w:vAlign w:val="bottom"/>
            <w:hideMark/>
          </w:tcPr>
          <w:p w14:paraId="040DFFEB"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237</w:t>
            </w:r>
          </w:p>
        </w:tc>
        <w:tc>
          <w:tcPr>
            <w:tcW w:w="1155" w:type="dxa"/>
            <w:tcBorders>
              <w:top w:val="nil"/>
              <w:left w:val="nil"/>
              <w:bottom w:val="nil"/>
              <w:right w:val="nil"/>
            </w:tcBorders>
            <w:shd w:val="clear" w:color="000000" w:fill="D9D9D9"/>
            <w:noWrap/>
            <w:vAlign w:val="bottom"/>
            <w:hideMark/>
          </w:tcPr>
          <w:p w14:paraId="281F9DBC"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513</w:t>
            </w:r>
          </w:p>
        </w:tc>
        <w:tc>
          <w:tcPr>
            <w:tcW w:w="1235" w:type="dxa"/>
            <w:tcBorders>
              <w:top w:val="nil"/>
              <w:left w:val="nil"/>
              <w:bottom w:val="nil"/>
              <w:right w:val="nil"/>
            </w:tcBorders>
            <w:shd w:val="clear" w:color="auto" w:fill="auto"/>
            <w:noWrap/>
            <w:vAlign w:val="bottom"/>
            <w:hideMark/>
          </w:tcPr>
          <w:p w14:paraId="5FF2F416"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865</w:t>
            </w:r>
          </w:p>
        </w:tc>
        <w:tc>
          <w:tcPr>
            <w:tcW w:w="1155" w:type="dxa"/>
            <w:tcBorders>
              <w:top w:val="nil"/>
              <w:left w:val="nil"/>
              <w:bottom w:val="nil"/>
              <w:right w:val="nil"/>
            </w:tcBorders>
            <w:shd w:val="clear" w:color="auto" w:fill="auto"/>
            <w:noWrap/>
            <w:vAlign w:val="bottom"/>
            <w:hideMark/>
          </w:tcPr>
          <w:p w14:paraId="068AD214"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1,378</w:t>
            </w:r>
          </w:p>
        </w:tc>
      </w:tr>
      <w:tr w:rsidR="00986870" w:rsidRPr="00986870" w14:paraId="7FD7C46B"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10FBC617" w14:textId="42CB41D7" w:rsidR="00986870" w:rsidRPr="00986870" w:rsidRDefault="00986870" w:rsidP="00E92FC1">
            <w:pPr>
              <w:spacing w:before="0" w:after="0" w:line="240" w:lineRule="auto"/>
              <w:ind w:leftChars="75" w:left="143"/>
              <w:rPr>
                <w:rFonts w:ascii="Arial" w:hAnsi="Arial" w:cs="Arial"/>
                <w:sz w:val="16"/>
                <w:szCs w:val="16"/>
              </w:rPr>
            </w:pPr>
            <w:r w:rsidRPr="00986870">
              <w:rPr>
                <w:rFonts w:ascii="Arial" w:hAnsi="Arial" w:cs="Arial"/>
                <w:sz w:val="16"/>
                <w:szCs w:val="16"/>
              </w:rPr>
              <w:t>Other services</w:t>
            </w:r>
            <w:r w:rsidRPr="00986870">
              <w:rPr>
                <w:rFonts w:ascii="Arial" w:hAnsi="Arial" w:cs="Arial"/>
                <w:sz w:val="16"/>
                <w:szCs w:val="16"/>
                <w:vertAlign w:val="superscript"/>
              </w:rPr>
              <w:t xml:space="preserve"> (</w:t>
            </w:r>
            <w:r w:rsidR="00E92FC1">
              <w:rPr>
                <w:rFonts w:ascii="Arial" w:hAnsi="Arial" w:cs="Arial"/>
                <w:sz w:val="16"/>
                <w:szCs w:val="16"/>
                <w:vertAlign w:val="superscript"/>
              </w:rPr>
              <w:t>d</w:t>
            </w:r>
            <w:r w:rsidRPr="00986870">
              <w:rPr>
                <w:rFonts w:ascii="Arial" w:hAnsi="Arial" w:cs="Arial"/>
                <w:sz w:val="16"/>
                <w:szCs w:val="16"/>
                <w:vertAlign w:val="superscript"/>
              </w:rPr>
              <w:t>)</w:t>
            </w:r>
          </w:p>
        </w:tc>
        <w:tc>
          <w:tcPr>
            <w:tcW w:w="1238" w:type="dxa"/>
            <w:tcBorders>
              <w:top w:val="nil"/>
              <w:left w:val="nil"/>
              <w:bottom w:val="nil"/>
              <w:right w:val="nil"/>
            </w:tcBorders>
            <w:shd w:val="clear" w:color="auto" w:fill="auto"/>
            <w:noWrap/>
            <w:vAlign w:val="bottom"/>
            <w:hideMark/>
          </w:tcPr>
          <w:p w14:paraId="25EB0B11" w14:textId="77777777" w:rsidR="00986870" w:rsidRPr="00986870" w:rsidRDefault="00986870" w:rsidP="00986870">
            <w:pPr>
              <w:spacing w:before="0" w:after="0" w:line="240" w:lineRule="auto"/>
              <w:ind w:firstLineChars="100" w:firstLine="160"/>
              <w:rPr>
                <w:rFonts w:ascii="Arial" w:hAnsi="Arial" w:cs="Arial"/>
                <w:sz w:val="16"/>
                <w:szCs w:val="16"/>
              </w:rPr>
            </w:pPr>
          </w:p>
        </w:tc>
        <w:tc>
          <w:tcPr>
            <w:tcW w:w="1155" w:type="dxa"/>
            <w:tcBorders>
              <w:top w:val="nil"/>
              <w:left w:val="nil"/>
              <w:bottom w:val="nil"/>
              <w:right w:val="nil"/>
            </w:tcBorders>
            <w:shd w:val="clear" w:color="000000" w:fill="D9D9D9"/>
            <w:noWrap/>
            <w:vAlign w:val="bottom"/>
            <w:hideMark/>
          </w:tcPr>
          <w:p w14:paraId="4514532F"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noWrap/>
            <w:vAlign w:val="bottom"/>
            <w:hideMark/>
          </w:tcPr>
          <w:p w14:paraId="37C7FAE8"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noWrap/>
            <w:vAlign w:val="bottom"/>
            <w:hideMark/>
          </w:tcPr>
          <w:p w14:paraId="0DF15F0A"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3382C5DA"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13972925" w14:textId="77777777" w:rsidR="00986870" w:rsidRPr="00986870" w:rsidRDefault="00986870" w:rsidP="008E079A">
            <w:pPr>
              <w:spacing w:before="0" w:after="0" w:line="240" w:lineRule="auto"/>
              <w:ind w:leftChars="150" w:left="285"/>
              <w:rPr>
                <w:rFonts w:ascii="Arial" w:hAnsi="Arial" w:cs="Arial"/>
                <w:sz w:val="16"/>
                <w:szCs w:val="16"/>
              </w:rPr>
            </w:pPr>
            <w:r w:rsidRPr="00986870">
              <w:rPr>
                <w:rFonts w:ascii="Arial" w:hAnsi="Arial" w:cs="Arial"/>
                <w:sz w:val="16"/>
                <w:szCs w:val="16"/>
              </w:rPr>
              <w:t>Equity injection</w:t>
            </w:r>
          </w:p>
        </w:tc>
        <w:tc>
          <w:tcPr>
            <w:tcW w:w="1238" w:type="dxa"/>
            <w:tcBorders>
              <w:top w:val="nil"/>
              <w:left w:val="nil"/>
              <w:bottom w:val="nil"/>
              <w:right w:val="nil"/>
            </w:tcBorders>
            <w:shd w:val="clear" w:color="auto" w:fill="auto"/>
            <w:noWrap/>
            <w:vAlign w:val="bottom"/>
            <w:hideMark/>
          </w:tcPr>
          <w:p w14:paraId="2912360D"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359</w:t>
            </w:r>
          </w:p>
        </w:tc>
        <w:tc>
          <w:tcPr>
            <w:tcW w:w="1155" w:type="dxa"/>
            <w:tcBorders>
              <w:top w:val="nil"/>
              <w:left w:val="nil"/>
              <w:bottom w:val="nil"/>
              <w:right w:val="nil"/>
            </w:tcBorders>
            <w:shd w:val="clear" w:color="000000" w:fill="D9D9D9"/>
            <w:noWrap/>
            <w:vAlign w:val="bottom"/>
            <w:hideMark/>
          </w:tcPr>
          <w:p w14:paraId="3AB060BF"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235" w:type="dxa"/>
            <w:tcBorders>
              <w:top w:val="nil"/>
              <w:left w:val="nil"/>
              <w:bottom w:val="nil"/>
              <w:right w:val="nil"/>
            </w:tcBorders>
            <w:shd w:val="clear" w:color="auto" w:fill="auto"/>
            <w:noWrap/>
            <w:vAlign w:val="bottom"/>
            <w:hideMark/>
          </w:tcPr>
          <w:p w14:paraId="1B7C58EE"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0C6C584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r>
      <w:tr w:rsidR="00986870" w:rsidRPr="00986870" w14:paraId="4C3E3AB6" w14:textId="77777777" w:rsidTr="00E05771">
        <w:trPr>
          <w:trHeight w:val="425"/>
          <w:jc w:val="center"/>
        </w:trPr>
        <w:tc>
          <w:tcPr>
            <w:tcW w:w="3097" w:type="dxa"/>
            <w:tcBorders>
              <w:top w:val="nil"/>
              <w:left w:val="nil"/>
              <w:bottom w:val="nil"/>
              <w:right w:val="nil"/>
            </w:tcBorders>
            <w:shd w:val="clear" w:color="auto" w:fill="auto"/>
            <w:vAlign w:val="bottom"/>
            <w:hideMark/>
          </w:tcPr>
          <w:p w14:paraId="3AED08EC" w14:textId="77777777" w:rsidR="00986870" w:rsidRPr="00986870" w:rsidRDefault="00986870" w:rsidP="008E079A">
            <w:pPr>
              <w:spacing w:before="0" w:after="0" w:line="240" w:lineRule="auto"/>
              <w:ind w:leftChars="150" w:left="285"/>
              <w:rPr>
                <w:rFonts w:ascii="Arial" w:hAnsi="Arial" w:cs="Arial"/>
                <w:b/>
                <w:bCs/>
                <w:sz w:val="16"/>
                <w:szCs w:val="16"/>
              </w:rPr>
            </w:pPr>
            <w:r w:rsidRPr="00986870">
              <w:rPr>
                <w:rFonts w:ascii="Arial" w:hAnsi="Arial" w:cs="Arial"/>
                <w:b/>
                <w:bCs/>
                <w:sz w:val="16"/>
                <w:szCs w:val="16"/>
              </w:rPr>
              <w:t>Total departmental annual appropriations</w:t>
            </w:r>
          </w:p>
        </w:tc>
        <w:tc>
          <w:tcPr>
            <w:tcW w:w="1238" w:type="dxa"/>
            <w:tcBorders>
              <w:top w:val="nil"/>
              <w:left w:val="nil"/>
              <w:bottom w:val="single" w:sz="4" w:space="0" w:color="auto"/>
              <w:right w:val="nil"/>
            </w:tcBorders>
            <w:shd w:val="clear" w:color="auto" w:fill="auto"/>
            <w:noWrap/>
            <w:vAlign w:val="bottom"/>
            <w:hideMark/>
          </w:tcPr>
          <w:p w14:paraId="327C1F93"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36,509</w:t>
            </w:r>
          </w:p>
        </w:tc>
        <w:tc>
          <w:tcPr>
            <w:tcW w:w="1155" w:type="dxa"/>
            <w:tcBorders>
              <w:top w:val="nil"/>
              <w:left w:val="nil"/>
              <w:bottom w:val="single" w:sz="4" w:space="0" w:color="auto"/>
              <w:right w:val="nil"/>
            </w:tcBorders>
            <w:shd w:val="clear" w:color="000000" w:fill="D9D9D9"/>
            <w:noWrap/>
            <w:vAlign w:val="bottom"/>
            <w:hideMark/>
          </w:tcPr>
          <w:p w14:paraId="5ED41C13"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34,807</w:t>
            </w:r>
          </w:p>
        </w:tc>
        <w:tc>
          <w:tcPr>
            <w:tcW w:w="1235" w:type="dxa"/>
            <w:tcBorders>
              <w:top w:val="nil"/>
              <w:left w:val="nil"/>
              <w:bottom w:val="single" w:sz="4" w:space="0" w:color="auto"/>
              <w:right w:val="nil"/>
            </w:tcBorders>
            <w:shd w:val="clear" w:color="auto" w:fill="auto"/>
            <w:noWrap/>
            <w:vAlign w:val="bottom"/>
            <w:hideMark/>
          </w:tcPr>
          <w:p w14:paraId="0A45DE4C"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4,586</w:t>
            </w:r>
          </w:p>
        </w:tc>
        <w:tc>
          <w:tcPr>
            <w:tcW w:w="1155" w:type="dxa"/>
            <w:tcBorders>
              <w:top w:val="nil"/>
              <w:left w:val="nil"/>
              <w:bottom w:val="single" w:sz="4" w:space="0" w:color="auto"/>
              <w:right w:val="nil"/>
            </w:tcBorders>
            <w:shd w:val="clear" w:color="auto" w:fill="auto"/>
            <w:noWrap/>
            <w:vAlign w:val="bottom"/>
            <w:hideMark/>
          </w:tcPr>
          <w:p w14:paraId="356DB179"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39,393</w:t>
            </w:r>
          </w:p>
        </w:tc>
      </w:tr>
      <w:tr w:rsidR="00986870" w:rsidRPr="00986870" w14:paraId="37CCC721" w14:textId="77777777" w:rsidTr="00E05771">
        <w:trPr>
          <w:trHeight w:val="283"/>
          <w:jc w:val="center"/>
        </w:trPr>
        <w:tc>
          <w:tcPr>
            <w:tcW w:w="3097" w:type="dxa"/>
            <w:tcBorders>
              <w:top w:val="nil"/>
              <w:left w:val="nil"/>
              <w:bottom w:val="nil"/>
              <w:right w:val="nil"/>
            </w:tcBorders>
            <w:shd w:val="clear" w:color="auto" w:fill="auto"/>
            <w:noWrap/>
            <w:vAlign w:val="bottom"/>
            <w:hideMark/>
          </w:tcPr>
          <w:p w14:paraId="0A5F2419"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 xml:space="preserve">Total departmental resourcing </w:t>
            </w:r>
          </w:p>
        </w:tc>
        <w:tc>
          <w:tcPr>
            <w:tcW w:w="1238" w:type="dxa"/>
            <w:tcBorders>
              <w:top w:val="nil"/>
              <w:left w:val="nil"/>
              <w:bottom w:val="single" w:sz="4" w:space="0" w:color="auto"/>
              <w:right w:val="nil"/>
            </w:tcBorders>
            <w:shd w:val="clear" w:color="auto" w:fill="auto"/>
            <w:noWrap/>
            <w:vAlign w:val="bottom"/>
            <w:hideMark/>
          </w:tcPr>
          <w:p w14:paraId="7EF88D99"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46,254</w:t>
            </w:r>
          </w:p>
        </w:tc>
        <w:tc>
          <w:tcPr>
            <w:tcW w:w="1155" w:type="dxa"/>
            <w:tcBorders>
              <w:top w:val="nil"/>
              <w:left w:val="nil"/>
              <w:bottom w:val="single" w:sz="4" w:space="0" w:color="auto"/>
              <w:right w:val="nil"/>
            </w:tcBorders>
            <w:shd w:val="clear" w:color="000000" w:fill="D9D9D9"/>
            <w:noWrap/>
            <w:vAlign w:val="bottom"/>
            <w:hideMark/>
          </w:tcPr>
          <w:p w14:paraId="205D2177"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44,988</w:t>
            </w:r>
          </w:p>
        </w:tc>
        <w:tc>
          <w:tcPr>
            <w:tcW w:w="1235" w:type="dxa"/>
            <w:tcBorders>
              <w:top w:val="nil"/>
              <w:left w:val="nil"/>
              <w:bottom w:val="single" w:sz="4" w:space="0" w:color="auto"/>
              <w:right w:val="nil"/>
            </w:tcBorders>
            <w:shd w:val="clear" w:color="auto" w:fill="auto"/>
            <w:noWrap/>
            <w:vAlign w:val="bottom"/>
            <w:hideMark/>
          </w:tcPr>
          <w:p w14:paraId="2FD9A7E0"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4,586</w:t>
            </w:r>
          </w:p>
        </w:tc>
        <w:tc>
          <w:tcPr>
            <w:tcW w:w="1155" w:type="dxa"/>
            <w:tcBorders>
              <w:top w:val="nil"/>
              <w:left w:val="nil"/>
              <w:bottom w:val="single" w:sz="4" w:space="0" w:color="auto"/>
              <w:right w:val="nil"/>
            </w:tcBorders>
            <w:shd w:val="clear" w:color="auto" w:fill="auto"/>
            <w:noWrap/>
            <w:vAlign w:val="bottom"/>
            <w:hideMark/>
          </w:tcPr>
          <w:p w14:paraId="4C0A0774"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47,962</w:t>
            </w:r>
          </w:p>
        </w:tc>
      </w:tr>
      <w:tr w:rsidR="00986870" w:rsidRPr="00986870" w14:paraId="5B0EE711" w14:textId="77777777" w:rsidTr="00E05771">
        <w:trPr>
          <w:trHeight w:val="283"/>
          <w:jc w:val="center"/>
        </w:trPr>
        <w:tc>
          <w:tcPr>
            <w:tcW w:w="3097" w:type="dxa"/>
            <w:tcBorders>
              <w:top w:val="nil"/>
              <w:left w:val="nil"/>
              <w:bottom w:val="nil"/>
              <w:right w:val="nil"/>
            </w:tcBorders>
            <w:shd w:val="clear" w:color="auto" w:fill="auto"/>
            <w:noWrap/>
            <w:vAlign w:val="bottom"/>
            <w:hideMark/>
          </w:tcPr>
          <w:p w14:paraId="46001C99"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ADMINISTERED</w:t>
            </w:r>
          </w:p>
        </w:tc>
        <w:tc>
          <w:tcPr>
            <w:tcW w:w="1238" w:type="dxa"/>
            <w:tcBorders>
              <w:top w:val="nil"/>
              <w:left w:val="nil"/>
              <w:bottom w:val="nil"/>
              <w:right w:val="nil"/>
            </w:tcBorders>
            <w:shd w:val="clear" w:color="auto" w:fill="auto"/>
            <w:noWrap/>
            <w:vAlign w:val="bottom"/>
            <w:hideMark/>
          </w:tcPr>
          <w:p w14:paraId="0D55EABC" w14:textId="77777777" w:rsidR="00986870" w:rsidRPr="00986870" w:rsidRDefault="00986870" w:rsidP="00986870">
            <w:pPr>
              <w:spacing w:before="0" w:after="0" w:line="240" w:lineRule="auto"/>
              <w:rPr>
                <w:rFonts w:ascii="Arial" w:hAnsi="Arial" w:cs="Arial"/>
                <w:b/>
                <w:bCs/>
                <w:sz w:val="16"/>
                <w:szCs w:val="16"/>
              </w:rPr>
            </w:pPr>
          </w:p>
        </w:tc>
        <w:tc>
          <w:tcPr>
            <w:tcW w:w="1155" w:type="dxa"/>
            <w:tcBorders>
              <w:top w:val="nil"/>
              <w:left w:val="nil"/>
              <w:bottom w:val="nil"/>
              <w:right w:val="nil"/>
            </w:tcBorders>
            <w:shd w:val="clear" w:color="000000" w:fill="D9D9D9"/>
            <w:noWrap/>
            <w:vAlign w:val="bottom"/>
            <w:hideMark/>
          </w:tcPr>
          <w:p w14:paraId="341AD6E9"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noWrap/>
            <w:vAlign w:val="bottom"/>
            <w:hideMark/>
          </w:tcPr>
          <w:p w14:paraId="04B36D5C"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noWrap/>
            <w:vAlign w:val="bottom"/>
            <w:hideMark/>
          </w:tcPr>
          <w:p w14:paraId="72770530"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2C359454"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65C34EEA" w14:textId="77777777" w:rsidR="00986870" w:rsidRPr="00986870" w:rsidRDefault="00986870" w:rsidP="008E079A">
            <w:pPr>
              <w:spacing w:before="0" w:after="0" w:line="240" w:lineRule="auto"/>
              <w:ind w:leftChars="75" w:left="143"/>
              <w:rPr>
                <w:rFonts w:ascii="Arial" w:hAnsi="Arial" w:cs="Arial"/>
                <w:sz w:val="16"/>
                <w:szCs w:val="16"/>
              </w:rPr>
            </w:pPr>
            <w:r w:rsidRPr="00986870">
              <w:rPr>
                <w:rFonts w:ascii="Arial" w:hAnsi="Arial" w:cs="Arial"/>
                <w:sz w:val="16"/>
                <w:szCs w:val="16"/>
              </w:rPr>
              <w:t xml:space="preserve">Prior year appropriation available </w:t>
            </w:r>
          </w:p>
        </w:tc>
        <w:tc>
          <w:tcPr>
            <w:tcW w:w="1238" w:type="dxa"/>
            <w:tcBorders>
              <w:top w:val="nil"/>
              <w:left w:val="nil"/>
              <w:bottom w:val="nil"/>
              <w:right w:val="nil"/>
            </w:tcBorders>
            <w:shd w:val="clear" w:color="auto" w:fill="auto"/>
            <w:noWrap/>
            <w:vAlign w:val="bottom"/>
            <w:hideMark/>
          </w:tcPr>
          <w:p w14:paraId="10B75BC0"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4,241</w:t>
            </w:r>
          </w:p>
        </w:tc>
        <w:tc>
          <w:tcPr>
            <w:tcW w:w="1155" w:type="dxa"/>
            <w:tcBorders>
              <w:top w:val="nil"/>
              <w:left w:val="nil"/>
              <w:bottom w:val="nil"/>
              <w:right w:val="nil"/>
            </w:tcBorders>
            <w:shd w:val="clear" w:color="000000" w:fill="D9D9D9"/>
            <w:noWrap/>
            <w:vAlign w:val="bottom"/>
            <w:hideMark/>
          </w:tcPr>
          <w:p w14:paraId="6547881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235" w:type="dxa"/>
            <w:tcBorders>
              <w:top w:val="nil"/>
              <w:left w:val="nil"/>
              <w:bottom w:val="nil"/>
              <w:right w:val="nil"/>
            </w:tcBorders>
            <w:shd w:val="clear" w:color="auto" w:fill="auto"/>
            <w:noWrap/>
            <w:vAlign w:val="bottom"/>
            <w:hideMark/>
          </w:tcPr>
          <w:p w14:paraId="043C2B01"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134A80A2"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r>
      <w:tr w:rsidR="00986870" w:rsidRPr="00986870" w14:paraId="4334B00C" w14:textId="77777777" w:rsidTr="00E05771">
        <w:trPr>
          <w:trHeight w:val="283"/>
          <w:jc w:val="center"/>
        </w:trPr>
        <w:tc>
          <w:tcPr>
            <w:tcW w:w="3097" w:type="dxa"/>
            <w:tcBorders>
              <w:top w:val="nil"/>
              <w:left w:val="nil"/>
              <w:bottom w:val="nil"/>
              <w:right w:val="nil"/>
            </w:tcBorders>
            <w:shd w:val="clear" w:color="auto" w:fill="auto"/>
            <w:noWrap/>
            <w:vAlign w:val="bottom"/>
            <w:hideMark/>
          </w:tcPr>
          <w:p w14:paraId="1E882D50"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Annual appropriations</w:t>
            </w:r>
          </w:p>
        </w:tc>
        <w:tc>
          <w:tcPr>
            <w:tcW w:w="1238" w:type="dxa"/>
            <w:tcBorders>
              <w:top w:val="nil"/>
              <w:left w:val="nil"/>
              <w:bottom w:val="nil"/>
              <w:right w:val="nil"/>
            </w:tcBorders>
            <w:shd w:val="clear" w:color="auto" w:fill="auto"/>
            <w:noWrap/>
            <w:vAlign w:val="bottom"/>
            <w:hideMark/>
          </w:tcPr>
          <w:p w14:paraId="693F24E3" w14:textId="77777777" w:rsidR="00986870" w:rsidRPr="00986870" w:rsidRDefault="00986870" w:rsidP="00986870">
            <w:pPr>
              <w:spacing w:before="0" w:after="0" w:line="240" w:lineRule="auto"/>
              <w:rPr>
                <w:rFonts w:ascii="Arial" w:hAnsi="Arial" w:cs="Arial"/>
                <w:b/>
                <w:bCs/>
                <w:sz w:val="16"/>
                <w:szCs w:val="16"/>
              </w:rPr>
            </w:pPr>
          </w:p>
        </w:tc>
        <w:tc>
          <w:tcPr>
            <w:tcW w:w="1155" w:type="dxa"/>
            <w:tcBorders>
              <w:top w:val="nil"/>
              <w:left w:val="nil"/>
              <w:bottom w:val="nil"/>
              <w:right w:val="nil"/>
            </w:tcBorders>
            <w:shd w:val="clear" w:color="000000" w:fill="D9D9D9"/>
            <w:noWrap/>
            <w:vAlign w:val="bottom"/>
            <w:hideMark/>
          </w:tcPr>
          <w:p w14:paraId="3676F59A" w14:textId="77777777" w:rsidR="00986870" w:rsidRPr="00986870" w:rsidRDefault="00986870" w:rsidP="00986870">
            <w:pPr>
              <w:spacing w:before="0" w:after="0" w:line="240" w:lineRule="auto"/>
              <w:jc w:val="right"/>
              <w:rPr>
                <w:rFonts w:ascii="Arial" w:hAnsi="Arial" w:cs="Arial"/>
                <w:color w:val="E26B0A"/>
                <w:sz w:val="16"/>
                <w:szCs w:val="16"/>
              </w:rPr>
            </w:pPr>
            <w:r w:rsidRPr="00986870">
              <w:rPr>
                <w:rFonts w:ascii="Arial" w:hAnsi="Arial" w:cs="Arial"/>
                <w:color w:val="E26B0A"/>
                <w:sz w:val="16"/>
                <w:szCs w:val="16"/>
              </w:rPr>
              <w:t> </w:t>
            </w:r>
          </w:p>
        </w:tc>
        <w:tc>
          <w:tcPr>
            <w:tcW w:w="1235" w:type="dxa"/>
            <w:tcBorders>
              <w:top w:val="nil"/>
              <w:left w:val="nil"/>
              <w:bottom w:val="nil"/>
              <w:right w:val="nil"/>
            </w:tcBorders>
            <w:shd w:val="clear" w:color="auto" w:fill="auto"/>
            <w:noWrap/>
            <w:vAlign w:val="bottom"/>
            <w:hideMark/>
          </w:tcPr>
          <w:p w14:paraId="0CB8E652" w14:textId="77777777" w:rsidR="00986870" w:rsidRPr="00986870" w:rsidRDefault="00986870" w:rsidP="00986870">
            <w:pPr>
              <w:spacing w:before="0" w:after="0" w:line="240" w:lineRule="auto"/>
              <w:jc w:val="right"/>
              <w:rPr>
                <w:rFonts w:ascii="Arial" w:hAnsi="Arial" w:cs="Arial"/>
                <w:color w:val="E26B0A"/>
                <w:sz w:val="16"/>
                <w:szCs w:val="16"/>
              </w:rPr>
            </w:pPr>
          </w:p>
        </w:tc>
        <w:tc>
          <w:tcPr>
            <w:tcW w:w="1155" w:type="dxa"/>
            <w:tcBorders>
              <w:top w:val="nil"/>
              <w:left w:val="nil"/>
              <w:bottom w:val="nil"/>
              <w:right w:val="nil"/>
            </w:tcBorders>
            <w:shd w:val="clear" w:color="auto" w:fill="auto"/>
            <w:noWrap/>
            <w:vAlign w:val="bottom"/>
            <w:hideMark/>
          </w:tcPr>
          <w:p w14:paraId="2C68954F"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11B219AF" w14:textId="77777777" w:rsidTr="00986870">
        <w:trPr>
          <w:trHeight w:val="228"/>
          <w:jc w:val="center"/>
        </w:trPr>
        <w:tc>
          <w:tcPr>
            <w:tcW w:w="3097" w:type="dxa"/>
            <w:tcBorders>
              <w:top w:val="nil"/>
              <w:left w:val="nil"/>
              <w:bottom w:val="nil"/>
              <w:right w:val="nil"/>
            </w:tcBorders>
            <w:shd w:val="clear" w:color="auto" w:fill="auto"/>
            <w:noWrap/>
            <w:vAlign w:val="bottom"/>
            <w:hideMark/>
          </w:tcPr>
          <w:p w14:paraId="5752869D" w14:textId="590A4E4E" w:rsidR="00986870" w:rsidRPr="00986870" w:rsidRDefault="00986870" w:rsidP="004C11AA">
            <w:pPr>
              <w:spacing w:before="0" w:after="0" w:line="240" w:lineRule="auto"/>
              <w:ind w:leftChars="75" w:left="143"/>
              <w:rPr>
                <w:rFonts w:ascii="Arial" w:hAnsi="Arial" w:cs="Arial"/>
                <w:sz w:val="16"/>
                <w:szCs w:val="16"/>
              </w:rPr>
            </w:pPr>
            <w:r w:rsidRPr="00986870">
              <w:rPr>
                <w:rFonts w:ascii="Arial" w:hAnsi="Arial" w:cs="Arial"/>
                <w:sz w:val="16"/>
                <w:szCs w:val="16"/>
              </w:rPr>
              <w:t>Ordinary annual services</w:t>
            </w:r>
            <w:r w:rsidRPr="00986870">
              <w:rPr>
                <w:rFonts w:ascii="Arial" w:hAnsi="Arial" w:cs="Arial"/>
                <w:sz w:val="16"/>
                <w:szCs w:val="16"/>
                <w:vertAlign w:val="superscript"/>
              </w:rPr>
              <w:t>(a)</w:t>
            </w:r>
          </w:p>
        </w:tc>
        <w:tc>
          <w:tcPr>
            <w:tcW w:w="1238" w:type="dxa"/>
            <w:tcBorders>
              <w:top w:val="nil"/>
              <w:left w:val="nil"/>
              <w:bottom w:val="nil"/>
              <w:right w:val="nil"/>
            </w:tcBorders>
            <w:shd w:val="clear" w:color="auto" w:fill="auto"/>
            <w:noWrap/>
            <w:vAlign w:val="bottom"/>
            <w:hideMark/>
          </w:tcPr>
          <w:p w14:paraId="14030F1A" w14:textId="77777777" w:rsidR="00986870" w:rsidRPr="00986870" w:rsidRDefault="00986870" w:rsidP="00986870">
            <w:pPr>
              <w:spacing w:before="0" w:after="0" w:line="240" w:lineRule="auto"/>
              <w:ind w:firstLineChars="100" w:firstLine="160"/>
              <w:rPr>
                <w:rFonts w:ascii="Arial" w:hAnsi="Arial" w:cs="Arial"/>
                <w:sz w:val="16"/>
                <w:szCs w:val="16"/>
              </w:rPr>
            </w:pPr>
          </w:p>
        </w:tc>
        <w:tc>
          <w:tcPr>
            <w:tcW w:w="1155" w:type="dxa"/>
            <w:tcBorders>
              <w:top w:val="nil"/>
              <w:left w:val="nil"/>
              <w:bottom w:val="nil"/>
              <w:right w:val="nil"/>
            </w:tcBorders>
            <w:shd w:val="clear" w:color="000000" w:fill="D9D9D9"/>
            <w:noWrap/>
            <w:vAlign w:val="bottom"/>
            <w:hideMark/>
          </w:tcPr>
          <w:p w14:paraId="546718A8" w14:textId="77777777" w:rsidR="00986870" w:rsidRPr="00986870" w:rsidRDefault="00986870" w:rsidP="00986870">
            <w:pPr>
              <w:spacing w:before="0" w:after="0" w:line="240" w:lineRule="auto"/>
              <w:jc w:val="right"/>
              <w:rPr>
                <w:rFonts w:ascii="Arial" w:hAnsi="Arial" w:cs="Arial"/>
                <w:color w:val="E26B0A"/>
                <w:sz w:val="16"/>
                <w:szCs w:val="16"/>
              </w:rPr>
            </w:pPr>
            <w:r w:rsidRPr="00986870">
              <w:rPr>
                <w:rFonts w:ascii="Arial" w:hAnsi="Arial" w:cs="Arial"/>
                <w:color w:val="E26B0A"/>
                <w:sz w:val="16"/>
                <w:szCs w:val="16"/>
              </w:rPr>
              <w:t> </w:t>
            </w:r>
          </w:p>
        </w:tc>
        <w:tc>
          <w:tcPr>
            <w:tcW w:w="1235" w:type="dxa"/>
            <w:tcBorders>
              <w:top w:val="nil"/>
              <w:left w:val="nil"/>
              <w:bottom w:val="nil"/>
              <w:right w:val="nil"/>
            </w:tcBorders>
            <w:shd w:val="clear" w:color="auto" w:fill="auto"/>
            <w:noWrap/>
            <w:vAlign w:val="bottom"/>
            <w:hideMark/>
          </w:tcPr>
          <w:p w14:paraId="1229D86D" w14:textId="77777777" w:rsidR="00986870" w:rsidRPr="00986870" w:rsidRDefault="00986870" w:rsidP="00986870">
            <w:pPr>
              <w:spacing w:before="0" w:after="0" w:line="240" w:lineRule="auto"/>
              <w:jc w:val="right"/>
              <w:rPr>
                <w:rFonts w:ascii="Arial" w:hAnsi="Arial" w:cs="Arial"/>
                <w:color w:val="E26B0A"/>
                <w:sz w:val="16"/>
                <w:szCs w:val="16"/>
              </w:rPr>
            </w:pPr>
          </w:p>
        </w:tc>
        <w:tc>
          <w:tcPr>
            <w:tcW w:w="1155" w:type="dxa"/>
            <w:tcBorders>
              <w:top w:val="nil"/>
              <w:left w:val="nil"/>
              <w:bottom w:val="nil"/>
              <w:right w:val="nil"/>
            </w:tcBorders>
            <w:shd w:val="clear" w:color="auto" w:fill="auto"/>
            <w:noWrap/>
            <w:vAlign w:val="bottom"/>
            <w:hideMark/>
          </w:tcPr>
          <w:p w14:paraId="6A607695"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639D0FBA" w14:textId="77777777" w:rsidTr="00E05771">
        <w:trPr>
          <w:trHeight w:val="227"/>
          <w:jc w:val="center"/>
        </w:trPr>
        <w:tc>
          <w:tcPr>
            <w:tcW w:w="3097" w:type="dxa"/>
            <w:tcBorders>
              <w:top w:val="nil"/>
              <w:left w:val="nil"/>
              <w:bottom w:val="nil"/>
              <w:right w:val="nil"/>
            </w:tcBorders>
            <w:shd w:val="clear" w:color="auto" w:fill="auto"/>
            <w:noWrap/>
            <w:vAlign w:val="bottom"/>
            <w:hideMark/>
          </w:tcPr>
          <w:p w14:paraId="78900319" w14:textId="77777777" w:rsidR="00986870" w:rsidRPr="00986870" w:rsidRDefault="00986870" w:rsidP="008E079A">
            <w:pPr>
              <w:spacing w:before="0" w:after="0" w:line="240" w:lineRule="auto"/>
              <w:ind w:leftChars="150" w:left="285"/>
              <w:rPr>
                <w:rFonts w:ascii="Arial" w:hAnsi="Arial" w:cs="Arial"/>
                <w:sz w:val="16"/>
                <w:szCs w:val="16"/>
              </w:rPr>
            </w:pPr>
            <w:r w:rsidRPr="00986870">
              <w:rPr>
                <w:rFonts w:ascii="Arial" w:hAnsi="Arial" w:cs="Arial"/>
                <w:sz w:val="16"/>
                <w:szCs w:val="16"/>
              </w:rPr>
              <w:t>Outcome 1</w:t>
            </w:r>
          </w:p>
        </w:tc>
        <w:tc>
          <w:tcPr>
            <w:tcW w:w="1238" w:type="dxa"/>
            <w:tcBorders>
              <w:top w:val="nil"/>
              <w:left w:val="nil"/>
              <w:bottom w:val="nil"/>
              <w:right w:val="nil"/>
            </w:tcBorders>
            <w:shd w:val="clear" w:color="auto" w:fill="auto"/>
            <w:noWrap/>
            <w:vAlign w:val="bottom"/>
            <w:hideMark/>
          </w:tcPr>
          <w:p w14:paraId="47D3BC95"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5,405</w:t>
            </w:r>
          </w:p>
        </w:tc>
        <w:tc>
          <w:tcPr>
            <w:tcW w:w="1155" w:type="dxa"/>
            <w:tcBorders>
              <w:top w:val="nil"/>
              <w:left w:val="nil"/>
              <w:bottom w:val="nil"/>
              <w:right w:val="nil"/>
            </w:tcBorders>
            <w:shd w:val="clear" w:color="000000" w:fill="D9D9D9"/>
            <w:noWrap/>
            <w:vAlign w:val="bottom"/>
            <w:hideMark/>
          </w:tcPr>
          <w:p w14:paraId="20F68C8D"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4,526</w:t>
            </w:r>
          </w:p>
        </w:tc>
        <w:tc>
          <w:tcPr>
            <w:tcW w:w="1235" w:type="dxa"/>
            <w:tcBorders>
              <w:top w:val="nil"/>
              <w:left w:val="nil"/>
              <w:bottom w:val="nil"/>
              <w:right w:val="nil"/>
            </w:tcBorders>
            <w:shd w:val="clear" w:color="auto" w:fill="auto"/>
            <w:noWrap/>
            <w:vAlign w:val="bottom"/>
            <w:hideMark/>
          </w:tcPr>
          <w:p w14:paraId="2D7AD0B2"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2,226</w:t>
            </w:r>
          </w:p>
        </w:tc>
        <w:tc>
          <w:tcPr>
            <w:tcW w:w="1155" w:type="dxa"/>
            <w:tcBorders>
              <w:top w:val="nil"/>
              <w:left w:val="nil"/>
              <w:bottom w:val="nil"/>
              <w:right w:val="nil"/>
            </w:tcBorders>
            <w:shd w:val="clear" w:color="auto" w:fill="auto"/>
            <w:noWrap/>
            <w:vAlign w:val="bottom"/>
            <w:hideMark/>
          </w:tcPr>
          <w:p w14:paraId="5BA4FD7A"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6,752</w:t>
            </w:r>
          </w:p>
        </w:tc>
      </w:tr>
      <w:tr w:rsidR="00986870" w:rsidRPr="00986870" w14:paraId="4B7938AC" w14:textId="77777777" w:rsidTr="00986870">
        <w:trPr>
          <w:trHeight w:val="228"/>
          <w:jc w:val="center"/>
        </w:trPr>
        <w:tc>
          <w:tcPr>
            <w:tcW w:w="3097" w:type="dxa"/>
            <w:tcBorders>
              <w:top w:val="nil"/>
              <w:left w:val="nil"/>
              <w:bottom w:val="nil"/>
              <w:right w:val="nil"/>
            </w:tcBorders>
            <w:shd w:val="clear" w:color="auto" w:fill="auto"/>
            <w:noWrap/>
            <w:vAlign w:val="bottom"/>
            <w:hideMark/>
          </w:tcPr>
          <w:p w14:paraId="1B714DAE" w14:textId="2ECB0F33" w:rsidR="00986870" w:rsidRPr="00986870" w:rsidRDefault="00986870" w:rsidP="004C11AA">
            <w:pPr>
              <w:spacing w:before="0" w:after="0" w:line="240" w:lineRule="auto"/>
              <w:ind w:leftChars="75" w:left="143"/>
              <w:rPr>
                <w:rFonts w:ascii="Arial" w:hAnsi="Arial" w:cs="Arial"/>
                <w:sz w:val="16"/>
                <w:szCs w:val="16"/>
              </w:rPr>
            </w:pPr>
            <w:r w:rsidRPr="00986870">
              <w:rPr>
                <w:rFonts w:ascii="Arial" w:hAnsi="Arial" w:cs="Arial"/>
                <w:sz w:val="16"/>
                <w:szCs w:val="16"/>
              </w:rPr>
              <w:t>Other services</w:t>
            </w:r>
            <w:r w:rsidRPr="00986870">
              <w:rPr>
                <w:rFonts w:ascii="Arial" w:hAnsi="Arial" w:cs="Arial"/>
                <w:sz w:val="16"/>
                <w:szCs w:val="16"/>
                <w:vertAlign w:val="superscript"/>
              </w:rPr>
              <w:t>(d)</w:t>
            </w:r>
          </w:p>
        </w:tc>
        <w:tc>
          <w:tcPr>
            <w:tcW w:w="1238" w:type="dxa"/>
            <w:tcBorders>
              <w:top w:val="nil"/>
              <w:left w:val="nil"/>
              <w:bottom w:val="nil"/>
              <w:right w:val="nil"/>
            </w:tcBorders>
            <w:shd w:val="clear" w:color="auto" w:fill="auto"/>
            <w:noWrap/>
            <w:vAlign w:val="bottom"/>
            <w:hideMark/>
          </w:tcPr>
          <w:p w14:paraId="64BDD065" w14:textId="77777777" w:rsidR="00986870" w:rsidRPr="00986870" w:rsidRDefault="00986870" w:rsidP="00986870">
            <w:pPr>
              <w:spacing w:before="0" w:after="0" w:line="240" w:lineRule="auto"/>
              <w:ind w:firstLineChars="100" w:firstLine="160"/>
              <w:rPr>
                <w:rFonts w:ascii="Arial" w:hAnsi="Arial" w:cs="Arial"/>
                <w:sz w:val="16"/>
                <w:szCs w:val="16"/>
              </w:rPr>
            </w:pPr>
          </w:p>
        </w:tc>
        <w:tc>
          <w:tcPr>
            <w:tcW w:w="1155" w:type="dxa"/>
            <w:tcBorders>
              <w:top w:val="nil"/>
              <w:left w:val="nil"/>
              <w:bottom w:val="nil"/>
              <w:right w:val="nil"/>
            </w:tcBorders>
            <w:shd w:val="clear" w:color="000000" w:fill="D9D9D9"/>
            <w:noWrap/>
            <w:vAlign w:val="bottom"/>
            <w:hideMark/>
          </w:tcPr>
          <w:p w14:paraId="60F097C5"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nil"/>
              <w:left w:val="nil"/>
              <w:bottom w:val="nil"/>
              <w:right w:val="nil"/>
            </w:tcBorders>
            <w:shd w:val="clear" w:color="auto" w:fill="auto"/>
            <w:noWrap/>
            <w:vAlign w:val="bottom"/>
            <w:hideMark/>
          </w:tcPr>
          <w:p w14:paraId="08FB3BAF" w14:textId="77777777" w:rsidR="00986870" w:rsidRPr="00986870" w:rsidRDefault="00986870" w:rsidP="00986870">
            <w:pPr>
              <w:spacing w:before="0" w:after="0" w:line="240" w:lineRule="auto"/>
              <w:jc w:val="right"/>
              <w:rPr>
                <w:rFonts w:ascii="Arial" w:hAnsi="Arial" w:cs="Arial"/>
                <w:sz w:val="16"/>
                <w:szCs w:val="16"/>
              </w:rPr>
            </w:pPr>
          </w:p>
        </w:tc>
        <w:tc>
          <w:tcPr>
            <w:tcW w:w="1155" w:type="dxa"/>
            <w:tcBorders>
              <w:top w:val="nil"/>
              <w:left w:val="nil"/>
              <w:bottom w:val="nil"/>
              <w:right w:val="nil"/>
            </w:tcBorders>
            <w:shd w:val="clear" w:color="auto" w:fill="auto"/>
            <w:noWrap/>
            <w:vAlign w:val="bottom"/>
            <w:hideMark/>
          </w:tcPr>
          <w:p w14:paraId="292D5742" w14:textId="77777777" w:rsidR="00986870" w:rsidRPr="00986870" w:rsidRDefault="00986870" w:rsidP="00986870">
            <w:pPr>
              <w:spacing w:before="0" w:after="0" w:line="240" w:lineRule="auto"/>
              <w:jc w:val="right"/>
              <w:rPr>
                <w:rFonts w:ascii="Times New Roman" w:hAnsi="Times New Roman"/>
                <w:sz w:val="20"/>
              </w:rPr>
            </w:pPr>
          </w:p>
        </w:tc>
      </w:tr>
      <w:tr w:rsidR="00986870" w:rsidRPr="00986870" w14:paraId="11A58266" w14:textId="77777777" w:rsidTr="00986870">
        <w:trPr>
          <w:trHeight w:val="225"/>
          <w:jc w:val="center"/>
        </w:trPr>
        <w:tc>
          <w:tcPr>
            <w:tcW w:w="3097" w:type="dxa"/>
            <w:tcBorders>
              <w:top w:val="nil"/>
              <w:left w:val="nil"/>
              <w:bottom w:val="nil"/>
              <w:right w:val="nil"/>
            </w:tcBorders>
            <w:shd w:val="clear" w:color="auto" w:fill="auto"/>
            <w:noWrap/>
            <w:vAlign w:val="bottom"/>
            <w:hideMark/>
          </w:tcPr>
          <w:p w14:paraId="047FF315" w14:textId="77777777" w:rsidR="00986870" w:rsidRPr="00986870" w:rsidRDefault="00986870" w:rsidP="008E079A">
            <w:pPr>
              <w:spacing w:before="0" w:after="0" w:line="240" w:lineRule="auto"/>
              <w:ind w:leftChars="150" w:left="285"/>
              <w:rPr>
                <w:rFonts w:ascii="Arial" w:hAnsi="Arial" w:cs="Arial"/>
                <w:sz w:val="16"/>
                <w:szCs w:val="16"/>
              </w:rPr>
            </w:pPr>
            <w:r w:rsidRPr="00986870">
              <w:rPr>
                <w:rFonts w:ascii="Arial" w:hAnsi="Arial" w:cs="Arial"/>
                <w:sz w:val="16"/>
                <w:szCs w:val="16"/>
              </w:rPr>
              <w:t>Administered assets and liabilities</w:t>
            </w:r>
          </w:p>
        </w:tc>
        <w:tc>
          <w:tcPr>
            <w:tcW w:w="1238" w:type="dxa"/>
            <w:tcBorders>
              <w:top w:val="nil"/>
              <w:left w:val="nil"/>
              <w:bottom w:val="nil"/>
              <w:right w:val="nil"/>
            </w:tcBorders>
            <w:shd w:val="clear" w:color="auto" w:fill="auto"/>
            <w:noWrap/>
            <w:vAlign w:val="bottom"/>
            <w:hideMark/>
          </w:tcPr>
          <w:p w14:paraId="3B9D22E1"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000000" w:fill="D9D9D9"/>
            <w:noWrap/>
            <w:vAlign w:val="bottom"/>
            <w:hideMark/>
          </w:tcPr>
          <w:p w14:paraId="164FD8B3"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235" w:type="dxa"/>
            <w:tcBorders>
              <w:top w:val="nil"/>
              <w:left w:val="nil"/>
              <w:bottom w:val="nil"/>
              <w:right w:val="nil"/>
            </w:tcBorders>
            <w:shd w:val="clear" w:color="auto" w:fill="auto"/>
            <w:noWrap/>
            <w:vAlign w:val="bottom"/>
            <w:hideMark/>
          </w:tcPr>
          <w:p w14:paraId="1038FF08"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c>
          <w:tcPr>
            <w:tcW w:w="1155" w:type="dxa"/>
            <w:tcBorders>
              <w:top w:val="nil"/>
              <w:left w:val="nil"/>
              <w:bottom w:val="nil"/>
              <w:right w:val="nil"/>
            </w:tcBorders>
            <w:shd w:val="clear" w:color="auto" w:fill="auto"/>
            <w:noWrap/>
            <w:vAlign w:val="bottom"/>
            <w:hideMark/>
          </w:tcPr>
          <w:p w14:paraId="759C8BA0"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w:t>
            </w:r>
          </w:p>
        </w:tc>
      </w:tr>
      <w:tr w:rsidR="00986870" w:rsidRPr="00986870" w14:paraId="7D02F436" w14:textId="77777777" w:rsidTr="00E05771">
        <w:trPr>
          <w:trHeight w:val="425"/>
          <w:jc w:val="center"/>
        </w:trPr>
        <w:tc>
          <w:tcPr>
            <w:tcW w:w="3097" w:type="dxa"/>
            <w:tcBorders>
              <w:top w:val="nil"/>
              <w:left w:val="nil"/>
              <w:bottom w:val="nil"/>
              <w:right w:val="nil"/>
            </w:tcBorders>
            <w:shd w:val="clear" w:color="auto" w:fill="auto"/>
            <w:vAlign w:val="bottom"/>
            <w:hideMark/>
          </w:tcPr>
          <w:p w14:paraId="15882D8B" w14:textId="77777777" w:rsidR="00986870" w:rsidRPr="00986870" w:rsidRDefault="00986870" w:rsidP="008E079A">
            <w:pPr>
              <w:spacing w:before="0" w:after="0" w:line="240" w:lineRule="auto"/>
              <w:ind w:leftChars="75" w:left="143"/>
              <w:rPr>
                <w:rFonts w:ascii="Arial" w:hAnsi="Arial" w:cs="Arial"/>
                <w:b/>
                <w:bCs/>
                <w:sz w:val="16"/>
                <w:szCs w:val="16"/>
              </w:rPr>
            </w:pPr>
            <w:r w:rsidRPr="00986870">
              <w:rPr>
                <w:rFonts w:ascii="Arial" w:hAnsi="Arial" w:cs="Arial"/>
                <w:b/>
                <w:bCs/>
                <w:sz w:val="16"/>
                <w:szCs w:val="16"/>
              </w:rPr>
              <w:t>Total administered annual appropriations</w:t>
            </w:r>
          </w:p>
        </w:tc>
        <w:tc>
          <w:tcPr>
            <w:tcW w:w="1238" w:type="dxa"/>
            <w:tcBorders>
              <w:top w:val="nil"/>
              <w:left w:val="nil"/>
              <w:bottom w:val="single" w:sz="4" w:space="0" w:color="auto"/>
              <w:right w:val="nil"/>
            </w:tcBorders>
            <w:shd w:val="clear" w:color="auto" w:fill="auto"/>
            <w:noWrap/>
            <w:vAlign w:val="bottom"/>
            <w:hideMark/>
          </w:tcPr>
          <w:p w14:paraId="2447E099"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5,405</w:t>
            </w:r>
          </w:p>
        </w:tc>
        <w:tc>
          <w:tcPr>
            <w:tcW w:w="1155" w:type="dxa"/>
            <w:tcBorders>
              <w:top w:val="nil"/>
              <w:left w:val="nil"/>
              <w:bottom w:val="single" w:sz="4" w:space="0" w:color="auto"/>
              <w:right w:val="nil"/>
            </w:tcBorders>
            <w:shd w:val="clear" w:color="000000" w:fill="D9D9D9"/>
            <w:noWrap/>
            <w:vAlign w:val="bottom"/>
            <w:hideMark/>
          </w:tcPr>
          <w:p w14:paraId="748022C6"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4,526</w:t>
            </w:r>
          </w:p>
        </w:tc>
        <w:tc>
          <w:tcPr>
            <w:tcW w:w="1235" w:type="dxa"/>
            <w:tcBorders>
              <w:top w:val="nil"/>
              <w:left w:val="nil"/>
              <w:bottom w:val="single" w:sz="4" w:space="0" w:color="auto"/>
              <w:right w:val="nil"/>
            </w:tcBorders>
            <w:shd w:val="clear" w:color="auto" w:fill="auto"/>
            <w:noWrap/>
            <w:vAlign w:val="bottom"/>
            <w:hideMark/>
          </w:tcPr>
          <w:p w14:paraId="72C2F3EC"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2,226</w:t>
            </w:r>
          </w:p>
        </w:tc>
        <w:tc>
          <w:tcPr>
            <w:tcW w:w="1155" w:type="dxa"/>
            <w:tcBorders>
              <w:top w:val="nil"/>
              <w:left w:val="nil"/>
              <w:bottom w:val="single" w:sz="4" w:space="0" w:color="auto"/>
              <w:right w:val="nil"/>
            </w:tcBorders>
            <w:shd w:val="clear" w:color="auto" w:fill="auto"/>
            <w:noWrap/>
            <w:vAlign w:val="bottom"/>
            <w:hideMark/>
          </w:tcPr>
          <w:p w14:paraId="3C149773"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6,752</w:t>
            </w:r>
          </w:p>
        </w:tc>
      </w:tr>
      <w:tr w:rsidR="00986870" w:rsidRPr="00986870" w14:paraId="416E37CB" w14:textId="77777777" w:rsidTr="00E05771">
        <w:trPr>
          <w:trHeight w:val="283"/>
          <w:jc w:val="center"/>
        </w:trPr>
        <w:tc>
          <w:tcPr>
            <w:tcW w:w="3097" w:type="dxa"/>
            <w:tcBorders>
              <w:top w:val="nil"/>
              <w:left w:val="nil"/>
              <w:bottom w:val="nil"/>
              <w:right w:val="nil"/>
            </w:tcBorders>
            <w:shd w:val="clear" w:color="auto" w:fill="auto"/>
            <w:noWrap/>
            <w:vAlign w:val="bottom"/>
            <w:hideMark/>
          </w:tcPr>
          <w:p w14:paraId="755FA8DC"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 xml:space="preserve">Total administered resourcing </w:t>
            </w:r>
          </w:p>
        </w:tc>
        <w:tc>
          <w:tcPr>
            <w:tcW w:w="1238" w:type="dxa"/>
            <w:tcBorders>
              <w:top w:val="nil"/>
              <w:left w:val="nil"/>
              <w:bottom w:val="single" w:sz="4" w:space="0" w:color="auto"/>
              <w:right w:val="nil"/>
            </w:tcBorders>
            <w:shd w:val="clear" w:color="auto" w:fill="auto"/>
            <w:noWrap/>
            <w:vAlign w:val="bottom"/>
            <w:hideMark/>
          </w:tcPr>
          <w:p w14:paraId="71DDF9D4"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9,646</w:t>
            </w:r>
          </w:p>
        </w:tc>
        <w:tc>
          <w:tcPr>
            <w:tcW w:w="1155" w:type="dxa"/>
            <w:tcBorders>
              <w:top w:val="nil"/>
              <w:left w:val="nil"/>
              <w:bottom w:val="single" w:sz="4" w:space="0" w:color="auto"/>
              <w:right w:val="nil"/>
            </w:tcBorders>
            <w:shd w:val="clear" w:color="000000" w:fill="D9D9D9"/>
            <w:noWrap/>
            <w:vAlign w:val="bottom"/>
            <w:hideMark/>
          </w:tcPr>
          <w:p w14:paraId="6BC6283C"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4,526</w:t>
            </w:r>
          </w:p>
        </w:tc>
        <w:tc>
          <w:tcPr>
            <w:tcW w:w="1235" w:type="dxa"/>
            <w:tcBorders>
              <w:top w:val="nil"/>
              <w:left w:val="nil"/>
              <w:bottom w:val="single" w:sz="4" w:space="0" w:color="auto"/>
              <w:right w:val="nil"/>
            </w:tcBorders>
            <w:shd w:val="clear" w:color="auto" w:fill="auto"/>
            <w:noWrap/>
            <w:vAlign w:val="bottom"/>
            <w:hideMark/>
          </w:tcPr>
          <w:p w14:paraId="2C026721"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2,226</w:t>
            </w:r>
          </w:p>
        </w:tc>
        <w:tc>
          <w:tcPr>
            <w:tcW w:w="1155" w:type="dxa"/>
            <w:tcBorders>
              <w:top w:val="nil"/>
              <w:left w:val="nil"/>
              <w:bottom w:val="single" w:sz="4" w:space="0" w:color="auto"/>
              <w:right w:val="nil"/>
            </w:tcBorders>
            <w:shd w:val="clear" w:color="auto" w:fill="auto"/>
            <w:noWrap/>
            <w:vAlign w:val="bottom"/>
            <w:hideMark/>
          </w:tcPr>
          <w:p w14:paraId="733B3507"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6,752</w:t>
            </w:r>
          </w:p>
        </w:tc>
      </w:tr>
      <w:tr w:rsidR="00986870" w:rsidRPr="00986870" w14:paraId="790B6874" w14:textId="77777777" w:rsidTr="00E05771">
        <w:trPr>
          <w:trHeight w:val="425"/>
          <w:jc w:val="center"/>
        </w:trPr>
        <w:tc>
          <w:tcPr>
            <w:tcW w:w="3097" w:type="dxa"/>
            <w:tcBorders>
              <w:top w:val="nil"/>
              <w:left w:val="nil"/>
              <w:bottom w:val="single" w:sz="4" w:space="0" w:color="auto"/>
              <w:right w:val="nil"/>
            </w:tcBorders>
            <w:shd w:val="clear" w:color="auto" w:fill="auto"/>
            <w:vAlign w:val="bottom"/>
            <w:hideMark/>
          </w:tcPr>
          <w:p w14:paraId="3C5F301A" w14:textId="77777777" w:rsidR="00986870" w:rsidRPr="00986870" w:rsidRDefault="00986870" w:rsidP="00986870">
            <w:pPr>
              <w:spacing w:before="0" w:after="0" w:line="240" w:lineRule="auto"/>
              <w:rPr>
                <w:rFonts w:ascii="Arial" w:hAnsi="Arial" w:cs="Arial"/>
                <w:b/>
                <w:bCs/>
                <w:sz w:val="16"/>
                <w:szCs w:val="16"/>
              </w:rPr>
            </w:pPr>
            <w:r w:rsidRPr="00986870">
              <w:rPr>
                <w:rFonts w:ascii="Arial" w:hAnsi="Arial" w:cs="Arial"/>
                <w:b/>
                <w:bCs/>
                <w:sz w:val="16"/>
                <w:szCs w:val="16"/>
              </w:rPr>
              <w:t>Total resourcing for Sport Integrity Australia</w:t>
            </w:r>
          </w:p>
        </w:tc>
        <w:tc>
          <w:tcPr>
            <w:tcW w:w="1238" w:type="dxa"/>
            <w:tcBorders>
              <w:top w:val="nil"/>
              <w:left w:val="nil"/>
              <w:bottom w:val="single" w:sz="4" w:space="0" w:color="auto"/>
              <w:right w:val="nil"/>
            </w:tcBorders>
            <w:shd w:val="clear" w:color="auto" w:fill="auto"/>
            <w:noWrap/>
            <w:vAlign w:val="bottom"/>
            <w:hideMark/>
          </w:tcPr>
          <w:p w14:paraId="2AC5289E"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55,900</w:t>
            </w:r>
          </w:p>
        </w:tc>
        <w:tc>
          <w:tcPr>
            <w:tcW w:w="1155" w:type="dxa"/>
            <w:tcBorders>
              <w:top w:val="nil"/>
              <w:left w:val="nil"/>
              <w:bottom w:val="single" w:sz="4" w:space="0" w:color="auto"/>
              <w:right w:val="nil"/>
            </w:tcBorders>
            <w:shd w:val="clear" w:color="000000" w:fill="D9D9D9"/>
            <w:noWrap/>
            <w:vAlign w:val="bottom"/>
            <w:hideMark/>
          </w:tcPr>
          <w:p w14:paraId="68B400B3"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49,514</w:t>
            </w:r>
          </w:p>
        </w:tc>
        <w:tc>
          <w:tcPr>
            <w:tcW w:w="1235" w:type="dxa"/>
            <w:tcBorders>
              <w:top w:val="nil"/>
              <w:left w:val="nil"/>
              <w:bottom w:val="single" w:sz="4" w:space="0" w:color="auto"/>
              <w:right w:val="nil"/>
            </w:tcBorders>
            <w:shd w:val="clear" w:color="auto" w:fill="auto"/>
            <w:noWrap/>
            <w:vAlign w:val="bottom"/>
            <w:hideMark/>
          </w:tcPr>
          <w:p w14:paraId="5C8BC1EB"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6,812</w:t>
            </w:r>
          </w:p>
        </w:tc>
        <w:tc>
          <w:tcPr>
            <w:tcW w:w="1155" w:type="dxa"/>
            <w:tcBorders>
              <w:top w:val="nil"/>
              <w:left w:val="nil"/>
              <w:bottom w:val="single" w:sz="4" w:space="0" w:color="auto"/>
              <w:right w:val="nil"/>
            </w:tcBorders>
            <w:shd w:val="clear" w:color="auto" w:fill="auto"/>
            <w:noWrap/>
            <w:vAlign w:val="bottom"/>
            <w:hideMark/>
          </w:tcPr>
          <w:p w14:paraId="789B4DFA"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54,714</w:t>
            </w:r>
          </w:p>
        </w:tc>
      </w:tr>
      <w:tr w:rsidR="00986870" w:rsidRPr="00986870" w14:paraId="4FC3DEC9" w14:textId="77777777" w:rsidTr="00E05771">
        <w:trPr>
          <w:trHeight w:val="227"/>
          <w:jc w:val="center"/>
        </w:trPr>
        <w:tc>
          <w:tcPr>
            <w:tcW w:w="3097" w:type="dxa"/>
            <w:tcBorders>
              <w:top w:val="nil"/>
              <w:left w:val="nil"/>
              <w:bottom w:val="nil"/>
              <w:right w:val="nil"/>
            </w:tcBorders>
            <w:shd w:val="clear" w:color="auto" w:fill="auto"/>
            <w:noWrap/>
            <w:vAlign w:val="bottom"/>
            <w:hideMark/>
          </w:tcPr>
          <w:p w14:paraId="45B31510" w14:textId="77777777" w:rsidR="00986870" w:rsidRPr="00986870" w:rsidRDefault="00986870" w:rsidP="00986870">
            <w:pPr>
              <w:spacing w:before="0" w:after="0" w:line="240" w:lineRule="auto"/>
              <w:jc w:val="right"/>
              <w:rPr>
                <w:rFonts w:ascii="Arial" w:hAnsi="Arial" w:cs="Arial"/>
                <w:b/>
                <w:bCs/>
                <w:sz w:val="16"/>
                <w:szCs w:val="16"/>
              </w:rPr>
            </w:pPr>
          </w:p>
        </w:tc>
        <w:tc>
          <w:tcPr>
            <w:tcW w:w="1238" w:type="dxa"/>
            <w:tcBorders>
              <w:top w:val="nil"/>
              <w:left w:val="nil"/>
              <w:bottom w:val="nil"/>
              <w:right w:val="nil"/>
            </w:tcBorders>
            <w:shd w:val="clear" w:color="auto" w:fill="auto"/>
            <w:noWrap/>
            <w:vAlign w:val="bottom"/>
            <w:hideMark/>
          </w:tcPr>
          <w:p w14:paraId="023BE873" w14:textId="77777777" w:rsidR="00986870" w:rsidRPr="00986870" w:rsidRDefault="00986870" w:rsidP="00986870">
            <w:pPr>
              <w:spacing w:before="0" w:after="0" w:line="240" w:lineRule="auto"/>
              <w:rPr>
                <w:rFonts w:ascii="Times New Roman" w:hAnsi="Times New Roman"/>
                <w:sz w:val="20"/>
              </w:rPr>
            </w:pPr>
          </w:p>
        </w:tc>
        <w:tc>
          <w:tcPr>
            <w:tcW w:w="1155" w:type="dxa"/>
            <w:tcBorders>
              <w:top w:val="nil"/>
              <w:left w:val="nil"/>
              <w:bottom w:val="nil"/>
              <w:right w:val="nil"/>
            </w:tcBorders>
            <w:shd w:val="clear" w:color="auto" w:fill="auto"/>
            <w:noWrap/>
            <w:vAlign w:val="bottom"/>
            <w:hideMark/>
          </w:tcPr>
          <w:p w14:paraId="4F512AE4" w14:textId="77777777" w:rsidR="00986870" w:rsidRPr="00986870" w:rsidRDefault="00986870" w:rsidP="00986870">
            <w:pPr>
              <w:spacing w:before="0" w:after="0" w:line="240" w:lineRule="auto"/>
              <w:rPr>
                <w:rFonts w:ascii="Times New Roman" w:hAnsi="Times New Roman"/>
                <w:sz w:val="20"/>
              </w:rPr>
            </w:pPr>
          </w:p>
        </w:tc>
        <w:tc>
          <w:tcPr>
            <w:tcW w:w="1235" w:type="dxa"/>
            <w:tcBorders>
              <w:top w:val="nil"/>
              <w:left w:val="nil"/>
              <w:bottom w:val="nil"/>
              <w:right w:val="nil"/>
            </w:tcBorders>
            <w:shd w:val="clear" w:color="auto" w:fill="auto"/>
            <w:noWrap/>
            <w:vAlign w:val="bottom"/>
            <w:hideMark/>
          </w:tcPr>
          <w:p w14:paraId="77E73FA0" w14:textId="77777777" w:rsidR="00986870" w:rsidRPr="00986870" w:rsidRDefault="00986870" w:rsidP="00986870">
            <w:pPr>
              <w:spacing w:before="0" w:after="0" w:line="240" w:lineRule="auto"/>
              <w:jc w:val="right"/>
              <w:rPr>
                <w:rFonts w:ascii="Times New Roman" w:hAnsi="Times New Roman"/>
                <w:sz w:val="20"/>
              </w:rPr>
            </w:pPr>
          </w:p>
        </w:tc>
        <w:tc>
          <w:tcPr>
            <w:tcW w:w="1155" w:type="dxa"/>
            <w:tcBorders>
              <w:top w:val="nil"/>
              <w:left w:val="nil"/>
              <w:bottom w:val="nil"/>
              <w:right w:val="nil"/>
            </w:tcBorders>
            <w:shd w:val="clear" w:color="auto" w:fill="auto"/>
            <w:noWrap/>
            <w:vAlign w:val="bottom"/>
            <w:hideMark/>
          </w:tcPr>
          <w:p w14:paraId="7D80C2F3" w14:textId="77777777" w:rsidR="00986870" w:rsidRPr="00986870" w:rsidRDefault="00986870" w:rsidP="00986870">
            <w:pPr>
              <w:spacing w:before="0" w:after="0" w:line="240" w:lineRule="auto"/>
              <w:rPr>
                <w:rFonts w:ascii="Times New Roman" w:hAnsi="Times New Roman"/>
                <w:sz w:val="20"/>
              </w:rPr>
            </w:pPr>
          </w:p>
        </w:tc>
      </w:tr>
      <w:tr w:rsidR="00986870" w:rsidRPr="00986870" w14:paraId="15BC7F81" w14:textId="77777777" w:rsidTr="00E05771">
        <w:trPr>
          <w:trHeight w:val="425"/>
          <w:jc w:val="center"/>
        </w:trPr>
        <w:tc>
          <w:tcPr>
            <w:tcW w:w="3097" w:type="dxa"/>
            <w:tcBorders>
              <w:top w:val="single" w:sz="4" w:space="0" w:color="auto"/>
              <w:left w:val="nil"/>
              <w:bottom w:val="nil"/>
              <w:right w:val="nil"/>
            </w:tcBorders>
            <w:shd w:val="clear" w:color="auto" w:fill="auto"/>
            <w:noWrap/>
            <w:vAlign w:val="bottom"/>
            <w:hideMark/>
          </w:tcPr>
          <w:p w14:paraId="28469E43" w14:textId="77777777" w:rsidR="00986870" w:rsidRPr="00986870" w:rsidRDefault="00986870" w:rsidP="00986870">
            <w:pPr>
              <w:spacing w:before="0" w:after="0" w:line="240" w:lineRule="auto"/>
              <w:jc w:val="right"/>
              <w:rPr>
                <w:rFonts w:ascii="Arial" w:hAnsi="Arial" w:cs="Arial"/>
                <w:color w:val="000000"/>
                <w:sz w:val="16"/>
                <w:szCs w:val="16"/>
              </w:rPr>
            </w:pPr>
            <w:r w:rsidRPr="00986870">
              <w:rPr>
                <w:rFonts w:ascii="Arial" w:hAnsi="Arial" w:cs="Arial"/>
                <w:color w:val="000000"/>
                <w:sz w:val="16"/>
                <w:szCs w:val="16"/>
              </w:rPr>
              <w:t> </w:t>
            </w:r>
          </w:p>
        </w:tc>
        <w:tc>
          <w:tcPr>
            <w:tcW w:w="1238" w:type="dxa"/>
            <w:tcBorders>
              <w:top w:val="single" w:sz="4" w:space="0" w:color="auto"/>
              <w:left w:val="nil"/>
              <w:bottom w:val="nil"/>
              <w:right w:val="nil"/>
            </w:tcBorders>
            <w:shd w:val="clear" w:color="auto" w:fill="auto"/>
            <w:vAlign w:val="bottom"/>
            <w:hideMark/>
          </w:tcPr>
          <w:p w14:paraId="383230A1" w14:textId="6958B760" w:rsidR="00986870" w:rsidRPr="00986870" w:rsidRDefault="008E079A" w:rsidP="00986870">
            <w:pPr>
              <w:spacing w:before="0" w:after="0" w:line="240" w:lineRule="auto"/>
              <w:jc w:val="right"/>
              <w:rPr>
                <w:rFonts w:ascii="Arial" w:hAnsi="Arial" w:cs="Arial"/>
                <w:b/>
                <w:bCs/>
                <w:sz w:val="16"/>
                <w:szCs w:val="16"/>
              </w:rPr>
            </w:pPr>
            <w:r>
              <w:rPr>
                <w:rFonts w:ascii="Arial" w:hAnsi="Arial" w:cs="Arial"/>
                <w:b/>
                <w:bCs/>
                <w:sz w:val="16"/>
                <w:szCs w:val="16"/>
              </w:rPr>
              <w:t>2022–</w:t>
            </w:r>
            <w:r w:rsidR="00986870" w:rsidRPr="00986870">
              <w:rPr>
                <w:rFonts w:ascii="Arial" w:hAnsi="Arial" w:cs="Arial"/>
                <w:b/>
                <w:bCs/>
                <w:sz w:val="16"/>
                <w:szCs w:val="16"/>
              </w:rPr>
              <w:t>23</w:t>
            </w:r>
            <w:r w:rsidR="00986870" w:rsidRPr="00986870">
              <w:rPr>
                <w:rFonts w:ascii="Arial" w:hAnsi="Arial" w:cs="Arial"/>
                <w:b/>
                <w:bCs/>
                <w:sz w:val="16"/>
                <w:szCs w:val="16"/>
              </w:rPr>
              <w:br/>
              <w:t>Actual</w:t>
            </w:r>
          </w:p>
        </w:tc>
        <w:tc>
          <w:tcPr>
            <w:tcW w:w="1155" w:type="dxa"/>
            <w:tcBorders>
              <w:top w:val="single" w:sz="4" w:space="0" w:color="auto"/>
              <w:left w:val="nil"/>
              <w:bottom w:val="nil"/>
              <w:right w:val="nil"/>
            </w:tcBorders>
            <w:shd w:val="clear" w:color="auto" w:fill="auto"/>
            <w:noWrap/>
            <w:vAlign w:val="bottom"/>
            <w:hideMark/>
          </w:tcPr>
          <w:p w14:paraId="7880647B"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 </w:t>
            </w:r>
          </w:p>
        </w:tc>
        <w:tc>
          <w:tcPr>
            <w:tcW w:w="1235" w:type="dxa"/>
            <w:tcBorders>
              <w:top w:val="single" w:sz="4" w:space="0" w:color="auto"/>
              <w:left w:val="nil"/>
              <w:bottom w:val="nil"/>
              <w:right w:val="nil"/>
            </w:tcBorders>
            <w:shd w:val="clear" w:color="auto" w:fill="auto"/>
            <w:noWrap/>
            <w:vAlign w:val="bottom"/>
            <w:hideMark/>
          </w:tcPr>
          <w:p w14:paraId="709BB446" w14:textId="77777777" w:rsidR="00986870" w:rsidRPr="00986870" w:rsidRDefault="00986870" w:rsidP="00986870">
            <w:pPr>
              <w:spacing w:before="0" w:after="0" w:line="240" w:lineRule="auto"/>
              <w:jc w:val="right"/>
              <w:rPr>
                <w:rFonts w:ascii="Arial" w:hAnsi="Arial" w:cs="Arial"/>
                <w:b/>
                <w:bCs/>
                <w:sz w:val="16"/>
                <w:szCs w:val="16"/>
              </w:rPr>
            </w:pPr>
            <w:r w:rsidRPr="00986870">
              <w:rPr>
                <w:rFonts w:ascii="Arial" w:hAnsi="Arial" w:cs="Arial"/>
                <w:b/>
                <w:bCs/>
                <w:sz w:val="16"/>
                <w:szCs w:val="16"/>
              </w:rPr>
              <w:t> </w:t>
            </w:r>
          </w:p>
        </w:tc>
        <w:tc>
          <w:tcPr>
            <w:tcW w:w="1155" w:type="dxa"/>
            <w:tcBorders>
              <w:top w:val="single" w:sz="4" w:space="0" w:color="auto"/>
              <w:left w:val="nil"/>
              <w:bottom w:val="nil"/>
              <w:right w:val="nil"/>
            </w:tcBorders>
            <w:shd w:val="clear" w:color="auto" w:fill="auto"/>
            <w:vAlign w:val="bottom"/>
            <w:hideMark/>
          </w:tcPr>
          <w:p w14:paraId="205FC95C" w14:textId="1B2DB3F7" w:rsidR="00986870" w:rsidRPr="00986870" w:rsidRDefault="008E079A" w:rsidP="00986870">
            <w:pPr>
              <w:spacing w:before="0" w:after="0" w:line="240" w:lineRule="auto"/>
              <w:jc w:val="right"/>
              <w:rPr>
                <w:rFonts w:ascii="Arial" w:hAnsi="Arial" w:cs="Arial"/>
                <w:b/>
                <w:bCs/>
                <w:sz w:val="16"/>
                <w:szCs w:val="16"/>
              </w:rPr>
            </w:pPr>
            <w:r>
              <w:rPr>
                <w:rFonts w:ascii="Arial" w:hAnsi="Arial" w:cs="Arial"/>
                <w:b/>
                <w:bCs/>
                <w:sz w:val="16"/>
                <w:szCs w:val="16"/>
              </w:rPr>
              <w:t>2023–</w:t>
            </w:r>
            <w:r w:rsidR="00986870" w:rsidRPr="00986870">
              <w:rPr>
                <w:rFonts w:ascii="Arial" w:hAnsi="Arial" w:cs="Arial"/>
                <w:b/>
                <w:bCs/>
                <w:sz w:val="16"/>
                <w:szCs w:val="16"/>
              </w:rPr>
              <w:t>24</w:t>
            </w:r>
            <w:r w:rsidR="00986870" w:rsidRPr="00986870">
              <w:rPr>
                <w:rFonts w:ascii="Arial" w:hAnsi="Arial" w:cs="Arial"/>
                <w:b/>
                <w:bCs/>
                <w:sz w:val="16"/>
                <w:szCs w:val="16"/>
              </w:rPr>
              <w:br/>
              <w:t>Revised</w:t>
            </w:r>
          </w:p>
        </w:tc>
      </w:tr>
      <w:tr w:rsidR="00986870" w:rsidRPr="00986870" w14:paraId="59F8E2F7" w14:textId="77777777" w:rsidTr="00E05771">
        <w:trPr>
          <w:trHeight w:val="227"/>
          <w:jc w:val="center"/>
        </w:trPr>
        <w:tc>
          <w:tcPr>
            <w:tcW w:w="3097" w:type="dxa"/>
            <w:tcBorders>
              <w:top w:val="nil"/>
              <w:left w:val="nil"/>
              <w:bottom w:val="single" w:sz="4" w:space="0" w:color="auto"/>
              <w:right w:val="nil"/>
            </w:tcBorders>
            <w:shd w:val="clear" w:color="auto" w:fill="auto"/>
            <w:noWrap/>
            <w:vAlign w:val="bottom"/>
            <w:hideMark/>
          </w:tcPr>
          <w:p w14:paraId="7B742A5D" w14:textId="77777777" w:rsidR="00986870" w:rsidRPr="00986870" w:rsidRDefault="00986870" w:rsidP="00986870">
            <w:pPr>
              <w:spacing w:before="0" w:after="0" w:line="240" w:lineRule="auto"/>
              <w:rPr>
                <w:rFonts w:ascii="Arial" w:hAnsi="Arial" w:cs="Arial"/>
                <w:b/>
                <w:bCs/>
                <w:color w:val="000000"/>
                <w:sz w:val="16"/>
                <w:szCs w:val="16"/>
              </w:rPr>
            </w:pPr>
            <w:r w:rsidRPr="00986870">
              <w:rPr>
                <w:rFonts w:ascii="Arial" w:hAnsi="Arial" w:cs="Arial"/>
                <w:b/>
                <w:bCs/>
                <w:color w:val="000000"/>
                <w:sz w:val="16"/>
                <w:szCs w:val="16"/>
              </w:rPr>
              <w:t xml:space="preserve">Average </w:t>
            </w:r>
            <w:r w:rsidRPr="00986870">
              <w:rPr>
                <w:rFonts w:ascii="Arial" w:hAnsi="Arial" w:cs="Arial"/>
                <w:b/>
                <w:bCs/>
                <w:sz w:val="16"/>
                <w:szCs w:val="16"/>
              </w:rPr>
              <w:t>s</w:t>
            </w:r>
            <w:r w:rsidRPr="00986870">
              <w:rPr>
                <w:rFonts w:ascii="Arial" w:hAnsi="Arial" w:cs="Arial"/>
                <w:b/>
                <w:bCs/>
                <w:color w:val="000000"/>
                <w:sz w:val="16"/>
                <w:szCs w:val="16"/>
              </w:rPr>
              <w:t xml:space="preserve">taffing </w:t>
            </w:r>
            <w:r w:rsidRPr="00986870">
              <w:rPr>
                <w:rFonts w:ascii="Arial" w:hAnsi="Arial" w:cs="Arial"/>
                <w:b/>
                <w:bCs/>
                <w:sz w:val="16"/>
                <w:szCs w:val="16"/>
              </w:rPr>
              <w:t>l</w:t>
            </w:r>
            <w:r w:rsidRPr="00986870">
              <w:rPr>
                <w:rFonts w:ascii="Arial" w:hAnsi="Arial" w:cs="Arial"/>
                <w:b/>
                <w:bCs/>
                <w:color w:val="000000"/>
                <w:sz w:val="16"/>
                <w:szCs w:val="16"/>
              </w:rPr>
              <w:t>evel (number)</w:t>
            </w:r>
          </w:p>
        </w:tc>
        <w:tc>
          <w:tcPr>
            <w:tcW w:w="1238" w:type="dxa"/>
            <w:tcBorders>
              <w:top w:val="single" w:sz="4" w:space="0" w:color="auto"/>
              <w:left w:val="nil"/>
              <w:bottom w:val="single" w:sz="4" w:space="0" w:color="auto"/>
              <w:right w:val="nil"/>
            </w:tcBorders>
            <w:shd w:val="clear" w:color="auto" w:fill="auto"/>
            <w:noWrap/>
            <w:vAlign w:val="bottom"/>
            <w:hideMark/>
          </w:tcPr>
          <w:p w14:paraId="328A1BF6"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151</w:t>
            </w:r>
          </w:p>
        </w:tc>
        <w:tc>
          <w:tcPr>
            <w:tcW w:w="1155" w:type="dxa"/>
            <w:tcBorders>
              <w:top w:val="single" w:sz="4" w:space="0" w:color="auto"/>
              <w:left w:val="nil"/>
              <w:bottom w:val="single" w:sz="4" w:space="0" w:color="auto"/>
              <w:right w:val="nil"/>
            </w:tcBorders>
            <w:shd w:val="clear" w:color="auto" w:fill="auto"/>
            <w:noWrap/>
            <w:vAlign w:val="bottom"/>
            <w:hideMark/>
          </w:tcPr>
          <w:p w14:paraId="775F6EAD"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235" w:type="dxa"/>
            <w:tcBorders>
              <w:top w:val="single" w:sz="4" w:space="0" w:color="auto"/>
              <w:left w:val="nil"/>
              <w:bottom w:val="single" w:sz="4" w:space="0" w:color="auto"/>
              <w:right w:val="nil"/>
            </w:tcBorders>
            <w:shd w:val="clear" w:color="auto" w:fill="auto"/>
            <w:noWrap/>
            <w:vAlign w:val="bottom"/>
            <w:hideMark/>
          </w:tcPr>
          <w:p w14:paraId="2325D989"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 </w:t>
            </w:r>
          </w:p>
        </w:tc>
        <w:tc>
          <w:tcPr>
            <w:tcW w:w="1155" w:type="dxa"/>
            <w:tcBorders>
              <w:top w:val="single" w:sz="4" w:space="0" w:color="auto"/>
              <w:left w:val="nil"/>
              <w:bottom w:val="single" w:sz="4" w:space="0" w:color="auto"/>
              <w:right w:val="nil"/>
            </w:tcBorders>
            <w:shd w:val="clear" w:color="auto" w:fill="auto"/>
            <w:noWrap/>
            <w:vAlign w:val="bottom"/>
            <w:hideMark/>
          </w:tcPr>
          <w:p w14:paraId="7E172BD1" w14:textId="77777777" w:rsidR="00986870" w:rsidRPr="00986870" w:rsidRDefault="00986870" w:rsidP="00986870">
            <w:pPr>
              <w:spacing w:before="0" w:after="0" w:line="240" w:lineRule="auto"/>
              <w:jc w:val="right"/>
              <w:rPr>
                <w:rFonts w:ascii="Arial" w:hAnsi="Arial" w:cs="Arial"/>
                <w:sz w:val="16"/>
                <w:szCs w:val="16"/>
              </w:rPr>
            </w:pPr>
            <w:r w:rsidRPr="00986870">
              <w:rPr>
                <w:rFonts w:ascii="Arial" w:hAnsi="Arial" w:cs="Arial"/>
                <w:sz w:val="16"/>
                <w:szCs w:val="16"/>
              </w:rPr>
              <w:t>167</w:t>
            </w:r>
          </w:p>
        </w:tc>
      </w:tr>
    </w:tbl>
    <w:p w14:paraId="15C356DB" w14:textId="30623D9B" w:rsidR="008E079A" w:rsidRPr="008E079A" w:rsidRDefault="008E079A" w:rsidP="00507815">
      <w:pPr>
        <w:pStyle w:val="FootnoteText"/>
        <w:spacing w:before="120"/>
      </w:pPr>
      <w:r w:rsidRPr="008E079A">
        <w:t>All figures are GST exclusive.</w:t>
      </w:r>
      <w:r w:rsidRPr="008E079A">
        <w:tab/>
      </w:r>
    </w:p>
    <w:p w14:paraId="01E7C702" w14:textId="0225BCDB" w:rsidR="008E079A" w:rsidRPr="008E079A" w:rsidRDefault="008E079A" w:rsidP="008E079A">
      <w:pPr>
        <w:pStyle w:val="FootnoteText"/>
      </w:pPr>
      <w:r w:rsidRPr="008E079A">
        <w:rPr>
          <w:vertAlign w:val="superscript"/>
        </w:rPr>
        <w:t>(a)</w:t>
      </w:r>
      <w:r>
        <w:tab/>
      </w:r>
      <w:r>
        <w:rPr>
          <w:i/>
        </w:rPr>
        <w:t>Appropriation Act (No. 1) 2023–</w:t>
      </w:r>
      <w:r w:rsidRPr="008E079A">
        <w:rPr>
          <w:i/>
        </w:rPr>
        <w:t>24</w:t>
      </w:r>
      <w:r w:rsidRPr="008E079A">
        <w:t>, Appropriation Bill (No. 3) 202</w:t>
      </w:r>
      <w:r w:rsidR="00BD7F62">
        <w:t>3–2</w:t>
      </w:r>
      <w:r w:rsidRPr="008E079A">
        <w:t>4 and associated Bills.</w:t>
      </w:r>
    </w:p>
    <w:p w14:paraId="33CA5B17" w14:textId="38093D47" w:rsidR="008E079A" w:rsidRPr="008E079A" w:rsidRDefault="008E079A" w:rsidP="008E079A">
      <w:pPr>
        <w:pStyle w:val="FootnoteText"/>
      </w:pPr>
      <w:r w:rsidRPr="008E079A">
        <w:rPr>
          <w:vertAlign w:val="superscript"/>
        </w:rPr>
        <w:t>(b)</w:t>
      </w:r>
      <w:r>
        <w:tab/>
      </w:r>
      <w:r w:rsidRPr="008E079A">
        <w:t xml:space="preserve">Estimated retained revenue receipts under section 74 of the </w:t>
      </w:r>
      <w:r w:rsidRPr="008E079A">
        <w:rPr>
          <w:i/>
        </w:rPr>
        <w:t xml:space="preserve">Public Governance, Performance and Accountability Act 2013 </w:t>
      </w:r>
      <w:r w:rsidRPr="001C330E">
        <w:t>(PGPA Act).</w:t>
      </w:r>
      <w:r w:rsidRPr="001C330E">
        <w:tab/>
      </w:r>
    </w:p>
    <w:p w14:paraId="75154025" w14:textId="7A1EF13B" w:rsidR="008E079A" w:rsidRPr="008E079A" w:rsidRDefault="008E079A" w:rsidP="008E079A">
      <w:pPr>
        <w:pStyle w:val="FootnoteText"/>
      </w:pPr>
      <w:r w:rsidRPr="008E079A">
        <w:rPr>
          <w:vertAlign w:val="superscript"/>
        </w:rPr>
        <w:t>(c)</w:t>
      </w:r>
      <w:r>
        <w:tab/>
      </w:r>
      <w:r w:rsidRPr="008E079A">
        <w:t>Departmental Capital Budgets (DCB) are not separately identified in Appropriation Bill (No. 1) and form part of ordinary annual services items. Refer to Sport Integrity Australia's Table 3.6 Departmental Capital Budget Statement for further details. For accounting purposes, this amount has been designated as a 'contribution by owner'.</w:t>
      </w:r>
    </w:p>
    <w:p w14:paraId="1F080D8A" w14:textId="0DA8C968" w:rsidR="00986870" w:rsidRDefault="008E079A" w:rsidP="008E079A">
      <w:pPr>
        <w:pStyle w:val="FootnoteText"/>
      </w:pPr>
      <w:r w:rsidRPr="008E079A">
        <w:rPr>
          <w:vertAlign w:val="superscript"/>
        </w:rPr>
        <w:t>(d)</w:t>
      </w:r>
      <w:r>
        <w:tab/>
      </w:r>
      <w:r>
        <w:rPr>
          <w:i/>
        </w:rPr>
        <w:t>Appropriation Act (No. 2) 2023–</w:t>
      </w:r>
      <w:r w:rsidRPr="008E079A">
        <w:rPr>
          <w:i/>
        </w:rPr>
        <w:t>24</w:t>
      </w:r>
      <w:r w:rsidRPr="008E079A">
        <w:t xml:space="preserve">, </w:t>
      </w:r>
      <w:r>
        <w:t>Appropriation Bill (No. 4) 2023–</w:t>
      </w:r>
      <w:r w:rsidRPr="008E079A">
        <w:t>24 and associated Bills.</w:t>
      </w:r>
    </w:p>
    <w:p w14:paraId="0EF8984D" w14:textId="77777777" w:rsidR="00986870" w:rsidRPr="002F4BDE" w:rsidRDefault="00986870" w:rsidP="002F4BDE">
      <w:pPr>
        <w:rPr>
          <w:rFonts w:ascii="Arial" w:hAnsi="Arial" w:cs="Arial"/>
          <w:b/>
          <w:sz w:val="20"/>
        </w:rPr>
      </w:pPr>
    </w:p>
    <w:p w14:paraId="1BD66054" w14:textId="5F26B2C3" w:rsidR="00526CE6" w:rsidRPr="008B6FDD" w:rsidRDefault="00526CE6" w:rsidP="00526CE6">
      <w:pPr>
        <w:pStyle w:val="TableGraphic"/>
        <w:rPr>
          <w:highlight w:val="yellow"/>
        </w:rPr>
      </w:pPr>
      <w:r w:rsidRPr="006D6BD2">
        <w:br w:type="page"/>
      </w:r>
      <w:r w:rsidR="00F552F6">
        <w:fldChar w:fldCharType="begin"/>
      </w:r>
      <w:r w:rsidR="00F552F6">
        <w:instrText xml:space="preserve"> </w:instrText>
      </w:r>
      <w:proofErr w:type="gramStart"/>
      <w:r w:rsidR="00F552F6">
        <w:instrText>TC  "</w:instrText>
      </w:r>
      <w:bookmarkStart w:id="576" w:name="_Toc157520572"/>
      <w:proofErr w:type="gramEnd"/>
      <w:r w:rsidR="00F552F6">
        <w:instrText>1.3</w:instrText>
      </w:r>
      <w:r w:rsidR="00F552F6">
        <w:tab/>
        <w:instrText>Entity measures</w:instrText>
      </w:r>
      <w:bookmarkEnd w:id="576"/>
      <w:r w:rsidR="00F552F6">
        <w:instrText xml:space="preserve">" \f </w:instrText>
      </w:r>
      <w:proofErr w:type="spellStart"/>
      <w:r w:rsidR="00F552F6">
        <w:instrText>sia</w:instrText>
      </w:r>
      <w:proofErr w:type="spellEnd"/>
      <w:r w:rsidR="00F552F6">
        <w:instrText xml:space="preserve"> \l 2 </w:instrText>
      </w:r>
      <w:r w:rsidR="00F552F6">
        <w:fldChar w:fldCharType="end"/>
      </w:r>
      <w:r>
        <w:rPr>
          <w:rFonts w:ascii="Arial" w:hAnsi="Arial" w:cs="Arial"/>
          <w:b/>
          <w:sz w:val="22"/>
          <w:szCs w:val="22"/>
        </w:rPr>
        <w:t>1.3:</w:t>
      </w:r>
      <w:r w:rsidRPr="0081698D">
        <w:rPr>
          <w:rFonts w:ascii="Arial" w:hAnsi="Arial" w:cs="Arial"/>
          <w:b/>
          <w:sz w:val="22"/>
          <w:szCs w:val="22"/>
        </w:rPr>
        <w:t xml:space="preserve"> Entity measures</w:t>
      </w:r>
    </w:p>
    <w:p w14:paraId="0A3A2DE4" w14:textId="77777777" w:rsidR="00526CE6" w:rsidRPr="00486E77" w:rsidRDefault="00526CE6" w:rsidP="00526CE6">
      <w:r w:rsidRPr="0081698D">
        <w:rPr>
          <w:sz w:val="20"/>
        </w:rPr>
        <w:t>Table 1.2 summarises new Government measures taken since the 2023–24 Budget. The table is split into receipt and payment measures, with the affected program identified</w:t>
      </w:r>
      <w:r w:rsidRPr="00234AF7">
        <w:t>.</w:t>
      </w:r>
    </w:p>
    <w:p w14:paraId="74FF4038" w14:textId="77777777" w:rsidR="00526CE6" w:rsidRPr="008D7326" w:rsidRDefault="00526CE6" w:rsidP="00526CE6">
      <w:pPr>
        <w:pStyle w:val="TableHeading"/>
      </w:pPr>
      <w:r w:rsidRPr="008D7326">
        <w:t>Table 1.2: Sport Integrity Australia 2023–24 measures since the Budget</w:t>
      </w:r>
    </w:p>
    <w:tbl>
      <w:tblPr>
        <w:tblW w:w="7880" w:type="dxa"/>
        <w:jc w:val="center"/>
        <w:tblLayout w:type="fixed"/>
        <w:tblLook w:val="04A0" w:firstRow="1" w:lastRow="0" w:firstColumn="1" w:lastColumn="0" w:noHBand="0" w:noVBand="1"/>
      </w:tblPr>
      <w:tblGrid>
        <w:gridCol w:w="3080"/>
        <w:gridCol w:w="960"/>
        <w:gridCol w:w="960"/>
        <w:gridCol w:w="960"/>
        <w:gridCol w:w="960"/>
        <w:gridCol w:w="877"/>
        <w:gridCol w:w="83"/>
      </w:tblGrid>
      <w:tr w:rsidR="00C45B5C" w:rsidRPr="00C45B5C" w14:paraId="3BBB7DD4" w14:textId="77777777" w:rsidTr="00244D00">
        <w:trPr>
          <w:trHeight w:val="340"/>
          <w:jc w:val="center"/>
        </w:trPr>
        <w:tc>
          <w:tcPr>
            <w:tcW w:w="3080" w:type="dxa"/>
            <w:tcBorders>
              <w:top w:val="single" w:sz="4" w:space="0" w:color="auto"/>
              <w:left w:val="nil"/>
              <w:bottom w:val="nil"/>
              <w:right w:val="nil"/>
            </w:tcBorders>
            <w:shd w:val="clear" w:color="auto" w:fill="auto"/>
            <w:noWrap/>
            <w:hideMark/>
          </w:tcPr>
          <w:p w14:paraId="47A05F85" w14:textId="77777777" w:rsidR="00C45B5C" w:rsidRPr="00C45B5C" w:rsidRDefault="00C45B5C" w:rsidP="00952A7F">
            <w:pPr>
              <w:spacing w:before="24" w:after="0" w:line="240" w:lineRule="auto"/>
              <w:jc w:val="right"/>
              <w:rPr>
                <w:rFonts w:ascii="Arial" w:hAnsi="Arial" w:cs="Arial"/>
                <w:sz w:val="16"/>
                <w:szCs w:val="16"/>
              </w:rPr>
            </w:pPr>
            <w:r w:rsidRPr="00C45B5C">
              <w:rPr>
                <w:rFonts w:ascii="Arial" w:hAnsi="Arial" w:cs="Arial"/>
                <w:sz w:val="16"/>
                <w:szCs w:val="16"/>
              </w:rPr>
              <w:t> </w:t>
            </w:r>
          </w:p>
        </w:tc>
        <w:tc>
          <w:tcPr>
            <w:tcW w:w="960" w:type="dxa"/>
            <w:tcBorders>
              <w:top w:val="single" w:sz="4" w:space="0" w:color="auto"/>
              <w:left w:val="nil"/>
              <w:bottom w:val="nil"/>
              <w:right w:val="nil"/>
            </w:tcBorders>
            <w:shd w:val="clear" w:color="auto" w:fill="auto"/>
            <w:noWrap/>
            <w:hideMark/>
          </w:tcPr>
          <w:p w14:paraId="6E7D435C" w14:textId="77777777" w:rsidR="00C45B5C" w:rsidRPr="00C45B5C" w:rsidRDefault="00C45B5C" w:rsidP="00952A7F">
            <w:pPr>
              <w:spacing w:before="24" w:after="0" w:line="240" w:lineRule="auto"/>
              <w:jc w:val="right"/>
              <w:rPr>
                <w:rFonts w:ascii="Arial" w:hAnsi="Arial" w:cs="Arial"/>
                <w:b/>
                <w:bCs/>
                <w:sz w:val="16"/>
                <w:szCs w:val="16"/>
              </w:rPr>
            </w:pPr>
            <w:r w:rsidRPr="00C45B5C">
              <w:rPr>
                <w:rFonts w:ascii="Arial" w:hAnsi="Arial" w:cs="Arial"/>
                <w:b/>
                <w:bCs/>
                <w:sz w:val="16"/>
                <w:szCs w:val="16"/>
              </w:rPr>
              <w:t>Program</w:t>
            </w:r>
          </w:p>
        </w:tc>
        <w:tc>
          <w:tcPr>
            <w:tcW w:w="960" w:type="dxa"/>
            <w:tcBorders>
              <w:top w:val="single" w:sz="4" w:space="0" w:color="auto"/>
              <w:left w:val="nil"/>
              <w:bottom w:val="single" w:sz="4" w:space="0" w:color="auto"/>
              <w:right w:val="nil"/>
            </w:tcBorders>
            <w:shd w:val="clear" w:color="000000" w:fill="D9D9D9"/>
            <w:hideMark/>
          </w:tcPr>
          <w:p w14:paraId="568E1CA7" w14:textId="7811CB4B" w:rsidR="00C45B5C" w:rsidRPr="00C45B5C" w:rsidRDefault="00C45B5C" w:rsidP="00952A7F">
            <w:pPr>
              <w:spacing w:before="24" w:after="0" w:line="240" w:lineRule="auto"/>
              <w:jc w:val="right"/>
              <w:rPr>
                <w:rFonts w:ascii="Arial" w:hAnsi="Arial" w:cs="Arial"/>
                <w:b/>
                <w:bCs/>
                <w:sz w:val="16"/>
                <w:szCs w:val="16"/>
              </w:rPr>
            </w:pPr>
            <w:r>
              <w:rPr>
                <w:rFonts w:ascii="Arial" w:hAnsi="Arial" w:cs="Arial"/>
                <w:b/>
                <w:bCs/>
                <w:sz w:val="16"/>
                <w:szCs w:val="16"/>
              </w:rPr>
              <w:t>2023–</w:t>
            </w:r>
            <w:r w:rsidRPr="00C45B5C">
              <w:rPr>
                <w:rFonts w:ascii="Arial" w:hAnsi="Arial" w:cs="Arial"/>
                <w:b/>
                <w:bCs/>
                <w:sz w:val="16"/>
                <w:szCs w:val="16"/>
              </w:rPr>
              <w:t>24</w:t>
            </w:r>
            <w:r w:rsidRPr="00C45B5C">
              <w:rPr>
                <w:rFonts w:ascii="Arial" w:hAnsi="Arial" w:cs="Arial"/>
                <w:sz w:val="16"/>
                <w:szCs w:val="16"/>
              </w:rPr>
              <w:t xml:space="preserve"> </w:t>
            </w:r>
            <w:r w:rsidRPr="00C45B5C">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24EE12CE" w14:textId="051581D6" w:rsidR="00C45B5C" w:rsidRPr="00C45B5C" w:rsidRDefault="00C45B5C" w:rsidP="00952A7F">
            <w:pPr>
              <w:spacing w:before="24" w:after="0" w:line="240" w:lineRule="auto"/>
              <w:jc w:val="right"/>
              <w:rPr>
                <w:rFonts w:ascii="Arial" w:hAnsi="Arial" w:cs="Arial"/>
                <w:b/>
                <w:bCs/>
                <w:sz w:val="16"/>
                <w:szCs w:val="16"/>
              </w:rPr>
            </w:pPr>
            <w:r>
              <w:rPr>
                <w:rFonts w:ascii="Arial" w:hAnsi="Arial" w:cs="Arial"/>
                <w:b/>
                <w:bCs/>
                <w:sz w:val="16"/>
                <w:szCs w:val="16"/>
              </w:rPr>
              <w:t>2024–</w:t>
            </w:r>
            <w:r w:rsidRPr="00C45B5C">
              <w:rPr>
                <w:rFonts w:ascii="Arial" w:hAnsi="Arial" w:cs="Arial"/>
                <w:b/>
                <w:bCs/>
                <w:sz w:val="16"/>
                <w:szCs w:val="16"/>
              </w:rPr>
              <w:t xml:space="preserve">25 </w:t>
            </w:r>
            <w:r w:rsidRPr="00C45B5C">
              <w:rPr>
                <w:rFonts w:ascii="Arial" w:hAnsi="Arial" w:cs="Arial"/>
                <w:b/>
                <w:bCs/>
                <w:sz w:val="16"/>
                <w:szCs w:val="16"/>
              </w:rPr>
              <w:br/>
            </w:r>
            <w:r w:rsidRPr="00CE75F4">
              <w:rPr>
                <w:rFonts w:ascii="Arial" w:hAnsi="Arial" w:cs="Arial"/>
                <w:bCs/>
                <w:sz w:val="16"/>
                <w:szCs w:val="16"/>
              </w:rPr>
              <w:t>$'000</w:t>
            </w:r>
          </w:p>
        </w:tc>
        <w:tc>
          <w:tcPr>
            <w:tcW w:w="960" w:type="dxa"/>
            <w:tcBorders>
              <w:top w:val="single" w:sz="4" w:space="0" w:color="auto"/>
              <w:left w:val="nil"/>
              <w:bottom w:val="single" w:sz="4" w:space="0" w:color="auto"/>
              <w:right w:val="nil"/>
            </w:tcBorders>
            <w:shd w:val="clear" w:color="auto" w:fill="auto"/>
            <w:hideMark/>
          </w:tcPr>
          <w:p w14:paraId="5C541E09" w14:textId="4BF45AC9" w:rsidR="00C45B5C" w:rsidRPr="00C45B5C" w:rsidRDefault="00C45B5C" w:rsidP="00952A7F">
            <w:pPr>
              <w:spacing w:before="24" w:after="0" w:line="240" w:lineRule="auto"/>
              <w:jc w:val="right"/>
              <w:rPr>
                <w:rFonts w:ascii="Arial" w:hAnsi="Arial" w:cs="Arial"/>
                <w:b/>
                <w:bCs/>
                <w:sz w:val="16"/>
                <w:szCs w:val="16"/>
              </w:rPr>
            </w:pPr>
            <w:r>
              <w:rPr>
                <w:rFonts w:ascii="Arial" w:hAnsi="Arial" w:cs="Arial"/>
                <w:b/>
                <w:bCs/>
                <w:sz w:val="16"/>
                <w:szCs w:val="16"/>
              </w:rPr>
              <w:t>2025–</w:t>
            </w:r>
            <w:r w:rsidRPr="00C45B5C">
              <w:rPr>
                <w:rFonts w:ascii="Arial" w:hAnsi="Arial" w:cs="Arial"/>
                <w:b/>
                <w:bCs/>
                <w:sz w:val="16"/>
                <w:szCs w:val="16"/>
              </w:rPr>
              <w:t xml:space="preserve">26 </w:t>
            </w:r>
            <w:r w:rsidRPr="00C45B5C">
              <w:rPr>
                <w:rFonts w:ascii="Arial" w:hAnsi="Arial" w:cs="Arial"/>
                <w:b/>
                <w:bCs/>
                <w:sz w:val="16"/>
                <w:szCs w:val="16"/>
              </w:rPr>
              <w:br/>
            </w:r>
            <w:r w:rsidRPr="00CE75F4">
              <w:rPr>
                <w:rFonts w:ascii="Arial" w:hAnsi="Arial" w:cs="Arial"/>
                <w:bCs/>
                <w:sz w:val="16"/>
                <w:szCs w:val="16"/>
              </w:rPr>
              <w:t>$'000</w:t>
            </w:r>
          </w:p>
        </w:tc>
        <w:tc>
          <w:tcPr>
            <w:tcW w:w="960" w:type="dxa"/>
            <w:gridSpan w:val="2"/>
            <w:tcBorders>
              <w:top w:val="single" w:sz="4" w:space="0" w:color="auto"/>
              <w:left w:val="nil"/>
              <w:bottom w:val="single" w:sz="4" w:space="0" w:color="auto"/>
              <w:right w:val="nil"/>
            </w:tcBorders>
            <w:shd w:val="clear" w:color="auto" w:fill="auto"/>
            <w:hideMark/>
          </w:tcPr>
          <w:p w14:paraId="221117C3" w14:textId="386090A4" w:rsidR="00C45B5C" w:rsidRPr="00C45B5C" w:rsidRDefault="00C45B5C" w:rsidP="00952A7F">
            <w:pPr>
              <w:spacing w:before="24" w:after="0" w:line="240" w:lineRule="auto"/>
              <w:jc w:val="right"/>
              <w:rPr>
                <w:rFonts w:ascii="Arial" w:hAnsi="Arial" w:cs="Arial"/>
                <w:b/>
                <w:bCs/>
                <w:sz w:val="16"/>
                <w:szCs w:val="16"/>
              </w:rPr>
            </w:pPr>
            <w:r>
              <w:rPr>
                <w:rFonts w:ascii="Arial" w:hAnsi="Arial" w:cs="Arial"/>
                <w:b/>
                <w:bCs/>
                <w:sz w:val="16"/>
                <w:szCs w:val="16"/>
              </w:rPr>
              <w:t>2026–</w:t>
            </w:r>
            <w:r w:rsidRPr="00C45B5C">
              <w:rPr>
                <w:rFonts w:ascii="Arial" w:hAnsi="Arial" w:cs="Arial"/>
                <w:b/>
                <w:bCs/>
                <w:sz w:val="16"/>
                <w:szCs w:val="16"/>
              </w:rPr>
              <w:t xml:space="preserve">27 </w:t>
            </w:r>
            <w:r w:rsidRPr="00C45B5C">
              <w:rPr>
                <w:rFonts w:ascii="Arial" w:hAnsi="Arial" w:cs="Arial"/>
                <w:b/>
                <w:bCs/>
                <w:sz w:val="16"/>
                <w:szCs w:val="16"/>
              </w:rPr>
              <w:br/>
            </w:r>
            <w:r w:rsidRPr="00C45B5C">
              <w:rPr>
                <w:rFonts w:ascii="Arial" w:hAnsi="Arial" w:cs="Arial"/>
                <w:sz w:val="16"/>
                <w:szCs w:val="16"/>
              </w:rPr>
              <w:t>$'000</w:t>
            </w:r>
          </w:p>
        </w:tc>
      </w:tr>
      <w:tr w:rsidR="00C45B5C" w:rsidRPr="00C45B5C" w14:paraId="2B94EDEB" w14:textId="77777777" w:rsidTr="005C6BDD">
        <w:trPr>
          <w:gridAfter w:val="1"/>
          <w:wAfter w:w="83" w:type="dxa"/>
          <w:trHeight w:val="283"/>
          <w:jc w:val="center"/>
        </w:trPr>
        <w:tc>
          <w:tcPr>
            <w:tcW w:w="7797" w:type="dxa"/>
            <w:gridSpan w:val="6"/>
            <w:tcBorders>
              <w:top w:val="nil"/>
              <w:left w:val="nil"/>
              <w:bottom w:val="nil"/>
              <w:right w:val="nil"/>
            </w:tcBorders>
            <w:shd w:val="clear" w:color="auto" w:fill="auto"/>
            <w:vAlign w:val="bottom"/>
            <w:hideMark/>
          </w:tcPr>
          <w:p w14:paraId="2E414385" w14:textId="264FE3E4" w:rsidR="00C45B5C" w:rsidRPr="00C45B5C" w:rsidRDefault="00C45B5C" w:rsidP="00C45B5C">
            <w:pPr>
              <w:spacing w:before="0" w:after="0" w:line="240" w:lineRule="auto"/>
              <w:rPr>
                <w:rFonts w:ascii="Arial" w:hAnsi="Arial" w:cs="Arial"/>
                <w:b/>
                <w:bCs/>
                <w:sz w:val="16"/>
                <w:szCs w:val="16"/>
              </w:rPr>
            </w:pPr>
            <w:r w:rsidRPr="00C45B5C">
              <w:rPr>
                <w:rFonts w:ascii="Arial" w:hAnsi="Arial" w:cs="Arial"/>
                <w:b/>
                <w:bCs/>
                <w:sz w:val="16"/>
                <w:szCs w:val="16"/>
              </w:rPr>
              <w:t>Safety in Sport</w:t>
            </w:r>
          </w:p>
        </w:tc>
      </w:tr>
      <w:tr w:rsidR="00C45B5C" w:rsidRPr="00C45B5C" w14:paraId="0A158223" w14:textId="77777777" w:rsidTr="005C6BDD">
        <w:trPr>
          <w:trHeight w:val="227"/>
          <w:jc w:val="center"/>
        </w:trPr>
        <w:tc>
          <w:tcPr>
            <w:tcW w:w="3080" w:type="dxa"/>
            <w:tcBorders>
              <w:top w:val="nil"/>
              <w:left w:val="nil"/>
              <w:bottom w:val="nil"/>
              <w:right w:val="nil"/>
            </w:tcBorders>
            <w:shd w:val="clear" w:color="auto" w:fill="auto"/>
            <w:noWrap/>
            <w:vAlign w:val="bottom"/>
            <w:hideMark/>
          </w:tcPr>
          <w:p w14:paraId="0B780F9D" w14:textId="77777777" w:rsidR="00C45B5C" w:rsidRPr="00C45B5C" w:rsidRDefault="00C45B5C" w:rsidP="00C45B5C">
            <w:pPr>
              <w:spacing w:before="0" w:after="0" w:line="240" w:lineRule="auto"/>
              <w:rPr>
                <w:rFonts w:ascii="Arial" w:hAnsi="Arial" w:cs="Arial"/>
                <w:sz w:val="16"/>
                <w:szCs w:val="16"/>
              </w:rPr>
            </w:pPr>
            <w:r w:rsidRPr="00C45B5C">
              <w:rPr>
                <w:rFonts w:ascii="Arial" w:hAnsi="Arial" w:cs="Arial"/>
                <w:sz w:val="16"/>
                <w:szCs w:val="16"/>
              </w:rPr>
              <w:t>Sport Integrity Australia</w:t>
            </w:r>
          </w:p>
        </w:tc>
        <w:tc>
          <w:tcPr>
            <w:tcW w:w="960" w:type="dxa"/>
            <w:tcBorders>
              <w:top w:val="nil"/>
              <w:left w:val="nil"/>
              <w:bottom w:val="nil"/>
              <w:right w:val="nil"/>
            </w:tcBorders>
            <w:shd w:val="clear" w:color="auto" w:fill="auto"/>
            <w:noWrap/>
            <w:hideMark/>
          </w:tcPr>
          <w:p w14:paraId="17FBB934" w14:textId="77777777" w:rsidR="00C45B5C" w:rsidRPr="00C45B5C" w:rsidRDefault="00C45B5C" w:rsidP="00C45B5C">
            <w:pPr>
              <w:spacing w:before="0" w:after="0" w:line="240" w:lineRule="auto"/>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2EFCB817" w14:textId="77777777" w:rsidR="00C45B5C" w:rsidRPr="00C45B5C" w:rsidRDefault="00C45B5C" w:rsidP="00C45B5C">
            <w:pPr>
              <w:spacing w:before="0" w:after="0" w:line="240" w:lineRule="auto"/>
              <w:rPr>
                <w:rFonts w:ascii="Arial" w:hAnsi="Arial" w:cs="Arial"/>
                <w:sz w:val="16"/>
                <w:szCs w:val="16"/>
              </w:rPr>
            </w:pPr>
            <w:r w:rsidRPr="00C45B5C">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302F06AD" w14:textId="77777777" w:rsidR="00C45B5C" w:rsidRPr="00C45B5C" w:rsidRDefault="00C45B5C" w:rsidP="00C45B5C">
            <w:pPr>
              <w:spacing w:before="0"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71FD6CB" w14:textId="77777777" w:rsidR="00C45B5C" w:rsidRPr="00C45B5C" w:rsidRDefault="00C45B5C" w:rsidP="00C45B5C">
            <w:pPr>
              <w:spacing w:before="0" w:after="0" w:line="240" w:lineRule="auto"/>
              <w:rPr>
                <w:rFonts w:ascii="Times New Roman" w:hAnsi="Times New Roman"/>
                <w:sz w:val="20"/>
              </w:rPr>
            </w:pPr>
          </w:p>
        </w:tc>
        <w:tc>
          <w:tcPr>
            <w:tcW w:w="960" w:type="dxa"/>
            <w:gridSpan w:val="2"/>
            <w:tcBorders>
              <w:top w:val="nil"/>
              <w:left w:val="nil"/>
              <w:bottom w:val="nil"/>
              <w:right w:val="nil"/>
            </w:tcBorders>
            <w:shd w:val="clear" w:color="auto" w:fill="auto"/>
            <w:noWrap/>
            <w:vAlign w:val="bottom"/>
            <w:hideMark/>
          </w:tcPr>
          <w:p w14:paraId="3B7FE936" w14:textId="77777777" w:rsidR="00C45B5C" w:rsidRPr="00C45B5C" w:rsidRDefault="00C45B5C" w:rsidP="00C45B5C">
            <w:pPr>
              <w:spacing w:before="0" w:after="0" w:line="240" w:lineRule="auto"/>
              <w:rPr>
                <w:rFonts w:ascii="Times New Roman" w:hAnsi="Times New Roman"/>
                <w:sz w:val="20"/>
              </w:rPr>
            </w:pPr>
          </w:p>
        </w:tc>
      </w:tr>
      <w:tr w:rsidR="00C45B5C" w:rsidRPr="00C45B5C" w14:paraId="0B00A683" w14:textId="77777777" w:rsidTr="00C45B5C">
        <w:trPr>
          <w:trHeight w:val="225"/>
          <w:jc w:val="center"/>
        </w:trPr>
        <w:tc>
          <w:tcPr>
            <w:tcW w:w="3080" w:type="dxa"/>
            <w:tcBorders>
              <w:top w:val="nil"/>
              <w:left w:val="nil"/>
              <w:bottom w:val="nil"/>
              <w:right w:val="nil"/>
            </w:tcBorders>
            <w:shd w:val="clear" w:color="auto" w:fill="auto"/>
            <w:noWrap/>
            <w:vAlign w:val="bottom"/>
            <w:hideMark/>
          </w:tcPr>
          <w:p w14:paraId="762E3627" w14:textId="77777777" w:rsidR="00C45B5C" w:rsidRPr="00C45B5C" w:rsidRDefault="00C45B5C" w:rsidP="005319F6">
            <w:pPr>
              <w:spacing w:before="0" w:after="0" w:line="240" w:lineRule="auto"/>
              <w:ind w:leftChars="75" w:left="143"/>
              <w:rPr>
                <w:rFonts w:ascii="Arial" w:hAnsi="Arial" w:cs="Arial"/>
                <w:sz w:val="16"/>
                <w:szCs w:val="16"/>
              </w:rPr>
            </w:pPr>
            <w:r w:rsidRPr="00C45B5C">
              <w:rPr>
                <w:rFonts w:ascii="Arial" w:hAnsi="Arial" w:cs="Arial"/>
                <w:sz w:val="16"/>
                <w:szCs w:val="16"/>
              </w:rPr>
              <w:t>Departmental payments</w:t>
            </w:r>
          </w:p>
        </w:tc>
        <w:tc>
          <w:tcPr>
            <w:tcW w:w="960" w:type="dxa"/>
            <w:tcBorders>
              <w:top w:val="nil"/>
              <w:left w:val="nil"/>
              <w:bottom w:val="nil"/>
              <w:right w:val="nil"/>
            </w:tcBorders>
            <w:shd w:val="clear" w:color="auto" w:fill="auto"/>
            <w:noWrap/>
            <w:vAlign w:val="bottom"/>
            <w:hideMark/>
          </w:tcPr>
          <w:p w14:paraId="65E07445"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1.1</w:t>
            </w:r>
          </w:p>
        </w:tc>
        <w:tc>
          <w:tcPr>
            <w:tcW w:w="960" w:type="dxa"/>
            <w:tcBorders>
              <w:top w:val="nil"/>
              <w:left w:val="nil"/>
              <w:bottom w:val="nil"/>
              <w:right w:val="nil"/>
            </w:tcBorders>
            <w:shd w:val="clear" w:color="000000" w:fill="D9D9D9"/>
            <w:noWrap/>
            <w:vAlign w:val="bottom"/>
            <w:hideMark/>
          </w:tcPr>
          <w:p w14:paraId="6ED96FE1"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3,721</w:t>
            </w:r>
          </w:p>
        </w:tc>
        <w:tc>
          <w:tcPr>
            <w:tcW w:w="960" w:type="dxa"/>
            <w:tcBorders>
              <w:top w:val="nil"/>
              <w:left w:val="nil"/>
              <w:bottom w:val="nil"/>
              <w:right w:val="nil"/>
            </w:tcBorders>
            <w:shd w:val="clear" w:color="auto" w:fill="auto"/>
            <w:noWrap/>
            <w:vAlign w:val="bottom"/>
            <w:hideMark/>
          </w:tcPr>
          <w:p w14:paraId="26A5EB66"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7,707</w:t>
            </w:r>
          </w:p>
        </w:tc>
        <w:tc>
          <w:tcPr>
            <w:tcW w:w="960" w:type="dxa"/>
            <w:tcBorders>
              <w:top w:val="nil"/>
              <w:left w:val="nil"/>
              <w:bottom w:val="nil"/>
              <w:right w:val="nil"/>
            </w:tcBorders>
            <w:shd w:val="clear" w:color="auto" w:fill="auto"/>
            <w:noWrap/>
            <w:vAlign w:val="bottom"/>
            <w:hideMark/>
          </w:tcPr>
          <w:p w14:paraId="464467D2"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8,147</w:t>
            </w:r>
          </w:p>
        </w:tc>
        <w:tc>
          <w:tcPr>
            <w:tcW w:w="960" w:type="dxa"/>
            <w:gridSpan w:val="2"/>
            <w:tcBorders>
              <w:top w:val="nil"/>
              <w:left w:val="nil"/>
              <w:bottom w:val="nil"/>
              <w:right w:val="nil"/>
            </w:tcBorders>
            <w:shd w:val="clear" w:color="auto" w:fill="auto"/>
            <w:noWrap/>
            <w:vAlign w:val="bottom"/>
            <w:hideMark/>
          </w:tcPr>
          <w:p w14:paraId="494FACDE"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7,874</w:t>
            </w:r>
          </w:p>
        </w:tc>
      </w:tr>
      <w:tr w:rsidR="00C45B5C" w:rsidRPr="00C45B5C" w14:paraId="46EFBE0A" w14:textId="77777777" w:rsidTr="00C45B5C">
        <w:trPr>
          <w:trHeight w:val="225"/>
          <w:jc w:val="center"/>
        </w:trPr>
        <w:tc>
          <w:tcPr>
            <w:tcW w:w="3080" w:type="dxa"/>
            <w:tcBorders>
              <w:top w:val="nil"/>
              <w:left w:val="nil"/>
              <w:bottom w:val="nil"/>
              <w:right w:val="nil"/>
            </w:tcBorders>
            <w:shd w:val="clear" w:color="auto" w:fill="auto"/>
            <w:noWrap/>
            <w:vAlign w:val="bottom"/>
            <w:hideMark/>
          </w:tcPr>
          <w:p w14:paraId="3300B93F" w14:textId="77777777" w:rsidR="00C45B5C" w:rsidRPr="00C45B5C" w:rsidRDefault="00C45B5C" w:rsidP="005319F6">
            <w:pPr>
              <w:spacing w:before="0" w:after="0" w:line="240" w:lineRule="auto"/>
              <w:ind w:leftChars="75" w:left="143"/>
              <w:rPr>
                <w:rFonts w:ascii="Arial" w:hAnsi="Arial" w:cs="Arial"/>
                <w:sz w:val="16"/>
                <w:szCs w:val="16"/>
              </w:rPr>
            </w:pPr>
            <w:r w:rsidRPr="00C45B5C">
              <w:rPr>
                <w:rFonts w:ascii="Arial" w:hAnsi="Arial" w:cs="Arial"/>
                <w:sz w:val="16"/>
                <w:szCs w:val="16"/>
              </w:rPr>
              <w:t>Departmental capital payments</w:t>
            </w:r>
          </w:p>
        </w:tc>
        <w:tc>
          <w:tcPr>
            <w:tcW w:w="960" w:type="dxa"/>
            <w:tcBorders>
              <w:top w:val="nil"/>
              <w:left w:val="nil"/>
              <w:bottom w:val="nil"/>
              <w:right w:val="nil"/>
            </w:tcBorders>
            <w:shd w:val="clear" w:color="auto" w:fill="auto"/>
            <w:noWrap/>
            <w:vAlign w:val="bottom"/>
            <w:hideMark/>
          </w:tcPr>
          <w:p w14:paraId="3DCF6E91"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1.1</w:t>
            </w:r>
          </w:p>
        </w:tc>
        <w:tc>
          <w:tcPr>
            <w:tcW w:w="960" w:type="dxa"/>
            <w:tcBorders>
              <w:top w:val="nil"/>
              <w:left w:val="nil"/>
              <w:bottom w:val="nil"/>
              <w:right w:val="nil"/>
            </w:tcBorders>
            <w:shd w:val="clear" w:color="000000" w:fill="D9D9D9"/>
            <w:noWrap/>
            <w:vAlign w:val="bottom"/>
            <w:hideMark/>
          </w:tcPr>
          <w:p w14:paraId="59D191DB"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865</w:t>
            </w:r>
          </w:p>
        </w:tc>
        <w:tc>
          <w:tcPr>
            <w:tcW w:w="960" w:type="dxa"/>
            <w:tcBorders>
              <w:top w:val="nil"/>
              <w:left w:val="nil"/>
              <w:bottom w:val="nil"/>
              <w:right w:val="nil"/>
            </w:tcBorders>
            <w:shd w:val="clear" w:color="auto" w:fill="auto"/>
            <w:noWrap/>
            <w:vAlign w:val="bottom"/>
            <w:hideMark/>
          </w:tcPr>
          <w:p w14:paraId="57D56EF3"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20E4BCD"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c>
          <w:tcPr>
            <w:tcW w:w="960" w:type="dxa"/>
            <w:gridSpan w:val="2"/>
            <w:tcBorders>
              <w:top w:val="nil"/>
              <w:left w:val="nil"/>
              <w:bottom w:val="nil"/>
              <w:right w:val="nil"/>
            </w:tcBorders>
            <w:shd w:val="clear" w:color="auto" w:fill="auto"/>
            <w:noWrap/>
            <w:vAlign w:val="bottom"/>
            <w:hideMark/>
          </w:tcPr>
          <w:p w14:paraId="697EC40C"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r>
      <w:tr w:rsidR="00C45B5C" w:rsidRPr="00C45B5C" w14:paraId="7022105F" w14:textId="77777777" w:rsidTr="00C45B5C">
        <w:trPr>
          <w:trHeight w:val="225"/>
          <w:jc w:val="center"/>
        </w:trPr>
        <w:tc>
          <w:tcPr>
            <w:tcW w:w="3080" w:type="dxa"/>
            <w:tcBorders>
              <w:top w:val="nil"/>
              <w:left w:val="nil"/>
              <w:bottom w:val="nil"/>
              <w:right w:val="nil"/>
            </w:tcBorders>
            <w:shd w:val="clear" w:color="auto" w:fill="auto"/>
            <w:noWrap/>
            <w:vAlign w:val="bottom"/>
            <w:hideMark/>
          </w:tcPr>
          <w:p w14:paraId="765A5E45" w14:textId="77777777" w:rsidR="00C45B5C" w:rsidRPr="00C45B5C" w:rsidRDefault="00C45B5C" w:rsidP="00C45B5C">
            <w:pPr>
              <w:spacing w:before="0" w:after="0" w:line="240" w:lineRule="auto"/>
              <w:rPr>
                <w:rFonts w:ascii="Arial" w:hAnsi="Arial" w:cs="Arial"/>
                <w:b/>
                <w:bCs/>
                <w:sz w:val="16"/>
                <w:szCs w:val="16"/>
              </w:rPr>
            </w:pPr>
            <w:r w:rsidRPr="00C45B5C">
              <w:rPr>
                <w:rFonts w:ascii="Arial" w:hAnsi="Arial" w:cs="Arial"/>
                <w:b/>
                <w:bCs/>
                <w:sz w:val="16"/>
                <w:szCs w:val="16"/>
              </w:rPr>
              <w:t>Total payments</w:t>
            </w:r>
          </w:p>
        </w:tc>
        <w:tc>
          <w:tcPr>
            <w:tcW w:w="960" w:type="dxa"/>
            <w:tcBorders>
              <w:top w:val="single" w:sz="4" w:space="0" w:color="auto"/>
              <w:left w:val="nil"/>
              <w:bottom w:val="single" w:sz="4" w:space="0" w:color="auto"/>
              <w:right w:val="nil"/>
            </w:tcBorders>
            <w:shd w:val="clear" w:color="auto" w:fill="auto"/>
            <w:noWrap/>
            <w:vAlign w:val="bottom"/>
            <w:hideMark/>
          </w:tcPr>
          <w:p w14:paraId="03DF78B4"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D9D9D9"/>
            <w:noWrap/>
            <w:vAlign w:val="bottom"/>
            <w:hideMark/>
          </w:tcPr>
          <w:p w14:paraId="2F2639C7"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4,586</w:t>
            </w:r>
          </w:p>
        </w:tc>
        <w:tc>
          <w:tcPr>
            <w:tcW w:w="960" w:type="dxa"/>
            <w:tcBorders>
              <w:top w:val="single" w:sz="4" w:space="0" w:color="auto"/>
              <w:left w:val="nil"/>
              <w:bottom w:val="single" w:sz="4" w:space="0" w:color="auto"/>
              <w:right w:val="nil"/>
            </w:tcBorders>
            <w:shd w:val="clear" w:color="auto" w:fill="auto"/>
            <w:noWrap/>
            <w:vAlign w:val="bottom"/>
            <w:hideMark/>
          </w:tcPr>
          <w:p w14:paraId="68835D75"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7,707</w:t>
            </w:r>
          </w:p>
        </w:tc>
        <w:tc>
          <w:tcPr>
            <w:tcW w:w="960" w:type="dxa"/>
            <w:tcBorders>
              <w:top w:val="single" w:sz="4" w:space="0" w:color="auto"/>
              <w:left w:val="nil"/>
              <w:bottom w:val="single" w:sz="4" w:space="0" w:color="auto"/>
              <w:right w:val="nil"/>
            </w:tcBorders>
            <w:shd w:val="clear" w:color="auto" w:fill="auto"/>
            <w:noWrap/>
            <w:vAlign w:val="bottom"/>
            <w:hideMark/>
          </w:tcPr>
          <w:p w14:paraId="12A54D5D"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8,147</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6A95A5ED"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7,874</w:t>
            </w:r>
          </w:p>
        </w:tc>
      </w:tr>
      <w:tr w:rsidR="00C45B5C" w:rsidRPr="00C45B5C" w14:paraId="1CB369D6" w14:textId="77777777" w:rsidTr="005C6BDD">
        <w:trPr>
          <w:trHeight w:val="454"/>
          <w:jc w:val="center"/>
        </w:trPr>
        <w:tc>
          <w:tcPr>
            <w:tcW w:w="7880" w:type="dxa"/>
            <w:gridSpan w:val="7"/>
            <w:tcBorders>
              <w:top w:val="nil"/>
              <w:left w:val="nil"/>
              <w:bottom w:val="nil"/>
              <w:right w:val="nil"/>
            </w:tcBorders>
            <w:shd w:val="clear" w:color="auto" w:fill="auto"/>
            <w:vAlign w:val="bottom"/>
            <w:hideMark/>
          </w:tcPr>
          <w:p w14:paraId="65DB0B10" w14:textId="77777777" w:rsidR="00C45B5C" w:rsidRPr="00C45B5C" w:rsidRDefault="00C45B5C" w:rsidP="00C45B5C">
            <w:pPr>
              <w:spacing w:before="0" w:after="0" w:line="240" w:lineRule="auto"/>
              <w:rPr>
                <w:rFonts w:ascii="Arial" w:hAnsi="Arial" w:cs="Arial"/>
                <w:b/>
                <w:bCs/>
                <w:sz w:val="16"/>
                <w:szCs w:val="16"/>
              </w:rPr>
            </w:pPr>
            <w:r w:rsidRPr="00C45B5C">
              <w:rPr>
                <w:rFonts w:ascii="Arial" w:hAnsi="Arial" w:cs="Arial"/>
                <w:b/>
                <w:bCs/>
                <w:sz w:val="16"/>
                <w:szCs w:val="16"/>
              </w:rPr>
              <w:t xml:space="preserve">Ratification of the </w:t>
            </w:r>
            <w:proofErr w:type="spellStart"/>
            <w:r w:rsidRPr="00C45B5C">
              <w:rPr>
                <w:rFonts w:ascii="Arial" w:hAnsi="Arial" w:cs="Arial"/>
                <w:b/>
                <w:bCs/>
                <w:sz w:val="16"/>
                <w:szCs w:val="16"/>
              </w:rPr>
              <w:t>Macolin</w:t>
            </w:r>
            <w:proofErr w:type="spellEnd"/>
            <w:r w:rsidRPr="00C45B5C">
              <w:rPr>
                <w:rFonts w:ascii="Arial" w:hAnsi="Arial" w:cs="Arial"/>
                <w:b/>
                <w:bCs/>
                <w:sz w:val="16"/>
                <w:szCs w:val="16"/>
              </w:rPr>
              <w:t xml:space="preserve"> Convention and establishment of National Sport Integrity Offences </w:t>
            </w:r>
            <w:r w:rsidRPr="00C45B5C">
              <w:rPr>
                <w:rFonts w:ascii="Arial" w:hAnsi="Arial" w:cs="Arial"/>
                <w:b/>
                <w:bCs/>
                <w:sz w:val="16"/>
                <w:szCs w:val="16"/>
                <w:vertAlign w:val="superscript"/>
              </w:rPr>
              <w:t>(a)</w:t>
            </w:r>
          </w:p>
        </w:tc>
      </w:tr>
      <w:tr w:rsidR="00C45B5C" w:rsidRPr="00C45B5C" w14:paraId="3D949277" w14:textId="77777777" w:rsidTr="005C6BDD">
        <w:trPr>
          <w:trHeight w:val="227"/>
          <w:jc w:val="center"/>
        </w:trPr>
        <w:tc>
          <w:tcPr>
            <w:tcW w:w="3080" w:type="dxa"/>
            <w:tcBorders>
              <w:top w:val="nil"/>
              <w:left w:val="nil"/>
              <w:bottom w:val="nil"/>
              <w:right w:val="nil"/>
            </w:tcBorders>
            <w:shd w:val="clear" w:color="auto" w:fill="auto"/>
            <w:noWrap/>
            <w:vAlign w:val="bottom"/>
            <w:hideMark/>
          </w:tcPr>
          <w:p w14:paraId="29EFF89B" w14:textId="77777777" w:rsidR="00C45B5C" w:rsidRPr="00C45B5C" w:rsidRDefault="00C45B5C" w:rsidP="00C45B5C">
            <w:pPr>
              <w:spacing w:before="0" w:after="0" w:line="240" w:lineRule="auto"/>
              <w:rPr>
                <w:rFonts w:ascii="Arial" w:hAnsi="Arial" w:cs="Arial"/>
                <w:sz w:val="16"/>
                <w:szCs w:val="16"/>
              </w:rPr>
            </w:pPr>
            <w:r w:rsidRPr="00C45B5C">
              <w:rPr>
                <w:rFonts w:ascii="Arial" w:hAnsi="Arial" w:cs="Arial"/>
                <w:sz w:val="16"/>
                <w:szCs w:val="16"/>
              </w:rPr>
              <w:t>Sport Integrity Australia</w:t>
            </w:r>
          </w:p>
        </w:tc>
        <w:tc>
          <w:tcPr>
            <w:tcW w:w="960" w:type="dxa"/>
            <w:tcBorders>
              <w:top w:val="nil"/>
              <w:left w:val="nil"/>
              <w:bottom w:val="nil"/>
              <w:right w:val="nil"/>
            </w:tcBorders>
            <w:shd w:val="clear" w:color="auto" w:fill="auto"/>
            <w:noWrap/>
            <w:hideMark/>
          </w:tcPr>
          <w:p w14:paraId="76211F2F" w14:textId="77777777" w:rsidR="00C45B5C" w:rsidRPr="00C45B5C" w:rsidRDefault="00C45B5C" w:rsidP="00C45B5C">
            <w:pPr>
              <w:spacing w:before="0" w:after="0" w:line="240" w:lineRule="auto"/>
              <w:rPr>
                <w:rFonts w:ascii="Arial" w:hAnsi="Arial" w:cs="Arial"/>
                <w:sz w:val="16"/>
                <w:szCs w:val="16"/>
              </w:rPr>
            </w:pPr>
          </w:p>
        </w:tc>
        <w:tc>
          <w:tcPr>
            <w:tcW w:w="960" w:type="dxa"/>
            <w:tcBorders>
              <w:top w:val="nil"/>
              <w:left w:val="nil"/>
              <w:bottom w:val="nil"/>
              <w:right w:val="nil"/>
            </w:tcBorders>
            <w:shd w:val="clear" w:color="000000" w:fill="D9D9D9"/>
            <w:noWrap/>
            <w:vAlign w:val="bottom"/>
            <w:hideMark/>
          </w:tcPr>
          <w:p w14:paraId="6FB635D9" w14:textId="77777777" w:rsidR="00C45B5C" w:rsidRPr="00C45B5C" w:rsidRDefault="00C45B5C" w:rsidP="00C45B5C">
            <w:pPr>
              <w:spacing w:before="0" w:after="0" w:line="240" w:lineRule="auto"/>
              <w:rPr>
                <w:rFonts w:ascii="Arial" w:hAnsi="Arial" w:cs="Arial"/>
                <w:sz w:val="16"/>
                <w:szCs w:val="16"/>
              </w:rPr>
            </w:pPr>
            <w:r w:rsidRPr="00C45B5C">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3C3CB5B3" w14:textId="77777777" w:rsidR="00C45B5C" w:rsidRPr="00C45B5C" w:rsidRDefault="00C45B5C" w:rsidP="00C45B5C">
            <w:pPr>
              <w:spacing w:before="0" w:after="0" w:line="240" w:lineRule="auto"/>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00137537" w14:textId="77777777" w:rsidR="00C45B5C" w:rsidRPr="00C45B5C" w:rsidRDefault="00C45B5C" w:rsidP="00C45B5C">
            <w:pPr>
              <w:spacing w:before="0" w:after="0" w:line="240" w:lineRule="auto"/>
              <w:rPr>
                <w:rFonts w:ascii="Times New Roman" w:hAnsi="Times New Roman"/>
                <w:sz w:val="20"/>
              </w:rPr>
            </w:pPr>
          </w:p>
        </w:tc>
        <w:tc>
          <w:tcPr>
            <w:tcW w:w="960" w:type="dxa"/>
            <w:gridSpan w:val="2"/>
            <w:tcBorders>
              <w:top w:val="nil"/>
              <w:left w:val="nil"/>
              <w:bottom w:val="nil"/>
              <w:right w:val="nil"/>
            </w:tcBorders>
            <w:shd w:val="clear" w:color="auto" w:fill="auto"/>
            <w:noWrap/>
            <w:vAlign w:val="bottom"/>
            <w:hideMark/>
          </w:tcPr>
          <w:p w14:paraId="058462A6" w14:textId="77777777" w:rsidR="00C45B5C" w:rsidRPr="00C45B5C" w:rsidRDefault="00C45B5C" w:rsidP="00C45B5C">
            <w:pPr>
              <w:spacing w:before="0" w:after="0" w:line="240" w:lineRule="auto"/>
              <w:rPr>
                <w:rFonts w:ascii="Times New Roman" w:hAnsi="Times New Roman"/>
                <w:sz w:val="20"/>
              </w:rPr>
            </w:pPr>
          </w:p>
        </w:tc>
      </w:tr>
      <w:tr w:rsidR="00C45B5C" w:rsidRPr="00C45B5C" w14:paraId="4A6BED28" w14:textId="77777777" w:rsidTr="00C45B5C">
        <w:trPr>
          <w:trHeight w:val="225"/>
          <w:jc w:val="center"/>
        </w:trPr>
        <w:tc>
          <w:tcPr>
            <w:tcW w:w="3080" w:type="dxa"/>
            <w:tcBorders>
              <w:top w:val="nil"/>
              <w:left w:val="nil"/>
              <w:bottom w:val="nil"/>
              <w:right w:val="nil"/>
            </w:tcBorders>
            <w:shd w:val="clear" w:color="auto" w:fill="auto"/>
            <w:noWrap/>
            <w:vAlign w:val="bottom"/>
            <w:hideMark/>
          </w:tcPr>
          <w:p w14:paraId="07C3A584" w14:textId="77777777" w:rsidR="00C45B5C" w:rsidRPr="00C45B5C" w:rsidRDefault="00C45B5C" w:rsidP="005319F6">
            <w:pPr>
              <w:spacing w:before="0" w:after="0" w:line="240" w:lineRule="auto"/>
              <w:ind w:leftChars="75" w:left="143"/>
              <w:rPr>
                <w:rFonts w:ascii="Arial" w:hAnsi="Arial" w:cs="Arial"/>
                <w:sz w:val="16"/>
                <w:szCs w:val="16"/>
              </w:rPr>
            </w:pPr>
            <w:r w:rsidRPr="00C45B5C">
              <w:rPr>
                <w:rFonts w:ascii="Arial" w:hAnsi="Arial" w:cs="Arial"/>
                <w:sz w:val="16"/>
                <w:szCs w:val="16"/>
              </w:rPr>
              <w:t>Departmental payments</w:t>
            </w:r>
          </w:p>
        </w:tc>
        <w:tc>
          <w:tcPr>
            <w:tcW w:w="960" w:type="dxa"/>
            <w:tcBorders>
              <w:top w:val="nil"/>
              <w:left w:val="nil"/>
              <w:bottom w:val="nil"/>
              <w:right w:val="nil"/>
            </w:tcBorders>
            <w:shd w:val="clear" w:color="auto" w:fill="auto"/>
            <w:noWrap/>
            <w:vAlign w:val="bottom"/>
            <w:hideMark/>
          </w:tcPr>
          <w:p w14:paraId="77B17AF6"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1.1</w:t>
            </w:r>
          </w:p>
        </w:tc>
        <w:tc>
          <w:tcPr>
            <w:tcW w:w="960" w:type="dxa"/>
            <w:tcBorders>
              <w:top w:val="nil"/>
              <w:left w:val="nil"/>
              <w:bottom w:val="nil"/>
              <w:right w:val="nil"/>
            </w:tcBorders>
            <w:shd w:val="clear" w:color="000000" w:fill="D9D9D9"/>
            <w:noWrap/>
            <w:vAlign w:val="bottom"/>
            <w:hideMark/>
          </w:tcPr>
          <w:p w14:paraId="6EC7308B"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A9E2407"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FD91129"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c>
          <w:tcPr>
            <w:tcW w:w="960" w:type="dxa"/>
            <w:gridSpan w:val="2"/>
            <w:tcBorders>
              <w:top w:val="nil"/>
              <w:left w:val="nil"/>
              <w:bottom w:val="nil"/>
              <w:right w:val="nil"/>
            </w:tcBorders>
            <w:shd w:val="clear" w:color="auto" w:fill="auto"/>
            <w:noWrap/>
            <w:vAlign w:val="bottom"/>
            <w:hideMark/>
          </w:tcPr>
          <w:p w14:paraId="55742BF5" w14:textId="77777777" w:rsidR="00C45B5C" w:rsidRPr="00C45B5C" w:rsidRDefault="00C45B5C" w:rsidP="00C45B5C">
            <w:pPr>
              <w:spacing w:before="0" w:after="0" w:line="240" w:lineRule="auto"/>
              <w:jc w:val="right"/>
              <w:rPr>
                <w:rFonts w:ascii="Arial" w:hAnsi="Arial" w:cs="Arial"/>
                <w:sz w:val="16"/>
                <w:szCs w:val="16"/>
              </w:rPr>
            </w:pPr>
            <w:r w:rsidRPr="00C45B5C">
              <w:rPr>
                <w:rFonts w:ascii="Arial" w:hAnsi="Arial" w:cs="Arial"/>
                <w:sz w:val="16"/>
                <w:szCs w:val="16"/>
              </w:rPr>
              <w:t>-</w:t>
            </w:r>
          </w:p>
        </w:tc>
      </w:tr>
      <w:tr w:rsidR="00C45B5C" w:rsidRPr="00C45B5C" w14:paraId="0006BA0B" w14:textId="77777777" w:rsidTr="00C45B5C">
        <w:trPr>
          <w:trHeight w:val="225"/>
          <w:jc w:val="center"/>
        </w:trPr>
        <w:tc>
          <w:tcPr>
            <w:tcW w:w="3080" w:type="dxa"/>
            <w:tcBorders>
              <w:top w:val="nil"/>
              <w:left w:val="nil"/>
              <w:bottom w:val="single" w:sz="4" w:space="0" w:color="auto"/>
              <w:right w:val="nil"/>
            </w:tcBorders>
            <w:shd w:val="clear" w:color="auto" w:fill="auto"/>
            <w:noWrap/>
            <w:vAlign w:val="bottom"/>
            <w:hideMark/>
          </w:tcPr>
          <w:p w14:paraId="2975E6E2" w14:textId="77777777" w:rsidR="00C45B5C" w:rsidRPr="00C45B5C" w:rsidRDefault="00C45B5C" w:rsidP="00C45B5C">
            <w:pPr>
              <w:spacing w:before="0" w:after="0" w:line="240" w:lineRule="auto"/>
              <w:rPr>
                <w:rFonts w:ascii="Arial" w:hAnsi="Arial" w:cs="Arial"/>
                <w:b/>
                <w:bCs/>
                <w:sz w:val="16"/>
                <w:szCs w:val="16"/>
              </w:rPr>
            </w:pPr>
            <w:r w:rsidRPr="00C45B5C">
              <w:rPr>
                <w:rFonts w:ascii="Arial" w:hAnsi="Arial" w:cs="Arial"/>
                <w:b/>
                <w:bCs/>
                <w:sz w:val="16"/>
                <w:szCs w:val="16"/>
              </w:rPr>
              <w:t>Total payments</w:t>
            </w:r>
          </w:p>
        </w:tc>
        <w:tc>
          <w:tcPr>
            <w:tcW w:w="960" w:type="dxa"/>
            <w:tcBorders>
              <w:top w:val="single" w:sz="4" w:space="0" w:color="auto"/>
              <w:left w:val="nil"/>
              <w:bottom w:val="single" w:sz="4" w:space="0" w:color="auto"/>
              <w:right w:val="nil"/>
            </w:tcBorders>
            <w:shd w:val="clear" w:color="auto" w:fill="auto"/>
            <w:noWrap/>
            <w:vAlign w:val="bottom"/>
            <w:hideMark/>
          </w:tcPr>
          <w:p w14:paraId="2B272D4A"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000000" w:fill="D9D9D9"/>
            <w:noWrap/>
            <w:vAlign w:val="bottom"/>
            <w:hideMark/>
          </w:tcPr>
          <w:p w14:paraId="19014AC6"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w:t>
            </w:r>
          </w:p>
        </w:tc>
        <w:tc>
          <w:tcPr>
            <w:tcW w:w="960" w:type="dxa"/>
            <w:tcBorders>
              <w:top w:val="single" w:sz="4" w:space="0" w:color="auto"/>
              <w:left w:val="nil"/>
              <w:bottom w:val="single" w:sz="4" w:space="0" w:color="auto"/>
              <w:right w:val="nil"/>
            </w:tcBorders>
            <w:shd w:val="clear" w:color="auto" w:fill="auto"/>
            <w:noWrap/>
            <w:vAlign w:val="bottom"/>
            <w:hideMark/>
          </w:tcPr>
          <w:p w14:paraId="619E4E11"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w:t>
            </w:r>
          </w:p>
        </w:tc>
        <w:tc>
          <w:tcPr>
            <w:tcW w:w="960" w:type="dxa"/>
            <w:tcBorders>
              <w:top w:val="single" w:sz="4" w:space="0" w:color="auto"/>
              <w:left w:val="nil"/>
              <w:bottom w:val="single" w:sz="4" w:space="0" w:color="auto"/>
              <w:right w:val="nil"/>
            </w:tcBorders>
            <w:shd w:val="clear" w:color="auto" w:fill="auto"/>
            <w:noWrap/>
            <w:vAlign w:val="bottom"/>
            <w:hideMark/>
          </w:tcPr>
          <w:p w14:paraId="1125CE9A"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7273970D" w14:textId="77777777" w:rsidR="00C45B5C" w:rsidRPr="00C45B5C" w:rsidRDefault="00C45B5C" w:rsidP="00C45B5C">
            <w:pPr>
              <w:spacing w:before="0" w:after="0" w:line="240" w:lineRule="auto"/>
              <w:jc w:val="right"/>
              <w:rPr>
                <w:rFonts w:ascii="Arial" w:hAnsi="Arial" w:cs="Arial"/>
                <w:b/>
                <w:bCs/>
                <w:sz w:val="16"/>
                <w:szCs w:val="16"/>
              </w:rPr>
            </w:pPr>
            <w:r w:rsidRPr="00C45B5C">
              <w:rPr>
                <w:rFonts w:ascii="Arial" w:hAnsi="Arial" w:cs="Arial"/>
                <w:b/>
                <w:bCs/>
                <w:sz w:val="16"/>
                <w:szCs w:val="16"/>
              </w:rPr>
              <w:t>-</w:t>
            </w:r>
          </w:p>
        </w:tc>
      </w:tr>
    </w:tbl>
    <w:p w14:paraId="7DDE34E6" w14:textId="57752346" w:rsidR="00C45B5C" w:rsidRDefault="005319F6" w:rsidP="005319F6">
      <w:pPr>
        <w:pStyle w:val="FootnoteText"/>
        <w:spacing w:before="120"/>
      </w:pPr>
      <w:r w:rsidRPr="005319F6">
        <w:rPr>
          <w:vertAlign w:val="superscript"/>
        </w:rPr>
        <w:t>(a)</w:t>
      </w:r>
      <w:r>
        <w:tab/>
      </w:r>
      <w:r w:rsidRPr="005319F6">
        <w:t>The cost of this measure will be met from existing resources.</w:t>
      </w:r>
      <w:r w:rsidRPr="005319F6">
        <w:tab/>
      </w:r>
    </w:p>
    <w:p w14:paraId="29F8C82E" w14:textId="1C016DCE" w:rsidR="00526CE6" w:rsidRPr="007D0E54" w:rsidRDefault="00F552F6" w:rsidP="00526CE6">
      <w:pPr>
        <w:pStyle w:val="Heading3"/>
        <w:ind w:left="567" w:hanging="567"/>
        <w:rPr>
          <w:rFonts w:ascii="Arial" w:hAnsi="Arial" w:cs="Arial"/>
        </w:rPr>
      </w:pPr>
      <w:r>
        <w:fldChar w:fldCharType="begin"/>
      </w:r>
      <w:r>
        <w:instrText xml:space="preserve"> </w:instrText>
      </w:r>
      <w:proofErr w:type="gramStart"/>
      <w:r>
        <w:instrText>TC  "</w:instrText>
      </w:r>
      <w:bookmarkStart w:id="577" w:name="_Toc157520573"/>
      <w:proofErr w:type="gramEnd"/>
      <w:r>
        <w:instrText>1.4</w:instrText>
      </w:r>
      <w:r>
        <w:tab/>
        <w:instrText>Additional estimates, resourcing and variations to outcomes</w:instrText>
      </w:r>
      <w:bookmarkEnd w:id="577"/>
      <w:r>
        <w:instrText xml:space="preserve">" \f </w:instrText>
      </w:r>
      <w:proofErr w:type="spellStart"/>
      <w:r>
        <w:instrText>sia</w:instrText>
      </w:r>
      <w:proofErr w:type="spellEnd"/>
      <w:r>
        <w:instrText xml:space="preserve"> \l 2 </w:instrText>
      </w:r>
      <w:r>
        <w:fldChar w:fldCharType="end"/>
      </w:r>
      <w:bookmarkStart w:id="578" w:name="_Toc157592049"/>
      <w:bookmarkStart w:id="579" w:name="_Toc157592232"/>
      <w:r w:rsidR="00526CE6" w:rsidRPr="007D0E54">
        <w:rPr>
          <w:rFonts w:ascii="Arial" w:hAnsi="Arial" w:cs="Arial"/>
        </w:rPr>
        <w:t>1.4: Additional estimates, resourcing and variations to outcomes</w:t>
      </w:r>
      <w:bookmarkEnd w:id="578"/>
      <w:bookmarkEnd w:id="579"/>
    </w:p>
    <w:p w14:paraId="48246833" w14:textId="77777777" w:rsidR="00526CE6" w:rsidRPr="00F661DD" w:rsidRDefault="00526CE6" w:rsidP="00526CE6">
      <w:pPr>
        <w:rPr>
          <w:sz w:val="20"/>
        </w:rPr>
      </w:pPr>
      <w:r w:rsidRPr="00F661DD">
        <w:rPr>
          <w:sz w:val="20"/>
        </w:rPr>
        <w:t>The following tables detail the changes to the resourcing for Sport Integrity Australia at Additional Estimates, by outcome. Table 1.3 details the Additional Estimates resulting from new measures and other variations since the 2023–24 Budget in Appropriation Bills Nos. 3 and 4.</w:t>
      </w:r>
    </w:p>
    <w:p w14:paraId="37BE3E0D" w14:textId="77777777" w:rsidR="00526CE6" w:rsidRDefault="00526CE6" w:rsidP="00526CE6">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840" w:type="dxa"/>
        <w:jc w:val="center"/>
        <w:tblLayout w:type="fixed"/>
        <w:tblLook w:val="04A0" w:firstRow="1" w:lastRow="0" w:firstColumn="1" w:lastColumn="0" w:noHBand="0" w:noVBand="1"/>
      </w:tblPr>
      <w:tblGrid>
        <w:gridCol w:w="4160"/>
        <w:gridCol w:w="920"/>
        <w:gridCol w:w="920"/>
        <w:gridCol w:w="920"/>
        <w:gridCol w:w="920"/>
      </w:tblGrid>
      <w:tr w:rsidR="005319F6" w:rsidRPr="005319F6" w14:paraId="7B2F260C" w14:textId="77777777" w:rsidTr="00244D00">
        <w:trPr>
          <w:trHeight w:val="397"/>
          <w:jc w:val="center"/>
        </w:trPr>
        <w:tc>
          <w:tcPr>
            <w:tcW w:w="4160" w:type="dxa"/>
            <w:tcBorders>
              <w:top w:val="single" w:sz="4" w:space="0" w:color="auto"/>
              <w:left w:val="nil"/>
              <w:bottom w:val="nil"/>
              <w:right w:val="nil"/>
            </w:tcBorders>
            <w:shd w:val="clear" w:color="auto" w:fill="auto"/>
            <w:noWrap/>
            <w:hideMark/>
          </w:tcPr>
          <w:p w14:paraId="6C2E9BC6" w14:textId="77777777" w:rsidR="005319F6" w:rsidRPr="005319F6" w:rsidRDefault="005319F6" w:rsidP="005319F6">
            <w:pPr>
              <w:spacing w:before="24" w:after="0" w:line="240" w:lineRule="auto"/>
              <w:jc w:val="right"/>
              <w:rPr>
                <w:rFonts w:ascii="Arial" w:hAnsi="Arial" w:cs="Arial"/>
                <w:sz w:val="16"/>
                <w:szCs w:val="16"/>
              </w:rPr>
            </w:pPr>
            <w:r w:rsidRPr="005319F6">
              <w:rPr>
                <w:rFonts w:ascii="Arial" w:hAnsi="Arial" w:cs="Arial"/>
                <w:sz w:val="16"/>
                <w:szCs w:val="16"/>
              </w:rPr>
              <w:t> </w:t>
            </w:r>
          </w:p>
        </w:tc>
        <w:tc>
          <w:tcPr>
            <w:tcW w:w="920" w:type="dxa"/>
            <w:tcBorders>
              <w:top w:val="single" w:sz="4" w:space="0" w:color="auto"/>
              <w:left w:val="nil"/>
              <w:bottom w:val="single" w:sz="4" w:space="0" w:color="auto"/>
              <w:right w:val="nil"/>
            </w:tcBorders>
            <w:shd w:val="clear" w:color="000000" w:fill="D9D9D9"/>
            <w:hideMark/>
          </w:tcPr>
          <w:p w14:paraId="531AE9BF" w14:textId="18CA060D" w:rsidR="005319F6" w:rsidRPr="005319F6" w:rsidRDefault="005319F6" w:rsidP="005319F6">
            <w:pPr>
              <w:spacing w:before="24" w:after="0" w:line="240" w:lineRule="auto"/>
              <w:jc w:val="right"/>
              <w:rPr>
                <w:rFonts w:ascii="Arial" w:hAnsi="Arial" w:cs="Arial"/>
                <w:b/>
                <w:bCs/>
                <w:sz w:val="16"/>
                <w:szCs w:val="16"/>
              </w:rPr>
            </w:pPr>
            <w:r>
              <w:rPr>
                <w:rFonts w:ascii="Arial" w:hAnsi="Arial" w:cs="Arial"/>
                <w:b/>
                <w:bCs/>
                <w:sz w:val="16"/>
                <w:szCs w:val="16"/>
              </w:rPr>
              <w:t>2023–</w:t>
            </w:r>
            <w:r w:rsidRPr="005319F6">
              <w:rPr>
                <w:rFonts w:ascii="Arial" w:hAnsi="Arial" w:cs="Arial"/>
                <w:b/>
                <w:bCs/>
                <w:sz w:val="16"/>
                <w:szCs w:val="16"/>
              </w:rPr>
              <w:t>24</w:t>
            </w:r>
            <w:r w:rsidRPr="005319F6">
              <w:rPr>
                <w:rFonts w:ascii="Arial" w:hAnsi="Arial" w:cs="Arial"/>
                <w:b/>
                <w:bCs/>
                <w:sz w:val="16"/>
                <w:szCs w:val="16"/>
              </w:rPr>
              <w:br/>
            </w:r>
            <w:r w:rsidRPr="00CE75F4">
              <w:rPr>
                <w:rFonts w:ascii="Arial" w:hAnsi="Arial" w:cs="Arial"/>
                <w:bCs/>
                <w:sz w:val="16"/>
                <w:szCs w:val="16"/>
              </w:rPr>
              <w:t>$'000</w:t>
            </w:r>
          </w:p>
        </w:tc>
        <w:tc>
          <w:tcPr>
            <w:tcW w:w="920" w:type="dxa"/>
            <w:tcBorders>
              <w:top w:val="single" w:sz="4" w:space="0" w:color="auto"/>
              <w:left w:val="nil"/>
              <w:bottom w:val="single" w:sz="4" w:space="0" w:color="auto"/>
              <w:right w:val="nil"/>
            </w:tcBorders>
            <w:shd w:val="clear" w:color="auto" w:fill="auto"/>
            <w:hideMark/>
          </w:tcPr>
          <w:p w14:paraId="4A86371A" w14:textId="493174E7" w:rsidR="005319F6" w:rsidRPr="005319F6" w:rsidRDefault="005319F6" w:rsidP="005319F6">
            <w:pPr>
              <w:spacing w:before="24" w:after="0" w:line="240" w:lineRule="auto"/>
              <w:jc w:val="right"/>
              <w:rPr>
                <w:rFonts w:ascii="Arial" w:hAnsi="Arial" w:cs="Arial"/>
                <w:b/>
                <w:bCs/>
                <w:sz w:val="16"/>
                <w:szCs w:val="16"/>
              </w:rPr>
            </w:pPr>
            <w:r>
              <w:rPr>
                <w:rFonts w:ascii="Arial" w:hAnsi="Arial" w:cs="Arial"/>
                <w:b/>
                <w:bCs/>
                <w:sz w:val="16"/>
                <w:szCs w:val="16"/>
              </w:rPr>
              <w:t>2024–</w:t>
            </w:r>
            <w:r w:rsidRPr="005319F6">
              <w:rPr>
                <w:rFonts w:ascii="Arial" w:hAnsi="Arial" w:cs="Arial"/>
                <w:b/>
                <w:bCs/>
                <w:sz w:val="16"/>
                <w:szCs w:val="16"/>
              </w:rPr>
              <w:t>25</w:t>
            </w:r>
            <w:r w:rsidRPr="005319F6">
              <w:rPr>
                <w:rFonts w:ascii="Arial" w:hAnsi="Arial" w:cs="Arial"/>
                <w:b/>
                <w:bCs/>
                <w:sz w:val="16"/>
                <w:szCs w:val="16"/>
              </w:rPr>
              <w:br/>
            </w:r>
            <w:r w:rsidRPr="00CE75F4">
              <w:rPr>
                <w:rFonts w:ascii="Arial" w:hAnsi="Arial" w:cs="Arial"/>
                <w:bCs/>
                <w:sz w:val="16"/>
                <w:szCs w:val="16"/>
              </w:rPr>
              <w:t>$'000</w:t>
            </w:r>
          </w:p>
        </w:tc>
        <w:tc>
          <w:tcPr>
            <w:tcW w:w="920" w:type="dxa"/>
            <w:tcBorders>
              <w:top w:val="single" w:sz="4" w:space="0" w:color="auto"/>
              <w:left w:val="nil"/>
              <w:bottom w:val="single" w:sz="4" w:space="0" w:color="auto"/>
              <w:right w:val="nil"/>
            </w:tcBorders>
            <w:shd w:val="clear" w:color="auto" w:fill="auto"/>
            <w:hideMark/>
          </w:tcPr>
          <w:p w14:paraId="19FCBDCF" w14:textId="1C8250F5" w:rsidR="005319F6" w:rsidRPr="005319F6" w:rsidRDefault="005319F6" w:rsidP="005319F6">
            <w:pPr>
              <w:spacing w:before="24" w:after="0" w:line="240" w:lineRule="auto"/>
              <w:jc w:val="right"/>
              <w:rPr>
                <w:rFonts w:ascii="Arial" w:hAnsi="Arial" w:cs="Arial"/>
                <w:b/>
                <w:bCs/>
                <w:sz w:val="16"/>
                <w:szCs w:val="16"/>
              </w:rPr>
            </w:pPr>
            <w:r>
              <w:rPr>
                <w:rFonts w:ascii="Arial" w:hAnsi="Arial" w:cs="Arial"/>
                <w:b/>
                <w:bCs/>
                <w:sz w:val="16"/>
                <w:szCs w:val="16"/>
              </w:rPr>
              <w:t>2025–</w:t>
            </w:r>
            <w:r w:rsidRPr="005319F6">
              <w:rPr>
                <w:rFonts w:ascii="Arial" w:hAnsi="Arial" w:cs="Arial"/>
                <w:b/>
                <w:bCs/>
                <w:sz w:val="16"/>
                <w:szCs w:val="16"/>
              </w:rPr>
              <w:t>26</w:t>
            </w:r>
            <w:r w:rsidRPr="005319F6">
              <w:rPr>
                <w:rFonts w:ascii="Arial" w:hAnsi="Arial" w:cs="Arial"/>
                <w:b/>
                <w:bCs/>
                <w:sz w:val="16"/>
                <w:szCs w:val="16"/>
              </w:rPr>
              <w:br/>
            </w:r>
            <w:r w:rsidRPr="00CE75F4">
              <w:rPr>
                <w:rFonts w:ascii="Arial" w:hAnsi="Arial" w:cs="Arial"/>
                <w:bCs/>
                <w:sz w:val="16"/>
                <w:szCs w:val="16"/>
              </w:rPr>
              <w:t>$'000</w:t>
            </w:r>
          </w:p>
        </w:tc>
        <w:tc>
          <w:tcPr>
            <w:tcW w:w="920" w:type="dxa"/>
            <w:tcBorders>
              <w:top w:val="single" w:sz="4" w:space="0" w:color="auto"/>
              <w:left w:val="nil"/>
              <w:bottom w:val="single" w:sz="4" w:space="0" w:color="auto"/>
              <w:right w:val="nil"/>
            </w:tcBorders>
            <w:shd w:val="clear" w:color="auto" w:fill="auto"/>
            <w:hideMark/>
          </w:tcPr>
          <w:p w14:paraId="100A6E1E" w14:textId="607663AF" w:rsidR="005319F6" w:rsidRPr="005319F6" w:rsidRDefault="005319F6" w:rsidP="005319F6">
            <w:pPr>
              <w:spacing w:before="24" w:after="0" w:line="240" w:lineRule="auto"/>
              <w:jc w:val="right"/>
              <w:rPr>
                <w:rFonts w:ascii="Arial" w:hAnsi="Arial" w:cs="Arial"/>
                <w:b/>
                <w:bCs/>
                <w:sz w:val="16"/>
                <w:szCs w:val="16"/>
              </w:rPr>
            </w:pPr>
            <w:r>
              <w:rPr>
                <w:rFonts w:ascii="Arial" w:hAnsi="Arial" w:cs="Arial"/>
                <w:b/>
                <w:bCs/>
                <w:sz w:val="16"/>
                <w:szCs w:val="16"/>
              </w:rPr>
              <w:t>2026–</w:t>
            </w:r>
            <w:r w:rsidRPr="005319F6">
              <w:rPr>
                <w:rFonts w:ascii="Arial" w:hAnsi="Arial" w:cs="Arial"/>
                <w:b/>
                <w:bCs/>
                <w:sz w:val="16"/>
                <w:szCs w:val="16"/>
              </w:rPr>
              <w:t>27</w:t>
            </w:r>
            <w:r w:rsidRPr="005319F6">
              <w:rPr>
                <w:rFonts w:ascii="Arial" w:hAnsi="Arial" w:cs="Arial"/>
                <w:b/>
                <w:bCs/>
                <w:sz w:val="16"/>
                <w:szCs w:val="16"/>
              </w:rPr>
              <w:br/>
            </w:r>
            <w:r w:rsidRPr="00CE75F4">
              <w:rPr>
                <w:rFonts w:ascii="Arial" w:hAnsi="Arial" w:cs="Arial"/>
                <w:bCs/>
                <w:sz w:val="16"/>
                <w:szCs w:val="16"/>
              </w:rPr>
              <w:t>$'000</w:t>
            </w:r>
          </w:p>
        </w:tc>
      </w:tr>
      <w:tr w:rsidR="005319F6" w:rsidRPr="005319F6" w14:paraId="1D3C6C13"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5AD3A08E" w14:textId="77777777" w:rsidR="005319F6" w:rsidRPr="005319F6" w:rsidRDefault="005319F6" w:rsidP="005319F6">
            <w:pPr>
              <w:spacing w:before="0" w:after="0" w:line="240" w:lineRule="auto"/>
              <w:rPr>
                <w:rFonts w:ascii="Arial" w:hAnsi="Arial" w:cs="Arial"/>
                <w:b/>
                <w:bCs/>
                <w:sz w:val="16"/>
                <w:szCs w:val="16"/>
              </w:rPr>
            </w:pPr>
            <w:r w:rsidRPr="005319F6">
              <w:rPr>
                <w:rFonts w:ascii="Arial" w:hAnsi="Arial" w:cs="Arial"/>
                <w:b/>
                <w:bCs/>
                <w:sz w:val="16"/>
                <w:szCs w:val="16"/>
              </w:rPr>
              <w:t>Program 1.1: Sport Integrity</w:t>
            </w:r>
          </w:p>
        </w:tc>
        <w:tc>
          <w:tcPr>
            <w:tcW w:w="920" w:type="dxa"/>
            <w:tcBorders>
              <w:top w:val="nil"/>
              <w:left w:val="nil"/>
              <w:bottom w:val="nil"/>
              <w:right w:val="nil"/>
            </w:tcBorders>
            <w:shd w:val="clear" w:color="auto" w:fill="auto"/>
            <w:noWrap/>
            <w:vAlign w:val="bottom"/>
            <w:hideMark/>
          </w:tcPr>
          <w:p w14:paraId="03C34DB8" w14:textId="77777777" w:rsidR="005319F6" w:rsidRPr="005319F6" w:rsidRDefault="005319F6" w:rsidP="005319F6">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76892F0F" w14:textId="77777777" w:rsidR="005319F6" w:rsidRPr="005319F6" w:rsidRDefault="005319F6" w:rsidP="005319F6">
            <w:pPr>
              <w:spacing w:before="0" w:after="0" w:line="240" w:lineRule="auto"/>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7DF3A87" w14:textId="77777777" w:rsidR="005319F6" w:rsidRPr="005319F6" w:rsidRDefault="005319F6" w:rsidP="005319F6">
            <w:pPr>
              <w:spacing w:before="0" w:after="0" w:line="240" w:lineRule="auto"/>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9D50C0F" w14:textId="77777777" w:rsidR="005319F6" w:rsidRPr="005319F6" w:rsidRDefault="005319F6" w:rsidP="005319F6">
            <w:pPr>
              <w:spacing w:before="0" w:after="0" w:line="240" w:lineRule="auto"/>
              <w:rPr>
                <w:rFonts w:ascii="Times New Roman" w:hAnsi="Times New Roman"/>
                <w:sz w:val="20"/>
              </w:rPr>
            </w:pPr>
          </w:p>
        </w:tc>
      </w:tr>
      <w:tr w:rsidR="005319F6" w:rsidRPr="005319F6" w14:paraId="6A804979"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320AD977" w14:textId="77777777" w:rsidR="005319F6" w:rsidRPr="005319F6" w:rsidRDefault="005319F6" w:rsidP="005319F6">
            <w:pPr>
              <w:spacing w:before="0" w:after="0" w:line="240" w:lineRule="auto"/>
              <w:rPr>
                <w:rFonts w:ascii="Arial" w:hAnsi="Arial" w:cs="Arial"/>
                <w:b/>
                <w:bCs/>
                <w:sz w:val="16"/>
                <w:szCs w:val="16"/>
              </w:rPr>
            </w:pPr>
            <w:r w:rsidRPr="005319F6">
              <w:rPr>
                <w:rFonts w:ascii="Arial" w:hAnsi="Arial" w:cs="Arial"/>
                <w:b/>
                <w:bCs/>
                <w:sz w:val="16"/>
                <w:szCs w:val="16"/>
              </w:rPr>
              <w:t>Changes to administered appropriations</w:t>
            </w:r>
          </w:p>
        </w:tc>
        <w:tc>
          <w:tcPr>
            <w:tcW w:w="920" w:type="dxa"/>
            <w:tcBorders>
              <w:top w:val="nil"/>
              <w:left w:val="nil"/>
              <w:bottom w:val="nil"/>
              <w:right w:val="nil"/>
            </w:tcBorders>
            <w:shd w:val="clear" w:color="000000" w:fill="D9D9D9"/>
            <w:noWrap/>
            <w:vAlign w:val="bottom"/>
            <w:hideMark/>
          </w:tcPr>
          <w:p w14:paraId="6545656C"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250CD1B" w14:textId="77777777" w:rsidR="005319F6" w:rsidRPr="005319F6" w:rsidRDefault="005319F6" w:rsidP="005319F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60D95BB9" w14:textId="77777777" w:rsidR="005319F6" w:rsidRPr="005319F6" w:rsidRDefault="005319F6" w:rsidP="005319F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0DA0BD06" w14:textId="77777777" w:rsidR="005319F6" w:rsidRPr="005319F6" w:rsidRDefault="005319F6" w:rsidP="005319F6">
            <w:pPr>
              <w:spacing w:before="0" w:after="0" w:line="240" w:lineRule="auto"/>
              <w:jc w:val="right"/>
              <w:rPr>
                <w:rFonts w:ascii="Times New Roman" w:hAnsi="Times New Roman"/>
                <w:sz w:val="20"/>
              </w:rPr>
            </w:pPr>
          </w:p>
        </w:tc>
      </w:tr>
      <w:tr w:rsidR="005319F6" w:rsidRPr="005319F6" w14:paraId="0A2A58C9"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568F8CEF"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sz w:val="16"/>
                <w:szCs w:val="16"/>
              </w:rPr>
              <w:t xml:space="preserve">Appropriation Bill (No. 3) </w:t>
            </w:r>
          </w:p>
        </w:tc>
        <w:tc>
          <w:tcPr>
            <w:tcW w:w="920" w:type="dxa"/>
            <w:tcBorders>
              <w:top w:val="nil"/>
              <w:left w:val="nil"/>
              <w:bottom w:val="nil"/>
              <w:right w:val="nil"/>
            </w:tcBorders>
            <w:shd w:val="clear" w:color="000000" w:fill="D9D9D9"/>
            <w:noWrap/>
            <w:vAlign w:val="bottom"/>
            <w:hideMark/>
          </w:tcPr>
          <w:p w14:paraId="5C1E8ED4"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1B5A4B56" w14:textId="77777777" w:rsidR="005319F6" w:rsidRPr="005319F6" w:rsidRDefault="005319F6" w:rsidP="005319F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7208E06E" w14:textId="77777777" w:rsidR="005319F6" w:rsidRPr="005319F6" w:rsidRDefault="005319F6" w:rsidP="005319F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5996D305" w14:textId="77777777" w:rsidR="005319F6" w:rsidRPr="005319F6" w:rsidRDefault="005319F6" w:rsidP="005319F6">
            <w:pPr>
              <w:spacing w:before="0" w:after="0" w:line="240" w:lineRule="auto"/>
              <w:jc w:val="right"/>
              <w:rPr>
                <w:rFonts w:ascii="Times New Roman" w:hAnsi="Times New Roman"/>
                <w:sz w:val="20"/>
              </w:rPr>
            </w:pPr>
          </w:p>
        </w:tc>
      </w:tr>
      <w:tr w:rsidR="005319F6" w:rsidRPr="005319F6" w14:paraId="45DD8A63"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159CD510"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sz w:val="16"/>
                <w:szCs w:val="16"/>
              </w:rPr>
              <w:t>Sport Integrity Program - reprofile of funding</w:t>
            </w:r>
          </w:p>
        </w:tc>
        <w:tc>
          <w:tcPr>
            <w:tcW w:w="920" w:type="dxa"/>
            <w:tcBorders>
              <w:top w:val="nil"/>
              <w:left w:val="nil"/>
              <w:bottom w:val="nil"/>
              <w:right w:val="nil"/>
            </w:tcBorders>
            <w:shd w:val="clear" w:color="000000" w:fill="D9D9D9"/>
            <w:noWrap/>
            <w:vAlign w:val="bottom"/>
            <w:hideMark/>
          </w:tcPr>
          <w:p w14:paraId="3CA68993"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2,226 </w:t>
            </w:r>
          </w:p>
        </w:tc>
        <w:tc>
          <w:tcPr>
            <w:tcW w:w="920" w:type="dxa"/>
            <w:tcBorders>
              <w:top w:val="nil"/>
              <w:left w:val="nil"/>
              <w:bottom w:val="nil"/>
              <w:right w:val="nil"/>
            </w:tcBorders>
            <w:shd w:val="clear" w:color="auto" w:fill="auto"/>
            <w:noWrap/>
            <w:vAlign w:val="bottom"/>
            <w:hideMark/>
          </w:tcPr>
          <w:p w14:paraId="5BF8A02C" w14:textId="292D348E" w:rsidR="005319F6" w:rsidRPr="005319F6" w:rsidRDefault="000333A4" w:rsidP="005319F6">
            <w:pPr>
              <w:spacing w:before="0" w:after="0" w:line="240" w:lineRule="auto"/>
              <w:jc w:val="right"/>
              <w:rPr>
                <w:rFonts w:ascii="Arial" w:hAnsi="Arial" w:cs="Arial"/>
                <w:sz w:val="16"/>
                <w:szCs w:val="16"/>
              </w:rPr>
            </w:pPr>
            <w:r>
              <w:rPr>
                <w:rFonts w:ascii="Arial" w:hAnsi="Arial" w:cs="Arial"/>
                <w:sz w:val="16"/>
                <w:szCs w:val="16"/>
              </w:rPr>
              <w:t>-</w:t>
            </w:r>
          </w:p>
        </w:tc>
        <w:tc>
          <w:tcPr>
            <w:tcW w:w="920" w:type="dxa"/>
            <w:tcBorders>
              <w:top w:val="nil"/>
              <w:left w:val="nil"/>
              <w:bottom w:val="nil"/>
              <w:right w:val="nil"/>
            </w:tcBorders>
            <w:shd w:val="clear" w:color="auto" w:fill="auto"/>
            <w:noWrap/>
            <w:vAlign w:val="bottom"/>
            <w:hideMark/>
          </w:tcPr>
          <w:p w14:paraId="6C2594AB" w14:textId="44952EC6" w:rsidR="005319F6" w:rsidRPr="000333A4" w:rsidRDefault="000333A4" w:rsidP="005319F6">
            <w:pPr>
              <w:spacing w:before="0" w:after="0" w:line="240" w:lineRule="auto"/>
              <w:jc w:val="right"/>
              <w:rPr>
                <w:rFonts w:ascii="Times New Roman" w:hAnsi="Times New Roman"/>
                <w:b/>
                <w:sz w:val="20"/>
              </w:rPr>
            </w:pPr>
            <w:r w:rsidRPr="000333A4">
              <w:rPr>
                <w:rFonts w:ascii="Times New Roman" w:hAnsi="Times New Roman"/>
                <w:b/>
                <w:sz w:val="20"/>
              </w:rPr>
              <w:t>-</w:t>
            </w:r>
          </w:p>
        </w:tc>
        <w:tc>
          <w:tcPr>
            <w:tcW w:w="920" w:type="dxa"/>
            <w:tcBorders>
              <w:top w:val="nil"/>
              <w:left w:val="nil"/>
              <w:bottom w:val="nil"/>
              <w:right w:val="nil"/>
            </w:tcBorders>
            <w:shd w:val="clear" w:color="auto" w:fill="auto"/>
            <w:noWrap/>
            <w:vAlign w:val="bottom"/>
            <w:hideMark/>
          </w:tcPr>
          <w:p w14:paraId="78C55868" w14:textId="69EE2EBC" w:rsidR="005319F6" w:rsidRPr="000333A4" w:rsidRDefault="000333A4" w:rsidP="005319F6">
            <w:pPr>
              <w:spacing w:before="0" w:after="0" w:line="240" w:lineRule="auto"/>
              <w:jc w:val="right"/>
              <w:rPr>
                <w:rFonts w:ascii="Times New Roman" w:hAnsi="Times New Roman"/>
                <w:b/>
                <w:sz w:val="20"/>
              </w:rPr>
            </w:pPr>
            <w:r w:rsidRPr="000333A4">
              <w:rPr>
                <w:rFonts w:ascii="Times New Roman" w:hAnsi="Times New Roman"/>
                <w:b/>
                <w:sz w:val="20"/>
              </w:rPr>
              <w:t>-</w:t>
            </w:r>
          </w:p>
        </w:tc>
      </w:tr>
      <w:tr w:rsidR="005319F6" w:rsidRPr="005319F6" w14:paraId="388A2B2F" w14:textId="77777777" w:rsidTr="00B56943">
        <w:trPr>
          <w:trHeight w:val="283"/>
          <w:jc w:val="center"/>
        </w:trPr>
        <w:tc>
          <w:tcPr>
            <w:tcW w:w="4160" w:type="dxa"/>
            <w:tcBorders>
              <w:top w:val="nil"/>
              <w:left w:val="nil"/>
              <w:bottom w:val="nil"/>
              <w:right w:val="nil"/>
            </w:tcBorders>
            <w:shd w:val="clear" w:color="000000" w:fill="FFFFFF"/>
            <w:noWrap/>
            <w:vAlign w:val="bottom"/>
            <w:hideMark/>
          </w:tcPr>
          <w:p w14:paraId="5F12D480"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sz w:val="16"/>
                <w:szCs w:val="16"/>
              </w:rPr>
              <w:t xml:space="preserve">Price parameter adjustments </w:t>
            </w:r>
            <w:r w:rsidRPr="005319F6">
              <w:rPr>
                <w:rFonts w:ascii="Arial" w:hAnsi="Arial" w:cs="Arial"/>
                <w:sz w:val="16"/>
                <w:szCs w:val="16"/>
                <w:vertAlign w:val="superscript"/>
              </w:rPr>
              <w:t>(a)</w:t>
            </w:r>
          </w:p>
        </w:tc>
        <w:tc>
          <w:tcPr>
            <w:tcW w:w="920" w:type="dxa"/>
            <w:tcBorders>
              <w:top w:val="nil"/>
              <w:left w:val="nil"/>
              <w:bottom w:val="nil"/>
              <w:right w:val="nil"/>
            </w:tcBorders>
            <w:shd w:val="clear" w:color="000000" w:fill="D9D9D9"/>
            <w:noWrap/>
            <w:vAlign w:val="bottom"/>
            <w:hideMark/>
          </w:tcPr>
          <w:p w14:paraId="706F18D9"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711941AD"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5 </w:t>
            </w:r>
          </w:p>
        </w:tc>
        <w:tc>
          <w:tcPr>
            <w:tcW w:w="920" w:type="dxa"/>
            <w:tcBorders>
              <w:top w:val="nil"/>
              <w:left w:val="nil"/>
              <w:bottom w:val="nil"/>
              <w:right w:val="nil"/>
            </w:tcBorders>
            <w:shd w:val="clear" w:color="auto" w:fill="auto"/>
            <w:noWrap/>
            <w:vAlign w:val="bottom"/>
            <w:hideMark/>
          </w:tcPr>
          <w:p w14:paraId="70F98BFF"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14 </w:t>
            </w:r>
          </w:p>
        </w:tc>
        <w:tc>
          <w:tcPr>
            <w:tcW w:w="920" w:type="dxa"/>
            <w:tcBorders>
              <w:top w:val="nil"/>
              <w:left w:val="nil"/>
              <w:bottom w:val="nil"/>
              <w:right w:val="nil"/>
            </w:tcBorders>
            <w:shd w:val="clear" w:color="auto" w:fill="auto"/>
            <w:noWrap/>
            <w:vAlign w:val="bottom"/>
            <w:hideMark/>
          </w:tcPr>
          <w:p w14:paraId="307CA31C"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14 </w:t>
            </w:r>
          </w:p>
        </w:tc>
      </w:tr>
      <w:tr w:rsidR="005319F6" w:rsidRPr="005319F6" w14:paraId="588E526C"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27A784E4" w14:textId="77777777" w:rsidR="005319F6" w:rsidRPr="005319F6" w:rsidRDefault="005319F6" w:rsidP="005319F6">
            <w:pPr>
              <w:spacing w:before="0" w:after="0" w:line="240" w:lineRule="auto"/>
              <w:rPr>
                <w:rFonts w:ascii="Arial" w:hAnsi="Arial" w:cs="Arial"/>
                <w:b/>
                <w:bCs/>
                <w:sz w:val="16"/>
                <w:szCs w:val="16"/>
              </w:rPr>
            </w:pPr>
            <w:r w:rsidRPr="005319F6">
              <w:rPr>
                <w:rFonts w:ascii="Arial" w:hAnsi="Arial" w:cs="Arial"/>
                <w:b/>
                <w:bCs/>
                <w:sz w:val="16"/>
                <w:szCs w:val="16"/>
              </w:rPr>
              <w:t>Changes to departmental appropriations</w:t>
            </w:r>
          </w:p>
        </w:tc>
        <w:tc>
          <w:tcPr>
            <w:tcW w:w="920" w:type="dxa"/>
            <w:tcBorders>
              <w:top w:val="nil"/>
              <w:left w:val="nil"/>
              <w:bottom w:val="nil"/>
              <w:right w:val="nil"/>
            </w:tcBorders>
            <w:shd w:val="clear" w:color="000000" w:fill="D9D9D9"/>
            <w:noWrap/>
            <w:vAlign w:val="bottom"/>
            <w:hideMark/>
          </w:tcPr>
          <w:p w14:paraId="60A1D7FF"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BE8422E" w14:textId="77777777" w:rsidR="005319F6" w:rsidRPr="005319F6" w:rsidRDefault="005319F6" w:rsidP="005319F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583FB1CE" w14:textId="77777777" w:rsidR="005319F6" w:rsidRPr="005319F6" w:rsidRDefault="005319F6" w:rsidP="005319F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1E951689" w14:textId="77777777" w:rsidR="005319F6" w:rsidRPr="005319F6" w:rsidRDefault="005319F6" w:rsidP="005319F6">
            <w:pPr>
              <w:spacing w:before="0" w:after="0" w:line="240" w:lineRule="auto"/>
              <w:jc w:val="right"/>
              <w:rPr>
                <w:rFonts w:ascii="Times New Roman" w:hAnsi="Times New Roman"/>
                <w:sz w:val="20"/>
              </w:rPr>
            </w:pPr>
          </w:p>
        </w:tc>
      </w:tr>
      <w:tr w:rsidR="005319F6" w:rsidRPr="005319F6" w14:paraId="5D31034B" w14:textId="77777777" w:rsidTr="00B56943">
        <w:trPr>
          <w:trHeight w:val="283"/>
          <w:jc w:val="center"/>
        </w:trPr>
        <w:tc>
          <w:tcPr>
            <w:tcW w:w="4160" w:type="dxa"/>
            <w:tcBorders>
              <w:top w:val="nil"/>
              <w:left w:val="nil"/>
              <w:bottom w:val="nil"/>
              <w:right w:val="nil"/>
            </w:tcBorders>
            <w:shd w:val="clear" w:color="auto" w:fill="auto"/>
            <w:noWrap/>
            <w:vAlign w:val="bottom"/>
            <w:hideMark/>
          </w:tcPr>
          <w:p w14:paraId="66FCCC1A"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sz w:val="16"/>
                <w:szCs w:val="16"/>
              </w:rPr>
              <w:t xml:space="preserve">Appropriation Bill (No. 3) </w:t>
            </w:r>
          </w:p>
        </w:tc>
        <w:tc>
          <w:tcPr>
            <w:tcW w:w="920" w:type="dxa"/>
            <w:tcBorders>
              <w:top w:val="nil"/>
              <w:left w:val="nil"/>
              <w:bottom w:val="nil"/>
              <w:right w:val="nil"/>
            </w:tcBorders>
            <w:shd w:val="clear" w:color="000000" w:fill="D9D9D9"/>
            <w:noWrap/>
            <w:vAlign w:val="bottom"/>
            <w:hideMark/>
          </w:tcPr>
          <w:p w14:paraId="0B2EFD9B"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24C3D5F6" w14:textId="77777777" w:rsidR="005319F6" w:rsidRPr="005319F6" w:rsidRDefault="005319F6" w:rsidP="005319F6">
            <w:pPr>
              <w:spacing w:before="0"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07F4101E" w14:textId="77777777" w:rsidR="005319F6" w:rsidRPr="005319F6" w:rsidRDefault="005319F6" w:rsidP="005319F6">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391B08E5" w14:textId="77777777" w:rsidR="005319F6" w:rsidRPr="005319F6" w:rsidRDefault="005319F6" w:rsidP="005319F6">
            <w:pPr>
              <w:spacing w:before="0" w:after="0" w:line="240" w:lineRule="auto"/>
              <w:jc w:val="right"/>
              <w:rPr>
                <w:rFonts w:ascii="Times New Roman" w:hAnsi="Times New Roman"/>
                <w:sz w:val="20"/>
              </w:rPr>
            </w:pPr>
          </w:p>
        </w:tc>
      </w:tr>
      <w:tr w:rsidR="005319F6" w:rsidRPr="005319F6" w14:paraId="7136C397" w14:textId="77777777" w:rsidTr="00B56943">
        <w:trPr>
          <w:trHeight w:val="283"/>
          <w:jc w:val="center"/>
        </w:trPr>
        <w:tc>
          <w:tcPr>
            <w:tcW w:w="4160" w:type="dxa"/>
            <w:tcBorders>
              <w:top w:val="nil"/>
              <w:left w:val="nil"/>
              <w:bottom w:val="nil"/>
              <w:right w:val="nil"/>
            </w:tcBorders>
            <w:shd w:val="clear" w:color="000000" w:fill="FFFFFF"/>
            <w:noWrap/>
            <w:vAlign w:val="bottom"/>
            <w:hideMark/>
          </w:tcPr>
          <w:p w14:paraId="3C5846BD"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b/>
                <w:bCs/>
                <w:sz w:val="16"/>
                <w:szCs w:val="16"/>
              </w:rPr>
              <w:t>Measure</w:t>
            </w:r>
            <w:r w:rsidRPr="005319F6">
              <w:rPr>
                <w:rFonts w:ascii="Arial" w:hAnsi="Arial" w:cs="Arial"/>
                <w:sz w:val="16"/>
                <w:szCs w:val="16"/>
              </w:rPr>
              <w:t xml:space="preserve"> - Safety in Sport</w:t>
            </w:r>
          </w:p>
        </w:tc>
        <w:tc>
          <w:tcPr>
            <w:tcW w:w="920" w:type="dxa"/>
            <w:tcBorders>
              <w:top w:val="nil"/>
              <w:left w:val="nil"/>
              <w:bottom w:val="nil"/>
              <w:right w:val="nil"/>
            </w:tcBorders>
            <w:shd w:val="clear" w:color="000000" w:fill="D9D9D9"/>
            <w:noWrap/>
            <w:vAlign w:val="bottom"/>
            <w:hideMark/>
          </w:tcPr>
          <w:p w14:paraId="219E891E"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4,586 </w:t>
            </w:r>
          </w:p>
        </w:tc>
        <w:tc>
          <w:tcPr>
            <w:tcW w:w="920" w:type="dxa"/>
            <w:tcBorders>
              <w:top w:val="nil"/>
              <w:left w:val="nil"/>
              <w:bottom w:val="nil"/>
              <w:right w:val="nil"/>
            </w:tcBorders>
            <w:shd w:val="clear" w:color="auto" w:fill="auto"/>
            <w:noWrap/>
            <w:vAlign w:val="bottom"/>
            <w:hideMark/>
          </w:tcPr>
          <w:p w14:paraId="59FF102D"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7,707 </w:t>
            </w:r>
          </w:p>
        </w:tc>
        <w:tc>
          <w:tcPr>
            <w:tcW w:w="920" w:type="dxa"/>
            <w:tcBorders>
              <w:top w:val="nil"/>
              <w:left w:val="nil"/>
              <w:bottom w:val="nil"/>
              <w:right w:val="nil"/>
            </w:tcBorders>
            <w:shd w:val="clear" w:color="auto" w:fill="auto"/>
            <w:noWrap/>
            <w:vAlign w:val="bottom"/>
            <w:hideMark/>
          </w:tcPr>
          <w:p w14:paraId="291C64BE"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8,147 </w:t>
            </w:r>
          </w:p>
        </w:tc>
        <w:tc>
          <w:tcPr>
            <w:tcW w:w="920" w:type="dxa"/>
            <w:tcBorders>
              <w:top w:val="nil"/>
              <w:left w:val="nil"/>
              <w:bottom w:val="nil"/>
              <w:right w:val="nil"/>
            </w:tcBorders>
            <w:shd w:val="clear" w:color="auto" w:fill="auto"/>
            <w:noWrap/>
            <w:vAlign w:val="bottom"/>
            <w:hideMark/>
          </w:tcPr>
          <w:p w14:paraId="4151910F"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7,874 </w:t>
            </w:r>
          </w:p>
        </w:tc>
      </w:tr>
      <w:tr w:rsidR="005319F6" w:rsidRPr="005319F6" w14:paraId="76112EA6" w14:textId="77777777" w:rsidTr="00B56943">
        <w:trPr>
          <w:trHeight w:val="283"/>
          <w:jc w:val="center"/>
        </w:trPr>
        <w:tc>
          <w:tcPr>
            <w:tcW w:w="4160" w:type="dxa"/>
            <w:tcBorders>
              <w:top w:val="nil"/>
              <w:left w:val="nil"/>
              <w:bottom w:val="nil"/>
              <w:right w:val="nil"/>
            </w:tcBorders>
            <w:shd w:val="clear" w:color="000000" w:fill="FFFFFF"/>
            <w:noWrap/>
            <w:vAlign w:val="bottom"/>
            <w:hideMark/>
          </w:tcPr>
          <w:p w14:paraId="5CFA5B35" w14:textId="77777777" w:rsidR="005319F6" w:rsidRPr="005319F6" w:rsidRDefault="005319F6" w:rsidP="005319F6">
            <w:pPr>
              <w:spacing w:before="0" w:after="0" w:line="240" w:lineRule="auto"/>
              <w:rPr>
                <w:rFonts w:ascii="Arial" w:hAnsi="Arial" w:cs="Arial"/>
                <w:sz w:val="16"/>
                <w:szCs w:val="16"/>
              </w:rPr>
            </w:pPr>
            <w:r w:rsidRPr="005319F6">
              <w:rPr>
                <w:rFonts w:ascii="Arial" w:hAnsi="Arial" w:cs="Arial"/>
                <w:sz w:val="16"/>
                <w:szCs w:val="16"/>
              </w:rPr>
              <w:t xml:space="preserve">Price parameter adjustments </w:t>
            </w:r>
            <w:r w:rsidRPr="005319F6">
              <w:rPr>
                <w:rFonts w:ascii="Arial" w:hAnsi="Arial" w:cs="Arial"/>
                <w:sz w:val="16"/>
                <w:szCs w:val="16"/>
                <w:vertAlign w:val="superscript"/>
              </w:rPr>
              <w:t>(a)</w:t>
            </w:r>
          </w:p>
        </w:tc>
        <w:tc>
          <w:tcPr>
            <w:tcW w:w="920" w:type="dxa"/>
            <w:tcBorders>
              <w:top w:val="nil"/>
              <w:left w:val="nil"/>
              <w:bottom w:val="nil"/>
              <w:right w:val="nil"/>
            </w:tcBorders>
            <w:shd w:val="clear" w:color="000000" w:fill="D9D9D9"/>
            <w:noWrap/>
            <w:vAlign w:val="bottom"/>
            <w:hideMark/>
          </w:tcPr>
          <w:p w14:paraId="0B89FB11"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771637D"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19 </w:t>
            </w:r>
          </w:p>
        </w:tc>
        <w:tc>
          <w:tcPr>
            <w:tcW w:w="920" w:type="dxa"/>
            <w:tcBorders>
              <w:top w:val="nil"/>
              <w:left w:val="nil"/>
              <w:bottom w:val="nil"/>
              <w:right w:val="nil"/>
            </w:tcBorders>
            <w:shd w:val="clear" w:color="auto" w:fill="auto"/>
            <w:noWrap/>
            <w:vAlign w:val="bottom"/>
            <w:hideMark/>
          </w:tcPr>
          <w:p w14:paraId="6402819C"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52 </w:t>
            </w:r>
          </w:p>
        </w:tc>
        <w:tc>
          <w:tcPr>
            <w:tcW w:w="920" w:type="dxa"/>
            <w:tcBorders>
              <w:top w:val="nil"/>
              <w:left w:val="nil"/>
              <w:bottom w:val="nil"/>
              <w:right w:val="nil"/>
            </w:tcBorders>
            <w:shd w:val="clear" w:color="auto" w:fill="auto"/>
            <w:noWrap/>
            <w:vAlign w:val="bottom"/>
            <w:hideMark/>
          </w:tcPr>
          <w:p w14:paraId="4F331749" w14:textId="77777777" w:rsidR="005319F6" w:rsidRPr="005319F6" w:rsidRDefault="005319F6" w:rsidP="005319F6">
            <w:pPr>
              <w:spacing w:before="0" w:after="0" w:line="240" w:lineRule="auto"/>
              <w:jc w:val="right"/>
              <w:rPr>
                <w:rFonts w:ascii="Arial" w:hAnsi="Arial" w:cs="Arial"/>
                <w:sz w:val="16"/>
                <w:szCs w:val="16"/>
              </w:rPr>
            </w:pPr>
            <w:r w:rsidRPr="005319F6">
              <w:rPr>
                <w:rFonts w:ascii="Arial" w:hAnsi="Arial" w:cs="Arial"/>
                <w:sz w:val="16"/>
                <w:szCs w:val="16"/>
              </w:rPr>
              <w:t xml:space="preserve">55 </w:t>
            </w:r>
          </w:p>
        </w:tc>
      </w:tr>
      <w:tr w:rsidR="005319F6" w:rsidRPr="005319F6" w14:paraId="05F53020" w14:textId="77777777" w:rsidTr="00B56943">
        <w:trPr>
          <w:trHeight w:val="283"/>
          <w:jc w:val="center"/>
        </w:trPr>
        <w:tc>
          <w:tcPr>
            <w:tcW w:w="4160" w:type="dxa"/>
            <w:tcBorders>
              <w:top w:val="nil"/>
              <w:left w:val="nil"/>
              <w:bottom w:val="single" w:sz="4" w:space="0" w:color="auto"/>
              <w:right w:val="nil"/>
            </w:tcBorders>
            <w:shd w:val="clear" w:color="auto" w:fill="auto"/>
            <w:noWrap/>
            <w:vAlign w:val="bottom"/>
            <w:hideMark/>
          </w:tcPr>
          <w:p w14:paraId="0C377C10" w14:textId="77777777" w:rsidR="005319F6" w:rsidRPr="005319F6" w:rsidRDefault="005319F6" w:rsidP="005319F6">
            <w:pPr>
              <w:spacing w:before="0" w:after="0" w:line="240" w:lineRule="auto"/>
              <w:rPr>
                <w:rFonts w:ascii="Arial" w:hAnsi="Arial" w:cs="Arial"/>
                <w:b/>
                <w:bCs/>
                <w:sz w:val="16"/>
                <w:szCs w:val="16"/>
              </w:rPr>
            </w:pPr>
            <w:r w:rsidRPr="005319F6">
              <w:rPr>
                <w:rFonts w:ascii="Arial" w:hAnsi="Arial" w:cs="Arial"/>
                <w:b/>
                <w:bCs/>
                <w:sz w:val="16"/>
                <w:szCs w:val="16"/>
              </w:rPr>
              <w:t>Total</w:t>
            </w:r>
          </w:p>
        </w:tc>
        <w:tc>
          <w:tcPr>
            <w:tcW w:w="920" w:type="dxa"/>
            <w:tcBorders>
              <w:top w:val="single" w:sz="4" w:space="0" w:color="auto"/>
              <w:left w:val="nil"/>
              <w:bottom w:val="single" w:sz="4" w:space="0" w:color="auto"/>
              <w:right w:val="nil"/>
            </w:tcBorders>
            <w:shd w:val="clear" w:color="000000" w:fill="D9D9D9"/>
            <w:noWrap/>
            <w:vAlign w:val="bottom"/>
            <w:hideMark/>
          </w:tcPr>
          <w:p w14:paraId="479F18B3" w14:textId="77777777" w:rsidR="005319F6" w:rsidRPr="005319F6" w:rsidRDefault="005319F6" w:rsidP="005319F6">
            <w:pPr>
              <w:spacing w:before="0" w:after="0" w:line="240" w:lineRule="auto"/>
              <w:jc w:val="right"/>
              <w:rPr>
                <w:rFonts w:ascii="Arial" w:hAnsi="Arial" w:cs="Arial"/>
                <w:b/>
                <w:bCs/>
                <w:sz w:val="16"/>
                <w:szCs w:val="16"/>
              </w:rPr>
            </w:pPr>
            <w:r w:rsidRPr="005319F6">
              <w:rPr>
                <w:rFonts w:ascii="Arial" w:hAnsi="Arial" w:cs="Arial"/>
                <w:b/>
                <w:bCs/>
                <w:sz w:val="16"/>
                <w:szCs w:val="16"/>
              </w:rPr>
              <w:t xml:space="preserve">6,812 </w:t>
            </w:r>
          </w:p>
        </w:tc>
        <w:tc>
          <w:tcPr>
            <w:tcW w:w="920" w:type="dxa"/>
            <w:tcBorders>
              <w:top w:val="single" w:sz="4" w:space="0" w:color="auto"/>
              <w:left w:val="nil"/>
              <w:bottom w:val="single" w:sz="4" w:space="0" w:color="auto"/>
              <w:right w:val="nil"/>
            </w:tcBorders>
            <w:shd w:val="clear" w:color="auto" w:fill="auto"/>
            <w:noWrap/>
            <w:vAlign w:val="bottom"/>
            <w:hideMark/>
          </w:tcPr>
          <w:p w14:paraId="3D836F48" w14:textId="77777777" w:rsidR="005319F6" w:rsidRPr="005319F6" w:rsidRDefault="005319F6" w:rsidP="005319F6">
            <w:pPr>
              <w:spacing w:before="0" w:after="0" w:line="240" w:lineRule="auto"/>
              <w:jc w:val="right"/>
              <w:rPr>
                <w:rFonts w:ascii="Arial" w:hAnsi="Arial" w:cs="Arial"/>
                <w:b/>
                <w:bCs/>
                <w:sz w:val="16"/>
                <w:szCs w:val="16"/>
              </w:rPr>
            </w:pPr>
            <w:r w:rsidRPr="005319F6">
              <w:rPr>
                <w:rFonts w:ascii="Arial" w:hAnsi="Arial" w:cs="Arial"/>
                <w:b/>
                <w:bCs/>
                <w:sz w:val="16"/>
                <w:szCs w:val="16"/>
              </w:rPr>
              <w:t xml:space="preserve">7,731 </w:t>
            </w:r>
          </w:p>
        </w:tc>
        <w:tc>
          <w:tcPr>
            <w:tcW w:w="920" w:type="dxa"/>
            <w:tcBorders>
              <w:top w:val="single" w:sz="4" w:space="0" w:color="auto"/>
              <w:left w:val="nil"/>
              <w:bottom w:val="single" w:sz="4" w:space="0" w:color="auto"/>
              <w:right w:val="nil"/>
            </w:tcBorders>
            <w:shd w:val="clear" w:color="auto" w:fill="auto"/>
            <w:noWrap/>
            <w:vAlign w:val="bottom"/>
            <w:hideMark/>
          </w:tcPr>
          <w:p w14:paraId="7650F857" w14:textId="77777777" w:rsidR="005319F6" w:rsidRPr="005319F6" w:rsidRDefault="005319F6" w:rsidP="005319F6">
            <w:pPr>
              <w:spacing w:before="0" w:after="0" w:line="240" w:lineRule="auto"/>
              <w:jc w:val="right"/>
              <w:rPr>
                <w:rFonts w:ascii="Arial" w:hAnsi="Arial" w:cs="Arial"/>
                <w:b/>
                <w:bCs/>
                <w:sz w:val="16"/>
                <w:szCs w:val="16"/>
              </w:rPr>
            </w:pPr>
            <w:r w:rsidRPr="005319F6">
              <w:rPr>
                <w:rFonts w:ascii="Arial" w:hAnsi="Arial" w:cs="Arial"/>
                <w:b/>
                <w:bCs/>
                <w:sz w:val="16"/>
                <w:szCs w:val="16"/>
              </w:rPr>
              <w:t xml:space="preserve">8,213 </w:t>
            </w:r>
          </w:p>
        </w:tc>
        <w:tc>
          <w:tcPr>
            <w:tcW w:w="920" w:type="dxa"/>
            <w:tcBorders>
              <w:top w:val="single" w:sz="4" w:space="0" w:color="auto"/>
              <w:left w:val="nil"/>
              <w:bottom w:val="single" w:sz="4" w:space="0" w:color="auto"/>
              <w:right w:val="nil"/>
            </w:tcBorders>
            <w:shd w:val="clear" w:color="auto" w:fill="auto"/>
            <w:noWrap/>
            <w:vAlign w:val="bottom"/>
            <w:hideMark/>
          </w:tcPr>
          <w:p w14:paraId="1B5423FC" w14:textId="77777777" w:rsidR="005319F6" w:rsidRPr="005319F6" w:rsidRDefault="005319F6" w:rsidP="005319F6">
            <w:pPr>
              <w:spacing w:before="0" w:after="0" w:line="240" w:lineRule="auto"/>
              <w:jc w:val="right"/>
              <w:rPr>
                <w:rFonts w:ascii="Arial" w:hAnsi="Arial" w:cs="Arial"/>
                <w:b/>
                <w:bCs/>
                <w:sz w:val="16"/>
                <w:szCs w:val="16"/>
              </w:rPr>
            </w:pPr>
            <w:r w:rsidRPr="005319F6">
              <w:rPr>
                <w:rFonts w:ascii="Arial" w:hAnsi="Arial" w:cs="Arial"/>
                <w:b/>
                <w:bCs/>
                <w:sz w:val="16"/>
                <w:szCs w:val="16"/>
              </w:rPr>
              <w:t xml:space="preserve">7,943 </w:t>
            </w:r>
          </w:p>
        </w:tc>
      </w:tr>
    </w:tbl>
    <w:p w14:paraId="69FC5396" w14:textId="75213FCE" w:rsidR="005319F6" w:rsidRDefault="005319F6" w:rsidP="001370B1">
      <w:pPr>
        <w:pStyle w:val="FootnoteText"/>
        <w:spacing w:before="120"/>
      </w:pPr>
      <w:r w:rsidRPr="005319F6">
        <w:rPr>
          <w:vertAlign w:val="superscript"/>
        </w:rPr>
        <w:t>(a)</w:t>
      </w:r>
      <w:r>
        <w:tab/>
      </w:r>
      <w:r w:rsidRPr="005319F6">
        <w:t>See explanation in Portfolio Glossary.</w:t>
      </w:r>
    </w:p>
    <w:p w14:paraId="705B9B62" w14:textId="2483FB8E" w:rsidR="00526CE6" w:rsidRDefault="00526CE6" w:rsidP="00526CE6">
      <w:pPr>
        <w:spacing w:before="0" w:after="0" w:line="240" w:lineRule="auto"/>
        <w:rPr>
          <w:rFonts w:ascii="Arial Bold" w:hAnsi="Arial Bold"/>
          <w:b/>
          <w:sz w:val="22"/>
        </w:rPr>
      </w:pPr>
    </w:p>
    <w:p w14:paraId="0564F584" w14:textId="46716EF4" w:rsidR="00526CE6" w:rsidRPr="007D0E54" w:rsidRDefault="00F552F6" w:rsidP="00526CE6">
      <w:pPr>
        <w:pStyle w:val="Heading3"/>
        <w:ind w:right="-156"/>
      </w:pPr>
      <w:r>
        <w:fldChar w:fldCharType="begin"/>
      </w:r>
      <w:r>
        <w:instrText xml:space="preserve"> </w:instrText>
      </w:r>
      <w:proofErr w:type="gramStart"/>
      <w:r>
        <w:instrText>TC  "</w:instrText>
      </w:r>
      <w:bookmarkStart w:id="580" w:name="_Toc157520574"/>
      <w:proofErr w:type="gramEnd"/>
      <w:r>
        <w:instrText>1.5</w:instrText>
      </w:r>
      <w:r>
        <w:tab/>
        <w:instrText>Breakdown of estimates by appropriation bill</w:instrText>
      </w:r>
      <w:bookmarkEnd w:id="580"/>
      <w:r>
        <w:instrText xml:space="preserve">" \f </w:instrText>
      </w:r>
      <w:proofErr w:type="spellStart"/>
      <w:r>
        <w:instrText>sia</w:instrText>
      </w:r>
      <w:proofErr w:type="spellEnd"/>
      <w:r>
        <w:instrText xml:space="preserve"> \l 2 </w:instrText>
      </w:r>
      <w:r>
        <w:fldChar w:fldCharType="end"/>
      </w:r>
      <w:bookmarkStart w:id="581" w:name="_Toc157592050"/>
      <w:bookmarkStart w:id="582" w:name="_Toc157592233"/>
      <w:r w:rsidR="00526CE6" w:rsidRPr="007D0E54">
        <w:t>1.5: Breakdown of additional estimates by appropriation bill</w:t>
      </w:r>
      <w:bookmarkEnd w:id="581"/>
      <w:bookmarkEnd w:id="582"/>
    </w:p>
    <w:p w14:paraId="0D2B869F" w14:textId="0ED5DA4A" w:rsidR="00526CE6" w:rsidRPr="007D0E54" w:rsidRDefault="00526CE6" w:rsidP="00526CE6">
      <w:pPr>
        <w:rPr>
          <w:sz w:val="20"/>
        </w:rPr>
      </w:pPr>
      <w:r w:rsidRPr="007D0E54">
        <w:rPr>
          <w:sz w:val="20"/>
        </w:rPr>
        <w:t xml:space="preserve">The following tables detail the Additional Estimates sought for Sport Integrity Australia through Appropriation Bills </w:t>
      </w:r>
      <w:r w:rsidR="00BE13B8">
        <w:rPr>
          <w:sz w:val="20"/>
        </w:rPr>
        <w:t>(</w:t>
      </w:r>
      <w:r w:rsidRPr="007D0E54">
        <w:rPr>
          <w:sz w:val="20"/>
        </w:rPr>
        <w:t>Nos. 3 and 4</w:t>
      </w:r>
      <w:r w:rsidR="00BE13B8">
        <w:rPr>
          <w:sz w:val="20"/>
        </w:rPr>
        <w:t>)</w:t>
      </w:r>
      <w:r w:rsidRPr="007D0E54">
        <w:rPr>
          <w:sz w:val="20"/>
        </w:rPr>
        <w:t>.</w:t>
      </w:r>
    </w:p>
    <w:p w14:paraId="59D8480B" w14:textId="77777777" w:rsidR="00526CE6" w:rsidRDefault="00526CE6" w:rsidP="00526CE6">
      <w:pPr>
        <w:pStyle w:val="TableHeading"/>
      </w:pPr>
      <w:r>
        <w:t>Table 1.4</w:t>
      </w:r>
      <w:r w:rsidRPr="00564C0F">
        <w:t xml:space="preserve">: Appropriation Bill (No. 3) </w:t>
      </w:r>
      <w:r>
        <w:t>2023–24</w:t>
      </w:r>
    </w:p>
    <w:tbl>
      <w:tblPr>
        <w:tblW w:w="7840" w:type="dxa"/>
        <w:jc w:val="center"/>
        <w:tblLayout w:type="fixed"/>
        <w:tblLook w:val="04A0" w:firstRow="1" w:lastRow="0" w:firstColumn="1" w:lastColumn="0" w:noHBand="0" w:noVBand="1"/>
      </w:tblPr>
      <w:tblGrid>
        <w:gridCol w:w="3080"/>
        <w:gridCol w:w="920"/>
        <w:gridCol w:w="920"/>
        <w:gridCol w:w="920"/>
        <w:gridCol w:w="1000"/>
        <w:gridCol w:w="1000"/>
      </w:tblGrid>
      <w:tr w:rsidR="00597B79" w:rsidRPr="00597B79" w14:paraId="5A470041" w14:textId="77777777" w:rsidTr="00E92FC1">
        <w:trPr>
          <w:trHeight w:val="454"/>
          <w:jc w:val="center"/>
        </w:trPr>
        <w:tc>
          <w:tcPr>
            <w:tcW w:w="3080" w:type="dxa"/>
            <w:tcBorders>
              <w:top w:val="single" w:sz="4" w:space="0" w:color="000000"/>
              <w:left w:val="nil"/>
              <w:bottom w:val="nil"/>
              <w:right w:val="nil"/>
            </w:tcBorders>
            <w:shd w:val="clear" w:color="auto" w:fill="auto"/>
            <w:noWrap/>
            <w:hideMark/>
          </w:tcPr>
          <w:p w14:paraId="76CDADB8" w14:textId="77777777" w:rsidR="00597B79" w:rsidRPr="00597B79" w:rsidRDefault="00597B79" w:rsidP="00170EFE">
            <w:pPr>
              <w:spacing w:before="24" w:after="0" w:line="240" w:lineRule="auto"/>
              <w:jc w:val="right"/>
              <w:rPr>
                <w:rFonts w:ascii="Arial" w:hAnsi="Arial" w:cs="Arial"/>
                <w:sz w:val="16"/>
                <w:szCs w:val="16"/>
              </w:rPr>
            </w:pPr>
            <w:r w:rsidRPr="00597B79">
              <w:rPr>
                <w:rFonts w:ascii="Arial" w:hAnsi="Arial" w:cs="Arial"/>
                <w:sz w:val="16"/>
                <w:szCs w:val="16"/>
              </w:rPr>
              <w:t> </w:t>
            </w:r>
          </w:p>
        </w:tc>
        <w:tc>
          <w:tcPr>
            <w:tcW w:w="920" w:type="dxa"/>
            <w:tcBorders>
              <w:top w:val="single" w:sz="4" w:space="0" w:color="000000"/>
              <w:left w:val="nil"/>
              <w:bottom w:val="single" w:sz="4" w:space="0" w:color="000000"/>
              <w:right w:val="nil"/>
            </w:tcBorders>
            <w:shd w:val="clear" w:color="auto" w:fill="auto"/>
            <w:tcMar>
              <w:left w:w="0" w:type="dxa"/>
              <w:right w:w="57" w:type="dxa"/>
            </w:tcMar>
            <w:vAlign w:val="bottom"/>
          </w:tcPr>
          <w:p w14:paraId="4B8E7509" w14:textId="7788A91C" w:rsidR="00597B79" w:rsidRPr="00597B79" w:rsidRDefault="00E92FC1" w:rsidP="00E92FC1">
            <w:pPr>
              <w:spacing w:before="0" w:after="0" w:line="240" w:lineRule="auto"/>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Available</w:t>
            </w:r>
            <w:r>
              <w:rPr>
                <w:rFonts w:ascii="Arial" w:hAnsi="Arial" w:cs="Arial"/>
                <w:b/>
                <w:bCs/>
                <w:sz w:val="16"/>
                <w:szCs w:val="16"/>
                <w:vertAlign w:val="superscript"/>
              </w:rPr>
              <w:t>(a)</w:t>
            </w:r>
            <w:r>
              <w:rPr>
                <w:rFonts w:ascii="Arial" w:hAnsi="Arial" w:cs="Arial"/>
                <w:b/>
                <w:bCs/>
                <w:sz w:val="16"/>
                <w:szCs w:val="16"/>
              </w:rPr>
              <w:br/>
            </w:r>
            <w:r>
              <w:rPr>
                <w:rFonts w:ascii="Arial" w:hAnsi="Arial"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14:paraId="332CCA97" w14:textId="7EECF2EC" w:rsidR="00597B79" w:rsidRPr="00597B79" w:rsidRDefault="00597B79" w:rsidP="00E92FC1">
            <w:pPr>
              <w:spacing w:before="24" w:after="0" w:line="240" w:lineRule="auto"/>
              <w:jc w:val="right"/>
              <w:rPr>
                <w:rFonts w:ascii="Arial" w:hAnsi="Arial" w:cs="Arial"/>
                <w:b/>
                <w:bCs/>
                <w:sz w:val="16"/>
                <w:szCs w:val="16"/>
              </w:rPr>
            </w:pPr>
            <w:r>
              <w:rPr>
                <w:rFonts w:ascii="Arial" w:hAnsi="Arial" w:cs="Arial"/>
                <w:b/>
                <w:bCs/>
                <w:sz w:val="16"/>
                <w:szCs w:val="16"/>
              </w:rPr>
              <w:t>2023–</w:t>
            </w:r>
            <w:r w:rsidR="00E92FC1">
              <w:rPr>
                <w:rFonts w:ascii="Arial" w:hAnsi="Arial" w:cs="Arial"/>
                <w:b/>
                <w:bCs/>
                <w:sz w:val="16"/>
                <w:szCs w:val="16"/>
              </w:rPr>
              <w:t>24</w:t>
            </w:r>
            <w:r w:rsidR="00E92FC1">
              <w:rPr>
                <w:rFonts w:ascii="Arial" w:hAnsi="Arial" w:cs="Arial"/>
                <w:b/>
                <w:bCs/>
                <w:sz w:val="16"/>
                <w:szCs w:val="16"/>
              </w:rPr>
              <w:br/>
              <w:t xml:space="preserve">Budget </w:t>
            </w:r>
            <w:r w:rsidRPr="00597B79">
              <w:rPr>
                <w:rFonts w:ascii="Arial" w:hAnsi="Arial" w:cs="Arial"/>
                <w:b/>
                <w:bCs/>
                <w:sz w:val="16"/>
                <w:szCs w:val="16"/>
              </w:rPr>
              <w:br/>
            </w:r>
            <w:r w:rsidRPr="00597B79">
              <w:rPr>
                <w:rFonts w:ascii="Arial" w:hAnsi="Arial"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14:paraId="5864C10B" w14:textId="365C62AE" w:rsidR="00597B79" w:rsidRPr="00597B79" w:rsidRDefault="00597B79" w:rsidP="00E92FC1">
            <w:pPr>
              <w:spacing w:before="24" w:after="0" w:line="240" w:lineRule="auto"/>
              <w:jc w:val="right"/>
              <w:rPr>
                <w:rFonts w:ascii="Arial" w:hAnsi="Arial" w:cs="Arial"/>
                <w:b/>
                <w:bCs/>
                <w:sz w:val="16"/>
                <w:szCs w:val="16"/>
              </w:rPr>
            </w:pPr>
            <w:r>
              <w:rPr>
                <w:rFonts w:ascii="Arial" w:hAnsi="Arial" w:cs="Arial"/>
                <w:b/>
                <w:bCs/>
                <w:sz w:val="16"/>
                <w:szCs w:val="16"/>
              </w:rPr>
              <w:t>2023–</w:t>
            </w:r>
            <w:r w:rsidRPr="00597B79">
              <w:rPr>
                <w:rFonts w:ascii="Arial" w:hAnsi="Arial" w:cs="Arial"/>
                <w:b/>
                <w:bCs/>
                <w:sz w:val="16"/>
                <w:szCs w:val="16"/>
              </w:rPr>
              <w:t>24</w:t>
            </w:r>
            <w:r w:rsidRPr="00597B79">
              <w:rPr>
                <w:rFonts w:ascii="Arial" w:hAnsi="Arial" w:cs="Arial"/>
                <w:b/>
                <w:bCs/>
                <w:sz w:val="16"/>
                <w:szCs w:val="16"/>
              </w:rPr>
              <w:br/>
              <w:t>Revised</w:t>
            </w:r>
            <w:r w:rsidRPr="00597B79">
              <w:rPr>
                <w:rFonts w:ascii="Arial" w:hAnsi="Arial" w:cs="Arial"/>
                <w:b/>
                <w:bCs/>
                <w:sz w:val="16"/>
                <w:szCs w:val="16"/>
              </w:rPr>
              <w:br/>
            </w:r>
            <w:r w:rsidRPr="00597B79">
              <w:rPr>
                <w:rFonts w:ascii="Arial" w:hAnsi="Arial" w:cs="Arial"/>
                <w:sz w:val="16"/>
                <w:szCs w:val="16"/>
              </w:rPr>
              <w:t>$'000</w:t>
            </w:r>
          </w:p>
        </w:tc>
        <w:tc>
          <w:tcPr>
            <w:tcW w:w="1000" w:type="dxa"/>
            <w:tcBorders>
              <w:top w:val="single" w:sz="4" w:space="0" w:color="000000"/>
              <w:left w:val="nil"/>
              <w:bottom w:val="single" w:sz="4" w:space="0" w:color="000000"/>
              <w:right w:val="nil"/>
            </w:tcBorders>
            <w:shd w:val="clear" w:color="000000" w:fill="D9D9D9"/>
            <w:vAlign w:val="bottom"/>
            <w:hideMark/>
          </w:tcPr>
          <w:p w14:paraId="2C4EBA0F" w14:textId="4A54FC99" w:rsidR="00597B79" w:rsidRPr="00597B79" w:rsidRDefault="00597B79" w:rsidP="00E92FC1">
            <w:pPr>
              <w:spacing w:before="24" w:after="0" w:line="240" w:lineRule="auto"/>
              <w:jc w:val="right"/>
              <w:rPr>
                <w:rFonts w:ascii="Arial" w:hAnsi="Arial" w:cs="Arial"/>
                <w:b/>
                <w:bCs/>
                <w:sz w:val="16"/>
                <w:szCs w:val="16"/>
              </w:rPr>
            </w:pPr>
            <w:r w:rsidRPr="00597B79">
              <w:rPr>
                <w:rFonts w:ascii="Arial" w:hAnsi="Arial" w:cs="Arial"/>
                <w:b/>
                <w:bCs/>
                <w:sz w:val="16"/>
                <w:szCs w:val="16"/>
              </w:rPr>
              <w:t>Additional</w:t>
            </w:r>
            <w:r w:rsidRPr="00597B79">
              <w:rPr>
                <w:rFonts w:ascii="Arial" w:hAnsi="Arial" w:cs="Arial"/>
                <w:b/>
                <w:bCs/>
                <w:sz w:val="16"/>
                <w:szCs w:val="16"/>
              </w:rPr>
              <w:br/>
              <w:t>Estimates</w:t>
            </w:r>
            <w:r w:rsidRPr="00597B79">
              <w:rPr>
                <w:rFonts w:ascii="Arial" w:hAnsi="Arial" w:cs="Arial"/>
                <w:b/>
                <w:bCs/>
                <w:sz w:val="16"/>
                <w:szCs w:val="16"/>
              </w:rPr>
              <w:br/>
            </w:r>
            <w:r w:rsidRPr="00597B79">
              <w:rPr>
                <w:rFonts w:ascii="Arial" w:hAnsi="Arial" w:cs="Arial"/>
                <w:sz w:val="16"/>
                <w:szCs w:val="16"/>
              </w:rPr>
              <w:t>$'000</w:t>
            </w:r>
          </w:p>
        </w:tc>
        <w:tc>
          <w:tcPr>
            <w:tcW w:w="1000" w:type="dxa"/>
            <w:tcBorders>
              <w:top w:val="single" w:sz="4" w:space="0" w:color="000000"/>
              <w:left w:val="nil"/>
              <w:bottom w:val="single" w:sz="4" w:space="0" w:color="000000"/>
              <w:right w:val="nil"/>
            </w:tcBorders>
            <w:shd w:val="clear" w:color="auto" w:fill="auto"/>
            <w:vAlign w:val="bottom"/>
            <w:hideMark/>
          </w:tcPr>
          <w:p w14:paraId="63449CFA" w14:textId="177CB235" w:rsidR="00597B79" w:rsidRPr="00597B79" w:rsidRDefault="00597B79" w:rsidP="00E92FC1">
            <w:pPr>
              <w:spacing w:before="24" w:after="0" w:line="240" w:lineRule="auto"/>
              <w:jc w:val="right"/>
              <w:rPr>
                <w:rFonts w:ascii="Arial" w:hAnsi="Arial" w:cs="Arial"/>
                <w:b/>
                <w:bCs/>
                <w:sz w:val="16"/>
                <w:szCs w:val="16"/>
              </w:rPr>
            </w:pPr>
            <w:r w:rsidRPr="00597B79">
              <w:rPr>
                <w:rFonts w:ascii="Arial" w:hAnsi="Arial" w:cs="Arial"/>
                <w:b/>
                <w:bCs/>
                <w:sz w:val="16"/>
                <w:szCs w:val="16"/>
              </w:rPr>
              <w:t>Reduced</w:t>
            </w:r>
            <w:r w:rsidRPr="00597B79">
              <w:rPr>
                <w:rFonts w:ascii="Arial" w:hAnsi="Arial" w:cs="Arial"/>
                <w:b/>
                <w:bCs/>
                <w:sz w:val="16"/>
                <w:szCs w:val="16"/>
              </w:rPr>
              <w:br/>
              <w:t>estimates</w:t>
            </w:r>
            <w:r w:rsidRPr="00597B79">
              <w:rPr>
                <w:rFonts w:ascii="Arial" w:hAnsi="Arial" w:cs="Arial"/>
                <w:b/>
                <w:bCs/>
                <w:sz w:val="16"/>
                <w:szCs w:val="16"/>
              </w:rPr>
              <w:br/>
            </w:r>
            <w:r w:rsidRPr="00597B79">
              <w:rPr>
                <w:rFonts w:ascii="Arial" w:hAnsi="Arial" w:cs="Arial"/>
                <w:sz w:val="16"/>
                <w:szCs w:val="16"/>
              </w:rPr>
              <w:t>$'000</w:t>
            </w:r>
          </w:p>
        </w:tc>
      </w:tr>
      <w:tr w:rsidR="00597B79" w:rsidRPr="00597B79" w14:paraId="28CC51F3" w14:textId="77777777" w:rsidTr="00EB2B7E">
        <w:trPr>
          <w:trHeight w:val="283"/>
          <w:jc w:val="center"/>
        </w:trPr>
        <w:tc>
          <w:tcPr>
            <w:tcW w:w="3080" w:type="dxa"/>
            <w:tcBorders>
              <w:top w:val="nil"/>
              <w:left w:val="nil"/>
              <w:bottom w:val="nil"/>
              <w:right w:val="nil"/>
            </w:tcBorders>
            <w:shd w:val="clear" w:color="auto" w:fill="auto"/>
            <w:noWrap/>
            <w:vAlign w:val="bottom"/>
            <w:hideMark/>
          </w:tcPr>
          <w:p w14:paraId="70E1AADB" w14:textId="77777777" w:rsidR="00597B79" w:rsidRPr="00597B79" w:rsidRDefault="00597B79" w:rsidP="00597B79">
            <w:pPr>
              <w:spacing w:before="0" w:after="0" w:line="240" w:lineRule="auto"/>
              <w:rPr>
                <w:rFonts w:ascii="Arial" w:hAnsi="Arial" w:cs="Arial"/>
                <w:b/>
                <w:bCs/>
                <w:sz w:val="16"/>
                <w:szCs w:val="16"/>
              </w:rPr>
            </w:pPr>
            <w:r w:rsidRPr="00597B79">
              <w:rPr>
                <w:rFonts w:ascii="Arial" w:hAnsi="Arial" w:cs="Arial"/>
                <w:b/>
                <w:bCs/>
                <w:sz w:val="16"/>
                <w:szCs w:val="16"/>
              </w:rPr>
              <w:t>Outcome 1</w:t>
            </w:r>
          </w:p>
        </w:tc>
        <w:tc>
          <w:tcPr>
            <w:tcW w:w="920" w:type="dxa"/>
            <w:tcBorders>
              <w:top w:val="nil"/>
              <w:left w:val="nil"/>
              <w:bottom w:val="nil"/>
              <w:right w:val="nil"/>
            </w:tcBorders>
            <w:shd w:val="clear" w:color="auto" w:fill="auto"/>
            <w:noWrap/>
            <w:vAlign w:val="bottom"/>
            <w:hideMark/>
          </w:tcPr>
          <w:p w14:paraId="1C648D52" w14:textId="77777777" w:rsidR="00597B79" w:rsidRPr="00597B79" w:rsidRDefault="00597B79" w:rsidP="00597B79">
            <w:pPr>
              <w:spacing w:before="0" w:after="0" w:line="240" w:lineRule="auto"/>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588E3CB5" w14:textId="77777777" w:rsidR="00597B79" w:rsidRPr="00597B79" w:rsidRDefault="00597B79" w:rsidP="00597B79">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63BBD540" w14:textId="77777777" w:rsidR="00597B79" w:rsidRPr="00597B79" w:rsidRDefault="00597B79" w:rsidP="00597B79">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000000" w:fill="D9D9D9"/>
            <w:noWrap/>
            <w:vAlign w:val="bottom"/>
            <w:hideMark/>
          </w:tcPr>
          <w:p w14:paraId="37F0EEDD"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31085C5E" w14:textId="77777777" w:rsidR="00597B79" w:rsidRPr="00597B79" w:rsidRDefault="00597B79" w:rsidP="00597B79">
            <w:pPr>
              <w:spacing w:before="0" w:after="0" w:line="240" w:lineRule="auto"/>
              <w:jc w:val="right"/>
              <w:rPr>
                <w:rFonts w:ascii="Arial" w:hAnsi="Arial" w:cs="Arial"/>
                <w:sz w:val="16"/>
                <w:szCs w:val="16"/>
              </w:rPr>
            </w:pPr>
          </w:p>
        </w:tc>
      </w:tr>
      <w:tr w:rsidR="00597B79" w:rsidRPr="00597B79" w14:paraId="7C624876" w14:textId="77777777" w:rsidTr="00EB2B7E">
        <w:trPr>
          <w:trHeight w:val="624"/>
          <w:jc w:val="center"/>
        </w:trPr>
        <w:tc>
          <w:tcPr>
            <w:tcW w:w="3080" w:type="dxa"/>
            <w:tcBorders>
              <w:top w:val="nil"/>
              <w:left w:val="nil"/>
              <w:bottom w:val="nil"/>
              <w:right w:val="nil"/>
            </w:tcBorders>
            <w:shd w:val="clear" w:color="auto" w:fill="auto"/>
            <w:vAlign w:val="bottom"/>
            <w:hideMark/>
          </w:tcPr>
          <w:p w14:paraId="41709BE9" w14:textId="77777777" w:rsidR="00597B79" w:rsidRPr="00597B79" w:rsidRDefault="00597B79" w:rsidP="00597B79">
            <w:pPr>
              <w:spacing w:before="0" w:after="0" w:line="240" w:lineRule="auto"/>
              <w:ind w:leftChars="75" w:left="143"/>
              <w:rPr>
                <w:rFonts w:ascii="Arial" w:hAnsi="Arial" w:cs="Arial"/>
                <w:sz w:val="16"/>
                <w:szCs w:val="16"/>
              </w:rPr>
            </w:pPr>
            <w:r w:rsidRPr="00597B79">
              <w:rPr>
                <w:rFonts w:ascii="Arial" w:hAnsi="Arial" w:cs="Arial"/>
                <w:sz w:val="16"/>
                <w:szCs w:val="16"/>
              </w:rPr>
              <w:t>Protection of the integrity of Australian sport and the health and welfare of those who participate in sport through the coordination of a national approach to all sports integrity matters</w:t>
            </w:r>
          </w:p>
        </w:tc>
        <w:tc>
          <w:tcPr>
            <w:tcW w:w="920" w:type="dxa"/>
            <w:tcBorders>
              <w:top w:val="nil"/>
              <w:left w:val="nil"/>
              <w:bottom w:val="nil"/>
              <w:right w:val="nil"/>
            </w:tcBorders>
            <w:shd w:val="clear" w:color="auto" w:fill="auto"/>
            <w:noWrap/>
            <w:vAlign w:val="bottom"/>
            <w:hideMark/>
          </w:tcPr>
          <w:p w14:paraId="181A222C" w14:textId="77777777" w:rsidR="00597B79" w:rsidRPr="00597B79" w:rsidRDefault="00597B79" w:rsidP="00597B79">
            <w:pPr>
              <w:spacing w:before="0" w:after="0" w:line="240" w:lineRule="auto"/>
              <w:ind w:firstLineChars="200" w:firstLine="320"/>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D9DB45F" w14:textId="77777777" w:rsidR="00597B79" w:rsidRPr="00597B79" w:rsidRDefault="00597B79" w:rsidP="00597B79">
            <w:pPr>
              <w:spacing w:before="0" w:after="0" w:line="240" w:lineRule="auto"/>
              <w:jc w:val="right"/>
              <w:rPr>
                <w:rFonts w:ascii="Times New Roman" w:hAnsi="Times New Roman"/>
                <w:sz w:val="20"/>
              </w:rPr>
            </w:pPr>
          </w:p>
        </w:tc>
        <w:tc>
          <w:tcPr>
            <w:tcW w:w="920" w:type="dxa"/>
            <w:tcBorders>
              <w:top w:val="nil"/>
              <w:left w:val="nil"/>
              <w:bottom w:val="nil"/>
              <w:right w:val="nil"/>
            </w:tcBorders>
            <w:shd w:val="clear" w:color="auto" w:fill="auto"/>
            <w:noWrap/>
            <w:vAlign w:val="bottom"/>
            <w:hideMark/>
          </w:tcPr>
          <w:p w14:paraId="661D77CD" w14:textId="77777777" w:rsidR="00597B79" w:rsidRPr="00597B79" w:rsidRDefault="00597B79" w:rsidP="00597B79">
            <w:pPr>
              <w:spacing w:before="0" w:after="0" w:line="240" w:lineRule="auto"/>
              <w:jc w:val="right"/>
              <w:rPr>
                <w:rFonts w:ascii="Times New Roman" w:hAnsi="Times New Roman"/>
                <w:sz w:val="20"/>
              </w:rPr>
            </w:pPr>
          </w:p>
        </w:tc>
        <w:tc>
          <w:tcPr>
            <w:tcW w:w="1000" w:type="dxa"/>
            <w:tcBorders>
              <w:top w:val="nil"/>
              <w:left w:val="nil"/>
              <w:bottom w:val="nil"/>
              <w:right w:val="nil"/>
            </w:tcBorders>
            <w:shd w:val="clear" w:color="000000" w:fill="D9D9D9"/>
            <w:noWrap/>
            <w:vAlign w:val="bottom"/>
            <w:hideMark/>
          </w:tcPr>
          <w:p w14:paraId="1389E4C4"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w:t>
            </w:r>
          </w:p>
        </w:tc>
        <w:tc>
          <w:tcPr>
            <w:tcW w:w="1000" w:type="dxa"/>
            <w:tcBorders>
              <w:top w:val="nil"/>
              <w:left w:val="nil"/>
              <w:bottom w:val="nil"/>
              <w:right w:val="nil"/>
            </w:tcBorders>
            <w:shd w:val="clear" w:color="auto" w:fill="auto"/>
            <w:noWrap/>
            <w:vAlign w:val="bottom"/>
            <w:hideMark/>
          </w:tcPr>
          <w:p w14:paraId="2C19FF42" w14:textId="77777777" w:rsidR="00597B79" w:rsidRPr="00597B79" w:rsidRDefault="00597B79" w:rsidP="00597B79">
            <w:pPr>
              <w:spacing w:before="0" w:after="0" w:line="240" w:lineRule="auto"/>
              <w:jc w:val="right"/>
              <w:rPr>
                <w:rFonts w:ascii="Arial" w:hAnsi="Arial" w:cs="Arial"/>
                <w:sz w:val="16"/>
                <w:szCs w:val="16"/>
              </w:rPr>
            </w:pPr>
          </w:p>
        </w:tc>
      </w:tr>
      <w:tr w:rsidR="00597B79" w:rsidRPr="00597B79" w14:paraId="43728828" w14:textId="77777777" w:rsidTr="00EB2B7E">
        <w:trPr>
          <w:trHeight w:val="227"/>
          <w:jc w:val="center"/>
        </w:trPr>
        <w:tc>
          <w:tcPr>
            <w:tcW w:w="3080" w:type="dxa"/>
            <w:tcBorders>
              <w:top w:val="nil"/>
              <w:left w:val="nil"/>
              <w:bottom w:val="nil"/>
              <w:right w:val="nil"/>
            </w:tcBorders>
            <w:shd w:val="clear" w:color="auto" w:fill="auto"/>
            <w:vAlign w:val="bottom"/>
            <w:hideMark/>
          </w:tcPr>
          <w:p w14:paraId="2E6803BA" w14:textId="77777777" w:rsidR="00597B79" w:rsidRPr="00597B79" w:rsidRDefault="00597B79" w:rsidP="00656C7F">
            <w:pPr>
              <w:spacing w:before="0" w:after="0" w:line="240" w:lineRule="auto"/>
              <w:ind w:leftChars="150" w:left="285"/>
              <w:rPr>
                <w:rFonts w:ascii="Arial" w:hAnsi="Arial" w:cs="Arial"/>
                <w:sz w:val="16"/>
                <w:szCs w:val="16"/>
              </w:rPr>
            </w:pPr>
            <w:r w:rsidRPr="00597B79">
              <w:rPr>
                <w:rFonts w:ascii="Arial" w:hAnsi="Arial" w:cs="Arial"/>
                <w:sz w:val="16"/>
                <w:szCs w:val="16"/>
              </w:rPr>
              <w:t xml:space="preserve">Departmental </w:t>
            </w:r>
          </w:p>
        </w:tc>
        <w:tc>
          <w:tcPr>
            <w:tcW w:w="920" w:type="dxa"/>
            <w:tcBorders>
              <w:top w:val="nil"/>
              <w:left w:val="nil"/>
              <w:bottom w:val="single" w:sz="4" w:space="0" w:color="auto"/>
              <w:right w:val="nil"/>
            </w:tcBorders>
            <w:shd w:val="clear" w:color="auto" w:fill="auto"/>
            <w:noWrap/>
            <w:vAlign w:val="bottom"/>
            <w:hideMark/>
          </w:tcPr>
          <w:p w14:paraId="6763C924"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xml:space="preserve">31,838 </w:t>
            </w:r>
          </w:p>
        </w:tc>
        <w:tc>
          <w:tcPr>
            <w:tcW w:w="920" w:type="dxa"/>
            <w:tcBorders>
              <w:top w:val="nil"/>
              <w:left w:val="nil"/>
              <w:bottom w:val="single" w:sz="4" w:space="0" w:color="auto"/>
              <w:right w:val="nil"/>
            </w:tcBorders>
            <w:shd w:val="clear" w:color="auto" w:fill="auto"/>
            <w:noWrap/>
            <w:vAlign w:val="bottom"/>
            <w:hideMark/>
          </w:tcPr>
          <w:p w14:paraId="7A284A5C"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xml:space="preserve">32,821 </w:t>
            </w:r>
          </w:p>
        </w:tc>
        <w:tc>
          <w:tcPr>
            <w:tcW w:w="920" w:type="dxa"/>
            <w:tcBorders>
              <w:top w:val="nil"/>
              <w:left w:val="nil"/>
              <w:bottom w:val="single" w:sz="4" w:space="0" w:color="auto"/>
              <w:right w:val="nil"/>
            </w:tcBorders>
            <w:shd w:val="clear" w:color="auto" w:fill="auto"/>
            <w:noWrap/>
            <w:vAlign w:val="bottom"/>
            <w:hideMark/>
          </w:tcPr>
          <w:p w14:paraId="76B994EB"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xml:space="preserve">37,407 </w:t>
            </w:r>
          </w:p>
        </w:tc>
        <w:tc>
          <w:tcPr>
            <w:tcW w:w="1000" w:type="dxa"/>
            <w:tcBorders>
              <w:top w:val="nil"/>
              <w:left w:val="nil"/>
              <w:bottom w:val="single" w:sz="4" w:space="0" w:color="auto"/>
              <w:right w:val="nil"/>
            </w:tcBorders>
            <w:shd w:val="clear" w:color="000000" w:fill="D9D9D9"/>
            <w:noWrap/>
            <w:vAlign w:val="bottom"/>
            <w:hideMark/>
          </w:tcPr>
          <w:p w14:paraId="4892F1FB"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xml:space="preserve">4,586 </w:t>
            </w:r>
          </w:p>
        </w:tc>
        <w:tc>
          <w:tcPr>
            <w:tcW w:w="1000" w:type="dxa"/>
            <w:tcBorders>
              <w:top w:val="nil"/>
              <w:left w:val="nil"/>
              <w:bottom w:val="single" w:sz="4" w:space="0" w:color="auto"/>
              <w:right w:val="nil"/>
            </w:tcBorders>
            <w:shd w:val="clear" w:color="auto" w:fill="auto"/>
            <w:noWrap/>
            <w:vAlign w:val="bottom"/>
            <w:hideMark/>
          </w:tcPr>
          <w:p w14:paraId="485A18B4" w14:textId="77777777" w:rsidR="00597B79" w:rsidRPr="00597B79" w:rsidRDefault="00597B79" w:rsidP="00597B79">
            <w:pPr>
              <w:spacing w:before="0" w:after="0" w:line="240" w:lineRule="auto"/>
              <w:jc w:val="right"/>
              <w:rPr>
                <w:rFonts w:ascii="Arial" w:hAnsi="Arial" w:cs="Arial"/>
                <w:sz w:val="16"/>
                <w:szCs w:val="16"/>
              </w:rPr>
            </w:pPr>
            <w:r w:rsidRPr="00597B79">
              <w:rPr>
                <w:rFonts w:ascii="Arial" w:hAnsi="Arial" w:cs="Arial"/>
                <w:sz w:val="16"/>
                <w:szCs w:val="16"/>
              </w:rPr>
              <w:t xml:space="preserve">- </w:t>
            </w:r>
          </w:p>
        </w:tc>
      </w:tr>
      <w:tr w:rsidR="001B6377" w:rsidRPr="00597B79" w14:paraId="70EA1CCF" w14:textId="77777777" w:rsidTr="00EB2B7E">
        <w:trPr>
          <w:trHeight w:val="283"/>
          <w:jc w:val="center"/>
        </w:trPr>
        <w:tc>
          <w:tcPr>
            <w:tcW w:w="3080" w:type="dxa"/>
            <w:tcBorders>
              <w:top w:val="nil"/>
              <w:left w:val="nil"/>
              <w:bottom w:val="nil"/>
              <w:right w:val="nil"/>
            </w:tcBorders>
            <w:shd w:val="clear" w:color="auto" w:fill="auto"/>
            <w:noWrap/>
            <w:vAlign w:val="bottom"/>
            <w:hideMark/>
          </w:tcPr>
          <w:p w14:paraId="24304EE5" w14:textId="77777777" w:rsidR="001B6377" w:rsidRPr="00597B79" w:rsidRDefault="001B6377" w:rsidP="00656C7F">
            <w:pPr>
              <w:spacing w:before="0" w:after="0" w:line="240" w:lineRule="auto"/>
              <w:ind w:leftChars="150" w:left="285"/>
              <w:rPr>
                <w:rFonts w:ascii="Arial" w:hAnsi="Arial" w:cs="Arial"/>
                <w:sz w:val="16"/>
                <w:szCs w:val="16"/>
              </w:rPr>
            </w:pPr>
            <w:r w:rsidRPr="00597B79">
              <w:rPr>
                <w:rFonts w:ascii="Arial" w:hAnsi="Arial" w:cs="Arial"/>
                <w:sz w:val="16"/>
                <w:szCs w:val="16"/>
              </w:rPr>
              <w:t>Administered</w:t>
            </w:r>
          </w:p>
        </w:tc>
        <w:tc>
          <w:tcPr>
            <w:tcW w:w="920" w:type="dxa"/>
            <w:tcBorders>
              <w:top w:val="nil"/>
              <w:left w:val="nil"/>
              <w:bottom w:val="single" w:sz="4" w:space="0" w:color="auto"/>
              <w:right w:val="nil"/>
            </w:tcBorders>
            <w:shd w:val="clear" w:color="auto" w:fill="auto"/>
            <w:noWrap/>
            <w:vAlign w:val="bottom"/>
            <w:hideMark/>
          </w:tcPr>
          <w:p w14:paraId="6C4F78DC" w14:textId="77777777" w:rsidR="001B6377" w:rsidRPr="00597B79" w:rsidRDefault="001B6377" w:rsidP="00597B79">
            <w:pPr>
              <w:spacing w:before="0" w:after="0" w:line="240" w:lineRule="auto"/>
              <w:jc w:val="right"/>
              <w:rPr>
                <w:rFonts w:ascii="Arial" w:hAnsi="Arial" w:cs="Arial"/>
                <w:sz w:val="16"/>
                <w:szCs w:val="16"/>
              </w:rPr>
            </w:pPr>
            <w:r w:rsidRPr="00597B79">
              <w:rPr>
                <w:rFonts w:ascii="Arial" w:hAnsi="Arial" w:cs="Arial"/>
                <w:sz w:val="16"/>
                <w:szCs w:val="16"/>
              </w:rPr>
              <w:t xml:space="preserve">5,405 </w:t>
            </w:r>
          </w:p>
        </w:tc>
        <w:tc>
          <w:tcPr>
            <w:tcW w:w="920" w:type="dxa"/>
            <w:tcBorders>
              <w:top w:val="nil"/>
              <w:left w:val="nil"/>
              <w:bottom w:val="single" w:sz="4" w:space="0" w:color="auto"/>
              <w:right w:val="nil"/>
            </w:tcBorders>
            <w:shd w:val="clear" w:color="auto" w:fill="auto"/>
            <w:noWrap/>
            <w:vAlign w:val="bottom"/>
            <w:hideMark/>
          </w:tcPr>
          <w:p w14:paraId="3FDC8FAD" w14:textId="77777777" w:rsidR="001B6377" w:rsidRPr="00597B79" w:rsidRDefault="001B6377" w:rsidP="00597B79">
            <w:pPr>
              <w:spacing w:before="0" w:after="0" w:line="240" w:lineRule="auto"/>
              <w:jc w:val="right"/>
              <w:rPr>
                <w:rFonts w:ascii="Arial" w:hAnsi="Arial" w:cs="Arial"/>
                <w:sz w:val="16"/>
                <w:szCs w:val="16"/>
              </w:rPr>
            </w:pPr>
            <w:r w:rsidRPr="00597B79">
              <w:rPr>
                <w:rFonts w:ascii="Arial" w:hAnsi="Arial" w:cs="Arial"/>
                <w:sz w:val="16"/>
                <w:szCs w:val="16"/>
              </w:rPr>
              <w:t xml:space="preserve">4,526 </w:t>
            </w:r>
          </w:p>
        </w:tc>
        <w:tc>
          <w:tcPr>
            <w:tcW w:w="920" w:type="dxa"/>
            <w:tcBorders>
              <w:top w:val="nil"/>
              <w:left w:val="nil"/>
              <w:bottom w:val="single" w:sz="4" w:space="0" w:color="auto"/>
              <w:right w:val="nil"/>
            </w:tcBorders>
            <w:shd w:val="clear" w:color="auto" w:fill="auto"/>
            <w:noWrap/>
            <w:vAlign w:val="bottom"/>
            <w:hideMark/>
          </w:tcPr>
          <w:p w14:paraId="0B80AE27" w14:textId="77777777" w:rsidR="001B6377" w:rsidRPr="00597B79" w:rsidRDefault="001B6377" w:rsidP="00597B79">
            <w:pPr>
              <w:spacing w:before="0" w:after="0" w:line="240" w:lineRule="auto"/>
              <w:jc w:val="right"/>
              <w:rPr>
                <w:rFonts w:ascii="Arial" w:hAnsi="Arial" w:cs="Arial"/>
                <w:sz w:val="16"/>
                <w:szCs w:val="16"/>
              </w:rPr>
            </w:pPr>
            <w:r w:rsidRPr="00597B79">
              <w:rPr>
                <w:rFonts w:ascii="Arial" w:hAnsi="Arial" w:cs="Arial"/>
                <w:sz w:val="16"/>
                <w:szCs w:val="16"/>
              </w:rPr>
              <w:t xml:space="preserve">6,752 </w:t>
            </w:r>
          </w:p>
        </w:tc>
        <w:tc>
          <w:tcPr>
            <w:tcW w:w="1000" w:type="dxa"/>
            <w:tcBorders>
              <w:left w:val="nil"/>
              <w:bottom w:val="single" w:sz="4" w:space="0" w:color="auto"/>
              <w:right w:val="nil"/>
            </w:tcBorders>
            <w:shd w:val="clear" w:color="000000" w:fill="D9D9D9"/>
            <w:noWrap/>
            <w:vAlign w:val="bottom"/>
            <w:hideMark/>
          </w:tcPr>
          <w:p w14:paraId="62A5BA86" w14:textId="52C6E90E" w:rsidR="001B6377" w:rsidRPr="00597B79" w:rsidRDefault="001B6377" w:rsidP="00597B79">
            <w:pPr>
              <w:spacing w:before="0" w:after="0" w:line="240" w:lineRule="auto"/>
              <w:jc w:val="right"/>
              <w:rPr>
                <w:rFonts w:ascii="Arial" w:hAnsi="Arial" w:cs="Arial"/>
                <w:sz w:val="16"/>
                <w:szCs w:val="16"/>
              </w:rPr>
            </w:pPr>
          </w:p>
        </w:tc>
        <w:tc>
          <w:tcPr>
            <w:tcW w:w="1000" w:type="dxa"/>
            <w:tcBorders>
              <w:top w:val="nil"/>
              <w:left w:val="nil"/>
              <w:bottom w:val="single" w:sz="4" w:space="0" w:color="auto"/>
              <w:right w:val="nil"/>
            </w:tcBorders>
            <w:shd w:val="clear" w:color="auto" w:fill="auto"/>
            <w:noWrap/>
            <w:vAlign w:val="bottom"/>
            <w:hideMark/>
          </w:tcPr>
          <w:p w14:paraId="0AF194E7" w14:textId="77777777" w:rsidR="001B6377" w:rsidRPr="00597B79" w:rsidRDefault="001B6377" w:rsidP="00597B79">
            <w:pPr>
              <w:spacing w:before="0" w:after="0" w:line="240" w:lineRule="auto"/>
              <w:jc w:val="right"/>
              <w:rPr>
                <w:rFonts w:ascii="Arial" w:hAnsi="Arial" w:cs="Arial"/>
                <w:sz w:val="16"/>
                <w:szCs w:val="16"/>
              </w:rPr>
            </w:pPr>
            <w:r w:rsidRPr="00597B79">
              <w:rPr>
                <w:rFonts w:ascii="Arial" w:hAnsi="Arial" w:cs="Arial"/>
                <w:sz w:val="16"/>
                <w:szCs w:val="16"/>
              </w:rPr>
              <w:t xml:space="preserve">- </w:t>
            </w:r>
          </w:p>
        </w:tc>
      </w:tr>
      <w:tr w:rsidR="00597B79" w:rsidRPr="00597B79" w14:paraId="08B43BFD" w14:textId="77777777" w:rsidTr="00EB2B7E">
        <w:trPr>
          <w:trHeight w:val="454"/>
          <w:jc w:val="center"/>
        </w:trPr>
        <w:tc>
          <w:tcPr>
            <w:tcW w:w="3080" w:type="dxa"/>
            <w:tcBorders>
              <w:top w:val="nil"/>
              <w:left w:val="nil"/>
              <w:bottom w:val="single" w:sz="4" w:space="0" w:color="auto"/>
              <w:right w:val="nil"/>
            </w:tcBorders>
            <w:shd w:val="clear" w:color="auto" w:fill="auto"/>
            <w:vAlign w:val="bottom"/>
            <w:hideMark/>
          </w:tcPr>
          <w:p w14:paraId="6060288F" w14:textId="77777777" w:rsidR="00597B79" w:rsidRPr="00597B79" w:rsidRDefault="00597B79" w:rsidP="00597B79">
            <w:pPr>
              <w:spacing w:before="0" w:after="0" w:line="240" w:lineRule="auto"/>
              <w:rPr>
                <w:rFonts w:ascii="Arial" w:hAnsi="Arial" w:cs="Arial"/>
                <w:b/>
                <w:bCs/>
                <w:sz w:val="16"/>
                <w:szCs w:val="16"/>
              </w:rPr>
            </w:pPr>
            <w:r w:rsidRPr="00597B79">
              <w:rPr>
                <w:rFonts w:ascii="Arial" w:hAnsi="Arial" w:cs="Arial"/>
                <w:b/>
                <w:bCs/>
                <w:sz w:val="16"/>
                <w:szCs w:val="16"/>
              </w:rPr>
              <w:t>Total appropriation administered and departmental Bill (No. 3)</w:t>
            </w:r>
          </w:p>
        </w:tc>
        <w:tc>
          <w:tcPr>
            <w:tcW w:w="920" w:type="dxa"/>
            <w:tcBorders>
              <w:top w:val="nil"/>
              <w:left w:val="nil"/>
              <w:bottom w:val="single" w:sz="4" w:space="0" w:color="auto"/>
              <w:right w:val="nil"/>
            </w:tcBorders>
            <w:shd w:val="clear" w:color="auto" w:fill="auto"/>
            <w:noWrap/>
            <w:vAlign w:val="bottom"/>
            <w:hideMark/>
          </w:tcPr>
          <w:p w14:paraId="6400DD6C" w14:textId="77777777" w:rsidR="00597B79" w:rsidRPr="00597B79" w:rsidRDefault="00597B79" w:rsidP="00597B79">
            <w:pPr>
              <w:spacing w:before="0" w:after="0" w:line="240" w:lineRule="auto"/>
              <w:jc w:val="right"/>
              <w:rPr>
                <w:rFonts w:ascii="Arial" w:hAnsi="Arial" w:cs="Arial"/>
                <w:b/>
                <w:bCs/>
                <w:sz w:val="16"/>
                <w:szCs w:val="16"/>
              </w:rPr>
            </w:pPr>
            <w:r w:rsidRPr="00597B79">
              <w:rPr>
                <w:rFonts w:ascii="Arial" w:hAnsi="Arial" w:cs="Arial"/>
                <w:b/>
                <w:bCs/>
                <w:sz w:val="16"/>
                <w:szCs w:val="16"/>
              </w:rPr>
              <w:t xml:space="preserve">37,243 </w:t>
            </w:r>
          </w:p>
        </w:tc>
        <w:tc>
          <w:tcPr>
            <w:tcW w:w="920" w:type="dxa"/>
            <w:tcBorders>
              <w:top w:val="nil"/>
              <w:left w:val="nil"/>
              <w:bottom w:val="single" w:sz="4" w:space="0" w:color="auto"/>
              <w:right w:val="nil"/>
            </w:tcBorders>
            <w:shd w:val="clear" w:color="auto" w:fill="auto"/>
            <w:noWrap/>
            <w:vAlign w:val="bottom"/>
            <w:hideMark/>
          </w:tcPr>
          <w:p w14:paraId="103B7285" w14:textId="77777777" w:rsidR="00597B79" w:rsidRPr="00597B79" w:rsidRDefault="00597B79" w:rsidP="00597B79">
            <w:pPr>
              <w:spacing w:before="0" w:after="0" w:line="240" w:lineRule="auto"/>
              <w:jc w:val="right"/>
              <w:rPr>
                <w:rFonts w:ascii="Arial" w:hAnsi="Arial" w:cs="Arial"/>
                <w:b/>
                <w:bCs/>
                <w:sz w:val="16"/>
                <w:szCs w:val="16"/>
              </w:rPr>
            </w:pPr>
            <w:r w:rsidRPr="00597B79">
              <w:rPr>
                <w:rFonts w:ascii="Arial" w:hAnsi="Arial" w:cs="Arial"/>
                <w:b/>
                <w:bCs/>
                <w:sz w:val="16"/>
                <w:szCs w:val="16"/>
              </w:rPr>
              <w:t xml:space="preserve">37,347 </w:t>
            </w:r>
          </w:p>
        </w:tc>
        <w:tc>
          <w:tcPr>
            <w:tcW w:w="920" w:type="dxa"/>
            <w:tcBorders>
              <w:top w:val="nil"/>
              <w:left w:val="nil"/>
              <w:bottom w:val="single" w:sz="4" w:space="0" w:color="auto"/>
              <w:right w:val="nil"/>
            </w:tcBorders>
            <w:shd w:val="clear" w:color="auto" w:fill="auto"/>
            <w:noWrap/>
            <w:vAlign w:val="bottom"/>
            <w:hideMark/>
          </w:tcPr>
          <w:p w14:paraId="53A51C93" w14:textId="77777777" w:rsidR="00597B79" w:rsidRPr="00597B79" w:rsidRDefault="00597B79" w:rsidP="00597B79">
            <w:pPr>
              <w:spacing w:before="0" w:after="0" w:line="240" w:lineRule="auto"/>
              <w:jc w:val="right"/>
              <w:rPr>
                <w:rFonts w:ascii="Arial" w:hAnsi="Arial" w:cs="Arial"/>
                <w:b/>
                <w:bCs/>
                <w:sz w:val="16"/>
                <w:szCs w:val="16"/>
              </w:rPr>
            </w:pPr>
            <w:r w:rsidRPr="00597B79">
              <w:rPr>
                <w:rFonts w:ascii="Arial" w:hAnsi="Arial" w:cs="Arial"/>
                <w:b/>
                <w:bCs/>
                <w:sz w:val="16"/>
                <w:szCs w:val="16"/>
              </w:rPr>
              <w:t xml:space="preserve">44,159 </w:t>
            </w:r>
          </w:p>
        </w:tc>
        <w:tc>
          <w:tcPr>
            <w:tcW w:w="1000" w:type="dxa"/>
            <w:tcBorders>
              <w:top w:val="nil"/>
              <w:left w:val="nil"/>
              <w:bottom w:val="single" w:sz="4" w:space="0" w:color="auto"/>
              <w:right w:val="nil"/>
            </w:tcBorders>
            <w:shd w:val="clear" w:color="000000" w:fill="D9D9D9"/>
            <w:noWrap/>
            <w:vAlign w:val="bottom"/>
            <w:hideMark/>
          </w:tcPr>
          <w:p w14:paraId="00461F74" w14:textId="77777777" w:rsidR="00597B79" w:rsidRPr="00597B79" w:rsidRDefault="00597B79" w:rsidP="00597B79">
            <w:pPr>
              <w:spacing w:before="0" w:after="0" w:line="240" w:lineRule="auto"/>
              <w:jc w:val="right"/>
              <w:rPr>
                <w:rFonts w:ascii="Arial" w:hAnsi="Arial" w:cs="Arial"/>
                <w:b/>
                <w:bCs/>
                <w:sz w:val="16"/>
                <w:szCs w:val="16"/>
              </w:rPr>
            </w:pPr>
            <w:r w:rsidRPr="00597B79">
              <w:rPr>
                <w:rFonts w:ascii="Arial" w:hAnsi="Arial" w:cs="Arial"/>
                <w:b/>
                <w:bCs/>
                <w:sz w:val="16"/>
                <w:szCs w:val="16"/>
              </w:rPr>
              <w:t xml:space="preserve">6,812 </w:t>
            </w:r>
          </w:p>
        </w:tc>
        <w:tc>
          <w:tcPr>
            <w:tcW w:w="1000" w:type="dxa"/>
            <w:tcBorders>
              <w:top w:val="nil"/>
              <w:left w:val="nil"/>
              <w:bottom w:val="single" w:sz="4" w:space="0" w:color="auto"/>
              <w:right w:val="nil"/>
            </w:tcBorders>
            <w:shd w:val="clear" w:color="auto" w:fill="auto"/>
            <w:noWrap/>
            <w:vAlign w:val="bottom"/>
            <w:hideMark/>
          </w:tcPr>
          <w:p w14:paraId="1D3155C6" w14:textId="77777777" w:rsidR="00597B79" w:rsidRPr="00597B79" w:rsidRDefault="00597B79" w:rsidP="00597B79">
            <w:pPr>
              <w:spacing w:before="0" w:after="0" w:line="240" w:lineRule="auto"/>
              <w:jc w:val="right"/>
              <w:rPr>
                <w:rFonts w:ascii="Arial" w:hAnsi="Arial" w:cs="Arial"/>
                <w:b/>
                <w:bCs/>
                <w:sz w:val="16"/>
                <w:szCs w:val="16"/>
              </w:rPr>
            </w:pPr>
            <w:r w:rsidRPr="00597B79">
              <w:rPr>
                <w:rFonts w:ascii="Arial" w:hAnsi="Arial" w:cs="Arial"/>
                <w:b/>
                <w:bCs/>
                <w:sz w:val="16"/>
                <w:szCs w:val="16"/>
              </w:rPr>
              <w:t xml:space="preserve">- </w:t>
            </w:r>
          </w:p>
        </w:tc>
      </w:tr>
    </w:tbl>
    <w:p w14:paraId="66182D0C" w14:textId="052DF5FA" w:rsidR="00597B79" w:rsidRPr="00E92FC1" w:rsidRDefault="00E92FC1" w:rsidP="00E92FC1">
      <w:pPr>
        <w:pStyle w:val="FootnoteText"/>
      </w:pPr>
      <w:r w:rsidRPr="00E92FC1">
        <w:rPr>
          <w:vertAlign w:val="superscript"/>
        </w:rPr>
        <w:t>(a)</w:t>
      </w:r>
      <w:r w:rsidRPr="00E92FC1">
        <w:tab/>
        <w:t>The 2022</w:t>
      </w:r>
      <w:r>
        <w:t>–</w:t>
      </w:r>
      <w:r w:rsidRPr="00E92FC1">
        <w:t xml:space="preserve">23 available appropriation is included to allow a comparison of this year's appropriation with what was made available for use in the previous year. Available appropriation is the amount available to be drawn </w:t>
      </w:r>
      <w:proofErr w:type="gramStart"/>
      <w:r w:rsidRPr="00E92FC1">
        <w:t>down, and</w:t>
      </w:r>
      <w:proofErr w:type="gramEnd"/>
      <w:r w:rsidRPr="00E92FC1">
        <w:t xml:space="preserve"> is equal to: Budget Appropriation + Additional Estimates Appropriation + Advance to the Finance Minister - section 51 withholdings - administrative quarantines +/- Machinery of Government transfers. </w:t>
      </w:r>
    </w:p>
    <w:p w14:paraId="3C06CDD8" w14:textId="77777777" w:rsidR="00526CE6" w:rsidRDefault="00526CE6" w:rsidP="00526CE6">
      <w:pPr>
        <w:pStyle w:val="TableHeading"/>
      </w:pPr>
      <w:r w:rsidRPr="00564C0F">
        <w:t>Table 1.5: Appropriation B</w:t>
      </w:r>
      <w:r>
        <w:t>ill (No. 4</w:t>
      </w:r>
      <w:r w:rsidRPr="00564C0F">
        <w:t xml:space="preserve">) </w:t>
      </w:r>
      <w:r>
        <w:t>2023–24</w:t>
      </w:r>
    </w:p>
    <w:p w14:paraId="6C139C07" w14:textId="77777777" w:rsidR="00526CE6" w:rsidRDefault="00526CE6" w:rsidP="00526CE6">
      <w:pPr>
        <w:pStyle w:val="TableGraphic"/>
        <w:spacing w:before="120"/>
      </w:pPr>
      <w:r w:rsidRPr="00F661DD">
        <w:rPr>
          <w:sz w:val="20"/>
        </w:rPr>
        <w:t>This table is not applicable to Sp</w:t>
      </w:r>
      <w:r>
        <w:rPr>
          <w:sz w:val="20"/>
        </w:rPr>
        <w:t>ort Integrity Australia in 2023</w:t>
      </w:r>
      <w:r>
        <w:t>–</w:t>
      </w:r>
      <w:r w:rsidRPr="00F661DD">
        <w:rPr>
          <w:sz w:val="20"/>
        </w:rPr>
        <w:t>24.</w:t>
      </w:r>
      <w:r>
        <w:rPr>
          <w:sz w:val="20"/>
        </w:rPr>
        <w:t xml:space="preserve"> </w:t>
      </w:r>
    </w:p>
    <w:p w14:paraId="47559A19" w14:textId="77777777" w:rsidR="00526CE6" w:rsidRDefault="00526CE6" w:rsidP="00526CE6">
      <w:pPr>
        <w:pStyle w:val="TableGraphic"/>
      </w:pPr>
    </w:p>
    <w:p w14:paraId="3A059E1A" w14:textId="77777777" w:rsidR="00526CE6" w:rsidRDefault="00526CE6" w:rsidP="00526CE6">
      <w:pPr>
        <w:spacing w:before="0" w:after="0" w:line="240" w:lineRule="auto"/>
        <w:rPr>
          <w:rFonts w:ascii="Arial" w:hAnsi="Arial"/>
          <w:b/>
          <w:sz w:val="30"/>
        </w:rPr>
      </w:pPr>
      <w:r>
        <w:br w:type="page"/>
      </w:r>
    </w:p>
    <w:p w14:paraId="048F304E" w14:textId="556BA645" w:rsidR="00526CE6" w:rsidRPr="00E41681" w:rsidRDefault="00F552F6" w:rsidP="00526CE6">
      <w:pPr>
        <w:pStyle w:val="Heading2-TOC"/>
      </w:pPr>
      <w:r>
        <w:fldChar w:fldCharType="begin"/>
      </w:r>
      <w:r>
        <w:instrText xml:space="preserve"> </w:instrText>
      </w:r>
      <w:proofErr w:type="gramStart"/>
      <w:r>
        <w:instrText>TC  "</w:instrText>
      </w:r>
      <w:bookmarkStart w:id="583" w:name="_Toc157520575"/>
      <w:proofErr w:type="gramEnd"/>
      <w:r>
        <w:instrText>Section 2: Revisions to outcomes and planned performance</w:instrText>
      </w:r>
      <w:bookmarkEnd w:id="583"/>
      <w:r>
        <w:instrText xml:space="preserve">" \f </w:instrText>
      </w:r>
      <w:proofErr w:type="spellStart"/>
      <w:r>
        <w:instrText>sia</w:instrText>
      </w:r>
      <w:proofErr w:type="spellEnd"/>
      <w:r>
        <w:instrText xml:space="preserve"> \l 1 </w:instrText>
      </w:r>
      <w:r>
        <w:fldChar w:fldCharType="end"/>
      </w:r>
      <w:bookmarkStart w:id="584" w:name="_Toc157592051"/>
      <w:bookmarkStart w:id="585" w:name="_Toc157592234"/>
      <w:r w:rsidR="00526CE6" w:rsidRPr="00E41681">
        <w:t>Section 2: Revisions to outcomes and planned performance</w:t>
      </w:r>
      <w:bookmarkEnd w:id="584"/>
      <w:bookmarkEnd w:id="585"/>
    </w:p>
    <w:p w14:paraId="246E0749" w14:textId="3E24D045" w:rsidR="00526CE6" w:rsidRPr="005E6F2B" w:rsidRDefault="00F552F6" w:rsidP="00717B4A">
      <w:pPr>
        <w:pStyle w:val="Heading3"/>
        <w:spacing w:after="240"/>
      </w:pPr>
      <w:r>
        <w:fldChar w:fldCharType="begin"/>
      </w:r>
      <w:r>
        <w:instrText xml:space="preserve"> </w:instrText>
      </w:r>
      <w:proofErr w:type="gramStart"/>
      <w:r>
        <w:instrText>TC  "</w:instrText>
      </w:r>
      <w:bookmarkStart w:id="586" w:name="_Toc157520576"/>
      <w:proofErr w:type="gramEnd"/>
      <w:r>
        <w:instrText>2.1</w:instrText>
      </w:r>
      <w:r>
        <w:tab/>
        <w:instrText>Budgeted expenses and performance for Outcome 1</w:instrText>
      </w:r>
      <w:bookmarkEnd w:id="586"/>
      <w:r>
        <w:instrText xml:space="preserve">" \f </w:instrText>
      </w:r>
      <w:proofErr w:type="spellStart"/>
      <w:r>
        <w:instrText>sia</w:instrText>
      </w:r>
      <w:proofErr w:type="spellEnd"/>
      <w:r>
        <w:instrText xml:space="preserve"> \l 2 </w:instrText>
      </w:r>
      <w:r>
        <w:fldChar w:fldCharType="end"/>
      </w:r>
      <w:bookmarkStart w:id="587" w:name="_Toc157592052"/>
      <w:bookmarkStart w:id="588" w:name="_Toc157592235"/>
      <w:r w:rsidR="00717B4A">
        <w:t>2.1</w:t>
      </w:r>
      <w:r w:rsidR="00526CE6">
        <w:tab/>
        <w:t>Budgeted expens</w:t>
      </w:r>
      <w:r w:rsidR="00717B4A">
        <w:t>es and performance for Outcome 1</w:t>
      </w:r>
      <w:bookmarkEnd w:id="587"/>
      <w:bookmarkEnd w:id="58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526CE6" w:rsidRPr="005E6F2B" w14:paraId="046CD419" w14:textId="77777777" w:rsidTr="0047613D">
        <w:tc>
          <w:tcPr>
            <w:tcW w:w="7713" w:type="dxa"/>
            <w:shd w:val="clear" w:color="auto" w:fill="E6E6E6"/>
          </w:tcPr>
          <w:p w14:paraId="2C1A34EB" w14:textId="079EEF1E" w:rsidR="00526CE6" w:rsidRPr="005E6F2B" w:rsidRDefault="00526CE6" w:rsidP="00717B4A">
            <w:pPr>
              <w:pStyle w:val="TableColumnHeadingLeft"/>
              <w:spacing w:before="24" w:after="24"/>
            </w:pPr>
            <w:r w:rsidRPr="00F862B3">
              <w:rPr>
                <w:sz w:val="20"/>
              </w:rPr>
              <w:t xml:space="preserve">Outcome </w:t>
            </w:r>
            <w:r w:rsidR="00717B4A">
              <w:rPr>
                <w:sz w:val="20"/>
              </w:rPr>
              <w:t>1</w:t>
            </w:r>
            <w:r w:rsidRPr="00F862B3">
              <w:rPr>
                <w:sz w:val="20"/>
              </w:rPr>
              <w:t xml:space="preserve">: </w:t>
            </w:r>
            <w:r w:rsidR="00717B4A" w:rsidRPr="00717B4A">
              <w:rPr>
                <w:rFonts w:ascii="Arial" w:hAnsi="Arial" w:cs="Arial"/>
                <w:b w:val="0"/>
                <w:sz w:val="20"/>
              </w:rPr>
              <w:t>Protection of the integrity of Australian sport and the health and welfare of those who</w:t>
            </w:r>
            <w:r w:rsidR="00717B4A">
              <w:rPr>
                <w:rFonts w:ascii="Arial" w:hAnsi="Arial" w:cs="Arial"/>
                <w:b w:val="0"/>
                <w:sz w:val="20"/>
              </w:rPr>
              <w:t xml:space="preserve"> </w:t>
            </w:r>
            <w:r w:rsidR="00717B4A" w:rsidRPr="00717B4A">
              <w:rPr>
                <w:rFonts w:ascii="Arial" w:hAnsi="Arial" w:cs="Arial"/>
                <w:b w:val="0"/>
                <w:sz w:val="20"/>
              </w:rPr>
              <w:t>participate in sport through the coordination of a national approach to all sports integrity</w:t>
            </w:r>
            <w:r w:rsidR="00717B4A">
              <w:rPr>
                <w:rFonts w:ascii="Arial" w:hAnsi="Arial" w:cs="Arial"/>
                <w:b w:val="0"/>
                <w:sz w:val="20"/>
              </w:rPr>
              <w:t xml:space="preserve"> </w:t>
            </w:r>
            <w:r w:rsidR="00717B4A" w:rsidRPr="00717B4A">
              <w:rPr>
                <w:rFonts w:ascii="Arial" w:hAnsi="Arial" w:cs="Arial"/>
                <w:b w:val="0"/>
                <w:sz w:val="20"/>
              </w:rPr>
              <w:t>matters.</w:t>
            </w:r>
          </w:p>
        </w:tc>
      </w:tr>
    </w:tbl>
    <w:p w14:paraId="5E116373" w14:textId="77777777" w:rsidR="00526CE6" w:rsidRPr="005E6F2B" w:rsidRDefault="00526CE6" w:rsidP="00526CE6">
      <w:pPr>
        <w:pStyle w:val="NoSpacing"/>
      </w:pPr>
    </w:p>
    <w:p w14:paraId="12C381DD" w14:textId="50A29771" w:rsidR="00526CE6" w:rsidRPr="00A546A7" w:rsidRDefault="00526CE6" w:rsidP="00526CE6">
      <w:pPr>
        <w:pStyle w:val="Heading5"/>
        <w:rPr>
          <w:b/>
          <w:i w:val="0"/>
        </w:rPr>
      </w:pPr>
      <w:r w:rsidRPr="00A546A7">
        <w:rPr>
          <w:b/>
          <w:i w:val="0"/>
        </w:rPr>
        <w:t>Budgeted expenses for Outcom</w:t>
      </w:r>
      <w:r w:rsidR="00330BD7" w:rsidRPr="00A546A7">
        <w:rPr>
          <w:b/>
          <w:i w:val="0"/>
        </w:rPr>
        <w:t>e 1</w:t>
      </w:r>
    </w:p>
    <w:p w14:paraId="7159B444" w14:textId="77777777" w:rsidR="00526CE6" w:rsidRPr="00A546A7" w:rsidRDefault="00526CE6" w:rsidP="00526CE6">
      <w:pPr>
        <w:rPr>
          <w:b/>
          <w:sz w:val="20"/>
        </w:rPr>
      </w:pPr>
      <w:r w:rsidRPr="00A546A7">
        <w:rPr>
          <w:sz w:val="20"/>
        </w:rPr>
        <w:t>This table shows how much the entity intends to spend (on an accrual basis) on achieving the outcome, broken down by program, as well as by Administered and Departmental funding sources.</w:t>
      </w:r>
    </w:p>
    <w:p w14:paraId="19658702" w14:textId="0698F647" w:rsidR="00526CE6" w:rsidRDefault="00330BD7" w:rsidP="00751257">
      <w:pPr>
        <w:pStyle w:val="TableHeading"/>
        <w:rPr>
          <w:rFonts w:cs="Arial"/>
        </w:rPr>
      </w:pPr>
      <w:r w:rsidRPr="00330BD7">
        <w:rPr>
          <w:rFonts w:cs="Arial"/>
        </w:rPr>
        <w:t>Table 2.1</w:t>
      </w:r>
      <w:r w:rsidR="00526CE6" w:rsidRPr="00330BD7">
        <w:rPr>
          <w:rFonts w:cs="Arial"/>
        </w:rPr>
        <w:t>.1</w:t>
      </w:r>
      <w:r w:rsidRPr="00330BD7">
        <w:rPr>
          <w:rFonts w:cs="Arial"/>
        </w:rPr>
        <w:t xml:space="preserve"> Budgeted expenses for Outcome 1</w:t>
      </w:r>
    </w:p>
    <w:tbl>
      <w:tblPr>
        <w:tblW w:w="7700" w:type="dxa"/>
        <w:jc w:val="center"/>
        <w:tblLayout w:type="fixed"/>
        <w:tblLook w:val="04A0" w:firstRow="1" w:lastRow="0" w:firstColumn="1" w:lastColumn="0" w:noHBand="0" w:noVBand="1"/>
      </w:tblPr>
      <w:tblGrid>
        <w:gridCol w:w="3000"/>
        <w:gridCol w:w="940"/>
        <w:gridCol w:w="940"/>
        <w:gridCol w:w="940"/>
        <w:gridCol w:w="940"/>
        <w:gridCol w:w="940"/>
      </w:tblGrid>
      <w:tr w:rsidR="004D66E4" w:rsidRPr="004D66E4" w14:paraId="0DD1F197" w14:textId="77777777" w:rsidTr="00B9174E">
        <w:trPr>
          <w:trHeight w:val="680"/>
          <w:jc w:val="center"/>
        </w:trPr>
        <w:tc>
          <w:tcPr>
            <w:tcW w:w="3000" w:type="dxa"/>
            <w:tcBorders>
              <w:top w:val="single" w:sz="4" w:space="0" w:color="auto"/>
              <w:left w:val="nil"/>
              <w:bottom w:val="nil"/>
              <w:right w:val="nil"/>
            </w:tcBorders>
            <w:shd w:val="clear" w:color="auto" w:fill="auto"/>
            <w:vAlign w:val="bottom"/>
            <w:hideMark/>
          </w:tcPr>
          <w:p w14:paraId="0BAE8EAA"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42A3D19F" w14:textId="3938F912" w:rsidR="004D66E4" w:rsidRPr="004D66E4" w:rsidRDefault="006E4ACF" w:rsidP="00B9174E">
            <w:pPr>
              <w:spacing w:before="24" w:after="0" w:line="240" w:lineRule="auto"/>
              <w:jc w:val="right"/>
              <w:rPr>
                <w:rFonts w:ascii="Arial" w:hAnsi="Arial" w:cs="Arial"/>
                <w:b/>
                <w:bCs/>
                <w:sz w:val="16"/>
                <w:szCs w:val="16"/>
              </w:rPr>
            </w:pPr>
            <w:r>
              <w:rPr>
                <w:rFonts w:ascii="Arial" w:hAnsi="Arial" w:cs="Arial"/>
                <w:b/>
                <w:bCs/>
                <w:sz w:val="16"/>
                <w:szCs w:val="16"/>
              </w:rPr>
              <w:t>2022–</w:t>
            </w:r>
            <w:r w:rsidR="004D66E4" w:rsidRPr="004D66E4">
              <w:rPr>
                <w:rFonts w:ascii="Arial" w:hAnsi="Arial" w:cs="Arial"/>
                <w:b/>
                <w:bCs/>
                <w:sz w:val="16"/>
                <w:szCs w:val="16"/>
              </w:rPr>
              <w:t>23</w:t>
            </w:r>
            <w:r w:rsidR="004D66E4" w:rsidRPr="004D66E4">
              <w:rPr>
                <w:rFonts w:ascii="Arial" w:hAnsi="Arial" w:cs="Arial"/>
                <w:b/>
                <w:bCs/>
                <w:sz w:val="16"/>
                <w:szCs w:val="16"/>
              </w:rPr>
              <w:br/>
              <w:t>Actual</w:t>
            </w:r>
            <w:r w:rsidR="004D66E4" w:rsidRPr="004D66E4">
              <w:rPr>
                <w:rFonts w:ascii="Arial" w:hAnsi="Arial" w:cs="Arial"/>
                <w:b/>
                <w:bCs/>
                <w:sz w:val="16"/>
                <w:szCs w:val="16"/>
              </w:rPr>
              <w:br/>
            </w:r>
            <w:r w:rsidR="004D66E4" w:rsidRPr="004D66E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14:paraId="21AD8DA4" w14:textId="36ED0835" w:rsidR="004D66E4" w:rsidRPr="004D66E4" w:rsidRDefault="006E4ACF" w:rsidP="00B9174E">
            <w:pPr>
              <w:spacing w:before="24" w:after="0" w:line="240" w:lineRule="auto"/>
              <w:jc w:val="right"/>
              <w:rPr>
                <w:rFonts w:ascii="Arial" w:hAnsi="Arial" w:cs="Arial"/>
                <w:b/>
                <w:bCs/>
                <w:sz w:val="16"/>
                <w:szCs w:val="16"/>
              </w:rPr>
            </w:pPr>
            <w:r>
              <w:rPr>
                <w:rFonts w:ascii="Arial" w:hAnsi="Arial" w:cs="Arial"/>
                <w:b/>
                <w:bCs/>
                <w:sz w:val="16"/>
                <w:szCs w:val="16"/>
              </w:rPr>
              <w:t>2023–</w:t>
            </w:r>
            <w:r w:rsidR="004D66E4" w:rsidRPr="004D66E4">
              <w:rPr>
                <w:rFonts w:ascii="Arial" w:hAnsi="Arial" w:cs="Arial"/>
                <w:b/>
                <w:bCs/>
                <w:sz w:val="16"/>
                <w:szCs w:val="16"/>
              </w:rPr>
              <w:t>24</w:t>
            </w:r>
            <w:r w:rsidR="004D66E4" w:rsidRPr="004D66E4">
              <w:rPr>
                <w:rFonts w:ascii="Arial" w:hAnsi="Arial" w:cs="Arial"/>
                <w:b/>
                <w:bCs/>
                <w:sz w:val="16"/>
                <w:szCs w:val="16"/>
              </w:rPr>
              <w:br/>
              <w:t>Revised</w:t>
            </w:r>
            <w:r w:rsidR="004D66E4" w:rsidRPr="004D66E4">
              <w:rPr>
                <w:rFonts w:ascii="Arial" w:hAnsi="Arial" w:cs="Arial"/>
                <w:b/>
                <w:bCs/>
                <w:sz w:val="16"/>
                <w:szCs w:val="16"/>
              </w:rPr>
              <w:br/>
              <w:t>Budget</w:t>
            </w:r>
            <w:r w:rsidR="004D66E4" w:rsidRPr="004D66E4">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1A1F8DFE" w14:textId="3F552B6F" w:rsidR="004D66E4" w:rsidRPr="004D66E4" w:rsidRDefault="006E4ACF" w:rsidP="00B9174E">
            <w:pPr>
              <w:spacing w:before="24" w:after="0" w:line="240" w:lineRule="auto"/>
              <w:jc w:val="right"/>
              <w:rPr>
                <w:rFonts w:ascii="Arial" w:hAnsi="Arial" w:cs="Arial"/>
                <w:b/>
                <w:bCs/>
                <w:sz w:val="16"/>
                <w:szCs w:val="16"/>
              </w:rPr>
            </w:pPr>
            <w:r>
              <w:rPr>
                <w:rFonts w:ascii="Arial" w:hAnsi="Arial" w:cs="Arial"/>
                <w:b/>
                <w:bCs/>
                <w:sz w:val="16"/>
                <w:szCs w:val="16"/>
              </w:rPr>
              <w:t>2024–</w:t>
            </w:r>
            <w:r w:rsidR="004D66E4" w:rsidRPr="004D66E4">
              <w:rPr>
                <w:rFonts w:ascii="Arial" w:hAnsi="Arial" w:cs="Arial"/>
                <w:b/>
                <w:bCs/>
                <w:sz w:val="16"/>
                <w:szCs w:val="16"/>
              </w:rPr>
              <w:t>25 Forward estimate</w:t>
            </w:r>
            <w:r w:rsidR="004D66E4" w:rsidRPr="004D66E4">
              <w:rPr>
                <w:rFonts w:ascii="Arial" w:hAnsi="Arial" w:cs="Arial"/>
                <w:b/>
                <w:bCs/>
                <w:sz w:val="16"/>
                <w:szCs w:val="16"/>
              </w:rPr>
              <w:br/>
            </w:r>
            <w:r w:rsidR="004D66E4" w:rsidRPr="004D66E4">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479712B4" w14:textId="669CC2A9" w:rsidR="004D66E4" w:rsidRPr="004D66E4" w:rsidRDefault="006E4ACF" w:rsidP="00B9174E">
            <w:pPr>
              <w:spacing w:before="24" w:after="0" w:line="240" w:lineRule="auto"/>
              <w:jc w:val="right"/>
              <w:rPr>
                <w:rFonts w:ascii="Arial" w:hAnsi="Arial" w:cs="Arial"/>
                <w:b/>
                <w:bCs/>
                <w:sz w:val="16"/>
                <w:szCs w:val="16"/>
              </w:rPr>
            </w:pPr>
            <w:r>
              <w:rPr>
                <w:rFonts w:ascii="Arial" w:hAnsi="Arial" w:cs="Arial"/>
                <w:b/>
                <w:bCs/>
                <w:sz w:val="16"/>
                <w:szCs w:val="16"/>
              </w:rPr>
              <w:t>2025–</w:t>
            </w:r>
            <w:r w:rsidR="004D66E4" w:rsidRPr="004D66E4">
              <w:rPr>
                <w:rFonts w:ascii="Arial" w:hAnsi="Arial" w:cs="Arial"/>
                <w:b/>
                <w:bCs/>
                <w:sz w:val="16"/>
                <w:szCs w:val="16"/>
              </w:rPr>
              <w:t>26 Forward estimate</w:t>
            </w:r>
            <w:r w:rsidR="004D66E4" w:rsidRPr="004D66E4">
              <w:rPr>
                <w:rFonts w:ascii="Arial" w:hAnsi="Arial" w:cs="Arial"/>
                <w:b/>
                <w:bCs/>
                <w:sz w:val="16"/>
                <w:szCs w:val="16"/>
              </w:rPr>
              <w:br/>
            </w:r>
            <w:r w:rsidR="004D66E4" w:rsidRPr="004D66E4">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14:paraId="09B55D88" w14:textId="34C77752" w:rsidR="004D66E4" w:rsidRPr="004D66E4" w:rsidRDefault="006E4ACF" w:rsidP="00B9174E">
            <w:pPr>
              <w:spacing w:before="24" w:after="0" w:line="240" w:lineRule="auto"/>
              <w:jc w:val="right"/>
              <w:rPr>
                <w:rFonts w:ascii="Arial" w:hAnsi="Arial" w:cs="Arial"/>
                <w:b/>
                <w:bCs/>
                <w:sz w:val="16"/>
                <w:szCs w:val="16"/>
              </w:rPr>
            </w:pPr>
            <w:r>
              <w:rPr>
                <w:rFonts w:ascii="Arial" w:hAnsi="Arial" w:cs="Arial"/>
                <w:b/>
                <w:bCs/>
                <w:sz w:val="16"/>
                <w:szCs w:val="16"/>
              </w:rPr>
              <w:t>2026–</w:t>
            </w:r>
            <w:r w:rsidR="004D66E4" w:rsidRPr="004D66E4">
              <w:rPr>
                <w:rFonts w:ascii="Arial" w:hAnsi="Arial" w:cs="Arial"/>
                <w:b/>
                <w:bCs/>
                <w:sz w:val="16"/>
                <w:szCs w:val="16"/>
              </w:rPr>
              <w:t>27 Forward estimate</w:t>
            </w:r>
            <w:r w:rsidR="004D66E4" w:rsidRPr="004D66E4">
              <w:rPr>
                <w:rFonts w:ascii="Arial" w:hAnsi="Arial" w:cs="Arial"/>
                <w:b/>
                <w:bCs/>
                <w:sz w:val="16"/>
                <w:szCs w:val="16"/>
              </w:rPr>
              <w:br/>
            </w:r>
            <w:r w:rsidR="004D66E4" w:rsidRPr="004D66E4">
              <w:rPr>
                <w:rFonts w:ascii="Arial" w:hAnsi="Arial" w:cs="Arial"/>
                <w:sz w:val="16"/>
                <w:szCs w:val="16"/>
              </w:rPr>
              <w:t>$'000</w:t>
            </w:r>
          </w:p>
        </w:tc>
      </w:tr>
      <w:tr w:rsidR="004D66E4" w:rsidRPr="004D66E4" w14:paraId="5C479980" w14:textId="77777777" w:rsidTr="001370B1">
        <w:trPr>
          <w:trHeight w:val="283"/>
          <w:jc w:val="center"/>
        </w:trPr>
        <w:tc>
          <w:tcPr>
            <w:tcW w:w="3000" w:type="dxa"/>
            <w:tcBorders>
              <w:top w:val="nil"/>
              <w:left w:val="nil"/>
              <w:bottom w:val="nil"/>
              <w:right w:val="nil"/>
            </w:tcBorders>
            <w:shd w:val="clear" w:color="auto" w:fill="auto"/>
            <w:noWrap/>
            <w:vAlign w:val="bottom"/>
            <w:hideMark/>
          </w:tcPr>
          <w:p w14:paraId="4A2DF6C3" w14:textId="77777777" w:rsidR="004D66E4" w:rsidRPr="004D66E4" w:rsidRDefault="004D66E4" w:rsidP="004D66E4">
            <w:pPr>
              <w:spacing w:before="0" w:after="0" w:line="240" w:lineRule="auto"/>
              <w:rPr>
                <w:rFonts w:ascii="Arial" w:hAnsi="Arial" w:cs="Arial"/>
                <w:b/>
                <w:bCs/>
                <w:sz w:val="16"/>
                <w:szCs w:val="16"/>
              </w:rPr>
            </w:pPr>
            <w:r w:rsidRPr="004D66E4">
              <w:rPr>
                <w:rFonts w:ascii="Arial" w:hAnsi="Arial" w:cs="Arial"/>
                <w:b/>
                <w:bCs/>
                <w:sz w:val="16"/>
                <w:szCs w:val="16"/>
              </w:rPr>
              <w:t>Program 1.1: Sport Integrity</w:t>
            </w:r>
          </w:p>
        </w:tc>
        <w:tc>
          <w:tcPr>
            <w:tcW w:w="940" w:type="dxa"/>
            <w:tcBorders>
              <w:top w:val="single" w:sz="4" w:space="0" w:color="auto"/>
              <w:left w:val="nil"/>
              <w:bottom w:val="nil"/>
              <w:right w:val="nil"/>
            </w:tcBorders>
            <w:shd w:val="clear" w:color="auto" w:fill="auto"/>
            <w:vAlign w:val="bottom"/>
            <w:hideMark/>
          </w:tcPr>
          <w:p w14:paraId="60606690"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bottom"/>
            <w:hideMark/>
          </w:tcPr>
          <w:p w14:paraId="6D4B8657"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single" w:sz="4" w:space="0" w:color="auto"/>
              <w:left w:val="nil"/>
              <w:bottom w:val="nil"/>
              <w:right w:val="nil"/>
            </w:tcBorders>
            <w:shd w:val="clear" w:color="auto" w:fill="auto"/>
            <w:vAlign w:val="bottom"/>
            <w:hideMark/>
          </w:tcPr>
          <w:p w14:paraId="056DA441"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single" w:sz="4" w:space="0" w:color="auto"/>
              <w:left w:val="nil"/>
              <w:bottom w:val="nil"/>
              <w:right w:val="nil"/>
            </w:tcBorders>
            <w:shd w:val="clear" w:color="auto" w:fill="auto"/>
            <w:vAlign w:val="bottom"/>
            <w:hideMark/>
          </w:tcPr>
          <w:p w14:paraId="5A4313C6"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single" w:sz="4" w:space="0" w:color="auto"/>
              <w:left w:val="nil"/>
              <w:bottom w:val="nil"/>
              <w:right w:val="nil"/>
            </w:tcBorders>
            <w:shd w:val="clear" w:color="auto" w:fill="auto"/>
            <w:vAlign w:val="bottom"/>
            <w:hideMark/>
          </w:tcPr>
          <w:p w14:paraId="5A5A7BAE"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r>
      <w:tr w:rsidR="004D66E4" w:rsidRPr="004D66E4" w14:paraId="28630617" w14:textId="77777777" w:rsidTr="001370B1">
        <w:trPr>
          <w:trHeight w:val="283"/>
          <w:jc w:val="center"/>
        </w:trPr>
        <w:tc>
          <w:tcPr>
            <w:tcW w:w="3000" w:type="dxa"/>
            <w:tcBorders>
              <w:top w:val="nil"/>
              <w:left w:val="nil"/>
              <w:bottom w:val="nil"/>
              <w:right w:val="nil"/>
            </w:tcBorders>
            <w:shd w:val="clear" w:color="auto" w:fill="auto"/>
            <w:noWrap/>
            <w:vAlign w:val="bottom"/>
            <w:hideMark/>
          </w:tcPr>
          <w:p w14:paraId="41D8B4CB" w14:textId="77777777" w:rsidR="004D66E4" w:rsidRPr="004D66E4" w:rsidRDefault="004D66E4" w:rsidP="001B6377">
            <w:pPr>
              <w:spacing w:before="0" w:after="0" w:line="240" w:lineRule="auto"/>
              <w:ind w:leftChars="75" w:left="143"/>
              <w:rPr>
                <w:rFonts w:ascii="Arial" w:hAnsi="Arial" w:cs="Arial"/>
                <w:sz w:val="16"/>
                <w:szCs w:val="16"/>
              </w:rPr>
            </w:pPr>
            <w:r w:rsidRPr="004D66E4">
              <w:rPr>
                <w:rFonts w:ascii="Arial" w:hAnsi="Arial" w:cs="Arial"/>
                <w:sz w:val="16"/>
                <w:szCs w:val="16"/>
              </w:rPr>
              <w:t>Administered expenses</w:t>
            </w:r>
          </w:p>
        </w:tc>
        <w:tc>
          <w:tcPr>
            <w:tcW w:w="940" w:type="dxa"/>
            <w:tcBorders>
              <w:top w:val="nil"/>
              <w:left w:val="nil"/>
              <w:bottom w:val="nil"/>
              <w:right w:val="nil"/>
            </w:tcBorders>
            <w:shd w:val="clear" w:color="auto" w:fill="auto"/>
            <w:vAlign w:val="bottom"/>
            <w:hideMark/>
          </w:tcPr>
          <w:p w14:paraId="319C9BCD" w14:textId="77777777" w:rsidR="004D66E4" w:rsidRPr="004D66E4" w:rsidRDefault="004D66E4" w:rsidP="004D66E4">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6011C8F5"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nil"/>
              <w:left w:val="nil"/>
              <w:bottom w:val="nil"/>
              <w:right w:val="nil"/>
            </w:tcBorders>
            <w:shd w:val="clear" w:color="auto" w:fill="auto"/>
            <w:vAlign w:val="bottom"/>
            <w:hideMark/>
          </w:tcPr>
          <w:p w14:paraId="255755C4" w14:textId="77777777" w:rsidR="004D66E4" w:rsidRPr="004D66E4" w:rsidRDefault="004D66E4" w:rsidP="004D66E4">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vAlign w:val="bottom"/>
            <w:hideMark/>
          </w:tcPr>
          <w:p w14:paraId="22821639" w14:textId="77777777" w:rsidR="004D66E4" w:rsidRPr="004D66E4" w:rsidRDefault="004D66E4" w:rsidP="004D66E4">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vAlign w:val="bottom"/>
            <w:hideMark/>
          </w:tcPr>
          <w:p w14:paraId="739B5043" w14:textId="77777777" w:rsidR="004D66E4" w:rsidRPr="004D66E4" w:rsidRDefault="004D66E4" w:rsidP="004D66E4">
            <w:pPr>
              <w:spacing w:before="0" w:after="0" w:line="240" w:lineRule="auto"/>
              <w:jc w:val="right"/>
              <w:rPr>
                <w:rFonts w:ascii="Times New Roman" w:hAnsi="Times New Roman"/>
                <w:sz w:val="20"/>
              </w:rPr>
            </w:pPr>
          </w:p>
        </w:tc>
      </w:tr>
      <w:tr w:rsidR="004D66E4" w:rsidRPr="004D66E4" w14:paraId="3F7606D9" w14:textId="77777777" w:rsidTr="00B9174E">
        <w:trPr>
          <w:trHeight w:val="225"/>
          <w:jc w:val="center"/>
        </w:trPr>
        <w:tc>
          <w:tcPr>
            <w:tcW w:w="3000" w:type="dxa"/>
            <w:tcBorders>
              <w:top w:val="nil"/>
              <w:left w:val="nil"/>
              <w:bottom w:val="nil"/>
              <w:right w:val="nil"/>
            </w:tcBorders>
            <w:shd w:val="clear" w:color="auto" w:fill="auto"/>
            <w:noWrap/>
            <w:vAlign w:val="bottom"/>
            <w:hideMark/>
          </w:tcPr>
          <w:p w14:paraId="79ED5B9F" w14:textId="65BEEC5E" w:rsidR="004D66E4" w:rsidRPr="004D66E4" w:rsidRDefault="004D66E4" w:rsidP="00BE13B8">
            <w:pPr>
              <w:spacing w:before="0" w:after="0" w:line="240" w:lineRule="auto"/>
              <w:ind w:leftChars="150" w:left="285"/>
              <w:rPr>
                <w:rFonts w:ascii="Arial" w:hAnsi="Arial" w:cs="Arial"/>
                <w:sz w:val="16"/>
                <w:szCs w:val="16"/>
              </w:rPr>
            </w:pPr>
            <w:r w:rsidRPr="004D66E4">
              <w:rPr>
                <w:rFonts w:ascii="Arial" w:hAnsi="Arial" w:cs="Arial"/>
                <w:sz w:val="16"/>
                <w:szCs w:val="16"/>
              </w:rPr>
              <w:t>Ordinary annual services</w:t>
            </w:r>
            <w:r w:rsidRPr="004D66E4">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21E0D69A"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2,989</w:t>
            </w:r>
          </w:p>
        </w:tc>
        <w:tc>
          <w:tcPr>
            <w:tcW w:w="940" w:type="dxa"/>
            <w:tcBorders>
              <w:top w:val="nil"/>
              <w:left w:val="nil"/>
              <w:bottom w:val="nil"/>
              <w:right w:val="nil"/>
            </w:tcBorders>
            <w:shd w:val="clear" w:color="000000" w:fill="D9D9D9"/>
            <w:noWrap/>
            <w:vAlign w:val="bottom"/>
            <w:hideMark/>
          </w:tcPr>
          <w:p w14:paraId="4995A4E4"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6,752</w:t>
            </w:r>
          </w:p>
        </w:tc>
        <w:tc>
          <w:tcPr>
            <w:tcW w:w="940" w:type="dxa"/>
            <w:tcBorders>
              <w:top w:val="nil"/>
              <w:left w:val="nil"/>
              <w:bottom w:val="nil"/>
              <w:right w:val="nil"/>
            </w:tcBorders>
            <w:shd w:val="clear" w:color="auto" w:fill="auto"/>
            <w:noWrap/>
            <w:vAlign w:val="bottom"/>
            <w:hideMark/>
          </w:tcPr>
          <w:p w14:paraId="0CE39B98"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4,689</w:t>
            </w:r>
          </w:p>
        </w:tc>
        <w:tc>
          <w:tcPr>
            <w:tcW w:w="940" w:type="dxa"/>
            <w:tcBorders>
              <w:top w:val="nil"/>
              <w:left w:val="nil"/>
              <w:bottom w:val="nil"/>
              <w:right w:val="nil"/>
            </w:tcBorders>
            <w:shd w:val="clear" w:color="auto" w:fill="auto"/>
            <w:noWrap/>
            <w:vAlign w:val="bottom"/>
            <w:hideMark/>
          </w:tcPr>
          <w:p w14:paraId="12D4C4C1"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4,774</w:t>
            </w:r>
          </w:p>
        </w:tc>
        <w:tc>
          <w:tcPr>
            <w:tcW w:w="940" w:type="dxa"/>
            <w:tcBorders>
              <w:top w:val="nil"/>
              <w:left w:val="nil"/>
              <w:bottom w:val="nil"/>
              <w:right w:val="nil"/>
            </w:tcBorders>
            <w:shd w:val="clear" w:color="auto" w:fill="auto"/>
            <w:noWrap/>
            <w:vAlign w:val="bottom"/>
            <w:hideMark/>
          </w:tcPr>
          <w:p w14:paraId="078CCBE0"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4,874</w:t>
            </w:r>
          </w:p>
        </w:tc>
      </w:tr>
      <w:tr w:rsidR="004D66E4" w:rsidRPr="004D66E4" w14:paraId="0B41C937" w14:textId="77777777" w:rsidTr="00170EFE">
        <w:trPr>
          <w:trHeight w:val="283"/>
          <w:jc w:val="center"/>
        </w:trPr>
        <w:tc>
          <w:tcPr>
            <w:tcW w:w="3000" w:type="dxa"/>
            <w:tcBorders>
              <w:top w:val="nil"/>
              <w:left w:val="nil"/>
              <w:bottom w:val="nil"/>
              <w:right w:val="nil"/>
            </w:tcBorders>
            <w:shd w:val="clear" w:color="auto" w:fill="auto"/>
            <w:noWrap/>
            <w:vAlign w:val="bottom"/>
            <w:hideMark/>
          </w:tcPr>
          <w:p w14:paraId="2DF18EB2" w14:textId="77777777" w:rsidR="004D66E4" w:rsidRPr="004D66E4" w:rsidRDefault="004D66E4" w:rsidP="001B6377">
            <w:pPr>
              <w:spacing w:before="0" w:after="0" w:line="240" w:lineRule="auto"/>
              <w:ind w:leftChars="75" w:left="143"/>
              <w:rPr>
                <w:rFonts w:ascii="Arial" w:hAnsi="Arial" w:cs="Arial"/>
                <w:sz w:val="16"/>
                <w:szCs w:val="16"/>
              </w:rPr>
            </w:pPr>
            <w:r w:rsidRPr="004D66E4">
              <w:rPr>
                <w:rFonts w:ascii="Arial" w:hAnsi="Arial" w:cs="Arial"/>
                <w:sz w:val="16"/>
                <w:szCs w:val="16"/>
              </w:rPr>
              <w:t>Departmental expenses</w:t>
            </w:r>
          </w:p>
        </w:tc>
        <w:tc>
          <w:tcPr>
            <w:tcW w:w="940" w:type="dxa"/>
            <w:tcBorders>
              <w:top w:val="nil"/>
              <w:left w:val="nil"/>
              <w:bottom w:val="nil"/>
              <w:right w:val="nil"/>
            </w:tcBorders>
            <w:shd w:val="clear" w:color="auto" w:fill="auto"/>
            <w:vAlign w:val="bottom"/>
            <w:hideMark/>
          </w:tcPr>
          <w:p w14:paraId="26FC10AB" w14:textId="77777777" w:rsidR="004D66E4" w:rsidRPr="004D66E4" w:rsidRDefault="004D66E4" w:rsidP="004D66E4">
            <w:pPr>
              <w:spacing w:before="0" w:after="0" w:line="240" w:lineRule="auto"/>
              <w:ind w:firstLineChars="100" w:firstLine="160"/>
              <w:rPr>
                <w:rFonts w:ascii="Arial" w:hAnsi="Arial" w:cs="Arial"/>
                <w:sz w:val="16"/>
                <w:szCs w:val="16"/>
              </w:rPr>
            </w:pPr>
          </w:p>
        </w:tc>
        <w:tc>
          <w:tcPr>
            <w:tcW w:w="940" w:type="dxa"/>
            <w:tcBorders>
              <w:top w:val="nil"/>
              <w:left w:val="nil"/>
              <w:bottom w:val="nil"/>
              <w:right w:val="nil"/>
            </w:tcBorders>
            <w:shd w:val="clear" w:color="000000" w:fill="D9D9D9"/>
            <w:noWrap/>
            <w:vAlign w:val="bottom"/>
            <w:hideMark/>
          </w:tcPr>
          <w:p w14:paraId="2F1826F8"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 </w:t>
            </w:r>
          </w:p>
        </w:tc>
        <w:tc>
          <w:tcPr>
            <w:tcW w:w="940" w:type="dxa"/>
            <w:tcBorders>
              <w:top w:val="nil"/>
              <w:left w:val="nil"/>
              <w:bottom w:val="nil"/>
              <w:right w:val="nil"/>
            </w:tcBorders>
            <w:shd w:val="clear" w:color="auto" w:fill="auto"/>
            <w:vAlign w:val="bottom"/>
            <w:hideMark/>
          </w:tcPr>
          <w:p w14:paraId="4C9BD06F" w14:textId="77777777" w:rsidR="004D66E4" w:rsidRPr="004D66E4" w:rsidRDefault="004D66E4" w:rsidP="004D66E4">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vAlign w:val="bottom"/>
            <w:hideMark/>
          </w:tcPr>
          <w:p w14:paraId="10981216" w14:textId="77777777" w:rsidR="004D66E4" w:rsidRPr="004D66E4" w:rsidRDefault="004D66E4" w:rsidP="004D66E4">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vAlign w:val="bottom"/>
            <w:hideMark/>
          </w:tcPr>
          <w:p w14:paraId="34FA8EB7" w14:textId="77777777" w:rsidR="004D66E4" w:rsidRPr="004D66E4" w:rsidRDefault="004D66E4" w:rsidP="004D66E4">
            <w:pPr>
              <w:spacing w:before="0" w:after="0" w:line="240" w:lineRule="auto"/>
              <w:jc w:val="right"/>
              <w:rPr>
                <w:rFonts w:ascii="Times New Roman" w:hAnsi="Times New Roman"/>
                <w:sz w:val="20"/>
              </w:rPr>
            </w:pPr>
          </w:p>
        </w:tc>
      </w:tr>
      <w:tr w:rsidR="004D66E4" w:rsidRPr="004D66E4" w14:paraId="30454DC2" w14:textId="77777777" w:rsidTr="00B9174E">
        <w:trPr>
          <w:trHeight w:val="225"/>
          <w:jc w:val="center"/>
        </w:trPr>
        <w:tc>
          <w:tcPr>
            <w:tcW w:w="3000" w:type="dxa"/>
            <w:tcBorders>
              <w:top w:val="nil"/>
              <w:left w:val="nil"/>
              <w:bottom w:val="nil"/>
              <w:right w:val="nil"/>
            </w:tcBorders>
            <w:shd w:val="clear" w:color="auto" w:fill="auto"/>
            <w:noWrap/>
            <w:vAlign w:val="bottom"/>
            <w:hideMark/>
          </w:tcPr>
          <w:p w14:paraId="75D10870" w14:textId="1DFE6F09" w:rsidR="004D66E4" w:rsidRPr="004D66E4" w:rsidRDefault="004D66E4" w:rsidP="00BE13B8">
            <w:pPr>
              <w:spacing w:before="0" w:after="0" w:line="240" w:lineRule="auto"/>
              <w:ind w:leftChars="150" w:left="285"/>
              <w:rPr>
                <w:rFonts w:ascii="Arial" w:hAnsi="Arial" w:cs="Arial"/>
                <w:sz w:val="16"/>
                <w:szCs w:val="16"/>
              </w:rPr>
            </w:pPr>
            <w:r w:rsidRPr="004D66E4">
              <w:rPr>
                <w:rFonts w:ascii="Arial" w:hAnsi="Arial" w:cs="Arial"/>
                <w:sz w:val="16"/>
                <w:szCs w:val="16"/>
              </w:rPr>
              <w:t>Departmental appropriation</w:t>
            </w:r>
            <w:r w:rsidRPr="004D66E4">
              <w:rPr>
                <w:rFonts w:ascii="Arial" w:hAnsi="Arial"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6F3D9923"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33,569</w:t>
            </w:r>
          </w:p>
        </w:tc>
        <w:tc>
          <w:tcPr>
            <w:tcW w:w="940" w:type="dxa"/>
            <w:tcBorders>
              <w:top w:val="nil"/>
              <w:left w:val="nil"/>
              <w:bottom w:val="nil"/>
              <w:right w:val="nil"/>
            </w:tcBorders>
            <w:shd w:val="clear" w:color="000000" w:fill="D9D9D9"/>
            <w:noWrap/>
            <w:vAlign w:val="bottom"/>
            <w:hideMark/>
          </w:tcPr>
          <w:p w14:paraId="2928B5A6"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37,046</w:t>
            </w:r>
          </w:p>
        </w:tc>
        <w:tc>
          <w:tcPr>
            <w:tcW w:w="940" w:type="dxa"/>
            <w:tcBorders>
              <w:top w:val="nil"/>
              <w:left w:val="nil"/>
              <w:bottom w:val="nil"/>
              <w:right w:val="nil"/>
            </w:tcBorders>
            <w:shd w:val="clear" w:color="auto" w:fill="auto"/>
            <w:noWrap/>
            <w:vAlign w:val="bottom"/>
            <w:hideMark/>
          </w:tcPr>
          <w:p w14:paraId="19CD645E"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24,535</w:t>
            </w:r>
          </w:p>
        </w:tc>
        <w:tc>
          <w:tcPr>
            <w:tcW w:w="940" w:type="dxa"/>
            <w:tcBorders>
              <w:top w:val="nil"/>
              <w:left w:val="nil"/>
              <w:bottom w:val="nil"/>
              <w:right w:val="nil"/>
            </w:tcBorders>
            <w:shd w:val="clear" w:color="auto" w:fill="auto"/>
            <w:noWrap/>
            <w:vAlign w:val="bottom"/>
            <w:hideMark/>
          </w:tcPr>
          <w:p w14:paraId="7790336D"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25,118</w:t>
            </w:r>
          </w:p>
        </w:tc>
        <w:tc>
          <w:tcPr>
            <w:tcW w:w="940" w:type="dxa"/>
            <w:tcBorders>
              <w:top w:val="nil"/>
              <w:left w:val="nil"/>
              <w:bottom w:val="nil"/>
              <w:right w:val="nil"/>
            </w:tcBorders>
            <w:shd w:val="clear" w:color="auto" w:fill="auto"/>
            <w:noWrap/>
            <w:vAlign w:val="bottom"/>
            <w:hideMark/>
          </w:tcPr>
          <w:p w14:paraId="7211CF29"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25,243</w:t>
            </w:r>
          </w:p>
        </w:tc>
      </w:tr>
      <w:tr w:rsidR="004D66E4" w:rsidRPr="004D66E4" w14:paraId="47F1A739" w14:textId="77777777" w:rsidTr="001370B1">
        <w:trPr>
          <w:trHeight w:val="425"/>
          <w:jc w:val="center"/>
        </w:trPr>
        <w:tc>
          <w:tcPr>
            <w:tcW w:w="3000" w:type="dxa"/>
            <w:tcBorders>
              <w:top w:val="nil"/>
              <w:left w:val="nil"/>
              <w:bottom w:val="nil"/>
              <w:right w:val="nil"/>
            </w:tcBorders>
            <w:shd w:val="clear" w:color="auto" w:fill="auto"/>
            <w:vAlign w:val="bottom"/>
            <w:hideMark/>
          </w:tcPr>
          <w:p w14:paraId="6DC4DAAC" w14:textId="59B38FC9" w:rsidR="004D66E4" w:rsidRPr="004D66E4" w:rsidRDefault="004D66E4" w:rsidP="00BE13B8">
            <w:pPr>
              <w:spacing w:before="0" w:after="0" w:line="240" w:lineRule="auto"/>
              <w:ind w:leftChars="150" w:left="285"/>
              <w:rPr>
                <w:rFonts w:ascii="Arial" w:hAnsi="Arial" w:cs="Arial"/>
                <w:sz w:val="16"/>
                <w:szCs w:val="16"/>
              </w:rPr>
            </w:pPr>
            <w:r w:rsidRPr="004D66E4">
              <w:rPr>
                <w:rFonts w:ascii="Arial" w:hAnsi="Arial" w:cs="Arial"/>
                <w:sz w:val="16"/>
                <w:szCs w:val="16"/>
              </w:rPr>
              <w:t>Expenses not requiring appropriation in the Budget year</w:t>
            </w:r>
            <w:r w:rsidRPr="004D66E4">
              <w:rPr>
                <w:rFonts w:ascii="Arial" w:hAnsi="Arial" w:cs="Arial"/>
                <w:sz w:val="16"/>
                <w:szCs w:val="16"/>
                <w:vertAlign w:val="superscript"/>
              </w:rPr>
              <w:t>(c)</w:t>
            </w:r>
          </w:p>
        </w:tc>
        <w:tc>
          <w:tcPr>
            <w:tcW w:w="940" w:type="dxa"/>
            <w:tcBorders>
              <w:top w:val="nil"/>
              <w:left w:val="nil"/>
              <w:bottom w:val="nil"/>
              <w:right w:val="nil"/>
            </w:tcBorders>
            <w:shd w:val="clear" w:color="auto" w:fill="auto"/>
            <w:noWrap/>
            <w:vAlign w:val="bottom"/>
            <w:hideMark/>
          </w:tcPr>
          <w:p w14:paraId="3405F877"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5,939</w:t>
            </w:r>
          </w:p>
        </w:tc>
        <w:tc>
          <w:tcPr>
            <w:tcW w:w="940" w:type="dxa"/>
            <w:tcBorders>
              <w:top w:val="nil"/>
              <w:left w:val="nil"/>
              <w:bottom w:val="nil"/>
              <w:right w:val="nil"/>
            </w:tcBorders>
            <w:shd w:val="clear" w:color="000000" w:fill="D9D9D9"/>
            <w:noWrap/>
            <w:vAlign w:val="bottom"/>
            <w:hideMark/>
          </w:tcPr>
          <w:p w14:paraId="6419A9FF"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7,543</w:t>
            </w:r>
          </w:p>
        </w:tc>
        <w:tc>
          <w:tcPr>
            <w:tcW w:w="940" w:type="dxa"/>
            <w:tcBorders>
              <w:top w:val="nil"/>
              <w:left w:val="nil"/>
              <w:bottom w:val="nil"/>
              <w:right w:val="nil"/>
            </w:tcBorders>
            <w:shd w:val="clear" w:color="auto" w:fill="auto"/>
            <w:noWrap/>
            <w:vAlign w:val="bottom"/>
            <w:hideMark/>
          </w:tcPr>
          <w:p w14:paraId="479B8164"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8,375</w:t>
            </w:r>
          </w:p>
        </w:tc>
        <w:tc>
          <w:tcPr>
            <w:tcW w:w="940" w:type="dxa"/>
            <w:tcBorders>
              <w:top w:val="nil"/>
              <w:left w:val="nil"/>
              <w:bottom w:val="nil"/>
              <w:right w:val="nil"/>
            </w:tcBorders>
            <w:shd w:val="clear" w:color="auto" w:fill="auto"/>
            <w:noWrap/>
            <w:vAlign w:val="bottom"/>
            <w:hideMark/>
          </w:tcPr>
          <w:p w14:paraId="33BFA66E"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8,712</w:t>
            </w:r>
          </w:p>
        </w:tc>
        <w:tc>
          <w:tcPr>
            <w:tcW w:w="940" w:type="dxa"/>
            <w:tcBorders>
              <w:top w:val="nil"/>
              <w:left w:val="nil"/>
              <w:bottom w:val="nil"/>
              <w:right w:val="nil"/>
            </w:tcBorders>
            <w:shd w:val="clear" w:color="auto" w:fill="auto"/>
            <w:noWrap/>
            <w:vAlign w:val="bottom"/>
            <w:hideMark/>
          </w:tcPr>
          <w:p w14:paraId="5A60A047"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8,890</w:t>
            </w:r>
          </w:p>
        </w:tc>
      </w:tr>
      <w:tr w:rsidR="004D66E4" w:rsidRPr="004D66E4" w14:paraId="1B3D8FDB" w14:textId="77777777" w:rsidTr="00B9174E">
        <w:trPr>
          <w:trHeight w:val="225"/>
          <w:jc w:val="center"/>
        </w:trPr>
        <w:tc>
          <w:tcPr>
            <w:tcW w:w="3000" w:type="dxa"/>
            <w:tcBorders>
              <w:top w:val="nil"/>
              <w:left w:val="nil"/>
              <w:bottom w:val="nil"/>
              <w:right w:val="nil"/>
            </w:tcBorders>
            <w:shd w:val="clear" w:color="auto" w:fill="auto"/>
            <w:noWrap/>
            <w:vAlign w:val="bottom"/>
            <w:hideMark/>
          </w:tcPr>
          <w:p w14:paraId="1CA910F9" w14:textId="77777777" w:rsidR="004D66E4" w:rsidRPr="004D66E4" w:rsidRDefault="004D66E4" w:rsidP="001B6377">
            <w:pPr>
              <w:spacing w:before="0" w:after="0" w:line="240" w:lineRule="auto"/>
              <w:ind w:leftChars="75" w:left="143"/>
              <w:rPr>
                <w:rFonts w:ascii="Arial" w:hAnsi="Arial" w:cs="Arial"/>
                <w:sz w:val="16"/>
                <w:szCs w:val="16"/>
              </w:rPr>
            </w:pPr>
            <w:r w:rsidRPr="004D66E4">
              <w:rPr>
                <w:rFonts w:ascii="Arial" w:hAnsi="Arial" w:cs="Arial"/>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14:paraId="1CFCDD14"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1,284</w:t>
            </w:r>
          </w:p>
        </w:tc>
        <w:tc>
          <w:tcPr>
            <w:tcW w:w="940" w:type="dxa"/>
            <w:tcBorders>
              <w:top w:val="nil"/>
              <w:left w:val="nil"/>
              <w:bottom w:val="single" w:sz="4" w:space="0" w:color="auto"/>
              <w:right w:val="nil"/>
            </w:tcBorders>
            <w:shd w:val="clear" w:color="000000" w:fill="D9D9D9"/>
            <w:noWrap/>
            <w:vAlign w:val="bottom"/>
            <w:hideMark/>
          </w:tcPr>
          <w:p w14:paraId="2BB9F9B8"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969</w:t>
            </w:r>
          </w:p>
        </w:tc>
        <w:tc>
          <w:tcPr>
            <w:tcW w:w="940" w:type="dxa"/>
            <w:tcBorders>
              <w:top w:val="nil"/>
              <w:left w:val="nil"/>
              <w:bottom w:val="single" w:sz="4" w:space="0" w:color="auto"/>
              <w:right w:val="nil"/>
            </w:tcBorders>
            <w:shd w:val="clear" w:color="auto" w:fill="auto"/>
            <w:noWrap/>
            <w:vAlign w:val="bottom"/>
            <w:hideMark/>
          </w:tcPr>
          <w:p w14:paraId="18ADDD31"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969</w:t>
            </w:r>
          </w:p>
        </w:tc>
        <w:tc>
          <w:tcPr>
            <w:tcW w:w="940" w:type="dxa"/>
            <w:tcBorders>
              <w:top w:val="nil"/>
              <w:left w:val="nil"/>
              <w:bottom w:val="single" w:sz="4" w:space="0" w:color="auto"/>
              <w:right w:val="nil"/>
            </w:tcBorders>
            <w:shd w:val="clear" w:color="auto" w:fill="auto"/>
            <w:noWrap/>
            <w:vAlign w:val="bottom"/>
            <w:hideMark/>
          </w:tcPr>
          <w:p w14:paraId="610B5001"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969</w:t>
            </w:r>
          </w:p>
        </w:tc>
        <w:tc>
          <w:tcPr>
            <w:tcW w:w="940" w:type="dxa"/>
            <w:tcBorders>
              <w:top w:val="nil"/>
              <w:left w:val="nil"/>
              <w:bottom w:val="single" w:sz="4" w:space="0" w:color="auto"/>
              <w:right w:val="nil"/>
            </w:tcBorders>
            <w:shd w:val="clear" w:color="auto" w:fill="auto"/>
            <w:noWrap/>
            <w:vAlign w:val="bottom"/>
            <w:hideMark/>
          </w:tcPr>
          <w:p w14:paraId="0A0920D7"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969</w:t>
            </w:r>
          </w:p>
        </w:tc>
      </w:tr>
      <w:tr w:rsidR="004D66E4" w:rsidRPr="004D66E4" w14:paraId="720D1C3E" w14:textId="77777777" w:rsidTr="001370B1">
        <w:trPr>
          <w:trHeight w:val="283"/>
          <w:jc w:val="center"/>
        </w:trPr>
        <w:tc>
          <w:tcPr>
            <w:tcW w:w="3000" w:type="dxa"/>
            <w:tcBorders>
              <w:top w:val="nil"/>
              <w:left w:val="nil"/>
              <w:bottom w:val="nil"/>
              <w:right w:val="nil"/>
            </w:tcBorders>
            <w:shd w:val="clear" w:color="auto" w:fill="auto"/>
            <w:vAlign w:val="bottom"/>
            <w:hideMark/>
          </w:tcPr>
          <w:p w14:paraId="23C47D6E" w14:textId="77777777" w:rsidR="004D66E4" w:rsidRPr="004D66E4" w:rsidRDefault="004D66E4" w:rsidP="001B6377">
            <w:pPr>
              <w:spacing w:before="0" w:after="0" w:line="240" w:lineRule="auto"/>
              <w:ind w:leftChars="75" w:left="143"/>
              <w:rPr>
                <w:rFonts w:ascii="Arial" w:hAnsi="Arial" w:cs="Arial"/>
                <w:b/>
                <w:bCs/>
                <w:sz w:val="16"/>
                <w:szCs w:val="16"/>
              </w:rPr>
            </w:pPr>
            <w:r w:rsidRPr="004D66E4">
              <w:rPr>
                <w:rFonts w:ascii="Arial" w:hAnsi="Arial"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14:paraId="440CB9A1" w14:textId="542D9E16"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43,781</w:t>
            </w:r>
          </w:p>
        </w:tc>
        <w:tc>
          <w:tcPr>
            <w:tcW w:w="940" w:type="dxa"/>
            <w:tcBorders>
              <w:top w:val="nil"/>
              <w:left w:val="nil"/>
              <w:bottom w:val="single" w:sz="4" w:space="0" w:color="auto"/>
              <w:right w:val="nil"/>
            </w:tcBorders>
            <w:shd w:val="clear" w:color="000000" w:fill="D9D9D9"/>
            <w:noWrap/>
            <w:vAlign w:val="bottom"/>
            <w:hideMark/>
          </w:tcPr>
          <w:p w14:paraId="373A3912"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52,310</w:t>
            </w:r>
          </w:p>
        </w:tc>
        <w:tc>
          <w:tcPr>
            <w:tcW w:w="940" w:type="dxa"/>
            <w:tcBorders>
              <w:top w:val="nil"/>
              <w:left w:val="nil"/>
              <w:bottom w:val="single" w:sz="4" w:space="0" w:color="auto"/>
              <w:right w:val="nil"/>
            </w:tcBorders>
            <w:shd w:val="clear" w:color="auto" w:fill="auto"/>
            <w:noWrap/>
            <w:vAlign w:val="bottom"/>
            <w:hideMark/>
          </w:tcPr>
          <w:p w14:paraId="4FAC2A60"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38,568</w:t>
            </w:r>
          </w:p>
        </w:tc>
        <w:tc>
          <w:tcPr>
            <w:tcW w:w="940" w:type="dxa"/>
            <w:tcBorders>
              <w:top w:val="nil"/>
              <w:left w:val="nil"/>
              <w:bottom w:val="single" w:sz="4" w:space="0" w:color="auto"/>
              <w:right w:val="nil"/>
            </w:tcBorders>
            <w:shd w:val="clear" w:color="auto" w:fill="auto"/>
            <w:noWrap/>
            <w:vAlign w:val="bottom"/>
            <w:hideMark/>
          </w:tcPr>
          <w:p w14:paraId="1AE27F9E"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39,573</w:t>
            </w:r>
          </w:p>
        </w:tc>
        <w:tc>
          <w:tcPr>
            <w:tcW w:w="940" w:type="dxa"/>
            <w:tcBorders>
              <w:top w:val="nil"/>
              <w:left w:val="nil"/>
              <w:bottom w:val="single" w:sz="4" w:space="0" w:color="auto"/>
              <w:right w:val="nil"/>
            </w:tcBorders>
            <w:shd w:val="clear" w:color="auto" w:fill="auto"/>
            <w:noWrap/>
            <w:vAlign w:val="bottom"/>
            <w:hideMark/>
          </w:tcPr>
          <w:p w14:paraId="7E468299"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39,976</w:t>
            </w:r>
          </w:p>
        </w:tc>
      </w:tr>
      <w:tr w:rsidR="004D66E4" w:rsidRPr="004D66E4" w14:paraId="7E328850" w14:textId="77777777" w:rsidTr="001370B1">
        <w:trPr>
          <w:trHeight w:val="283"/>
          <w:jc w:val="center"/>
        </w:trPr>
        <w:tc>
          <w:tcPr>
            <w:tcW w:w="3000" w:type="dxa"/>
            <w:tcBorders>
              <w:top w:val="nil"/>
              <w:left w:val="nil"/>
              <w:bottom w:val="single" w:sz="4" w:space="0" w:color="auto"/>
              <w:right w:val="nil"/>
            </w:tcBorders>
            <w:shd w:val="clear" w:color="auto" w:fill="auto"/>
            <w:noWrap/>
            <w:vAlign w:val="bottom"/>
            <w:hideMark/>
          </w:tcPr>
          <w:p w14:paraId="7C016FAE" w14:textId="77777777" w:rsidR="004D66E4" w:rsidRPr="004D66E4" w:rsidRDefault="004D66E4" w:rsidP="004D66E4">
            <w:pPr>
              <w:spacing w:before="0" w:after="0" w:line="240" w:lineRule="auto"/>
              <w:rPr>
                <w:rFonts w:ascii="Arial" w:hAnsi="Arial" w:cs="Arial"/>
                <w:b/>
                <w:bCs/>
                <w:color w:val="000000"/>
                <w:sz w:val="16"/>
                <w:szCs w:val="16"/>
              </w:rPr>
            </w:pPr>
            <w:r w:rsidRPr="004D66E4">
              <w:rPr>
                <w:rFonts w:ascii="Arial" w:hAnsi="Arial"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14:paraId="5E265B79"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43,781</w:t>
            </w:r>
          </w:p>
        </w:tc>
        <w:tc>
          <w:tcPr>
            <w:tcW w:w="940" w:type="dxa"/>
            <w:tcBorders>
              <w:top w:val="nil"/>
              <w:left w:val="nil"/>
              <w:bottom w:val="single" w:sz="4" w:space="0" w:color="auto"/>
              <w:right w:val="nil"/>
            </w:tcBorders>
            <w:shd w:val="clear" w:color="000000" w:fill="D9D9D9"/>
            <w:noWrap/>
            <w:vAlign w:val="bottom"/>
            <w:hideMark/>
          </w:tcPr>
          <w:p w14:paraId="00901524"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52,310</w:t>
            </w:r>
          </w:p>
        </w:tc>
        <w:tc>
          <w:tcPr>
            <w:tcW w:w="940" w:type="dxa"/>
            <w:tcBorders>
              <w:top w:val="nil"/>
              <w:left w:val="nil"/>
              <w:bottom w:val="single" w:sz="4" w:space="0" w:color="auto"/>
              <w:right w:val="nil"/>
            </w:tcBorders>
            <w:shd w:val="clear" w:color="auto" w:fill="auto"/>
            <w:noWrap/>
            <w:vAlign w:val="bottom"/>
            <w:hideMark/>
          </w:tcPr>
          <w:p w14:paraId="3287B3EF"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38,568</w:t>
            </w:r>
          </w:p>
        </w:tc>
        <w:tc>
          <w:tcPr>
            <w:tcW w:w="940" w:type="dxa"/>
            <w:tcBorders>
              <w:top w:val="nil"/>
              <w:left w:val="nil"/>
              <w:bottom w:val="single" w:sz="4" w:space="0" w:color="auto"/>
              <w:right w:val="nil"/>
            </w:tcBorders>
            <w:shd w:val="clear" w:color="auto" w:fill="auto"/>
            <w:noWrap/>
            <w:vAlign w:val="bottom"/>
            <w:hideMark/>
          </w:tcPr>
          <w:p w14:paraId="1B0EB7F6"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39,573</w:t>
            </w:r>
          </w:p>
        </w:tc>
        <w:tc>
          <w:tcPr>
            <w:tcW w:w="940" w:type="dxa"/>
            <w:tcBorders>
              <w:top w:val="nil"/>
              <w:left w:val="nil"/>
              <w:bottom w:val="single" w:sz="4" w:space="0" w:color="auto"/>
              <w:right w:val="nil"/>
            </w:tcBorders>
            <w:shd w:val="clear" w:color="auto" w:fill="auto"/>
            <w:noWrap/>
            <w:vAlign w:val="bottom"/>
            <w:hideMark/>
          </w:tcPr>
          <w:p w14:paraId="1EB41912" w14:textId="77777777" w:rsidR="004D66E4" w:rsidRPr="004D66E4" w:rsidRDefault="004D66E4" w:rsidP="004D66E4">
            <w:pPr>
              <w:spacing w:before="0" w:after="0" w:line="240" w:lineRule="auto"/>
              <w:jc w:val="right"/>
              <w:rPr>
                <w:rFonts w:ascii="Arial" w:hAnsi="Arial" w:cs="Arial"/>
                <w:b/>
                <w:bCs/>
                <w:sz w:val="16"/>
                <w:szCs w:val="16"/>
              </w:rPr>
            </w:pPr>
            <w:r w:rsidRPr="004D66E4">
              <w:rPr>
                <w:rFonts w:ascii="Arial" w:hAnsi="Arial" w:cs="Arial"/>
                <w:b/>
                <w:bCs/>
                <w:sz w:val="16"/>
                <w:szCs w:val="16"/>
              </w:rPr>
              <w:t>39,976</w:t>
            </w:r>
          </w:p>
        </w:tc>
      </w:tr>
      <w:tr w:rsidR="004D66E4" w:rsidRPr="004D66E4" w14:paraId="22ADDBD8" w14:textId="77777777" w:rsidTr="00B9174E">
        <w:trPr>
          <w:trHeight w:val="225"/>
          <w:jc w:val="center"/>
        </w:trPr>
        <w:tc>
          <w:tcPr>
            <w:tcW w:w="3000" w:type="dxa"/>
            <w:tcBorders>
              <w:top w:val="nil"/>
              <w:left w:val="nil"/>
              <w:bottom w:val="nil"/>
              <w:right w:val="nil"/>
            </w:tcBorders>
            <w:shd w:val="clear" w:color="auto" w:fill="auto"/>
            <w:noWrap/>
            <w:vAlign w:val="bottom"/>
            <w:hideMark/>
          </w:tcPr>
          <w:p w14:paraId="73A4532B" w14:textId="77777777" w:rsidR="004D66E4" w:rsidRPr="004D66E4" w:rsidRDefault="004D66E4" w:rsidP="004D66E4">
            <w:pPr>
              <w:spacing w:before="0"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bottom"/>
            <w:hideMark/>
          </w:tcPr>
          <w:p w14:paraId="021782A6" w14:textId="77777777" w:rsidR="004D66E4" w:rsidRPr="004D66E4" w:rsidRDefault="004D66E4" w:rsidP="004D66E4">
            <w:pPr>
              <w:spacing w:before="0" w:after="0" w:line="240" w:lineRule="auto"/>
              <w:ind w:firstLineChars="100" w:firstLine="200"/>
              <w:rPr>
                <w:rFonts w:ascii="Times New Roman" w:hAnsi="Times New Roman"/>
                <w:sz w:val="20"/>
              </w:rPr>
            </w:pPr>
          </w:p>
        </w:tc>
        <w:tc>
          <w:tcPr>
            <w:tcW w:w="940" w:type="dxa"/>
            <w:tcBorders>
              <w:top w:val="nil"/>
              <w:left w:val="nil"/>
              <w:bottom w:val="nil"/>
              <w:right w:val="nil"/>
            </w:tcBorders>
            <w:shd w:val="clear" w:color="auto" w:fill="auto"/>
            <w:noWrap/>
            <w:vAlign w:val="bottom"/>
            <w:hideMark/>
          </w:tcPr>
          <w:p w14:paraId="5AFBCEAE" w14:textId="77777777" w:rsidR="004D66E4" w:rsidRPr="004D66E4" w:rsidRDefault="004D66E4" w:rsidP="004D66E4">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0934C1C8" w14:textId="77777777" w:rsidR="004D66E4" w:rsidRPr="004D66E4" w:rsidRDefault="004D66E4" w:rsidP="004D66E4">
            <w:pPr>
              <w:spacing w:before="0" w:after="0" w:line="240" w:lineRule="auto"/>
              <w:jc w:val="right"/>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47FAD499" w14:textId="77777777" w:rsidR="004D66E4" w:rsidRPr="004D66E4" w:rsidRDefault="004D66E4" w:rsidP="004D66E4">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7CBABB3C" w14:textId="77777777" w:rsidR="004D66E4" w:rsidRPr="004D66E4" w:rsidRDefault="004D66E4" w:rsidP="004D66E4">
            <w:pPr>
              <w:spacing w:before="0" w:after="0" w:line="240" w:lineRule="auto"/>
              <w:rPr>
                <w:rFonts w:ascii="Times New Roman" w:hAnsi="Times New Roman"/>
                <w:sz w:val="20"/>
              </w:rPr>
            </w:pPr>
          </w:p>
        </w:tc>
      </w:tr>
      <w:tr w:rsidR="004D66E4" w:rsidRPr="004D66E4" w14:paraId="23FF9D93" w14:textId="77777777" w:rsidTr="001370B1">
        <w:trPr>
          <w:trHeight w:val="425"/>
          <w:jc w:val="center"/>
        </w:trPr>
        <w:tc>
          <w:tcPr>
            <w:tcW w:w="3000" w:type="dxa"/>
            <w:tcBorders>
              <w:top w:val="single" w:sz="4" w:space="0" w:color="auto"/>
              <w:left w:val="nil"/>
              <w:bottom w:val="nil"/>
              <w:right w:val="nil"/>
            </w:tcBorders>
            <w:shd w:val="clear" w:color="auto" w:fill="auto"/>
            <w:noWrap/>
            <w:vAlign w:val="bottom"/>
            <w:hideMark/>
          </w:tcPr>
          <w:p w14:paraId="02D7A871" w14:textId="77777777" w:rsidR="004D66E4" w:rsidRPr="004D66E4" w:rsidRDefault="004D66E4" w:rsidP="004D66E4">
            <w:pPr>
              <w:spacing w:before="0" w:after="0" w:line="240" w:lineRule="auto"/>
              <w:rPr>
                <w:rFonts w:ascii="Arial" w:hAnsi="Arial" w:cs="Arial"/>
                <w:color w:val="000000"/>
                <w:sz w:val="16"/>
                <w:szCs w:val="16"/>
              </w:rPr>
            </w:pPr>
            <w:r w:rsidRPr="004D66E4">
              <w:rPr>
                <w:rFonts w:ascii="Arial" w:hAnsi="Arial"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2665A8A8" w14:textId="12BD9BA9" w:rsidR="004D66E4" w:rsidRPr="004D66E4" w:rsidRDefault="006E4ACF" w:rsidP="004D66E4">
            <w:pPr>
              <w:spacing w:before="0" w:after="0" w:line="240" w:lineRule="auto"/>
              <w:jc w:val="right"/>
              <w:rPr>
                <w:rFonts w:ascii="Arial" w:hAnsi="Arial" w:cs="Arial"/>
                <w:b/>
                <w:bCs/>
                <w:sz w:val="16"/>
                <w:szCs w:val="16"/>
              </w:rPr>
            </w:pPr>
            <w:r>
              <w:rPr>
                <w:rFonts w:ascii="Arial" w:hAnsi="Arial" w:cs="Arial"/>
                <w:b/>
                <w:bCs/>
                <w:sz w:val="16"/>
                <w:szCs w:val="16"/>
              </w:rPr>
              <w:t>2022–</w:t>
            </w:r>
            <w:r w:rsidR="004D66E4" w:rsidRPr="004D66E4">
              <w:rPr>
                <w:rFonts w:ascii="Arial" w:hAnsi="Arial" w:cs="Arial"/>
                <w:b/>
                <w:bCs/>
                <w:sz w:val="16"/>
                <w:szCs w:val="16"/>
              </w:rPr>
              <w:t>23</w:t>
            </w:r>
            <w:r w:rsidR="004D66E4" w:rsidRPr="004D66E4">
              <w:rPr>
                <w:rFonts w:ascii="Arial" w:hAnsi="Arial" w:cs="Arial"/>
                <w:b/>
                <w:bCs/>
                <w:sz w:val="16"/>
                <w:szCs w:val="16"/>
              </w:rPr>
              <w:br/>
              <w:t>Actual</w:t>
            </w:r>
          </w:p>
        </w:tc>
        <w:tc>
          <w:tcPr>
            <w:tcW w:w="940" w:type="dxa"/>
            <w:tcBorders>
              <w:top w:val="single" w:sz="4" w:space="0" w:color="auto"/>
              <w:left w:val="nil"/>
              <w:bottom w:val="single" w:sz="4" w:space="0" w:color="auto"/>
              <w:right w:val="nil"/>
            </w:tcBorders>
            <w:shd w:val="clear" w:color="000000" w:fill="D9D9D9"/>
            <w:vAlign w:val="bottom"/>
            <w:hideMark/>
          </w:tcPr>
          <w:p w14:paraId="2503F1F4" w14:textId="5EA42663" w:rsidR="004D66E4" w:rsidRPr="004D66E4" w:rsidRDefault="006E4ACF" w:rsidP="004D66E4">
            <w:pPr>
              <w:spacing w:before="0" w:after="0" w:line="240" w:lineRule="auto"/>
              <w:jc w:val="right"/>
              <w:rPr>
                <w:rFonts w:ascii="Arial" w:hAnsi="Arial" w:cs="Arial"/>
                <w:b/>
                <w:bCs/>
                <w:sz w:val="16"/>
                <w:szCs w:val="16"/>
              </w:rPr>
            </w:pPr>
            <w:r>
              <w:rPr>
                <w:rFonts w:ascii="Arial" w:hAnsi="Arial" w:cs="Arial"/>
                <w:b/>
                <w:bCs/>
                <w:sz w:val="16"/>
                <w:szCs w:val="16"/>
              </w:rPr>
              <w:t>2023–</w:t>
            </w:r>
            <w:r w:rsidR="004D66E4" w:rsidRPr="004D66E4">
              <w:rPr>
                <w:rFonts w:ascii="Arial" w:hAnsi="Arial" w:cs="Arial"/>
                <w:b/>
                <w:bCs/>
                <w:sz w:val="16"/>
                <w:szCs w:val="16"/>
              </w:rPr>
              <w:t>24</w:t>
            </w:r>
            <w:r w:rsidR="004D66E4" w:rsidRPr="004D66E4">
              <w:rPr>
                <w:rFonts w:ascii="Arial" w:hAnsi="Arial" w:cs="Arial"/>
                <w:b/>
                <w:bCs/>
                <w:sz w:val="16"/>
                <w:szCs w:val="16"/>
              </w:rPr>
              <w:br/>
              <w:t>Revised</w:t>
            </w:r>
          </w:p>
        </w:tc>
        <w:tc>
          <w:tcPr>
            <w:tcW w:w="940" w:type="dxa"/>
            <w:tcBorders>
              <w:top w:val="nil"/>
              <w:left w:val="nil"/>
              <w:bottom w:val="nil"/>
              <w:right w:val="nil"/>
            </w:tcBorders>
            <w:shd w:val="clear" w:color="auto" w:fill="auto"/>
            <w:noWrap/>
            <w:vAlign w:val="center"/>
            <w:hideMark/>
          </w:tcPr>
          <w:p w14:paraId="2365DB9C" w14:textId="77777777" w:rsidR="004D66E4" w:rsidRPr="004D66E4" w:rsidRDefault="004D66E4" w:rsidP="004D66E4">
            <w:pPr>
              <w:spacing w:before="0"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vAlign w:val="center"/>
            <w:hideMark/>
          </w:tcPr>
          <w:p w14:paraId="15A6AB78" w14:textId="77777777" w:rsidR="004D66E4" w:rsidRPr="004D66E4" w:rsidRDefault="004D66E4" w:rsidP="004D66E4">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360CCC1F" w14:textId="77777777" w:rsidR="004D66E4" w:rsidRPr="004D66E4" w:rsidRDefault="004D66E4" w:rsidP="004D66E4">
            <w:pPr>
              <w:spacing w:before="0" w:after="0" w:line="240" w:lineRule="auto"/>
              <w:rPr>
                <w:rFonts w:ascii="Times New Roman" w:hAnsi="Times New Roman"/>
                <w:sz w:val="20"/>
              </w:rPr>
            </w:pPr>
          </w:p>
        </w:tc>
      </w:tr>
      <w:tr w:rsidR="004D66E4" w:rsidRPr="004D66E4" w14:paraId="12CA3701" w14:textId="77777777" w:rsidTr="00B9174E">
        <w:trPr>
          <w:trHeight w:val="225"/>
          <w:jc w:val="center"/>
        </w:trPr>
        <w:tc>
          <w:tcPr>
            <w:tcW w:w="3000" w:type="dxa"/>
            <w:tcBorders>
              <w:top w:val="nil"/>
              <w:left w:val="nil"/>
              <w:bottom w:val="single" w:sz="4" w:space="0" w:color="auto"/>
              <w:right w:val="nil"/>
            </w:tcBorders>
            <w:shd w:val="clear" w:color="auto" w:fill="auto"/>
            <w:noWrap/>
            <w:vAlign w:val="bottom"/>
            <w:hideMark/>
          </w:tcPr>
          <w:p w14:paraId="204CE1DA" w14:textId="77777777" w:rsidR="004D66E4" w:rsidRPr="004D66E4" w:rsidRDefault="004D66E4" w:rsidP="004D66E4">
            <w:pPr>
              <w:spacing w:before="0" w:after="0" w:line="240" w:lineRule="auto"/>
              <w:rPr>
                <w:rFonts w:ascii="Arial" w:hAnsi="Arial" w:cs="Arial"/>
                <w:b/>
                <w:bCs/>
                <w:color w:val="000000"/>
                <w:sz w:val="16"/>
                <w:szCs w:val="16"/>
              </w:rPr>
            </w:pPr>
            <w:r w:rsidRPr="004D66E4">
              <w:rPr>
                <w:rFonts w:ascii="Arial" w:hAnsi="Arial" w:cs="Arial"/>
                <w:b/>
                <w:bCs/>
                <w:color w:val="000000"/>
                <w:sz w:val="16"/>
                <w:szCs w:val="16"/>
              </w:rPr>
              <w:t xml:space="preserve">Average </w:t>
            </w:r>
            <w:r w:rsidRPr="004D66E4">
              <w:rPr>
                <w:rFonts w:ascii="Arial" w:hAnsi="Arial" w:cs="Arial"/>
                <w:b/>
                <w:bCs/>
                <w:sz w:val="16"/>
                <w:szCs w:val="16"/>
              </w:rPr>
              <w:t>s</w:t>
            </w:r>
            <w:r w:rsidRPr="004D66E4">
              <w:rPr>
                <w:rFonts w:ascii="Arial" w:hAnsi="Arial" w:cs="Arial"/>
                <w:b/>
                <w:bCs/>
                <w:color w:val="000000"/>
                <w:sz w:val="16"/>
                <w:szCs w:val="16"/>
              </w:rPr>
              <w:t xml:space="preserve">taffing </w:t>
            </w:r>
            <w:r w:rsidRPr="004D66E4">
              <w:rPr>
                <w:rFonts w:ascii="Arial" w:hAnsi="Arial" w:cs="Arial"/>
                <w:b/>
                <w:bCs/>
                <w:sz w:val="16"/>
                <w:szCs w:val="16"/>
              </w:rPr>
              <w:t>l</w:t>
            </w:r>
            <w:r w:rsidRPr="004D66E4">
              <w:rPr>
                <w:rFonts w:ascii="Arial" w:hAnsi="Arial" w:cs="Arial"/>
                <w:b/>
                <w:bCs/>
                <w:color w:val="000000"/>
                <w:sz w:val="16"/>
                <w:szCs w:val="16"/>
              </w:rPr>
              <w:t>evel (number)</w:t>
            </w:r>
          </w:p>
        </w:tc>
        <w:tc>
          <w:tcPr>
            <w:tcW w:w="940" w:type="dxa"/>
            <w:tcBorders>
              <w:top w:val="nil"/>
              <w:left w:val="nil"/>
              <w:bottom w:val="single" w:sz="4" w:space="0" w:color="auto"/>
              <w:right w:val="nil"/>
            </w:tcBorders>
            <w:shd w:val="clear" w:color="auto" w:fill="auto"/>
            <w:noWrap/>
            <w:vAlign w:val="bottom"/>
            <w:hideMark/>
          </w:tcPr>
          <w:p w14:paraId="40812CAE"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151</w:t>
            </w:r>
          </w:p>
        </w:tc>
        <w:tc>
          <w:tcPr>
            <w:tcW w:w="940" w:type="dxa"/>
            <w:tcBorders>
              <w:top w:val="nil"/>
              <w:left w:val="nil"/>
              <w:bottom w:val="single" w:sz="4" w:space="0" w:color="auto"/>
              <w:right w:val="nil"/>
            </w:tcBorders>
            <w:shd w:val="clear" w:color="000000" w:fill="D9D9D9"/>
            <w:noWrap/>
            <w:vAlign w:val="bottom"/>
            <w:hideMark/>
          </w:tcPr>
          <w:p w14:paraId="369BE9CD" w14:textId="77777777" w:rsidR="004D66E4" w:rsidRPr="004D66E4" w:rsidRDefault="004D66E4" w:rsidP="004D66E4">
            <w:pPr>
              <w:spacing w:before="0" w:after="0" w:line="240" w:lineRule="auto"/>
              <w:jc w:val="right"/>
              <w:rPr>
                <w:rFonts w:ascii="Arial" w:hAnsi="Arial" w:cs="Arial"/>
                <w:sz w:val="16"/>
                <w:szCs w:val="16"/>
              </w:rPr>
            </w:pPr>
            <w:r w:rsidRPr="004D66E4">
              <w:rPr>
                <w:rFonts w:ascii="Arial" w:hAnsi="Arial" w:cs="Arial"/>
                <w:sz w:val="16"/>
                <w:szCs w:val="16"/>
              </w:rPr>
              <w:t>167</w:t>
            </w:r>
          </w:p>
        </w:tc>
        <w:tc>
          <w:tcPr>
            <w:tcW w:w="940" w:type="dxa"/>
            <w:tcBorders>
              <w:top w:val="nil"/>
              <w:left w:val="nil"/>
              <w:bottom w:val="nil"/>
              <w:right w:val="nil"/>
            </w:tcBorders>
            <w:shd w:val="clear" w:color="auto" w:fill="auto"/>
            <w:noWrap/>
            <w:vAlign w:val="center"/>
            <w:hideMark/>
          </w:tcPr>
          <w:p w14:paraId="1665281B" w14:textId="77777777" w:rsidR="004D66E4" w:rsidRPr="004D66E4" w:rsidRDefault="004D66E4" w:rsidP="004D66E4">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14:paraId="41C043FD" w14:textId="77777777" w:rsidR="004D66E4" w:rsidRPr="004D66E4" w:rsidRDefault="004D66E4" w:rsidP="004D66E4">
            <w:pPr>
              <w:spacing w:before="0" w:after="0" w:line="240" w:lineRule="auto"/>
              <w:rPr>
                <w:rFonts w:ascii="Times New Roman" w:hAnsi="Times New Roman"/>
                <w:sz w:val="20"/>
              </w:rPr>
            </w:pPr>
          </w:p>
        </w:tc>
        <w:tc>
          <w:tcPr>
            <w:tcW w:w="940" w:type="dxa"/>
            <w:tcBorders>
              <w:top w:val="nil"/>
              <w:left w:val="nil"/>
              <w:bottom w:val="nil"/>
              <w:right w:val="nil"/>
            </w:tcBorders>
            <w:shd w:val="clear" w:color="auto" w:fill="auto"/>
            <w:noWrap/>
            <w:vAlign w:val="center"/>
            <w:hideMark/>
          </w:tcPr>
          <w:p w14:paraId="07FD12E3" w14:textId="77777777" w:rsidR="004D66E4" w:rsidRPr="004D66E4" w:rsidRDefault="004D66E4" w:rsidP="004D66E4">
            <w:pPr>
              <w:spacing w:before="0" w:after="0" w:line="240" w:lineRule="auto"/>
              <w:rPr>
                <w:rFonts w:ascii="Times New Roman" w:hAnsi="Times New Roman"/>
                <w:sz w:val="20"/>
              </w:rPr>
            </w:pPr>
          </w:p>
        </w:tc>
      </w:tr>
    </w:tbl>
    <w:p w14:paraId="7FE812B1" w14:textId="502DC4BE" w:rsidR="00E92FC1" w:rsidRPr="00201802" w:rsidRDefault="00E92FC1" w:rsidP="00E92FC1">
      <w:pPr>
        <w:pStyle w:val="FootnoteText"/>
        <w:spacing w:before="120"/>
        <w:rPr>
          <w:szCs w:val="16"/>
        </w:rPr>
      </w:pPr>
      <w:r w:rsidRPr="00201802">
        <w:rPr>
          <w:szCs w:val="16"/>
          <w:vertAlign w:val="superscript"/>
        </w:rPr>
        <w:t>(a)</w:t>
      </w:r>
      <w:r w:rsidRPr="00201802">
        <w:rPr>
          <w:szCs w:val="16"/>
        </w:rPr>
        <w:tab/>
      </w:r>
      <w:r w:rsidRPr="0018156C">
        <w:rPr>
          <w:i/>
          <w:szCs w:val="16"/>
        </w:rPr>
        <w:t>Appropriation Act (No. 1) 2023–24</w:t>
      </w:r>
      <w:r w:rsidRPr="00201802">
        <w:rPr>
          <w:szCs w:val="16"/>
        </w:rPr>
        <w:t>, Appropriation Bill (No. 3) 2023–24 and associated Bills.</w:t>
      </w:r>
    </w:p>
    <w:p w14:paraId="05221F7E" w14:textId="14651746" w:rsidR="00E92FC1" w:rsidRPr="00201802" w:rsidRDefault="00E92FC1" w:rsidP="00E92FC1">
      <w:pPr>
        <w:pStyle w:val="FootnoteText"/>
        <w:rPr>
          <w:szCs w:val="16"/>
        </w:rPr>
      </w:pPr>
      <w:r w:rsidRPr="00201802">
        <w:rPr>
          <w:szCs w:val="16"/>
          <w:vertAlign w:val="superscript"/>
        </w:rPr>
        <w:t>(b)</w:t>
      </w:r>
      <w:r w:rsidRPr="00201802">
        <w:rPr>
          <w:szCs w:val="16"/>
        </w:rPr>
        <w:tab/>
        <w:t xml:space="preserve">Departmental appropriation combines 'Ordinary annual services' and 'Revenue from independent sources' (s74). </w:t>
      </w:r>
    </w:p>
    <w:p w14:paraId="27D6ED9A" w14:textId="13426E83" w:rsidR="000637A7" w:rsidRPr="00201802" w:rsidRDefault="00E92FC1" w:rsidP="00E92FC1">
      <w:pPr>
        <w:pStyle w:val="FootnoteText"/>
        <w:spacing w:after="40"/>
        <w:rPr>
          <w:bCs/>
          <w:i/>
          <w:iCs/>
          <w:szCs w:val="16"/>
        </w:rPr>
      </w:pPr>
      <w:r w:rsidRPr="00201802">
        <w:rPr>
          <w:szCs w:val="16"/>
          <w:vertAlign w:val="superscript"/>
        </w:rPr>
        <w:t>(c)</w:t>
      </w:r>
      <w:r w:rsidRPr="00201802">
        <w:rPr>
          <w:szCs w:val="16"/>
        </w:rPr>
        <w:tab/>
        <w:t>Expenses not requiring appropriation in the Budget year are made up of depreciation expense, amortisation expense, makegood expense, resources received free of charge and audit fees.</w:t>
      </w:r>
    </w:p>
    <w:p w14:paraId="5AAB2F55" w14:textId="19EEF722" w:rsidR="00526CE6" w:rsidRPr="00414E96" w:rsidRDefault="005D7C29" w:rsidP="00E92FC1">
      <w:pPr>
        <w:pStyle w:val="Heading5"/>
        <w:spacing w:before="120"/>
        <w:rPr>
          <w:b/>
          <w:i w:val="0"/>
        </w:rPr>
      </w:pPr>
      <w:r>
        <w:rPr>
          <w:b/>
          <w:i w:val="0"/>
        </w:rPr>
        <w:br w:type="column"/>
      </w:r>
      <w:r w:rsidR="00400827">
        <w:rPr>
          <w:b/>
          <w:i w:val="0"/>
        </w:rPr>
        <w:t>P</w:t>
      </w:r>
      <w:r w:rsidR="00526CE6" w:rsidRPr="00414E96">
        <w:rPr>
          <w:b/>
          <w:i w:val="0"/>
        </w:rPr>
        <w:t>erformance measure</w:t>
      </w:r>
      <w:r w:rsidR="00330BD7" w:rsidRPr="00414E96">
        <w:rPr>
          <w:b/>
          <w:i w:val="0"/>
        </w:rPr>
        <w:t xml:space="preserve"> for </w:t>
      </w:r>
      <w:r w:rsidR="00B6537D">
        <w:rPr>
          <w:b/>
          <w:i w:val="0"/>
        </w:rPr>
        <w:t>Sport Integrity Australia</w:t>
      </w:r>
    </w:p>
    <w:p w14:paraId="110914CE" w14:textId="4368F56C" w:rsidR="00526CE6" w:rsidRPr="00F001B8" w:rsidRDefault="00330BD7" w:rsidP="00400827">
      <w:pPr>
        <w:pStyle w:val="BodyText"/>
        <w:spacing w:before="0" w:after="0"/>
        <w:rPr>
          <w:rFonts w:ascii="Book Antiqua" w:hAnsi="Book Antiqua"/>
          <w:sz w:val="20"/>
          <w:szCs w:val="20"/>
        </w:rPr>
      </w:pPr>
      <w:r w:rsidRPr="00F001B8">
        <w:rPr>
          <w:rFonts w:ascii="Book Antiqua" w:hAnsi="Book Antiqua"/>
          <w:sz w:val="20"/>
          <w:szCs w:val="20"/>
        </w:rPr>
        <w:t>There have been no changes to performance information for Sport Integrity Australia</w:t>
      </w:r>
      <w:r w:rsidRPr="00F001B8">
        <w:rPr>
          <w:rFonts w:ascii="Book Antiqua" w:hAnsi="Book Antiqua"/>
          <w:sz w:val="20"/>
          <w:szCs w:val="20"/>
          <w:lang w:val="en-AU"/>
        </w:rPr>
        <w:t xml:space="preserve"> </w:t>
      </w:r>
      <w:r w:rsidRPr="00F001B8">
        <w:rPr>
          <w:rFonts w:ascii="Book Antiqua" w:hAnsi="Book Antiqua"/>
          <w:sz w:val="20"/>
          <w:szCs w:val="20"/>
        </w:rPr>
        <w:t>since the 2023–24</w:t>
      </w:r>
      <w:r w:rsidRPr="00F001B8">
        <w:rPr>
          <w:rFonts w:ascii="Book Antiqua" w:hAnsi="Book Antiqua"/>
          <w:sz w:val="20"/>
          <w:szCs w:val="20"/>
          <w:lang w:val="en-AU"/>
        </w:rPr>
        <w:t xml:space="preserve"> </w:t>
      </w:r>
      <w:r w:rsidRPr="00F001B8">
        <w:rPr>
          <w:rFonts w:ascii="Book Antiqua" w:hAnsi="Book Antiqua"/>
          <w:sz w:val="20"/>
          <w:szCs w:val="20"/>
        </w:rPr>
        <w:t xml:space="preserve">Budget which require new or modified performance </w:t>
      </w:r>
      <w:r w:rsidR="00414E96" w:rsidRPr="00F001B8">
        <w:rPr>
          <w:rFonts w:ascii="Book Antiqua" w:hAnsi="Book Antiqua" w:cs="BookAntiqua"/>
          <w:sz w:val="20"/>
          <w:szCs w:val="20"/>
        </w:rPr>
        <w:t>measures</w:t>
      </w:r>
      <w:r w:rsidRPr="00F001B8">
        <w:rPr>
          <w:rFonts w:ascii="Book Antiqua" w:hAnsi="Book Antiqua"/>
          <w:sz w:val="20"/>
          <w:szCs w:val="20"/>
        </w:rPr>
        <w:t xml:space="preserve">. </w:t>
      </w:r>
      <w:r w:rsidR="00597D43">
        <w:rPr>
          <w:rFonts w:ascii="Book Antiqua" w:hAnsi="Book Antiqua"/>
          <w:sz w:val="20"/>
          <w:szCs w:val="20"/>
        </w:rPr>
        <w:br/>
      </w:r>
      <w:r w:rsidRPr="00F001B8">
        <w:rPr>
          <w:rFonts w:ascii="Book Antiqua" w:hAnsi="Book Antiqua"/>
          <w:sz w:val="20"/>
          <w:szCs w:val="20"/>
        </w:rPr>
        <w:t xml:space="preserve">Refer </w:t>
      </w:r>
      <w:r w:rsidR="00EB5183" w:rsidRPr="00F001B8">
        <w:rPr>
          <w:rFonts w:ascii="Book Antiqua" w:hAnsi="Book Antiqua"/>
          <w:sz w:val="20"/>
          <w:szCs w:val="20"/>
          <w:lang w:val="en-AU"/>
        </w:rPr>
        <w:t xml:space="preserve">to </w:t>
      </w:r>
      <w:r w:rsidRPr="00F001B8">
        <w:rPr>
          <w:rFonts w:ascii="Book Antiqua" w:hAnsi="Book Antiqua"/>
          <w:sz w:val="20"/>
          <w:szCs w:val="20"/>
        </w:rPr>
        <w:t xml:space="preserve">page </w:t>
      </w:r>
      <w:r w:rsidRPr="00F001B8">
        <w:rPr>
          <w:rFonts w:ascii="Book Antiqua" w:hAnsi="Book Antiqua"/>
          <w:sz w:val="20"/>
          <w:szCs w:val="20"/>
          <w:lang w:val="en-AU"/>
        </w:rPr>
        <w:t>448</w:t>
      </w:r>
      <w:r w:rsidRPr="00F001B8">
        <w:rPr>
          <w:rFonts w:ascii="Book Antiqua" w:hAnsi="Book Antiqua"/>
          <w:sz w:val="20"/>
          <w:szCs w:val="20"/>
        </w:rPr>
        <w:t xml:space="preserve"> of the</w:t>
      </w:r>
      <w:r w:rsidRPr="00F001B8">
        <w:rPr>
          <w:rFonts w:ascii="Book Antiqua" w:hAnsi="Book Antiqua"/>
          <w:sz w:val="20"/>
          <w:szCs w:val="20"/>
          <w:lang w:val="en-AU"/>
        </w:rPr>
        <w:t xml:space="preserve"> </w:t>
      </w:r>
      <w:r w:rsidRPr="00F001B8">
        <w:rPr>
          <w:rFonts w:ascii="Book Antiqua" w:hAnsi="Book Antiqua"/>
          <w:i/>
          <w:sz w:val="20"/>
          <w:szCs w:val="20"/>
        </w:rPr>
        <w:t xml:space="preserve">Health </w:t>
      </w:r>
      <w:r w:rsidRPr="00F001B8">
        <w:rPr>
          <w:rFonts w:ascii="Book Antiqua" w:hAnsi="Book Antiqua"/>
          <w:i/>
          <w:sz w:val="20"/>
          <w:szCs w:val="20"/>
          <w:lang w:val="en-AU"/>
        </w:rPr>
        <w:t xml:space="preserve">and Aged Care </w:t>
      </w:r>
      <w:r w:rsidRPr="00F001B8">
        <w:rPr>
          <w:rFonts w:ascii="Book Antiqua" w:hAnsi="Book Antiqua"/>
          <w:i/>
          <w:sz w:val="20"/>
          <w:szCs w:val="20"/>
        </w:rPr>
        <w:t>Portfolio Budget Statements 202</w:t>
      </w:r>
      <w:r w:rsidRPr="00F001B8">
        <w:rPr>
          <w:rFonts w:ascii="Book Antiqua" w:hAnsi="Book Antiqua"/>
          <w:i/>
          <w:sz w:val="20"/>
          <w:szCs w:val="20"/>
          <w:lang w:val="en-AU"/>
        </w:rPr>
        <w:t>3</w:t>
      </w:r>
      <w:r w:rsidRPr="00F001B8">
        <w:rPr>
          <w:rFonts w:ascii="Book Antiqua" w:hAnsi="Book Antiqua"/>
          <w:i/>
          <w:sz w:val="20"/>
          <w:szCs w:val="20"/>
        </w:rPr>
        <w:t>–24</w:t>
      </w:r>
      <w:r w:rsidRPr="00F001B8">
        <w:rPr>
          <w:rFonts w:ascii="Book Antiqua" w:hAnsi="Book Antiqua"/>
          <w:sz w:val="20"/>
          <w:szCs w:val="20"/>
        </w:rPr>
        <w:t xml:space="preserve"> for current performance information.</w:t>
      </w:r>
    </w:p>
    <w:p w14:paraId="74D90610" w14:textId="4BCC5EA6" w:rsidR="00526CE6" w:rsidRPr="00E41681" w:rsidRDefault="00526CE6" w:rsidP="00526CE6">
      <w:pPr>
        <w:pStyle w:val="Heading2-TOC"/>
      </w:pPr>
      <w:r>
        <w:rPr>
          <w:lang w:val="en-GB"/>
        </w:rPr>
        <w:br w:type="page"/>
      </w:r>
      <w:r w:rsidR="00F552F6">
        <w:fldChar w:fldCharType="begin"/>
      </w:r>
      <w:r w:rsidR="00F552F6">
        <w:instrText xml:space="preserve"> </w:instrText>
      </w:r>
      <w:proofErr w:type="gramStart"/>
      <w:r w:rsidR="00F552F6">
        <w:instrText>TC  "</w:instrText>
      </w:r>
      <w:bookmarkStart w:id="589" w:name="_Toc157520577"/>
      <w:proofErr w:type="gramEnd"/>
      <w:r w:rsidR="00F552F6">
        <w:instrText>Section 3: Special account flows and budgeted financial statements</w:instrText>
      </w:r>
      <w:bookmarkEnd w:id="589"/>
      <w:r w:rsidR="00F552F6">
        <w:instrText xml:space="preserve">" \f </w:instrText>
      </w:r>
      <w:proofErr w:type="spellStart"/>
      <w:r w:rsidR="00F552F6">
        <w:instrText>sia</w:instrText>
      </w:r>
      <w:proofErr w:type="spellEnd"/>
      <w:r w:rsidR="00F552F6">
        <w:instrText xml:space="preserve"> \l 1 </w:instrText>
      </w:r>
      <w:r w:rsidR="00F552F6">
        <w:fldChar w:fldCharType="end"/>
      </w:r>
      <w:bookmarkStart w:id="590" w:name="_Toc157592053"/>
      <w:bookmarkStart w:id="591" w:name="_Toc157592236"/>
      <w:r w:rsidRPr="00E41681">
        <w:t>Section 3: Special account flows and budgeted financial statements</w:t>
      </w:r>
      <w:bookmarkEnd w:id="590"/>
      <w:bookmarkEnd w:id="591"/>
    </w:p>
    <w:p w14:paraId="44CA8EFF" w14:textId="52268EAB" w:rsidR="00526CE6" w:rsidRPr="004D3E2B" w:rsidRDefault="00F552F6" w:rsidP="00526CE6">
      <w:pPr>
        <w:pStyle w:val="Heading3"/>
      </w:pPr>
      <w:r>
        <w:fldChar w:fldCharType="begin"/>
      </w:r>
      <w:r>
        <w:instrText xml:space="preserve"> </w:instrText>
      </w:r>
      <w:proofErr w:type="gramStart"/>
      <w:r>
        <w:instrText>TC  "</w:instrText>
      </w:r>
      <w:bookmarkStart w:id="592" w:name="_Toc157520578"/>
      <w:proofErr w:type="gramEnd"/>
      <w:r>
        <w:instrText>3.1</w:instrText>
      </w:r>
      <w:r>
        <w:tab/>
        <w:instrText>Special account flows and balances</w:instrText>
      </w:r>
      <w:bookmarkEnd w:id="592"/>
      <w:r>
        <w:instrText xml:space="preserve">" \f </w:instrText>
      </w:r>
      <w:proofErr w:type="spellStart"/>
      <w:r>
        <w:instrText>sia</w:instrText>
      </w:r>
      <w:proofErr w:type="spellEnd"/>
      <w:r>
        <w:instrText xml:space="preserve"> \l 2 </w:instrText>
      </w:r>
      <w:r>
        <w:fldChar w:fldCharType="end"/>
      </w:r>
      <w:bookmarkStart w:id="593" w:name="_Toc157592054"/>
      <w:bookmarkStart w:id="594" w:name="_Toc157592237"/>
      <w:r w:rsidR="00526CE6">
        <w:t>3.1:</w:t>
      </w:r>
      <w:r w:rsidR="00526CE6" w:rsidRPr="004D3E2B">
        <w:t xml:space="preserve"> Special account flows</w:t>
      </w:r>
      <w:r w:rsidR="00526CE6">
        <w:t xml:space="preserve"> and balances</w:t>
      </w:r>
      <w:bookmarkEnd w:id="593"/>
      <w:bookmarkEnd w:id="594"/>
    </w:p>
    <w:p w14:paraId="29DC97CB" w14:textId="3F88A18A" w:rsidR="00526CE6" w:rsidRDefault="00526CE6" w:rsidP="00526CE6">
      <w:pPr>
        <w:pStyle w:val="Heading4"/>
      </w:pPr>
      <w:r w:rsidRPr="004928FF">
        <w:t xml:space="preserve">Estimates of </w:t>
      </w:r>
      <w:r>
        <w:t>s</w:t>
      </w:r>
      <w:r w:rsidRPr="004928FF">
        <w:t xml:space="preserve">pecial </w:t>
      </w:r>
      <w:r>
        <w:t>a</w:t>
      </w:r>
      <w:r w:rsidRPr="004928FF">
        <w:t xml:space="preserve">ccount </w:t>
      </w:r>
      <w:r>
        <w:t>f</w:t>
      </w:r>
      <w:r w:rsidRPr="004928FF">
        <w:t>lows</w:t>
      </w:r>
      <w:r>
        <w:t xml:space="preserve"> and balances</w:t>
      </w:r>
    </w:p>
    <w:p w14:paraId="77A9FF20" w14:textId="1106AA9F" w:rsidR="00EB5183" w:rsidRPr="000C45FD" w:rsidRDefault="00EB5183" w:rsidP="00EB5183">
      <w:pPr>
        <w:rPr>
          <w:sz w:val="20"/>
        </w:rPr>
      </w:pPr>
      <w:r w:rsidRPr="00F001B8">
        <w:rPr>
          <w:sz w:val="20"/>
        </w:rPr>
        <w:t xml:space="preserve">Table 3.1 is not applicable to Sport Integrity Australia in 2023–24 as it does not manage </w:t>
      </w:r>
      <w:r w:rsidRPr="000C45FD">
        <w:rPr>
          <w:sz w:val="20"/>
        </w:rPr>
        <w:t>any special accounts.</w:t>
      </w:r>
    </w:p>
    <w:p w14:paraId="7D8E69F9" w14:textId="0012BCF0" w:rsidR="00526CE6" w:rsidRPr="000C45FD" w:rsidRDefault="00F552F6" w:rsidP="00526CE6">
      <w:pPr>
        <w:pStyle w:val="Heading3"/>
      </w:pPr>
      <w:r w:rsidRPr="000C45FD">
        <w:fldChar w:fldCharType="begin"/>
      </w:r>
      <w:r w:rsidRPr="000C45FD">
        <w:instrText xml:space="preserve"> </w:instrText>
      </w:r>
      <w:proofErr w:type="gramStart"/>
      <w:r w:rsidRPr="000C45FD">
        <w:instrText>TC  "</w:instrText>
      </w:r>
      <w:bookmarkStart w:id="595" w:name="_Toc157520579"/>
      <w:proofErr w:type="gramEnd"/>
      <w:r w:rsidRPr="000C45FD">
        <w:instrText>3.2</w:instrText>
      </w:r>
      <w:r w:rsidRPr="000C45FD">
        <w:tab/>
        <w:instrText>Budgeted financial statements</w:instrText>
      </w:r>
      <w:bookmarkEnd w:id="595"/>
      <w:r w:rsidRPr="000C45FD">
        <w:instrText xml:space="preserve">" \f </w:instrText>
      </w:r>
      <w:proofErr w:type="spellStart"/>
      <w:r w:rsidRPr="000C45FD">
        <w:instrText>sia</w:instrText>
      </w:r>
      <w:proofErr w:type="spellEnd"/>
      <w:r w:rsidRPr="000C45FD">
        <w:instrText xml:space="preserve"> \l 2 </w:instrText>
      </w:r>
      <w:r w:rsidRPr="000C45FD">
        <w:fldChar w:fldCharType="end"/>
      </w:r>
      <w:bookmarkStart w:id="596" w:name="_Toc157592055"/>
      <w:bookmarkStart w:id="597" w:name="_Toc157592238"/>
      <w:r w:rsidR="00526CE6" w:rsidRPr="000C45FD">
        <w:t>3.2: Budgeted financial statements</w:t>
      </w:r>
      <w:bookmarkEnd w:id="596"/>
      <w:bookmarkEnd w:id="597"/>
    </w:p>
    <w:p w14:paraId="03A9D92B" w14:textId="15030A6A" w:rsidR="004F39A6" w:rsidRDefault="0027652D" w:rsidP="004F39A6">
      <w:pPr>
        <w:rPr>
          <w:rFonts w:ascii="Arial" w:hAnsi="Arial" w:cs="Arial"/>
          <w:b/>
          <w:sz w:val="20"/>
        </w:rPr>
      </w:pPr>
      <w:r>
        <w:rPr>
          <w:rFonts w:ascii="Arial" w:hAnsi="Arial" w:cs="Arial"/>
          <w:b/>
          <w:sz w:val="20"/>
        </w:rPr>
        <w:t>3.2.1</w:t>
      </w:r>
      <w:r w:rsidR="004F39A6" w:rsidRPr="004F39A6">
        <w:rPr>
          <w:rFonts w:ascii="Arial" w:hAnsi="Arial" w:cs="Arial"/>
          <w:b/>
          <w:sz w:val="20"/>
        </w:rPr>
        <w:t xml:space="preserve"> Analysis of Budgeted Financial Statements</w:t>
      </w:r>
    </w:p>
    <w:p w14:paraId="41D73E6F" w14:textId="794DC507" w:rsidR="008447D8" w:rsidRPr="005D7C29" w:rsidRDefault="008447D8" w:rsidP="008447D8">
      <w:pPr>
        <w:spacing w:before="120" w:after="120" w:line="240" w:lineRule="auto"/>
        <w:rPr>
          <w:rFonts w:ascii="Arial" w:hAnsi="Arial" w:cs="Arial"/>
          <w:b/>
          <w:sz w:val="22"/>
          <w:szCs w:val="22"/>
        </w:rPr>
      </w:pPr>
      <w:r w:rsidRPr="005D7C29">
        <w:rPr>
          <w:rFonts w:ascii="Arial" w:hAnsi="Arial" w:cs="Arial"/>
          <w:b/>
          <w:sz w:val="22"/>
          <w:szCs w:val="22"/>
        </w:rPr>
        <w:t xml:space="preserve">Departmental resources </w:t>
      </w:r>
    </w:p>
    <w:p w14:paraId="13A3633F" w14:textId="77777777" w:rsidR="00CC44BB" w:rsidRPr="005D7C29" w:rsidRDefault="00CC44BB" w:rsidP="008447D8">
      <w:pPr>
        <w:spacing w:before="120" w:after="120"/>
        <w:rPr>
          <w:rFonts w:ascii="Arial" w:hAnsi="Arial" w:cs="Arial"/>
          <w:b/>
          <w:sz w:val="20"/>
        </w:rPr>
      </w:pPr>
      <w:r w:rsidRPr="005D7C29">
        <w:rPr>
          <w:rFonts w:ascii="Arial" w:hAnsi="Arial" w:cs="Arial"/>
          <w:b/>
          <w:sz w:val="20"/>
        </w:rPr>
        <w:t>Comprehensive income statement</w:t>
      </w:r>
    </w:p>
    <w:p w14:paraId="1CF0490C" w14:textId="77777777" w:rsidR="000637A7" w:rsidRPr="000637A7" w:rsidRDefault="000637A7" w:rsidP="00883295">
      <w:pPr>
        <w:spacing w:before="120"/>
        <w:rPr>
          <w:sz w:val="20"/>
        </w:rPr>
      </w:pPr>
      <w:r w:rsidRPr="000637A7">
        <w:rPr>
          <w:sz w:val="20"/>
        </w:rPr>
        <w:t xml:space="preserve">The Government provided Sport Integrity Australia funding to continue implementation of recommendations from the Review of Australia's Sports Integrity Arrangements under the Australian Government Sport Plan. Funding of $19 million was provided over 2 years to 30 June 2024 to continue the independent complaints and disputes resolution model, effectively respond to shifting integrity threats across sport including escalating child safeguarding and child sexual abuse issues. </w:t>
      </w:r>
    </w:p>
    <w:p w14:paraId="492F159E" w14:textId="18FF69B4" w:rsidR="000637A7" w:rsidRPr="000637A7" w:rsidRDefault="000637A7" w:rsidP="000637A7">
      <w:pPr>
        <w:rPr>
          <w:sz w:val="20"/>
        </w:rPr>
      </w:pPr>
      <w:r w:rsidRPr="000637A7">
        <w:rPr>
          <w:sz w:val="20"/>
        </w:rPr>
        <w:t>A further $36.3 mill</w:t>
      </w:r>
      <w:r>
        <w:rPr>
          <w:sz w:val="20"/>
        </w:rPr>
        <w:t>ion has been provided from 2023–24 to 2027–</w:t>
      </w:r>
      <w:r w:rsidRPr="000637A7">
        <w:rPr>
          <w:sz w:val="20"/>
        </w:rPr>
        <w:t xml:space="preserve">28 to bolster safety in sport in Australia. </w:t>
      </w:r>
      <w:r>
        <w:rPr>
          <w:sz w:val="20"/>
        </w:rPr>
        <w:t xml:space="preserve">The funding will enhance </w:t>
      </w:r>
      <w:r w:rsidRPr="000637A7">
        <w:rPr>
          <w:sz w:val="20"/>
        </w:rPr>
        <w:t>Sport Integrity Australia</w:t>
      </w:r>
      <w:r>
        <w:rPr>
          <w:sz w:val="20"/>
        </w:rPr>
        <w:t>’s</w:t>
      </w:r>
      <w:r w:rsidRPr="000637A7">
        <w:rPr>
          <w:sz w:val="20"/>
        </w:rPr>
        <w:t xml:space="preserve"> capabilities and enable the delivery of new initiatives, including tackling abuse, bullying, discrimination, and sexual misconduct. </w:t>
      </w:r>
      <w:r>
        <w:rPr>
          <w:sz w:val="20"/>
        </w:rPr>
        <w:t xml:space="preserve"> </w:t>
      </w:r>
    </w:p>
    <w:p w14:paraId="2E5D3A72" w14:textId="1CDB8CCD" w:rsidR="000637A7" w:rsidRPr="000637A7" w:rsidRDefault="000637A7" w:rsidP="000637A7">
      <w:pPr>
        <w:rPr>
          <w:sz w:val="20"/>
        </w:rPr>
      </w:pPr>
      <w:r w:rsidRPr="000637A7">
        <w:rPr>
          <w:sz w:val="20"/>
        </w:rPr>
        <w:t xml:space="preserve">For the </w:t>
      </w:r>
      <w:r>
        <w:rPr>
          <w:sz w:val="20"/>
        </w:rPr>
        <w:t>2023–</w:t>
      </w:r>
      <w:r w:rsidRPr="000637A7">
        <w:rPr>
          <w:sz w:val="20"/>
        </w:rPr>
        <w:t>24 Budget year and the forward estimates, Sport Integrity Australia is budgeting for a break-even comprehensive income result net of unfunded depreciation and amortisation expenses.</w:t>
      </w:r>
      <w:r>
        <w:rPr>
          <w:sz w:val="20"/>
        </w:rPr>
        <w:t xml:space="preserve"> </w:t>
      </w:r>
    </w:p>
    <w:p w14:paraId="4997FE68" w14:textId="21E03FA9" w:rsidR="000637A7" w:rsidRPr="000637A7" w:rsidRDefault="000637A7" w:rsidP="000637A7">
      <w:pPr>
        <w:rPr>
          <w:sz w:val="20"/>
        </w:rPr>
      </w:pPr>
      <w:r w:rsidRPr="000637A7">
        <w:rPr>
          <w:sz w:val="20"/>
        </w:rPr>
        <w:t xml:space="preserve">Total operating revenue for </w:t>
      </w:r>
      <w:r>
        <w:rPr>
          <w:sz w:val="20"/>
        </w:rPr>
        <w:t>2023–</w:t>
      </w:r>
      <w:r w:rsidRPr="000637A7">
        <w:rPr>
          <w:sz w:val="20"/>
        </w:rPr>
        <w:t>24 is estimated at $44.5 million and comprises appropriation funding for ordinary annual services of $36 million and own source income of $8.5 million, derived primarily from the provision of sample collection and analysis services. Administered annual appropriation funding for the Sport Integrity Program</w:t>
      </w:r>
      <w:r w:rsidR="00A07B10">
        <w:rPr>
          <w:sz w:val="20"/>
        </w:rPr>
        <w:t xml:space="preserve"> is $6.7 million including $2.2 million</w:t>
      </w:r>
      <w:r w:rsidRPr="000637A7">
        <w:rPr>
          <w:sz w:val="20"/>
        </w:rPr>
        <w:t xml:space="preserve"> of unspent appropriation from last year.</w:t>
      </w:r>
    </w:p>
    <w:p w14:paraId="6F5083AF" w14:textId="77777777" w:rsidR="001337BD" w:rsidRDefault="000637A7" w:rsidP="00CC44BB">
      <w:pPr>
        <w:rPr>
          <w:sz w:val="20"/>
        </w:rPr>
      </w:pPr>
      <w:r w:rsidRPr="000637A7">
        <w:rPr>
          <w:sz w:val="20"/>
        </w:rPr>
        <w:t xml:space="preserve">We anticipate total budget expenditure in </w:t>
      </w:r>
      <w:r>
        <w:rPr>
          <w:sz w:val="20"/>
        </w:rPr>
        <w:t>2023–</w:t>
      </w:r>
      <w:r w:rsidRPr="000637A7">
        <w:rPr>
          <w:sz w:val="20"/>
        </w:rPr>
        <w:t xml:space="preserve">24 to be $45.5 million, including $1 million in unfunded depreciation and amortisation costs. </w:t>
      </w:r>
      <w:r>
        <w:rPr>
          <w:sz w:val="20"/>
        </w:rPr>
        <w:t xml:space="preserve"> </w:t>
      </w:r>
    </w:p>
    <w:p w14:paraId="57B1CF90" w14:textId="55CE8852" w:rsidR="00CC44BB" w:rsidRPr="005D7C29" w:rsidRDefault="00CC44BB" w:rsidP="00CC44BB">
      <w:pPr>
        <w:rPr>
          <w:rFonts w:ascii="Arial" w:hAnsi="Arial" w:cs="Arial"/>
          <w:b/>
          <w:sz w:val="20"/>
        </w:rPr>
      </w:pPr>
      <w:r w:rsidRPr="005D7C29">
        <w:rPr>
          <w:rFonts w:ascii="Arial" w:hAnsi="Arial" w:cs="Arial"/>
          <w:b/>
          <w:sz w:val="20"/>
        </w:rPr>
        <w:t>Balance sheet</w:t>
      </w:r>
    </w:p>
    <w:p w14:paraId="77B1FF44" w14:textId="5E420E83" w:rsidR="008E6A09" w:rsidRPr="008E6A09" w:rsidRDefault="008E6A09" w:rsidP="00883295">
      <w:pPr>
        <w:spacing w:before="120"/>
        <w:rPr>
          <w:sz w:val="20"/>
        </w:rPr>
      </w:pPr>
      <w:r w:rsidRPr="008E6A09">
        <w:rPr>
          <w:sz w:val="20"/>
        </w:rPr>
        <w:t>Subject to the Government Response to the Wood Review and continuation of programs beyond 30 June 2024, movements are expected in assets and liabilities over the forward estimates period.</w:t>
      </w:r>
      <w:r w:rsidR="004E37C0">
        <w:rPr>
          <w:sz w:val="20"/>
        </w:rPr>
        <w:br w:type="page"/>
      </w:r>
    </w:p>
    <w:p w14:paraId="1DB26040" w14:textId="77777777" w:rsidR="00526CE6" w:rsidRPr="004928FF" w:rsidRDefault="00526CE6" w:rsidP="00526CE6">
      <w:pPr>
        <w:pStyle w:val="Heading4"/>
      </w:pPr>
      <w:r w:rsidRPr="00EC73D1">
        <w:t>3.2.2</w:t>
      </w:r>
      <w:r>
        <w:tab/>
      </w:r>
      <w:r w:rsidRPr="004928FF">
        <w:t xml:space="preserve">Budgeted </w:t>
      </w:r>
      <w:r>
        <w:t>f</w:t>
      </w:r>
      <w:r w:rsidRPr="004928FF">
        <w:t xml:space="preserve">inancial </w:t>
      </w:r>
      <w:r>
        <w:t>s</w:t>
      </w:r>
      <w:r w:rsidRPr="004928FF">
        <w:t>tatements</w:t>
      </w:r>
    </w:p>
    <w:p w14:paraId="5F2330DF" w14:textId="77777777" w:rsidR="00526CE6" w:rsidRDefault="00526CE6" w:rsidP="00526CE6">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w:t>
      </w:r>
      <w:proofErr w:type="gramStart"/>
      <w:r>
        <w:rPr>
          <w:snapToGrid w:val="0"/>
        </w:rPr>
        <w:t>June</w:t>
      </w:r>
      <w:proofErr w:type="gramEnd"/>
    </w:p>
    <w:tbl>
      <w:tblPr>
        <w:tblW w:w="7941" w:type="dxa"/>
        <w:jc w:val="center"/>
        <w:tblLayout w:type="fixed"/>
        <w:tblLook w:val="04A0" w:firstRow="1" w:lastRow="0" w:firstColumn="1" w:lastColumn="0" w:noHBand="0" w:noVBand="1"/>
      </w:tblPr>
      <w:tblGrid>
        <w:gridCol w:w="3141"/>
        <w:gridCol w:w="960"/>
        <w:gridCol w:w="960"/>
        <w:gridCol w:w="960"/>
        <w:gridCol w:w="960"/>
        <w:gridCol w:w="960"/>
      </w:tblGrid>
      <w:tr w:rsidR="008633E5" w:rsidRPr="008633E5" w14:paraId="28BD103F" w14:textId="77777777" w:rsidTr="008633E5">
        <w:trPr>
          <w:trHeight w:val="765"/>
          <w:jc w:val="center"/>
        </w:trPr>
        <w:tc>
          <w:tcPr>
            <w:tcW w:w="3141" w:type="dxa"/>
            <w:tcBorders>
              <w:top w:val="single" w:sz="4" w:space="0" w:color="auto"/>
              <w:left w:val="nil"/>
              <w:bottom w:val="nil"/>
              <w:right w:val="nil"/>
            </w:tcBorders>
            <w:shd w:val="clear" w:color="auto" w:fill="auto"/>
            <w:hideMark/>
          </w:tcPr>
          <w:p w14:paraId="7F7A3928" w14:textId="77777777" w:rsidR="008633E5" w:rsidRPr="008633E5" w:rsidRDefault="008633E5" w:rsidP="008633E5">
            <w:pPr>
              <w:spacing w:before="24" w:after="0" w:line="240" w:lineRule="auto"/>
              <w:jc w:val="right"/>
              <w:rPr>
                <w:rFonts w:ascii="Arial" w:hAnsi="Arial" w:cs="Arial"/>
                <w:sz w:val="16"/>
                <w:szCs w:val="16"/>
              </w:rPr>
            </w:pPr>
            <w:r w:rsidRPr="008633E5">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hideMark/>
          </w:tcPr>
          <w:p w14:paraId="0EEFAE91" w14:textId="5FAD7157" w:rsidR="008633E5" w:rsidRPr="008633E5" w:rsidRDefault="008633E5" w:rsidP="008633E5">
            <w:pPr>
              <w:spacing w:before="24" w:after="0" w:line="240" w:lineRule="auto"/>
              <w:jc w:val="right"/>
              <w:rPr>
                <w:rFonts w:ascii="Arial" w:hAnsi="Arial" w:cs="Arial"/>
                <w:b/>
                <w:bCs/>
                <w:sz w:val="16"/>
                <w:szCs w:val="16"/>
              </w:rPr>
            </w:pPr>
            <w:r w:rsidRPr="008633E5">
              <w:rPr>
                <w:rFonts w:ascii="Arial" w:hAnsi="Arial" w:cs="Arial"/>
                <w:b/>
                <w:bCs/>
                <w:sz w:val="16"/>
                <w:szCs w:val="16"/>
              </w:rPr>
              <w:t>2022</w:t>
            </w:r>
            <w:r>
              <w:rPr>
                <w:rFonts w:ascii="Arial" w:hAnsi="Arial" w:cs="Arial"/>
                <w:b/>
                <w:bCs/>
                <w:sz w:val="16"/>
                <w:szCs w:val="16"/>
              </w:rPr>
              <w:t>–</w:t>
            </w:r>
            <w:r w:rsidRPr="008633E5">
              <w:rPr>
                <w:rFonts w:ascii="Arial" w:hAnsi="Arial" w:cs="Arial"/>
                <w:b/>
                <w:bCs/>
                <w:sz w:val="16"/>
                <w:szCs w:val="16"/>
              </w:rPr>
              <w:t>23</w:t>
            </w:r>
            <w:r w:rsidRPr="008633E5">
              <w:rPr>
                <w:rFonts w:ascii="Arial" w:hAnsi="Arial" w:cs="Arial"/>
                <w:b/>
                <w:bCs/>
                <w:sz w:val="16"/>
                <w:szCs w:val="16"/>
              </w:rPr>
              <w:br/>
              <w:t>Actual</w:t>
            </w:r>
            <w:r w:rsidRPr="008633E5">
              <w:rPr>
                <w:rFonts w:ascii="Arial" w:hAnsi="Arial" w:cs="Arial"/>
                <w:b/>
                <w:bCs/>
                <w:sz w:val="16"/>
                <w:szCs w:val="16"/>
              </w:rPr>
              <w:br/>
            </w:r>
            <w:r w:rsidRPr="008633E5">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1C08AE0B" w14:textId="1DC7010B" w:rsidR="008633E5" w:rsidRPr="008633E5" w:rsidRDefault="008633E5" w:rsidP="008633E5">
            <w:pPr>
              <w:spacing w:before="24" w:after="0" w:line="240" w:lineRule="auto"/>
              <w:jc w:val="right"/>
              <w:rPr>
                <w:rFonts w:ascii="Arial" w:hAnsi="Arial" w:cs="Arial"/>
                <w:b/>
                <w:bCs/>
                <w:sz w:val="16"/>
                <w:szCs w:val="16"/>
              </w:rPr>
            </w:pPr>
            <w:r>
              <w:rPr>
                <w:rFonts w:ascii="Arial" w:hAnsi="Arial" w:cs="Arial"/>
                <w:b/>
                <w:bCs/>
                <w:sz w:val="16"/>
                <w:szCs w:val="16"/>
              </w:rPr>
              <w:t>2023–</w:t>
            </w:r>
            <w:r w:rsidRPr="008633E5">
              <w:rPr>
                <w:rFonts w:ascii="Arial" w:hAnsi="Arial" w:cs="Arial"/>
                <w:b/>
                <w:bCs/>
                <w:sz w:val="16"/>
                <w:szCs w:val="16"/>
              </w:rPr>
              <w:t>24</w:t>
            </w:r>
            <w:r w:rsidRPr="008633E5">
              <w:rPr>
                <w:rFonts w:ascii="Arial" w:hAnsi="Arial" w:cs="Arial"/>
                <w:b/>
                <w:bCs/>
                <w:sz w:val="16"/>
                <w:szCs w:val="16"/>
              </w:rPr>
              <w:br/>
              <w:t>Revised</w:t>
            </w:r>
            <w:r w:rsidRPr="008633E5">
              <w:rPr>
                <w:rFonts w:ascii="Arial" w:hAnsi="Arial" w:cs="Arial"/>
                <w:b/>
                <w:bCs/>
                <w:sz w:val="16"/>
                <w:szCs w:val="16"/>
              </w:rPr>
              <w:br/>
              <w:t>Budget</w:t>
            </w:r>
            <w:r w:rsidRPr="008633E5">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1409ACC6" w14:textId="5C1B69CB" w:rsidR="008633E5" w:rsidRPr="008633E5" w:rsidRDefault="008633E5" w:rsidP="008633E5">
            <w:pPr>
              <w:spacing w:before="24" w:after="0" w:line="240" w:lineRule="auto"/>
              <w:jc w:val="right"/>
              <w:rPr>
                <w:rFonts w:ascii="Arial" w:hAnsi="Arial" w:cs="Arial"/>
                <w:b/>
                <w:bCs/>
                <w:sz w:val="16"/>
                <w:szCs w:val="16"/>
              </w:rPr>
            </w:pPr>
            <w:r>
              <w:rPr>
                <w:rFonts w:ascii="Arial" w:hAnsi="Arial" w:cs="Arial"/>
                <w:b/>
                <w:bCs/>
                <w:sz w:val="16"/>
                <w:szCs w:val="16"/>
              </w:rPr>
              <w:t>2024–</w:t>
            </w:r>
            <w:r w:rsidRPr="008633E5">
              <w:rPr>
                <w:rFonts w:ascii="Arial" w:hAnsi="Arial" w:cs="Arial"/>
                <w:b/>
                <w:bCs/>
                <w:sz w:val="16"/>
                <w:szCs w:val="16"/>
              </w:rPr>
              <w:t>25 Forward estimate</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235D410" w14:textId="32487345" w:rsidR="008633E5" w:rsidRPr="008633E5" w:rsidRDefault="008633E5" w:rsidP="008633E5">
            <w:pPr>
              <w:spacing w:before="24" w:after="0" w:line="240" w:lineRule="auto"/>
              <w:jc w:val="right"/>
              <w:rPr>
                <w:rFonts w:ascii="Arial" w:hAnsi="Arial" w:cs="Arial"/>
                <w:b/>
                <w:bCs/>
                <w:sz w:val="16"/>
                <w:szCs w:val="16"/>
              </w:rPr>
            </w:pPr>
            <w:r>
              <w:rPr>
                <w:rFonts w:ascii="Arial" w:hAnsi="Arial" w:cs="Arial"/>
                <w:b/>
                <w:bCs/>
                <w:sz w:val="16"/>
                <w:szCs w:val="16"/>
              </w:rPr>
              <w:t>2025–</w:t>
            </w:r>
            <w:r w:rsidRPr="008633E5">
              <w:rPr>
                <w:rFonts w:ascii="Arial" w:hAnsi="Arial" w:cs="Arial"/>
                <w:b/>
                <w:bCs/>
                <w:sz w:val="16"/>
                <w:szCs w:val="16"/>
              </w:rPr>
              <w:t>26 Forward estimate</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76154320" w14:textId="5012737B" w:rsidR="008633E5" w:rsidRPr="008633E5" w:rsidRDefault="008633E5" w:rsidP="008633E5">
            <w:pPr>
              <w:spacing w:before="24" w:after="0" w:line="240" w:lineRule="auto"/>
              <w:jc w:val="right"/>
              <w:rPr>
                <w:rFonts w:ascii="Arial" w:hAnsi="Arial" w:cs="Arial"/>
                <w:b/>
                <w:bCs/>
                <w:sz w:val="16"/>
                <w:szCs w:val="16"/>
              </w:rPr>
            </w:pPr>
            <w:r>
              <w:rPr>
                <w:rFonts w:ascii="Arial" w:hAnsi="Arial" w:cs="Arial"/>
                <w:b/>
                <w:bCs/>
                <w:sz w:val="16"/>
                <w:szCs w:val="16"/>
              </w:rPr>
              <w:t>2026–</w:t>
            </w:r>
            <w:r w:rsidRPr="008633E5">
              <w:rPr>
                <w:rFonts w:ascii="Arial" w:hAnsi="Arial" w:cs="Arial"/>
                <w:b/>
                <w:bCs/>
                <w:sz w:val="16"/>
                <w:szCs w:val="16"/>
              </w:rPr>
              <w:t>27 Forward estimate</w:t>
            </w:r>
            <w:r w:rsidRPr="008633E5">
              <w:rPr>
                <w:rFonts w:ascii="Arial" w:hAnsi="Arial" w:cs="Arial"/>
                <w:b/>
                <w:bCs/>
                <w:sz w:val="16"/>
                <w:szCs w:val="16"/>
              </w:rPr>
              <w:br/>
            </w:r>
            <w:r w:rsidRPr="008633E5">
              <w:rPr>
                <w:rFonts w:ascii="Arial" w:hAnsi="Arial" w:cs="Arial"/>
                <w:sz w:val="16"/>
                <w:szCs w:val="16"/>
              </w:rPr>
              <w:t>$'000</w:t>
            </w:r>
          </w:p>
        </w:tc>
      </w:tr>
      <w:tr w:rsidR="008633E5" w:rsidRPr="008633E5" w14:paraId="3E5A5EC2"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782510D5"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EXPENSES</w:t>
            </w:r>
          </w:p>
        </w:tc>
        <w:tc>
          <w:tcPr>
            <w:tcW w:w="960" w:type="dxa"/>
            <w:tcBorders>
              <w:top w:val="single" w:sz="4" w:space="0" w:color="auto"/>
              <w:left w:val="nil"/>
              <w:bottom w:val="nil"/>
              <w:right w:val="nil"/>
            </w:tcBorders>
            <w:shd w:val="clear" w:color="auto" w:fill="auto"/>
            <w:noWrap/>
            <w:vAlign w:val="bottom"/>
            <w:hideMark/>
          </w:tcPr>
          <w:p w14:paraId="4103B450"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single" w:sz="4" w:space="0" w:color="auto"/>
              <w:left w:val="nil"/>
              <w:bottom w:val="nil"/>
              <w:right w:val="nil"/>
            </w:tcBorders>
            <w:shd w:val="clear" w:color="000000" w:fill="D9D9D9"/>
            <w:noWrap/>
            <w:vAlign w:val="bottom"/>
            <w:hideMark/>
          </w:tcPr>
          <w:p w14:paraId="4629417F"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37C27636"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3A3DBDA0"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6DA06BF4"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 </w:t>
            </w:r>
          </w:p>
        </w:tc>
      </w:tr>
      <w:tr w:rsidR="008633E5" w:rsidRPr="008633E5" w14:paraId="3C89CBA7"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2BF220B4"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02DD664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20,412</w:t>
            </w:r>
          </w:p>
        </w:tc>
        <w:tc>
          <w:tcPr>
            <w:tcW w:w="960" w:type="dxa"/>
            <w:tcBorders>
              <w:top w:val="nil"/>
              <w:left w:val="nil"/>
              <w:bottom w:val="nil"/>
              <w:right w:val="nil"/>
            </w:tcBorders>
            <w:shd w:val="clear" w:color="000000" w:fill="D9D9D9"/>
            <w:noWrap/>
            <w:vAlign w:val="bottom"/>
            <w:hideMark/>
          </w:tcPr>
          <w:p w14:paraId="02A9267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23,628</w:t>
            </w:r>
          </w:p>
        </w:tc>
        <w:tc>
          <w:tcPr>
            <w:tcW w:w="960" w:type="dxa"/>
            <w:tcBorders>
              <w:top w:val="nil"/>
              <w:left w:val="nil"/>
              <w:bottom w:val="nil"/>
              <w:right w:val="nil"/>
            </w:tcBorders>
            <w:shd w:val="clear" w:color="auto" w:fill="auto"/>
            <w:noWrap/>
            <w:vAlign w:val="bottom"/>
            <w:hideMark/>
          </w:tcPr>
          <w:p w14:paraId="2E36061E"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15,301</w:t>
            </w:r>
          </w:p>
        </w:tc>
        <w:tc>
          <w:tcPr>
            <w:tcW w:w="960" w:type="dxa"/>
            <w:tcBorders>
              <w:top w:val="nil"/>
              <w:left w:val="nil"/>
              <w:bottom w:val="nil"/>
              <w:right w:val="nil"/>
            </w:tcBorders>
            <w:shd w:val="clear" w:color="auto" w:fill="auto"/>
            <w:noWrap/>
            <w:vAlign w:val="bottom"/>
            <w:hideMark/>
          </w:tcPr>
          <w:p w14:paraId="699577A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15,604</w:t>
            </w:r>
          </w:p>
        </w:tc>
        <w:tc>
          <w:tcPr>
            <w:tcW w:w="960" w:type="dxa"/>
            <w:tcBorders>
              <w:top w:val="nil"/>
              <w:left w:val="nil"/>
              <w:bottom w:val="nil"/>
              <w:right w:val="nil"/>
            </w:tcBorders>
            <w:shd w:val="clear" w:color="auto" w:fill="auto"/>
            <w:noWrap/>
            <w:vAlign w:val="bottom"/>
            <w:hideMark/>
          </w:tcPr>
          <w:p w14:paraId="261CDE53"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15,699</w:t>
            </w:r>
          </w:p>
        </w:tc>
      </w:tr>
      <w:tr w:rsidR="008633E5" w:rsidRPr="008633E5" w14:paraId="5A9DA389"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0D5693AC"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Supplier expenses</w:t>
            </w:r>
          </w:p>
        </w:tc>
        <w:tc>
          <w:tcPr>
            <w:tcW w:w="960" w:type="dxa"/>
            <w:tcBorders>
              <w:top w:val="nil"/>
              <w:left w:val="nil"/>
              <w:bottom w:val="nil"/>
              <w:right w:val="nil"/>
            </w:tcBorders>
            <w:shd w:val="clear" w:color="auto" w:fill="auto"/>
            <w:noWrap/>
            <w:vAlign w:val="bottom"/>
            <w:hideMark/>
          </w:tcPr>
          <w:p w14:paraId="4D6BE45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16,715</w:t>
            </w:r>
          </w:p>
        </w:tc>
        <w:tc>
          <w:tcPr>
            <w:tcW w:w="960" w:type="dxa"/>
            <w:tcBorders>
              <w:top w:val="nil"/>
              <w:left w:val="nil"/>
              <w:bottom w:val="nil"/>
              <w:right w:val="nil"/>
            </w:tcBorders>
            <w:shd w:val="clear" w:color="000000" w:fill="D9D9D9"/>
            <w:noWrap/>
            <w:vAlign w:val="bottom"/>
            <w:hideMark/>
          </w:tcPr>
          <w:p w14:paraId="3F23693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20,093</w:t>
            </w:r>
          </w:p>
        </w:tc>
        <w:tc>
          <w:tcPr>
            <w:tcW w:w="960" w:type="dxa"/>
            <w:tcBorders>
              <w:top w:val="nil"/>
              <w:left w:val="nil"/>
              <w:bottom w:val="nil"/>
              <w:right w:val="nil"/>
            </w:tcBorders>
            <w:shd w:val="clear" w:color="auto" w:fill="auto"/>
            <w:noWrap/>
            <w:vAlign w:val="bottom"/>
            <w:hideMark/>
          </w:tcPr>
          <w:p w14:paraId="4C88691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16,741</w:t>
            </w:r>
          </w:p>
        </w:tc>
        <w:tc>
          <w:tcPr>
            <w:tcW w:w="960" w:type="dxa"/>
            <w:tcBorders>
              <w:top w:val="nil"/>
              <w:left w:val="nil"/>
              <w:bottom w:val="nil"/>
              <w:right w:val="nil"/>
            </w:tcBorders>
            <w:shd w:val="clear" w:color="auto" w:fill="auto"/>
            <w:noWrap/>
            <w:vAlign w:val="bottom"/>
            <w:hideMark/>
          </w:tcPr>
          <w:p w14:paraId="2834E98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17,358</w:t>
            </w:r>
          </w:p>
        </w:tc>
        <w:tc>
          <w:tcPr>
            <w:tcW w:w="960" w:type="dxa"/>
            <w:tcBorders>
              <w:top w:val="nil"/>
              <w:left w:val="nil"/>
              <w:bottom w:val="nil"/>
              <w:right w:val="nil"/>
            </w:tcBorders>
            <w:shd w:val="clear" w:color="auto" w:fill="auto"/>
            <w:noWrap/>
            <w:vAlign w:val="bottom"/>
            <w:hideMark/>
          </w:tcPr>
          <w:p w14:paraId="10EFCD24"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17,566</w:t>
            </w:r>
          </w:p>
        </w:tc>
      </w:tr>
      <w:tr w:rsidR="008633E5" w:rsidRPr="008633E5" w14:paraId="531AF29B"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6C97A738"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 xml:space="preserve">Grants </w:t>
            </w:r>
          </w:p>
        </w:tc>
        <w:tc>
          <w:tcPr>
            <w:tcW w:w="960" w:type="dxa"/>
            <w:tcBorders>
              <w:top w:val="nil"/>
              <w:left w:val="nil"/>
              <w:bottom w:val="nil"/>
              <w:right w:val="nil"/>
            </w:tcBorders>
            <w:shd w:val="clear" w:color="auto" w:fill="auto"/>
            <w:noWrap/>
            <w:vAlign w:val="bottom"/>
            <w:hideMark/>
          </w:tcPr>
          <w:p w14:paraId="10F6F12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140</w:t>
            </w:r>
          </w:p>
        </w:tc>
        <w:tc>
          <w:tcPr>
            <w:tcW w:w="960" w:type="dxa"/>
            <w:tcBorders>
              <w:top w:val="nil"/>
              <w:left w:val="nil"/>
              <w:bottom w:val="nil"/>
              <w:right w:val="nil"/>
            </w:tcBorders>
            <w:shd w:val="clear" w:color="000000" w:fill="D9D9D9"/>
            <w:noWrap/>
            <w:vAlign w:val="bottom"/>
            <w:hideMark/>
          </w:tcPr>
          <w:p w14:paraId="6C8D341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0150E10"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2C920E7"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9001463"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r>
      <w:tr w:rsidR="008633E5" w:rsidRPr="008633E5" w14:paraId="3067F089"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4BD9F994"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Depreciation and amortisation</w:t>
            </w:r>
          </w:p>
        </w:tc>
        <w:tc>
          <w:tcPr>
            <w:tcW w:w="960" w:type="dxa"/>
            <w:tcBorders>
              <w:top w:val="nil"/>
              <w:left w:val="nil"/>
              <w:bottom w:val="nil"/>
              <w:right w:val="nil"/>
            </w:tcBorders>
            <w:shd w:val="clear" w:color="auto" w:fill="auto"/>
            <w:noWrap/>
            <w:vAlign w:val="bottom"/>
            <w:hideMark/>
          </w:tcPr>
          <w:p w14:paraId="0448715F"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2,151</w:t>
            </w:r>
          </w:p>
        </w:tc>
        <w:tc>
          <w:tcPr>
            <w:tcW w:w="960" w:type="dxa"/>
            <w:tcBorders>
              <w:top w:val="nil"/>
              <w:left w:val="nil"/>
              <w:bottom w:val="nil"/>
              <w:right w:val="nil"/>
            </w:tcBorders>
            <w:shd w:val="clear" w:color="000000" w:fill="D9D9D9"/>
            <w:noWrap/>
            <w:vAlign w:val="bottom"/>
            <w:hideMark/>
          </w:tcPr>
          <w:p w14:paraId="6A31EB6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1,752</w:t>
            </w:r>
          </w:p>
        </w:tc>
        <w:tc>
          <w:tcPr>
            <w:tcW w:w="960" w:type="dxa"/>
            <w:tcBorders>
              <w:top w:val="nil"/>
              <w:left w:val="nil"/>
              <w:bottom w:val="nil"/>
              <w:right w:val="nil"/>
            </w:tcBorders>
            <w:shd w:val="clear" w:color="auto" w:fill="auto"/>
            <w:noWrap/>
            <w:vAlign w:val="bottom"/>
            <w:hideMark/>
          </w:tcPr>
          <w:p w14:paraId="181FC5F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1,752</w:t>
            </w:r>
          </w:p>
        </w:tc>
        <w:tc>
          <w:tcPr>
            <w:tcW w:w="960" w:type="dxa"/>
            <w:tcBorders>
              <w:top w:val="nil"/>
              <w:left w:val="nil"/>
              <w:bottom w:val="nil"/>
              <w:right w:val="nil"/>
            </w:tcBorders>
            <w:shd w:val="clear" w:color="auto" w:fill="auto"/>
            <w:noWrap/>
            <w:vAlign w:val="bottom"/>
            <w:hideMark/>
          </w:tcPr>
          <w:p w14:paraId="15FAC437"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1,752</w:t>
            </w:r>
          </w:p>
        </w:tc>
        <w:tc>
          <w:tcPr>
            <w:tcW w:w="960" w:type="dxa"/>
            <w:tcBorders>
              <w:top w:val="nil"/>
              <w:left w:val="nil"/>
              <w:bottom w:val="nil"/>
              <w:right w:val="nil"/>
            </w:tcBorders>
            <w:shd w:val="clear" w:color="auto" w:fill="auto"/>
            <w:noWrap/>
            <w:vAlign w:val="bottom"/>
            <w:hideMark/>
          </w:tcPr>
          <w:p w14:paraId="504634E4"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1,752</w:t>
            </w:r>
          </w:p>
        </w:tc>
      </w:tr>
      <w:tr w:rsidR="008633E5" w:rsidRPr="008633E5" w14:paraId="6530F55B"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1E838C37"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 xml:space="preserve">Interest on </w:t>
            </w:r>
            <w:proofErr w:type="spellStart"/>
            <w:r w:rsidRPr="008633E5">
              <w:rPr>
                <w:rFonts w:ascii="Arial" w:hAnsi="Arial" w:cs="Arial"/>
                <w:sz w:val="16"/>
                <w:szCs w:val="16"/>
              </w:rPr>
              <w:t>RoU</w:t>
            </w:r>
            <w:proofErr w:type="spellEnd"/>
          </w:p>
        </w:tc>
        <w:tc>
          <w:tcPr>
            <w:tcW w:w="960" w:type="dxa"/>
            <w:tcBorders>
              <w:top w:val="nil"/>
              <w:left w:val="nil"/>
              <w:bottom w:val="nil"/>
              <w:right w:val="nil"/>
            </w:tcBorders>
            <w:shd w:val="clear" w:color="auto" w:fill="auto"/>
            <w:noWrap/>
            <w:vAlign w:val="bottom"/>
            <w:hideMark/>
          </w:tcPr>
          <w:p w14:paraId="37A6E8A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73</w:t>
            </w:r>
          </w:p>
        </w:tc>
        <w:tc>
          <w:tcPr>
            <w:tcW w:w="960" w:type="dxa"/>
            <w:tcBorders>
              <w:top w:val="nil"/>
              <w:left w:val="nil"/>
              <w:bottom w:val="nil"/>
              <w:right w:val="nil"/>
            </w:tcBorders>
            <w:shd w:val="clear" w:color="000000" w:fill="D9D9D9"/>
            <w:noWrap/>
            <w:vAlign w:val="bottom"/>
            <w:hideMark/>
          </w:tcPr>
          <w:p w14:paraId="1938443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85</w:t>
            </w:r>
          </w:p>
        </w:tc>
        <w:tc>
          <w:tcPr>
            <w:tcW w:w="960" w:type="dxa"/>
            <w:tcBorders>
              <w:top w:val="nil"/>
              <w:left w:val="nil"/>
              <w:bottom w:val="nil"/>
              <w:right w:val="nil"/>
            </w:tcBorders>
            <w:shd w:val="clear" w:color="auto" w:fill="auto"/>
            <w:noWrap/>
            <w:vAlign w:val="bottom"/>
            <w:hideMark/>
          </w:tcPr>
          <w:p w14:paraId="1E9E650D"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85</w:t>
            </w:r>
          </w:p>
        </w:tc>
        <w:tc>
          <w:tcPr>
            <w:tcW w:w="960" w:type="dxa"/>
            <w:tcBorders>
              <w:top w:val="nil"/>
              <w:left w:val="nil"/>
              <w:bottom w:val="nil"/>
              <w:right w:val="nil"/>
            </w:tcBorders>
            <w:shd w:val="clear" w:color="auto" w:fill="auto"/>
            <w:noWrap/>
            <w:vAlign w:val="bottom"/>
            <w:hideMark/>
          </w:tcPr>
          <w:p w14:paraId="3D97607D"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85</w:t>
            </w:r>
          </w:p>
        </w:tc>
        <w:tc>
          <w:tcPr>
            <w:tcW w:w="960" w:type="dxa"/>
            <w:tcBorders>
              <w:top w:val="nil"/>
              <w:left w:val="nil"/>
              <w:bottom w:val="nil"/>
              <w:right w:val="nil"/>
            </w:tcBorders>
            <w:shd w:val="clear" w:color="auto" w:fill="auto"/>
            <w:noWrap/>
            <w:vAlign w:val="bottom"/>
            <w:hideMark/>
          </w:tcPr>
          <w:p w14:paraId="735D8129"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85</w:t>
            </w:r>
          </w:p>
        </w:tc>
      </w:tr>
      <w:tr w:rsidR="008633E5" w:rsidRPr="008633E5" w14:paraId="76C6FBAE"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2241A0D1"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Write down and impairment of assets</w:t>
            </w:r>
          </w:p>
        </w:tc>
        <w:tc>
          <w:tcPr>
            <w:tcW w:w="960" w:type="dxa"/>
            <w:tcBorders>
              <w:top w:val="nil"/>
              <w:left w:val="nil"/>
              <w:bottom w:val="nil"/>
              <w:right w:val="nil"/>
            </w:tcBorders>
            <w:shd w:val="clear" w:color="auto" w:fill="auto"/>
            <w:noWrap/>
            <w:vAlign w:val="bottom"/>
            <w:hideMark/>
          </w:tcPr>
          <w:p w14:paraId="4AC335F6"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w:t>
            </w:r>
          </w:p>
        </w:tc>
        <w:tc>
          <w:tcPr>
            <w:tcW w:w="960" w:type="dxa"/>
            <w:tcBorders>
              <w:top w:val="nil"/>
              <w:left w:val="nil"/>
              <w:bottom w:val="nil"/>
              <w:right w:val="nil"/>
            </w:tcBorders>
            <w:shd w:val="clear" w:color="000000" w:fill="D9D9D9"/>
            <w:noWrap/>
            <w:vAlign w:val="bottom"/>
            <w:hideMark/>
          </w:tcPr>
          <w:p w14:paraId="3DF9F582"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94C5F9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41FBAB6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EEC355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r>
      <w:tr w:rsidR="008633E5" w:rsidRPr="008633E5" w14:paraId="49B0E5BA"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4AB24184" w14:textId="77777777" w:rsidR="008633E5" w:rsidRPr="008633E5" w:rsidRDefault="008633E5" w:rsidP="00F84F34">
            <w:pPr>
              <w:spacing w:before="0" w:after="0" w:line="240" w:lineRule="auto"/>
              <w:ind w:leftChars="75" w:left="143"/>
              <w:rPr>
                <w:rFonts w:ascii="Arial" w:hAnsi="Arial" w:cs="Arial"/>
                <w:b/>
                <w:bCs/>
                <w:sz w:val="16"/>
                <w:szCs w:val="16"/>
              </w:rPr>
            </w:pPr>
            <w:r w:rsidRPr="008633E5">
              <w:rPr>
                <w:rFonts w:ascii="Arial" w:hAnsi="Arial" w:cs="Arial"/>
                <w:b/>
                <w:bCs/>
                <w:sz w:val="16"/>
                <w:szCs w:val="16"/>
              </w:rPr>
              <w:t>Total expenses</w:t>
            </w:r>
          </w:p>
        </w:tc>
        <w:tc>
          <w:tcPr>
            <w:tcW w:w="960" w:type="dxa"/>
            <w:tcBorders>
              <w:top w:val="nil"/>
              <w:left w:val="nil"/>
              <w:bottom w:val="single" w:sz="4" w:space="0" w:color="auto"/>
              <w:right w:val="nil"/>
            </w:tcBorders>
            <w:shd w:val="clear" w:color="auto" w:fill="auto"/>
            <w:noWrap/>
            <w:vAlign w:val="bottom"/>
            <w:hideMark/>
          </w:tcPr>
          <w:p w14:paraId="33882FCF"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39,508</w:t>
            </w:r>
          </w:p>
        </w:tc>
        <w:tc>
          <w:tcPr>
            <w:tcW w:w="960" w:type="dxa"/>
            <w:tcBorders>
              <w:top w:val="nil"/>
              <w:left w:val="nil"/>
              <w:bottom w:val="single" w:sz="4" w:space="0" w:color="auto"/>
              <w:right w:val="nil"/>
            </w:tcBorders>
            <w:shd w:val="clear" w:color="000000" w:fill="D9D9D9"/>
            <w:noWrap/>
            <w:vAlign w:val="bottom"/>
            <w:hideMark/>
          </w:tcPr>
          <w:p w14:paraId="0A9EDD4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45,558</w:t>
            </w:r>
          </w:p>
        </w:tc>
        <w:tc>
          <w:tcPr>
            <w:tcW w:w="960" w:type="dxa"/>
            <w:tcBorders>
              <w:top w:val="nil"/>
              <w:left w:val="nil"/>
              <w:bottom w:val="single" w:sz="4" w:space="0" w:color="auto"/>
              <w:right w:val="nil"/>
            </w:tcBorders>
            <w:shd w:val="clear" w:color="auto" w:fill="auto"/>
            <w:noWrap/>
            <w:vAlign w:val="bottom"/>
            <w:hideMark/>
          </w:tcPr>
          <w:p w14:paraId="0B9BFF22"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33,879</w:t>
            </w:r>
          </w:p>
        </w:tc>
        <w:tc>
          <w:tcPr>
            <w:tcW w:w="960" w:type="dxa"/>
            <w:tcBorders>
              <w:top w:val="nil"/>
              <w:left w:val="nil"/>
              <w:bottom w:val="single" w:sz="4" w:space="0" w:color="auto"/>
              <w:right w:val="nil"/>
            </w:tcBorders>
            <w:shd w:val="clear" w:color="auto" w:fill="auto"/>
            <w:noWrap/>
            <w:vAlign w:val="bottom"/>
            <w:hideMark/>
          </w:tcPr>
          <w:p w14:paraId="7A976502"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34,799</w:t>
            </w:r>
          </w:p>
        </w:tc>
        <w:tc>
          <w:tcPr>
            <w:tcW w:w="960" w:type="dxa"/>
            <w:tcBorders>
              <w:top w:val="nil"/>
              <w:left w:val="nil"/>
              <w:bottom w:val="single" w:sz="4" w:space="0" w:color="auto"/>
              <w:right w:val="nil"/>
            </w:tcBorders>
            <w:shd w:val="clear" w:color="auto" w:fill="auto"/>
            <w:noWrap/>
            <w:vAlign w:val="bottom"/>
            <w:hideMark/>
          </w:tcPr>
          <w:p w14:paraId="1D0AFDA2"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35,102</w:t>
            </w:r>
          </w:p>
        </w:tc>
      </w:tr>
      <w:tr w:rsidR="008633E5" w:rsidRPr="008633E5" w14:paraId="7B8F5CD5" w14:textId="77777777" w:rsidTr="0089082F">
        <w:trPr>
          <w:trHeight w:val="283"/>
          <w:jc w:val="center"/>
        </w:trPr>
        <w:tc>
          <w:tcPr>
            <w:tcW w:w="3141" w:type="dxa"/>
            <w:tcBorders>
              <w:top w:val="nil"/>
              <w:left w:val="nil"/>
              <w:bottom w:val="nil"/>
              <w:right w:val="nil"/>
            </w:tcBorders>
            <w:shd w:val="clear" w:color="auto" w:fill="auto"/>
            <w:noWrap/>
            <w:vAlign w:val="bottom"/>
            <w:hideMark/>
          </w:tcPr>
          <w:p w14:paraId="2269DB0D"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 xml:space="preserve">LESS: </w:t>
            </w:r>
          </w:p>
        </w:tc>
        <w:tc>
          <w:tcPr>
            <w:tcW w:w="960" w:type="dxa"/>
            <w:tcBorders>
              <w:top w:val="nil"/>
              <w:left w:val="nil"/>
              <w:bottom w:val="nil"/>
              <w:right w:val="nil"/>
            </w:tcBorders>
            <w:shd w:val="clear" w:color="auto" w:fill="auto"/>
            <w:noWrap/>
            <w:vAlign w:val="bottom"/>
            <w:hideMark/>
          </w:tcPr>
          <w:p w14:paraId="52054A54" w14:textId="77777777" w:rsidR="008633E5" w:rsidRPr="008633E5" w:rsidRDefault="008633E5" w:rsidP="008633E5">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300152BB"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3DCF9E16" w14:textId="77777777" w:rsidR="008633E5" w:rsidRPr="008633E5" w:rsidRDefault="008633E5" w:rsidP="008633E5">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0F076C6" w14:textId="77777777" w:rsidR="008633E5" w:rsidRPr="008633E5" w:rsidRDefault="008633E5" w:rsidP="008633E5">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4098065" w14:textId="77777777" w:rsidR="008633E5" w:rsidRPr="008633E5" w:rsidRDefault="008633E5" w:rsidP="008633E5">
            <w:pPr>
              <w:spacing w:before="0" w:after="0" w:line="240" w:lineRule="auto"/>
              <w:jc w:val="right"/>
              <w:rPr>
                <w:rFonts w:ascii="Times New Roman" w:hAnsi="Times New Roman"/>
                <w:sz w:val="20"/>
              </w:rPr>
            </w:pPr>
          </w:p>
        </w:tc>
      </w:tr>
      <w:tr w:rsidR="008633E5" w:rsidRPr="008633E5" w14:paraId="11A2E500"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45E955C8"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OWN-SOURCE INCOME</w:t>
            </w:r>
          </w:p>
        </w:tc>
        <w:tc>
          <w:tcPr>
            <w:tcW w:w="960" w:type="dxa"/>
            <w:tcBorders>
              <w:top w:val="nil"/>
              <w:left w:val="nil"/>
              <w:bottom w:val="nil"/>
              <w:right w:val="nil"/>
            </w:tcBorders>
            <w:shd w:val="clear" w:color="auto" w:fill="auto"/>
            <w:noWrap/>
            <w:vAlign w:val="bottom"/>
            <w:hideMark/>
          </w:tcPr>
          <w:p w14:paraId="238CC3FB" w14:textId="77777777" w:rsidR="008633E5" w:rsidRPr="008633E5" w:rsidRDefault="008633E5" w:rsidP="008633E5">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6A47445B"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4B163E89" w14:textId="77777777" w:rsidR="008633E5" w:rsidRPr="008633E5" w:rsidRDefault="008633E5" w:rsidP="008633E5">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2F69E1B1" w14:textId="77777777" w:rsidR="008633E5" w:rsidRPr="008633E5" w:rsidRDefault="008633E5" w:rsidP="008633E5">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C040790" w14:textId="77777777" w:rsidR="008633E5" w:rsidRPr="008633E5" w:rsidRDefault="008633E5" w:rsidP="008633E5">
            <w:pPr>
              <w:spacing w:before="0" w:after="0" w:line="240" w:lineRule="auto"/>
              <w:jc w:val="right"/>
              <w:rPr>
                <w:rFonts w:ascii="Times New Roman" w:hAnsi="Times New Roman"/>
                <w:sz w:val="20"/>
              </w:rPr>
            </w:pPr>
          </w:p>
        </w:tc>
      </w:tr>
      <w:tr w:rsidR="008633E5" w:rsidRPr="008633E5" w14:paraId="0A39094A"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3137E1A1" w14:textId="77777777" w:rsidR="008633E5" w:rsidRPr="008633E5" w:rsidRDefault="008633E5" w:rsidP="00F84F34">
            <w:pPr>
              <w:spacing w:before="0" w:after="0" w:line="240" w:lineRule="auto"/>
              <w:ind w:leftChars="75" w:left="143"/>
              <w:rPr>
                <w:rFonts w:ascii="Arial" w:hAnsi="Arial" w:cs="Arial"/>
                <w:b/>
                <w:bCs/>
                <w:sz w:val="16"/>
                <w:szCs w:val="16"/>
              </w:rPr>
            </w:pPr>
            <w:r w:rsidRPr="008633E5">
              <w:rPr>
                <w:rFonts w:ascii="Arial" w:hAnsi="Arial" w:cs="Arial"/>
                <w:b/>
                <w:bCs/>
                <w:sz w:val="16"/>
                <w:szCs w:val="16"/>
              </w:rPr>
              <w:t>Revenue</w:t>
            </w:r>
          </w:p>
        </w:tc>
        <w:tc>
          <w:tcPr>
            <w:tcW w:w="960" w:type="dxa"/>
            <w:tcBorders>
              <w:top w:val="nil"/>
              <w:left w:val="nil"/>
              <w:bottom w:val="nil"/>
              <w:right w:val="nil"/>
            </w:tcBorders>
            <w:shd w:val="clear" w:color="auto" w:fill="auto"/>
            <w:noWrap/>
            <w:vAlign w:val="bottom"/>
            <w:hideMark/>
          </w:tcPr>
          <w:p w14:paraId="47D7B2E8" w14:textId="77777777" w:rsidR="008633E5" w:rsidRPr="008633E5" w:rsidRDefault="008633E5" w:rsidP="008633E5">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38F74AD2"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01FE1A48" w14:textId="77777777" w:rsidR="008633E5" w:rsidRPr="008633E5" w:rsidRDefault="008633E5" w:rsidP="008633E5">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0C42F448" w14:textId="77777777" w:rsidR="008633E5" w:rsidRPr="008633E5" w:rsidRDefault="008633E5" w:rsidP="008633E5">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FA22381" w14:textId="77777777" w:rsidR="008633E5" w:rsidRPr="008633E5" w:rsidRDefault="008633E5" w:rsidP="008633E5">
            <w:pPr>
              <w:spacing w:before="0" w:after="0" w:line="240" w:lineRule="auto"/>
              <w:jc w:val="right"/>
              <w:rPr>
                <w:rFonts w:ascii="Times New Roman" w:hAnsi="Times New Roman"/>
                <w:sz w:val="20"/>
              </w:rPr>
            </w:pPr>
          </w:p>
        </w:tc>
      </w:tr>
      <w:tr w:rsidR="008633E5" w:rsidRPr="008633E5" w14:paraId="42332E48" w14:textId="77777777" w:rsidTr="0089082F">
        <w:trPr>
          <w:trHeight w:val="425"/>
          <w:jc w:val="center"/>
        </w:trPr>
        <w:tc>
          <w:tcPr>
            <w:tcW w:w="3141" w:type="dxa"/>
            <w:tcBorders>
              <w:top w:val="nil"/>
              <w:left w:val="nil"/>
              <w:bottom w:val="nil"/>
              <w:right w:val="nil"/>
            </w:tcBorders>
            <w:shd w:val="clear" w:color="auto" w:fill="auto"/>
            <w:vAlign w:val="bottom"/>
            <w:hideMark/>
          </w:tcPr>
          <w:p w14:paraId="492602C5" w14:textId="77777777" w:rsidR="008633E5" w:rsidRPr="008633E5" w:rsidRDefault="008633E5" w:rsidP="00F84F34">
            <w:pPr>
              <w:spacing w:before="0" w:after="0" w:line="240" w:lineRule="auto"/>
              <w:ind w:leftChars="150" w:left="285"/>
              <w:rPr>
                <w:rFonts w:ascii="Arial" w:hAnsi="Arial" w:cs="Arial"/>
                <w:sz w:val="16"/>
                <w:szCs w:val="16"/>
              </w:rPr>
            </w:pPr>
            <w:r w:rsidRPr="008633E5">
              <w:rPr>
                <w:rFonts w:ascii="Arial" w:hAnsi="Arial" w:cs="Arial"/>
                <w:sz w:val="16"/>
                <w:szCs w:val="16"/>
              </w:rPr>
              <w:t>Sale of goods and rendering of services</w:t>
            </w:r>
          </w:p>
        </w:tc>
        <w:tc>
          <w:tcPr>
            <w:tcW w:w="960" w:type="dxa"/>
            <w:tcBorders>
              <w:top w:val="nil"/>
              <w:left w:val="nil"/>
              <w:bottom w:val="nil"/>
              <w:right w:val="nil"/>
            </w:tcBorders>
            <w:shd w:val="clear" w:color="auto" w:fill="auto"/>
            <w:noWrap/>
            <w:vAlign w:val="bottom"/>
            <w:hideMark/>
          </w:tcPr>
          <w:p w14:paraId="524523D2"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1,789</w:t>
            </w:r>
          </w:p>
        </w:tc>
        <w:tc>
          <w:tcPr>
            <w:tcW w:w="960" w:type="dxa"/>
            <w:tcBorders>
              <w:top w:val="nil"/>
              <w:left w:val="nil"/>
              <w:bottom w:val="nil"/>
              <w:right w:val="nil"/>
            </w:tcBorders>
            <w:shd w:val="clear" w:color="000000" w:fill="D9D9D9"/>
            <w:noWrap/>
            <w:vAlign w:val="bottom"/>
            <w:hideMark/>
          </w:tcPr>
          <w:p w14:paraId="417C0A7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1,800</w:t>
            </w:r>
          </w:p>
        </w:tc>
        <w:tc>
          <w:tcPr>
            <w:tcW w:w="960" w:type="dxa"/>
            <w:tcBorders>
              <w:top w:val="nil"/>
              <w:left w:val="nil"/>
              <w:bottom w:val="nil"/>
              <w:right w:val="nil"/>
            </w:tcBorders>
            <w:shd w:val="clear" w:color="auto" w:fill="auto"/>
            <w:noWrap/>
            <w:vAlign w:val="bottom"/>
            <w:hideMark/>
          </w:tcPr>
          <w:p w14:paraId="4EAAC65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1,800</w:t>
            </w:r>
          </w:p>
        </w:tc>
        <w:tc>
          <w:tcPr>
            <w:tcW w:w="960" w:type="dxa"/>
            <w:tcBorders>
              <w:top w:val="nil"/>
              <w:left w:val="nil"/>
              <w:bottom w:val="nil"/>
              <w:right w:val="nil"/>
            </w:tcBorders>
            <w:shd w:val="clear" w:color="auto" w:fill="auto"/>
            <w:noWrap/>
            <w:vAlign w:val="bottom"/>
            <w:hideMark/>
          </w:tcPr>
          <w:p w14:paraId="088786D2"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1,800</w:t>
            </w:r>
          </w:p>
        </w:tc>
        <w:tc>
          <w:tcPr>
            <w:tcW w:w="960" w:type="dxa"/>
            <w:tcBorders>
              <w:top w:val="nil"/>
              <w:left w:val="nil"/>
              <w:bottom w:val="nil"/>
              <w:right w:val="nil"/>
            </w:tcBorders>
            <w:shd w:val="clear" w:color="auto" w:fill="auto"/>
            <w:noWrap/>
            <w:vAlign w:val="bottom"/>
            <w:hideMark/>
          </w:tcPr>
          <w:p w14:paraId="524BD4E5"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1,800</w:t>
            </w:r>
          </w:p>
        </w:tc>
      </w:tr>
      <w:tr w:rsidR="008633E5" w:rsidRPr="008633E5" w14:paraId="7109BFD4" w14:textId="77777777" w:rsidTr="0089082F">
        <w:trPr>
          <w:trHeight w:val="227"/>
          <w:jc w:val="center"/>
        </w:trPr>
        <w:tc>
          <w:tcPr>
            <w:tcW w:w="3141" w:type="dxa"/>
            <w:tcBorders>
              <w:top w:val="nil"/>
              <w:left w:val="nil"/>
              <w:bottom w:val="nil"/>
              <w:right w:val="nil"/>
            </w:tcBorders>
            <w:shd w:val="clear" w:color="auto" w:fill="auto"/>
            <w:noWrap/>
            <w:vAlign w:val="bottom"/>
            <w:hideMark/>
          </w:tcPr>
          <w:p w14:paraId="408358DF" w14:textId="77777777" w:rsidR="008633E5" w:rsidRPr="008633E5" w:rsidRDefault="008633E5" w:rsidP="00F84F34">
            <w:pPr>
              <w:spacing w:before="0" w:after="0" w:line="240" w:lineRule="auto"/>
              <w:ind w:leftChars="150" w:left="285"/>
              <w:rPr>
                <w:rFonts w:ascii="Arial" w:hAnsi="Arial" w:cs="Arial"/>
                <w:sz w:val="16"/>
                <w:szCs w:val="16"/>
              </w:rPr>
            </w:pPr>
            <w:r w:rsidRPr="008633E5">
              <w:rPr>
                <w:rFonts w:ascii="Arial" w:hAnsi="Arial" w:cs="Arial"/>
                <w:sz w:val="16"/>
                <w:szCs w:val="16"/>
              </w:rPr>
              <w:t>Interest</w:t>
            </w:r>
          </w:p>
        </w:tc>
        <w:tc>
          <w:tcPr>
            <w:tcW w:w="960" w:type="dxa"/>
            <w:tcBorders>
              <w:top w:val="nil"/>
              <w:left w:val="nil"/>
              <w:bottom w:val="nil"/>
              <w:right w:val="nil"/>
            </w:tcBorders>
            <w:shd w:val="clear" w:color="auto" w:fill="auto"/>
            <w:noWrap/>
            <w:vAlign w:val="bottom"/>
            <w:hideMark/>
          </w:tcPr>
          <w:p w14:paraId="09F53F4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208844BB"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26C1828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8B9C25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39619E7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r>
      <w:tr w:rsidR="008633E5" w:rsidRPr="008633E5" w14:paraId="5922248A" w14:textId="77777777" w:rsidTr="0089082F">
        <w:trPr>
          <w:trHeight w:val="227"/>
          <w:jc w:val="center"/>
        </w:trPr>
        <w:tc>
          <w:tcPr>
            <w:tcW w:w="3141" w:type="dxa"/>
            <w:tcBorders>
              <w:top w:val="nil"/>
              <w:left w:val="nil"/>
              <w:bottom w:val="nil"/>
              <w:right w:val="nil"/>
            </w:tcBorders>
            <w:shd w:val="clear" w:color="auto" w:fill="auto"/>
            <w:noWrap/>
            <w:vAlign w:val="bottom"/>
            <w:hideMark/>
          </w:tcPr>
          <w:p w14:paraId="1E111E7B" w14:textId="77777777" w:rsidR="008633E5" w:rsidRPr="008633E5" w:rsidRDefault="008633E5" w:rsidP="00F84F34">
            <w:pPr>
              <w:spacing w:before="0" w:after="0" w:line="240" w:lineRule="auto"/>
              <w:ind w:leftChars="150" w:left="285"/>
              <w:rPr>
                <w:rFonts w:ascii="Arial" w:hAnsi="Arial" w:cs="Arial"/>
                <w:sz w:val="16"/>
                <w:szCs w:val="16"/>
              </w:rPr>
            </w:pPr>
            <w:r w:rsidRPr="008633E5">
              <w:rPr>
                <w:rFonts w:ascii="Arial" w:hAnsi="Arial" w:cs="Arial"/>
                <w:sz w:val="16"/>
                <w:szCs w:val="16"/>
              </w:rPr>
              <w:t>Other revenue</w:t>
            </w:r>
          </w:p>
        </w:tc>
        <w:tc>
          <w:tcPr>
            <w:tcW w:w="960" w:type="dxa"/>
            <w:tcBorders>
              <w:top w:val="nil"/>
              <w:left w:val="nil"/>
              <w:bottom w:val="nil"/>
              <w:right w:val="nil"/>
            </w:tcBorders>
            <w:shd w:val="clear" w:color="auto" w:fill="auto"/>
            <w:noWrap/>
            <w:vAlign w:val="bottom"/>
            <w:hideMark/>
          </w:tcPr>
          <w:p w14:paraId="11CB0EE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253</w:t>
            </w:r>
          </w:p>
        </w:tc>
        <w:tc>
          <w:tcPr>
            <w:tcW w:w="960" w:type="dxa"/>
            <w:tcBorders>
              <w:top w:val="nil"/>
              <w:left w:val="nil"/>
              <w:bottom w:val="nil"/>
              <w:right w:val="nil"/>
            </w:tcBorders>
            <w:shd w:val="clear" w:color="000000" w:fill="D9D9D9"/>
            <w:noWrap/>
            <w:vAlign w:val="bottom"/>
            <w:hideMark/>
          </w:tcPr>
          <w:p w14:paraId="360792EE"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186</w:t>
            </w:r>
          </w:p>
        </w:tc>
        <w:tc>
          <w:tcPr>
            <w:tcW w:w="960" w:type="dxa"/>
            <w:tcBorders>
              <w:top w:val="nil"/>
              <w:left w:val="nil"/>
              <w:bottom w:val="nil"/>
              <w:right w:val="nil"/>
            </w:tcBorders>
            <w:shd w:val="clear" w:color="auto" w:fill="auto"/>
            <w:noWrap/>
            <w:vAlign w:val="bottom"/>
            <w:hideMark/>
          </w:tcPr>
          <w:p w14:paraId="5B9C7439"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186</w:t>
            </w:r>
          </w:p>
        </w:tc>
        <w:tc>
          <w:tcPr>
            <w:tcW w:w="960" w:type="dxa"/>
            <w:tcBorders>
              <w:top w:val="nil"/>
              <w:left w:val="nil"/>
              <w:bottom w:val="nil"/>
              <w:right w:val="nil"/>
            </w:tcBorders>
            <w:shd w:val="clear" w:color="auto" w:fill="auto"/>
            <w:noWrap/>
            <w:vAlign w:val="bottom"/>
            <w:hideMark/>
          </w:tcPr>
          <w:p w14:paraId="1C239EA7"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186</w:t>
            </w:r>
          </w:p>
        </w:tc>
        <w:tc>
          <w:tcPr>
            <w:tcW w:w="960" w:type="dxa"/>
            <w:tcBorders>
              <w:top w:val="nil"/>
              <w:left w:val="nil"/>
              <w:bottom w:val="nil"/>
              <w:right w:val="nil"/>
            </w:tcBorders>
            <w:shd w:val="clear" w:color="auto" w:fill="auto"/>
            <w:noWrap/>
            <w:vAlign w:val="bottom"/>
            <w:hideMark/>
          </w:tcPr>
          <w:p w14:paraId="1D8A2E62"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186</w:t>
            </w:r>
          </w:p>
        </w:tc>
      </w:tr>
      <w:tr w:rsidR="008633E5" w:rsidRPr="008633E5" w14:paraId="7EA72C49"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0DE0B227" w14:textId="77777777" w:rsidR="008633E5" w:rsidRPr="008633E5" w:rsidRDefault="008633E5" w:rsidP="00F84F34">
            <w:pPr>
              <w:spacing w:before="0" w:after="0" w:line="240" w:lineRule="auto"/>
              <w:ind w:leftChars="150" w:left="285"/>
              <w:rPr>
                <w:rFonts w:ascii="Arial" w:hAnsi="Arial" w:cs="Arial"/>
                <w:b/>
                <w:bCs/>
                <w:sz w:val="16"/>
                <w:szCs w:val="16"/>
              </w:rPr>
            </w:pPr>
            <w:r w:rsidRPr="008633E5">
              <w:rPr>
                <w:rFonts w:ascii="Arial" w:hAnsi="Arial" w:cs="Arial"/>
                <w:b/>
                <w:bCs/>
                <w:sz w:val="16"/>
                <w:szCs w:val="16"/>
              </w:rPr>
              <w:t>Total revenue</w:t>
            </w:r>
          </w:p>
        </w:tc>
        <w:tc>
          <w:tcPr>
            <w:tcW w:w="960" w:type="dxa"/>
            <w:tcBorders>
              <w:top w:val="nil"/>
              <w:left w:val="nil"/>
              <w:bottom w:val="single" w:sz="4" w:space="0" w:color="auto"/>
              <w:right w:val="nil"/>
            </w:tcBorders>
            <w:shd w:val="clear" w:color="auto" w:fill="auto"/>
            <w:noWrap/>
            <w:vAlign w:val="bottom"/>
            <w:hideMark/>
          </w:tcPr>
          <w:p w14:paraId="001F4ADA"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2,042</w:t>
            </w:r>
          </w:p>
        </w:tc>
        <w:tc>
          <w:tcPr>
            <w:tcW w:w="960" w:type="dxa"/>
            <w:tcBorders>
              <w:top w:val="nil"/>
              <w:left w:val="nil"/>
              <w:bottom w:val="single" w:sz="4" w:space="0" w:color="auto"/>
              <w:right w:val="nil"/>
            </w:tcBorders>
            <w:shd w:val="clear" w:color="000000" w:fill="D9D9D9"/>
            <w:noWrap/>
            <w:vAlign w:val="bottom"/>
            <w:hideMark/>
          </w:tcPr>
          <w:p w14:paraId="4B874803"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1,986</w:t>
            </w:r>
          </w:p>
        </w:tc>
        <w:tc>
          <w:tcPr>
            <w:tcW w:w="960" w:type="dxa"/>
            <w:tcBorders>
              <w:top w:val="nil"/>
              <w:left w:val="nil"/>
              <w:bottom w:val="single" w:sz="4" w:space="0" w:color="auto"/>
              <w:right w:val="nil"/>
            </w:tcBorders>
            <w:shd w:val="clear" w:color="auto" w:fill="auto"/>
            <w:noWrap/>
            <w:vAlign w:val="bottom"/>
            <w:hideMark/>
          </w:tcPr>
          <w:p w14:paraId="1FE28B7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1,986</w:t>
            </w:r>
          </w:p>
        </w:tc>
        <w:tc>
          <w:tcPr>
            <w:tcW w:w="960" w:type="dxa"/>
            <w:tcBorders>
              <w:top w:val="nil"/>
              <w:left w:val="nil"/>
              <w:bottom w:val="single" w:sz="4" w:space="0" w:color="auto"/>
              <w:right w:val="nil"/>
            </w:tcBorders>
            <w:shd w:val="clear" w:color="auto" w:fill="auto"/>
            <w:noWrap/>
            <w:vAlign w:val="bottom"/>
            <w:hideMark/>
          </w:tcPr>
          <w:p w14:paraId="510DE797"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1,986</w:t>
            </w:r>
          </w:p>
        </w:tc>
        <w:tc>
          <w:tcPr>
            <w:tcW w:w="960" w:type="dxa"/>
            <w:tcBorders>
              <w:top w:val="nil"/>
              <w:left w:val="nil"/>
              <w:bottom w:val="single" w:sz="4" w:space="0" w:color="auto"/>
              <w:right w:val="nil"/>
            </w:tcBorders>
            <w:shd w:val="clear" w:color="auto" w:fill="auto"/>
            <w:noWrap/>
            <w:vAlign w:val="bottom"/>
            <w:hideMark/>
          </w:tcPr>
          <w:p w14:paraId="1D7A7A01"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1,986</w:t>
            </w:r>
          </w:p>
        </w:tc>
      </w:tr>
      <w:tr w:rsidR="008633E5" w:rsidRPr="008633E5" w14:paraId="77AFE3D1" w14:textId="77777777" w:rsidTr="0089082F">
        <w:trPr>
          <w:trHeight w:val="283"/>
          <w:jc w:val="center"/>
        </w:trPr>
        <w:tc>
          <w:tcPr>
            <w:tcW w:w="3141" w:type="dxa"/>
            <w:tcBorders>
              <w:top w:val="nil"/>
              <w:left w:val="nil"/>
              <w:bottom w:val="nil"/>
              <w:right w:val="nil"/>
            </w:tcBorders>
            <w:shd w:val="clear" w:color="auto" w:fill="auto"/>
            <w:noWrap/>
            <w:vAlign w:val="bottom"/>
            <w:hideMark/>
          </w:tcPr>
          <w:p w14:paraId="6E5AE800" w14:textId="77777777" w:rsidR="008633E5" w:rsidRPr="008633E5" w:rsidRDefault="008633E5" w:rsidP="00F84F34">
            <w:pPr>
              <w:spacing w:before="0" w:after="0" w:line="240" w:lineRule="auto"/>
              <w:ind w:leftChars="75" w:left="143"/>
              <w:rPr>
                <w:rFonts w:ascii="Arial" w:hAnsi="Arial" w:cs="Arial"/>
                <w:b/>
                <w:bCs/>
                <w:sz w:val="16"/>
                <w:szCs w:val="16"/>
              </w:rPr>
            </w:pPr>
            <w:r w:rsidRPr="008633E5">
              <w:rPr>
                <w:rFonts w:ascii="Arial" w:hAnsi="Arial" w:cs="Arial"/>
                <w:b/>
                <w:bCs/>
                <w:sz w:val="16"/>
                <w:szCs w:val="16"/>
              </w:rPr>
              <w:t>Gains</w:t>
            </w:r>
          </w:p>
        </w:tc>
        <w:tc>
          <w:tcPr>
            <w:tcW w:w="960" w:type="dxa"/>
            <w:tcBorders>
              <w:top w:val="nil"/>
              <w:left w:val="nil"/>
              <w:bottom w:val="nil"/>
              <w:right w:val="nil"/>
            </w:tcBorders>
            <w:shd w:val="clear" w:color="auto" w:fill="auto"/>
            <w:noWrap/>
            <w:vAlign w:val="bottom"/>
            <w:hideMark/>
          </w:tcPr>
          <w:p w14:paraId="30832F07" w14:textId="77777777" w:rsidR="008633E5" w:rsidRPr="008633E5" w:rsidRDefault="008633E5" w:rsidP="008633E5">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33AFF018"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7F9A864E" w14:textId="77777777" w:rsidR="008633E5" w:rsidRPr="008633E5" w:rsidRDefault="008633E5" w:rsidP="008633E5">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661F6A60" w14:textId="77777777" w:rsidR="008633E5" w:rsidRPr="008633E5" w:rsidRDefault="008633E5" w:rsidP="008633E5">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E40D172" w14:textId="77777777" w:rsidR="008633E5" w:rsidRPr="008633E5" w:rsidRDefault="008633E5" w:rsidP="008633E5">
            <w:pPr>
              <w:spacing w:before="0" w:after="0" w:line="240" w:lineRule="auto"/>
              <w:jc w:val="right"/>
              <w:rPr>
                <w:rFonts w:ascii="Times New Roman" w:hAnsi="Times New Roman"/>
                <w:sz w:val="20"/>
              </w:rPr>
            </w:pPr>
          </w:p>
        </w:tc>
      </w:tr>
      <w:tr w:rsidR="008633E5" w:rsidRPr="008633E5" w14:paraId="4DB133C5"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31C3CE39" w14:textId="77777777" w:rsidR="008633E5" w:rsidRPr="008633E5" w:rsidRDefault="008633E5" w:rsidP="00F84F34">
            <w:pPr>
              <w:spacing w:before="0" w:after="0" w:line="240" w:lineRule="auto"/>
              <w:ind w:leftChars="150" w:left="285"/>
              <w:rPr>
                <w:rFonts w:ascii="Arial" w:hAnsi="Arial" w:cs="Arial"/>
                <w:sz w:val="16"/>
                <w:szCs w:val="16"/>
              </w:rPr>
            </w:pPr>
            <w:r w:rsidRPr="008633E5">
              <w:rPr>
                <w:rFonts w:ascii="Arial" w:hAnsi="Arial" w:cs="Arial"/>
                <w:sz w:val="16"/>
                <w:szCs w:val="16"/>
              </w:rPr>
              <w:t>Resources received free of charge</w:t>
            </w:r>
          </w:p>
        </w:tc>
        <w:tc>
          <w:tcPr>
            <w:tcW w:w="960" w:type="dxa"/>
            <w:tcBorders>
              <w:top w:val="nil"/>
              <w:left w:val="nil"/>
              <w:bottom w:val="nil"/>
              <w:right w:val="nil"/>
            </w:tcBorders>
            <w:shd w:val="clear" w:color="auto" w:fill="auto"/>
            <w:noWrap/>
            <w:vAlign w:val="bottom"/>
            <w:hideMark/>
          </w:tcPr>
          <w:p w14:paraId="3FCB3FF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4,581</w:t>
            </w:r>
          </w:p>
        </w:tc>
        <w:tc>
          <w:tcPr>
            <w:tcW w:w="960" w:type="dxa"/>
            <w:tcBorders>
              <w:top w:val="nil"/>
              <w:left w:val="nil"/>
              <w:bottom w:val="nil"/>
              <w:right w:val="nil"/>
            </w:tcBorders>
            <w:shd w:val="clear" w:color="000000" w:fill="D9D9D9"/>
            <w:noWrap/>
            <w:vAlign w:val="bottom"/>
            <w:hideMark/>
          </w:tcPr>
          <w:p w14:paraId="7360D538"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6,574</w:t>
            </w:r>
          </w:p>
        </w:tc>
        <w:tc>
          <w:tcPr>
            <w:tcW w:w="960" w:type="dxa"/>
            <w:tcBorders>
              <w:top w:val="nil"/>
              <w:left w:val="nil"/>
              <w:bottom w:val="nil"/>
              <w:right w:val="nil"/>
            </w:tcBorders>
            <w:shd w:val="clear" w:color="auto" w:fill="auto"/>
            <w:noWrap/>
            <w:vAlign w:val="bottom"/>
            <w:hideMark/>
          </w:tcPr>
          <w:p w14:paraId="64E0A8EC"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7,406</w:t>
            </w:r>
          </w:p>
        </w:tc>
        <w:tc>
          <w:tcPr>
            <w:tcW w:w="960" w:type="dxa"/>
            <w:tcBorders>
              <w:top w:val="nil"/>
              <w:left w:val="nil"/>
              <w:bottom w:val="nil"/>
              <w:right w:val="nil"/>
            </w:tcBorders>
            <w:shd w:val="clear" w:color="auto" w:fill="auto"/>
            <w:noWrap/>
            <w:vAlign w:val="bottom"/>
            <w:hideMark/>
          </w:tcPr>
          <w:p w14:paraId="19BD4F03"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7,743</w:t>
            </w:r>
          </w:p>
        </w:tc>
        <w:tc>
          <w:tcPr>
            <w:tcW w:w="960" w:type="dxa"/>
            <w:tcBorders>
              <w:top w:val="nil"/>
              <w:left w:val="nil"/>
              <w:bottom w:val="nil"/>
              <w:right w:val="nil"/>
            </w:tcBorders>
            <w:shd w:val="clear" w:color="auto" w:fill="auto"/>
            <w:noWrap/>
            <w:vAlign w:val="bottom"/>
            <w:hideMark/>
          </w:tcPr>
          <w:p w14:paraId="0E8CE170"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7,921</w:t>
            </w:r>
          </w:p>
        </w:tc>
      </w:tr>
      <w:tr w:rsidR="008633E5" w:rsidRPr="008633E5" w14:paraId="0AFB9B48"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221BDB3E" w14:textId="77777777" w:rsidR="008633E5" w:rsidRPr="008633E5" w:rsidRDefault="008633E5" w:rsidP="00F84F34">
            <w:pPr>
              <w:spacing w:before="0" w:after="0" w:line="240" w:lineRule="auto"/>
              <w:ind w:leftChars="150" w:left="285"/>
              <w:rPr>
                <w:rFonts w:ascii="Arial" w:hAnsi="Arial" w:cs="Arial"/>
                <w:b/>
                <w:bCs/>
                <w:sz w:val="16"/>
                <w:szCs w:val="16"/>
              </w:rPr>
            </w:pPr>
            <w:r w:rsidRPr="008633E5">
              <w:rPr>
                <w:rFonts w:ascii="Arial" w:hAnsi="Arial" w:cs="Arial"/>
                <w:b/>
                <w:bCs/>
                <w:sz w:val="16"/>
                <w:szCs w:val="16"/>
              </w:rPr>
              <w:t>Total gains</w:t>
            </w:r>
          </w:p>
        </w:tc>
        <w:tc>
          <w:tcPr>
            <w:tcW w:w="960" w:type="dxa"/>
            <w:tcBorders>
              <w:top w:val="nil"/>
              <w:left w:val="nil"/>
              <w:bottom w:val="single" w:sz="4" w:space="0" w:color="auto"/>
              <w:right w:val="nil"/>
            </w:tcBorders>
            <w:shd w:val="clear" w:color="auto" w:fill="auto"/>
            <w:noWrap/>
            <w:vAlign w:val="bottom"/>
            <w:hideMark/>
          </w:tcPr>
          <w:p w14:paraId="21B6A8BA"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4,581</w:t>
            </w:r>
          </w:p>
        </w:tc>
        <w:tc>
          <w:tcPr>
            <w:tcW w:w="960" w:type="dxa"/>
            <w:tcBorders>
              <w:top w:val="nil"/>
              <w:left w:val="nil"/>
              <w:bottom w:val="single" w:sz="4" w:space="0" w:color="auto"/>
              <w:right w:val="nil"/>
            </w:tcBorders>
            <w:shd w:val="clear" w:color="000000" w:fill="D9D9D9"/>
            <w:noWrap/>
            <w:vAlign w:val="bottom"/>
            <w:hideMark/>
          </w:tcPr>
          <w:p w14:paraId="77739AD1"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6,574</w:t>
            </w:r>
          </w:p>
        </w:tc>
        <w:tc>
          <w:tcPr>
            <w:tcW w:w="960" w:type="dxa"/>
            <w:tcBorders>
              <w:top w:val="nil"/>
              <w:left w:val="nil"/>
              <w:bottom w:val="single" w:sz="4" w:space="0" w:color="auto"/>
              <w:right w:val="nil"/>
            </w:tcBorders>
            <w:shd w:val="clear" w:color="auto" w:fill="auto"/>
            <w:noWrap/>
            <w:vAlign w:val="bottom"/>
            <w:hideMark/>
          </w:tcPr>
          <w:p w14:paraId="29074D6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7,406</w:t>
            </w:r>
          </w:p>
        </w:tc>
        <w:tc>
          <w:tcPr>
            <w:tcW w:w="960" w:type="dxa"/>
            <w:tcBorders>
              <w:top w:val="nil"/>
              <w:left w:val="nil"/>
              <w:bottom w:val="single" w:sz="4" w:space="0" w:color="auto"/>
              <w:right w:val="nil"/>
            </w:tcBorders>
            <w:shd w:val="clear" w:color="auto" w:fill="auto"/>
            <w:noWrap/>
            <w:vAlign w:val="bottom"/>
            <w:hideMark/>
          </w:tcPr>
          <w:p w14:paraId="1831E7B4"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7,743</w:t>
            </w:r>
          </w:p>
        </w:tc>
        <w:tc>
          <w:tcPr>
            <w:tcW w:w="960" w:type="dxa"/>
            <w:tcBorders>
              <w:top w:val="nil"/>
              <w:left w:val="nil"/>
              <w:bottom w:val="single" w:sz="4" w:space="0" w:color="auto"/>
              <w:right w:val="nil"/>
            </w:tcBorders>
            <w:shd w:val="clear" w:color="auto" w:fill="auto"/>
            <w:noWrap/>
            <w:vAlign w:val="bottom"/>
            <w:hideMark/>
          </w:tcPr>
          <w:p w14:paraId="4D92921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7,921</w:t>
            </w:r>
          </w:p>
        </w:tc>
      </w:tr>
      <w:tr w:rsidR="008633E5" w:rsidRPr="008633E5" w14:paraId="4B89A02E" w14:textId="77777777" w:rsidTr="008633E5">
        <w:trPr>
          <w:trHeight w:val="225"/>
          <w:jc w:val="center"/>
        </w:trPr>
        <w:tc>
          <w:tcPr>
            <w:tcW w:w="3141" w:type="dxa"/>
            <w:tcBorders>
              <w:top w:val="nil"/>
              <w:left w:val="nil"/>
              <w:bottom w:val="nil"/>
              <w:right w:val="nil"/>
            </w:tcBorders>
            <w:shd w:val="clear" w:color="auto" w:fill="auto"/>
            <w:noWrap/>
            <w:vAlign w:val="bottom"/>
            <w:hideMark/>
          </w:tcPr>
          <w:p w14:paraId="7180D698" w14:textId="77777777" w:rsidR="008633E5" w:rsidRPr="008633E5" w:rsidRDefault="008633E5" w:rsidP="008633E5">
            <w:pPr>
              <w:spacing w:before="0" w:after="0" w:line="240" w:lineRule="auto"/>
              <w:ind w:firstLineChars="100" w:firstLine="161"/>
              <w:rPr>
                <w:rFonts w:ascii="Arial" w:hAnsi="Arial" w:cs="Arial"/>
                <w:b/>
                <w:bCs/>
                <w:sz w:val="16"/>
                <w:szCs w:val="16"/>
              </w:rPr>
            </w:pPr>
            <w:r w:rsidRPr="008633E5">
              <w:rPr>
                <w:rFonts w:ascii="Arial" w:hAnsi="Arial" w:cs="Arial"/>
                <w:b/>
                <w:bCs/>
                <w:sz w:val="16"/>
                <w:szCs w:val="16"/>
              </w:rPr>
              <w:t>Total own-source income</w:t>
            </w:r>
          </w:p>
        </w:tc>
        <w:tc>
          <w:tcPr>
            <w:tcW w:w="960" w:type="dxa"/>
            <w:tcBorders>
              <w:top w:val="nil"/>
              <w:left w:val="nil"/>
              <w:bottom w:val="single" w:sz="4" w:space="0" w:color="auto"/>
              <w:right w:val="nil"/>
            </w:tcBorders>
            <w:shd w:val="clear" w:color="auto" w:fill="auto"/>
            <w:noWrap/>
            <w:vAlign w:val="bottom"/>
            <w:hideMark/>
          </w:tcPr>
          <w:p w14:paraId="76B58352"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6,623</w:t>
            </w:r>
          </w:p>
        </w:tc>
        <w:tc>
          <w:tcPr>
            <w:tcW w:w="960" w:type="dxa"/>
            <w:tcBorders>
              <w:top w:val="nil"/>
              <w:left w:val="nil"/>
              <w:bottom w:val="single" w:sz="4" w:space="0" w:color="auto"/>
              <w:right w:val="nil"/>
            </w:tcBorders>
            <w:shd w:val="clear" w:color="000000" w:fill="D9D9D9"/>
            <w:noWrap/>
            <w:vAlign w:val="bottom"/>
            <w:hideMark/>
          </w:tcPr>
          <w:p w14:paraId="2C7BD59B"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8,560</w:t>
            </w:r>
          </w:p>
        </w:tc>
        <w:tc>
          <w:tcPr>
            <w:tcW w:w="960" w:type="dxa"/>
            <w:tcBorders>
              <w:top w:val="nil"/>
              <w:left w:val="nil"/>
              <w:bottom w:val="single" w:sz="4" w:space="0" w:color="auto"/>
              <w:right w:val="nil"/>
            </w:tcBorders>
            <w:shd w:val="clear" w:color="auto" w:fill="auto"/>
            <w:noWrap/>
            <w:vAlign w:val="bottom"/>
            <w:hideMark/>
          </w:tcPr>
          <w:p w14:paraId="25BE55AE"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9,392</w:t>
            </w:r>
          </w:p>
        </w:tc>
        <w:tc>
          <w:tcPr>
            <w:tcW w:w="960" w:type="dxa"/>
            <w:tcBorders>
              <w:top w:val="nil"/>
              <w:left w:val="nil"/>
              <w:bottom w:val="single" w:sz="4" w:space="0" w:color="auto"/>
              <w:right w:val="nil"/>
            </w:tcBorders>
            <w:shd w:val="clear" w:color="auto" w:fill="auto"/>
            <w:noWrap/>
            <w:vAlign w:val="bottom"/>
            <w:hideMark/>
          </w:tcPr>
          <w:p w14:paraId="11E9BAC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9,729</w:t>
            </w:r>
          </w:p>
        </w:tc>
        <w:tc>
          <w:tcPr>
            <w:tcW w:w="960" w:type="dxa"/>
            <w:tcBorders>
              <w:top w:val="nil"/>
              <w:left w:val="nil"/>
              <w:bottom w:val="single" w:sz="4" w:space="0" w:color="auto"/>
              <w:right w:val="nil"/>
            </w:tcBorders>
            <w:shd w:val="clear" w:color="auto" w:fill="auto"/>
            <w:noWrap/>
            <w:vAlign w:val="bottom"/>
            <w:hideMark/>
          </w:tcPr>
          <w:p w14:paraId="4EAFDBA1"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9,907</w:t>
            </w:r>
          </w:p>
        </w:tc>
      </w:tr>
      <w:tr w:rsidR="008633E5" w:rsidRPr="008633E5" w14:paraId="16881195" w14:textId="77777777" w:rsidTr="0089082F">
        <w:trPr>
          <w:trHeight w:val="454"/>
          <w:jc w:val="center"/>
        </w:trPr>
        <w:tc>
          <w:tcPr>
            <w:tcW w:w="3141" w:type="dxa"/>
            <w:tcBorders>
              <w:top w:val="nil"/>
              <w:left w:val="nil"/>
              <w:bottom w:val="nil"/>
              <w:right w:val="nil"/>
            </w:tcBorders>
            <w:shd w:val="clear" w:color="auto" w:fill="auto"/>
            <w:vAlign w:val="bottom"/>
            <w:hideMark/>
          </w:tcPr>
          <w:p w14:paraId="79D2E5BD"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 xml:space="preserve">Net cost of (contribution by) services </w:t>
            </w:r>
          </w:p>
        </w:tc>
        <w:tc>
          <w:tcPr>
            <w:tcW w:w="960" w:type="dxa"/>
            <w:tcBorders>
              <w:top w:val="nil"/>
              <w:left w:val="nil"/>
              <w:bottom w:val="single" w:sz="4" w:space="0" w:color="auto"/>
              <w:right w:val="nil"/>
            </w:tcBorders>
            <w:shd w:val="clear" w:color="auto" w:fill="auto"/>
            <w:noWrap/>
            <w:vAlign w:val="bottom"/>
            <w:hideMark/>
          </w:tcPr>
          <w:p w14:paraId="2AC48C7B"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32,885</w:t>
            </w:r>
          </w:p>
        </w:tc>
        <w:tc>
          <w:tcPr>
            <w:tcW w:w="960" w:type="dxa"/>
            <w:tcBorders>
              <w:top w:val="nil"/>
              <w:left w:val="nil"/>
              <w:bottom w:val="single" w:sz="4" w:space="0" w:color="auto"/>
              <w:right w:val="nil"/>
            </w:tcBorders>
            <w:shd w:val="clear" w:color="000000" w:fill="D9D9D9"/>
            <w:noWrap/>
            <w:vAlign w:val="bottom"/>
            <w:hideMark/>
          </w:tcPr>
          <w:p w14:paraId="514E183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36,998</w:t>
            </w:r>
          </w:p>
        </w:tc>
        <w:tc>
          <w:tcPr>
            <w:tcW w:w="960" w:type="dxa"/>
            <w:tcBorders>
              <w:top w:val="nil"/>
              <w:left w:val="nil"/>
              <w:bottom w:val="single" w:sz="4" w:space="0" w:color="auto"/>
              <w:right w:val="nil"/>
            </w:tcBorders>
            <w:shd w:val="clear" w:color="auto" w:fill="auto"/>
            <w:noWrap/>
            <w:vAlign w:val="bottom"/>
            <w:hideMark/>
          </w:tcPr>
          <w:p w14:paraId="3C048F90"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24,487</w:t>
            </w:r>
          </w:p>
        </w:tc>
        <w:tc>
          <w:tcPr>
            <w:tcW w:w="960" w:type="dxa"/>
            <w:tcBorders>
              <w:top w:val="nil"/>
              <w:left w:val="nil"/>
              <w:bottom w:val="single" w:sz="4" w:space="0" w:color="auto"/>
              <w:right w:val="nil"/>
            </w:tcBorders>
            <w:shd w:val="clear" w:color="auto" w:fill="auto"/>
            <w:noWrap/>
            <w:vAlign w:val="bottom"/>
            <w:hideMark/>
          </w:tcPr>
          <w:p w14:paraId="16045205"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25,070</w:t>
            </w:r>
          </w:p>
        </w:tc>
        <w:tc>
          <w:tcPr>
            <w:tcW w:w="960" w:type="dxa"/>
            <w:tcBorders>
              <w:top w:val="nil"/>
              <w:left w:val="nil"/>
              <w:bottom w:val="single" w:sz="4" w:space="0" w:color="auto"/>
              <w:right w:val="nil"/>
            </w:tcBorders>
            <w:shd w:val="clear" w:color="auto" w:fill="auto"/>
            <w:noWrap/>
            <w:vAlign w:val="bottom"/>
            <w:hideMark/>
          </w:tcPr>
          <w:p w14:paraId="3ECB40F7"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25,195</w:t>
            </w:r>
          </w:p>
        </w:tc>
      </w:tr>
      <w:tr w:rsidR="008633E5" w:rsidRPr="008633E5" w14:paraId="3A80687D" w14:textId="77777777" w:rsidTr="0089082F">
        <w:trPr>
          <w:trHeight w:val="283"/>
          <w:jc w:val="center"/>
        </w:trPr>
        <w:tc>
          <w:tcPr>
            <w:tcW w:w="3141" w:type="dxa"/>
            <w:tcBorders>
              <w:top w:val="nil"/>
              <w:left w:val="nil"/>
              <w:bottom w:val="nil"/>
              <w:right w:val="nil"/>
            </w:tcBorders>
            <w:shd w:val="clear" w:color="auto" w:fill="auto"/>
            <w:noWrap/>
            <w:vAlign w:val="bottom"/>
            <w:hideMark/>
          </w:tcPr>
          <w:p w14:paraId="7D175066"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Revenue from Government</w:t>
            </w:r>
          </w:p>
        </w:tc>
        <w:tc>
          <w:tcPr>
            <w:tcW w:w="960" w:type="dxa"/>
            <w:tcBorders>
              <w:top w:val="nil"/>
              <w:left w:val="nil"/>
              <w:bottom w:val="nil"/>
              <w:right w:val="nil"/>
            </w:tcBorders>
            <w:shd w:val="clear" w:color="auto" w:fill="auto"/>
            <w:noWrap/>
            <w:vAlign w:val="bottom"/>
            <w:hideMark/>
          </w:tcPr>
          <w:p w14:paraId="0274600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31,601</w:t>
            </w:r>
          </w:p>
        </w:tc>
        <w:tc>
          <w:tcPr>
            <w:tcW w:w="960" w:type="dxa"/>
            <w:tcBorders>
              <w:top w:val="nil"/>
              <w:left w:val="nil"/>
              <w:bottom w:val="nil"/>
              <w:right w:val="nil"/>
            </w:tcBorders>
            <w:shd w:val="clear" w:color="000000" w:fill="D9D9D9"/>
            <w:noWrap/>
            <w:vAlign w:val="bottom"/>
            <w:hideMark/>
          </w:tcPr>
          <w:p w14:paraId="4593BF16"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36,029</w:t>
            </w:r>
          </w:p>
        </w:tc>
        <w:tc>
          <w:tcPr>
            <w:tcW w:w="960" w:type="dxa"/>
            <w:tcBorders>
              <w:top w:val="nil"/>
              <w:left w:val="nil"/>
              <w:bottom w:val="nil"/>
              <w:right w:val="nil"/>
            </w:tcBorders>
            <w:shd w:val="clear" w:color="auto" w:fill="auto"/>
            <w:noWrap/>
            <w:vAlign w:val="bottom"/>
            <w:hideMark/>
          </w:tcPr>
          <w:p w14:paraId="501675B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23,518</w:t>
            </w:r>
          </w:p>
        </w:tc>
        <w:tc>
          <w:tcPr>
            <w:tcW w:w="960" w:type="dxa"/>
            <w:tcBorders>
              <w:top w:val="nil"/>
              <w:left w:val="nil"/>
              <w:bottom w:val="nil"/>
              <w:right w:val="nil"/>
            </w:tcBorders>
            <w:shd w:val="clear" w:color="auto" w:fill="auto"/>
            <w:noWrap/>
            <w:vAlign w:val="bottom"/>
            <w:hideMark/>
          </w:tcPr>
          <w:p w14:paraId="08AF3D09"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24,101</w:t>
            </w:r>
          </w:p>
        </w:tc>
        <w:tc>
          <w:tcPr>
            <w:tcW w:w="960" w:type="dxa"/>
            <w:tcBorders>
              <w:top w:val="nil"/>
              <w:left w:val="nil"/>
              <w:bottom w:val="nil"/>
              <w:right w:val="nil"/>
            </w:tcBorders>
            <w:shd w:val="clear" w:color="auto" w:fill="auto"/>
            <w:noWrap/>
            <w:vAlign w:val="bottom"/>
            <w:hideMark/>
          </w:tcPr>
          <w:p w14:paraId="45C53B4A"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24,226</w:t>
            </w:r>
          </w:p>
        </w:tc>
      </w:tr>
      <w:tr w:rsidR="008633E5" w:rsidRPr="008633E5" w14:paraId="203A2587" w14:textId="77777777" w:rsidTr="0089082F">
        <w:trPr>
          <w:trHeight w:val="283"/>
          <w:jc w:val="center"/>
        </w:trPr>
        <w:tc>
          <w:tcPr>
            <w:tcW w:w="3141" w:type="dxa"/>
            <w:tcBorders>
              <w:top w:val="nil"/>
              <w:left w:val="nil"/>
              <w:bottom w:val="nil"/>
              <w:right w:val="nil"/>
            </w:tcBorders>
            <w:shd w:val="clear" w:color="auto" w:fill="auto"/>
            <w:noWrap/>
            <w:vAlign w:val="bottom"/>
            <w:hideMark/>
          </w:tcPr>
          <w:p w14:paraId="6B355EBF"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Surplus (deficit)</w:t>
            </w:r>
          </w:p>
        </w:tc>
        <w:tc>
          <w:tcPr>
            <w:tcW w:w="960" w:type="dxa"/>
            <w:tcBorders>
              <w:top w:val="nil"/>
              <w:left w:val="nil"/>
              <w:bottom w:val="single" w:sz="4" w:space="0" w:color="auto"/>
              <w:right w:val="nil"/>
            </w:tcBorders>
            <w:shd w:val="clear" w:color="auto" w:fill="auto"/>
            <w:noWrap/>
            <w:vAlign w:val="bottom"/>
            <w:hideMark/>
          </w:tcPr>
          <w:p w14:paraId="7980AF55"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(1,284)</w:t>
            </w:r>
          </w:p>
        </w:tc>
        <w:tc>
          <w:tcPr>
            <w:tcW w:w="960" w:type="dxa"/>
            <w:tcBorders>
              <w:top w:val="nil"/>
              <w:left w:val="nil"/>
              <w:bottom w:val="single" w:sz="4" w:space="0" w:color="auto"/>
              <w:right w:val="nil"/>
            </w:tcBorders>
            <w:shd w:val="clear" w:color="000000" w:fill="D9D9D9"/>
            <w:noWrap/>
            <w:vAlign w:val="bottom"/>
            <w:hideMark/>
          </w:tcPr>
          <w:p w14:paraId="58D34A16"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3CCE11B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488AB6FB"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0C9A8DAF"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r>
      <w:tr w:rsidR="008633E5" w:rsidRPr="008633E5" w14:paraId="0BC743C1" w14:textId="77777777" w:rsidTr="0089082F">
        <w:trPr>
          <w:trHeight w:val="454"/>
          <w:jc w:val="center"/>
        </w:trPr>
        <w:tc>
          <w:tcPr>
            <w:tcW w:w="3141" w:type="dxa"/>
            <w:tcBorders>
              <w:top w:val="nil"/>
              <w:left w:val="nil"/>
              <w:bottom w:val="nil"/>
              <w:right w:val="nil"/>
            </w:tcBorders>
            <w:shd w:val="clear" w:color="auto" w:fill="auto"/>
            <w:vAlign w:val="bottom"/>
            <w:hideMark/>
          </w:tcPr>
          <w:p w14:paraId="71BE734C"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Surplus (deficit)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325A20D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(1,284)</w:t>
            </w:r>
          </w:p>
        </w:tc>
        <w:tc>
          <w:tcPr>
            <w:tcW w:w="960" w:type="dxa"/>
            <w:tcBorders>
              <w:top w:val="nil"/>
              <w:left w:val="nil"/>
              <w:bottom w:val="single" w:sz="4" w:space="0" w:color="auto"/>
              <w:right w:val="nil"/>
            </w:tcBorders>
            <w:shd w:val="clear" w:color="000000" w:fill="D9D9D9"/>
            <w:noWrap/>
            <w:vAlign w:val="bottom"/>
            <w:hideMark/>
          </w:tcPr>
          <w:p w14:paraId="46AAF096"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26DC767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72B9BA7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5A33AED7"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r>
      <w:tr w:rsidR="008633E5" w:rsidRPr="008633E5" w14:paraId="29FC1623" w14:textId="77777777" w:rsidTr="0089082F">
        <w:trPr>
          <w:trHeight w:val="283"/>
          <w:jc w:val="center"/>
        </w:trPr>
        <w:tc>
          <w:tcPr>
            <w:tcW w:w="3141" w:type="dxa"/>
            <w:tcBorders>
              <w:top w:val="nil"/>
              <w:left w:val="nil"/>
              <w:bottom w:val="nil"/>
              <w:right w:val="nil"/>
            </w:tcBorders>
            <w:shd w:val="clear" w:color="auto" w:fill="auto"/>
            <w:noWrap/>
            <w:vAlign w:val="bottom"/>
            <w:hideMark/>
          </w:tcPr>
          <w:p w14:paraId="767EE7D3"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OTHER COMPREHENSIVE INCOME</w:t>
            </w:r>
          </w:p>
        </w:tc>
        <w:tc>
          <w:tcPr>
            <w:tcW w:w="960" w:type="dxa"/>
            <w:tcBorders>
              <w:top w:val="nil"/>
              <w:left w:val="nil"/>
              <w:bottom w:val="nil"/>
              <w:right w:val="nil"/>
            </w:tcBorders>
            <w:shd w:val="clear" w:color="auto" w:fill="auto"/>
            <w:noWrap/>
            <w:vAlign w:val="bottom"/>
            <w:hideMark/>
          </w:tcPr>
          <w:p w14:paraId="7D908A00" w14:textId="77777777" w:rsidR="008633E5" w:rsidRPr="008633E5" w:rsidRDefault="008633E5" w:rsidP="008633E5">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2D0B280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 </w:t>
            </w:r>
          </w:p>
        </w:tc>
        <w:tc>
          <w:tcPr>
            <w:tcW w:w="960" w:type="dxa"/>
            <w:tcBorders>
              <w:top w:val="nil"/>
              <w:left w:val="nil"/>
              <w:bottom w:val="nil"/>
              <w:right w:val="nil"/>
            </w:tcBorders>
            <w:shd w:val="clear" w:color="auto" w:fill="auto"/>
            <w:noWrap/>
            <w:vAlign w:val="bottom"/>
            <w:hideMark/>
          </w:tcPr>
          <w:p w14:paraId="200C2C8D" w14:textId="77777777" w:rsidR="008633E5" w:rsidRPr="008633E5" w:rsidRDefault="008633E5" w:rsidP="008633E5">
            <w:pPr>
              <w:spacing w:before="0" w:after="0" w:line="240" w:lineRule="auto"/>
              <w:jc w:val="righ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14:paraId="0E15EF0C" w14:textId="77777777" w:rsidR="008633E5" w:rsidRPr="008633E5" w:rsidRDefault="008633E5" w:rsidP="008633E5">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A806052" w14:textId="77777777" w:rsidR="008633E5" w:rsidRPr="008633E5" w:rsidRDefault="008633E5" w:rsidP="008633E5">
            <w:pPr>
              <w:spacing w:before="0" w:after="0" w:line="240" w:lineRule="auto"/>
              <w:jc w:val="right"/>
              <w:rPr>
                <w:rFonts w:ascii="Times New Roman" w:hAnsi="Times New Roman"/>
                <w:sz w:val="20"/>
              </w:rPr>
            </w:pPr>
          </w:p>
        </w:tc>
      </w:tr>
      <w:tr w:rsidR="008633E5" w:rsidRPr="008633E5" w14:paraId="0C8480EF" w14:textId="77777777" w:rsidTr="0089082F">
        <w:trPr>
          <w:trHeight w:val="227"/>
          <w:jc w:val="center"/>
        </w:trPr>
        <w:tc>
          <w:tcPr>
            <w:tcW w:w="3141" w:type="dxa"/>
            <w:tcBorders>
              <w:top w:val="nil"/>
              <w:left w:val="nil"/>
              <w:bottom w:val="nil"/>
              <w:right w:val="nil"/>
            </w:tcBorders>
            <w:shd w:val="clear" w:color="auto" w:fill="auto"/>
            <w:vAlign w:val="bottom"/>
            <w:hideMark/>
          </w:tcPr>
          <w:p w14:paraId="46EA095E" w14:textId="77777777" w:rsidR="008633E5" w:rsidRPr="008633E5" w:rsidRDefault="008633E5" w:rsidP="00F84F34">
            <w:pPr>
              <w:spacing w:before="0" w:after="0" w:line="240" w:lineRule="auto"/>
              <w:ind w:leftChars="75" w:left="143"/>
              <w:rPr>
                <w:rFonts w:ascii="Arial" w:hAnsi="Arial" w:cs="Arial"/>
                <w:sz w:val="16"/>
                <w:szCs w:val="16"/>
              </w:rPr>
            </w:pPr>
            <w:r w:rsidRPr="008633E5">
              <w:rPr>
                <w:rFonts w:ascii="Arial" w:hAnsi="Arial" w:cs="Arial"/>
                <w:sz w:val="16"/>
                <w:szCs w:val="16"/>
              </w:rPr>
              <w:t>Changes in asset revaluation reserves</w:t>
            </w:r>
          </w:p>
        </w:tc>
        <w:tc>
          <w:tcPr>
            <w:tcW w:w="960" w:type="dxa"/>
            <w:tcBorders>
              <w:top w:val="nil"/>
              <w:left w:val="nil"/>
              <w:bottom w:val="nil"/>
              <w:right w:val="nil"/>
            </w:tcBorders>
            <w:shd w:val="clear" w:color="auto" w:fill="auto"/>
            <w:noWrap/>
            <w:vAlign w:val="bottom"/>
            <w:hideMark/>
          </w:tcPr>
          <w:p w14:paraId="1B762E06"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1FD04B9D"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4F178B1"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EAFC9B0"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08D91EF0" w14:textId="77777777" w:rsidR="008633E5" w:rsidRPr="008633E5" w:rsidRDefault="008633E5" w:rsidP="008633E5">
            <w:pPr>
              <w:spacing w:before="0" w:after="0" w:line="240" w:lineRule="auto"/>
              <w:jc w:val="right"/>
              <w:rPr>
                <w:rFonts w:ascii="Arial" w:hAnsi="Arial" w:cs="Arial"/>
                <w:sz w:val="16"/>
                <w:szCs w:val="16"/>
              </w:rPr>
            </w:pPr>
            <w:r w:rsidRPr="008633E5">
              <w:rPr>
                <w:rFonts w:ascii="Arial" w:hAnsi="Arial" w:cs="Arial"/>
                <w:sz w:val="16"/>
                <w:szCs w:val="16"/>
              </w:rPr>
              <w:t>-</w:t>
            </w:r>
          </w:p>
        </w:tc>
      </w:tr>
      <w:tr w:rsidR="008633E5" w:rsidRPr="008633E5" w14:paraId="4598A780" w14:textId="77777777" w:rsidTr="0089082F">
        <w:trPr>
          <w:trHeight w:val="454"/>
          <w:jc w:val="center"/>
        </w:trPr>
        <w:tc>
          <w:tcPr>
            <w:tcW w:w="3141" w:type="dxa"/>
            <w:tcBorders>
              <w:top w:val="nil"/>
              <w:left w:val="nil"/>
              <w:bottom w:val="nil"/>
              <w:right w:val="nil"/>
            </w:tcBorders>
            <w:shd w:val="clear" w:color="auto" w:fill="auto"/>
            <w:vAlign w:val="bottom"/>
            <w:hideMark/>
          </w:tcPr>
          <w:p w14:paraId="5252F696" w14:textId="77777777" w:rsidR="008633E5" w:rsidRPr="008633E5" w:rsidRDefault="008633E5" w:rsidP="00F84F34">
            <w:pPr>
              <w:spacing w:before="0" w:after="0" w:line="240" w:lineRule="auto"/>
              <w:ind w:leftChars="75" w:left="143"/>
              <w:rPr>
                <w:rFonts w:ascii="Arial" w:hAnsi="Arial" w:cs="Arial"/>
                <w:b/>
                <w:bCs/>
                <w:sz w:val="16"/>
                <w:szCs w:val="16"/>
              </w:rPr>
            </w:pPr>
            <w:r w:rsidRPr="008633E5">
              <w:rPr>
                <w:rFonts w:ascii="Arial" w:hAnsi="Arial" w:cs="Arial"/>
                <w:b/>
                <w:bCs/>
                <w:sz w:val="16"/>
                <w:szCs w:val="16"/>
              </w:rPr>
              <w:t xml:space="preserve">Total other comprehensive income </w:t>
            </w:r>
          </w:p>
        </w:tc>
        <w:tc>
          <w:tcPr>
            <w:tcW w:w="960" w:type="dxa"/>
            <w:tcBorders>
              <w:top w:val="nil"/>
              <w:left w:val="nil"/>
              <w:bottom w:val="single" w:sz="4" w:space="0" w:color="auto"/>
              <w:right w:val="nil"/>
            </w:tcBorders>
            <w:shd w:val="clear" w:color="auto" w:fill="auto"/>
            <w:noWrap/>
            <w:vAlign w:val="bottom"/>
            <w:hideMark/>
          </w:tcPr>
          <w:p w14:paraId="53CAC74F"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000000" w:fill="D9D9D9"/>
            <w:noWrap/>
            <w:vAlign w:val="bottom"/>
            <w:hideMark/>
          </w:tcPr>
          <w:p w14:paraId="254D1457"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19122400"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67FBD808"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439BA86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w:t>
            </w:r>
          </w:p>
        </w:tc>
      </w:tr>
      <w:tr w:rsidR="008633E5" w:rsidRPr="008633E5" w14:paraId="3EFCBBD0" w14:textId="77777777" w:rsidTr="0089082F">
        <w:trPr>
          <w:trHeight w:val="624"/>
          <w:jc w:val="center"/>
        </w:trPr>
        <w:tc>
          <w:tcPr>
            <w:tcW w:w="3141" w:type="dxa"/>
            <w:tcBorders>
              <w:top w:val="nil"/>
              <w:left w:val="nil"/>
              <w:bottom w:val="single" w:sz="4" w:space="0" w:color="auto"/>
              <w:right w:val="nil"/>
            </w:tcBorders>
            <w:shd w:val="clear" w:color="auto" w:fill="auto"/>
            <w:vAlign w:val="bottom"/>
            <w:hideMark/>
          </w:tcPr>
          <w:p w14:paraId="0C5EADCC" w14:textId="77777777" w:rsidR="008633E5" w:rsidRPr="008633E5" w:rsidRDefault="008633E5" w:rsidP="008633E5">
            <w:pPr>
              <w:spacing w:before="0" w:after="0" w:line="240" w:lineRule="auto"/>
              <w:rPr>
                <w:rFonts w:ascii="Arial" w:hAnsi="Arial" w:cs="Arial"/>
                <w:b/>
                <w:bCs/>
                <w:sz w:val="16"/>
                <w:szCs w:val="16"/>
              </w:rPr>
            </w:pPr>
            <w:r w:rsidRPr="008633E5">
              <w:rPr>
                <w:rFonts w:ascii="Arial" w:hAnsi="Arial" w:cs="Arial"/>
                <w:b/>
                <w:bCs/>
                <w:sz w:val="16"/>
                <w:szCs w:val="16"/>
              </w:rPr>
              <w:t>Total comprehensive income attributable to the Australian Government</w:t>
            </w:r>
          </w:p>
        </w:tc>
        <w:tc>
          <w:tcPr>
            <w:tcW w:w="960" w:type="dxa"/>
            <w:tcBorders>
              <w:top w:val="nil"/>
              <w:left w:val="nil"/>
              <w:bottom w:val="single" w:sz="4" w:space="0" w:color="auto"/>
              <w:right w:val="nil"/>
            </w:tcBorders>
            <w:shd w:val="clear" w:color="auto" w:fill="auto"/>
            <w:noWrap/>
            <w:vAlign w:val="bottom"/>
            <w:hideMark/>
          </w:tcPr>
          <w:p w14:paraId="273E2BD9"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(1,284)</w:t>
            </w:r>
          </w:p>
        </w:tc>
        <w:tc>
          <w:tcPr>
            <w:tcW w:w="960" w:type="dxa"/>
            <w:tcBorders>
              <w:top w:val="nil"/>
              <w:left w:val="nil"/>
              <w:bottom w:val="single" w:sz="4" w:space="0" w:color="auto"/>
              <w:right w:val="nil"/>
            </w:tcBorders>
            <w:shd w:val="clear" w:color="000000" w:fill="D9D9D9"/>
            <w:noWrap/>
            <w:vAlign w:val="bottom"/>
            <w:hideMark/>
          </w:tcPr>
          <w:p w14:paraId="1724FB47"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00C8854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27AE786C"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single" w:sz="4" w:space="0" w:color="auto"/>
              <w:right w:val="nil"/>
            </w:tcBorders>
            <w:shd w:val="clear" w:color="auto" w:fill="auto"/>
            <w:noWrap/>
            <w:vAlign w:val="bottom"/>
            <w:hideMark/>
          </w:tcPr>
          <w:p w14:paraId="6B4E8978" w14:textId="77777777" w:rsidR="008633E5" w:rsidRPr="008633E5" w:rsidRDefault="008633E5" w:rsidP="008633E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r>
    </w:tbl>
    <w:p w14:paraId="6222EA6B" w14:textId="7249CB3A" w:rsidR="008633E5" w:rsidRDefault="008633E5" w:rsidP="00526CE6">
      <w:pPr>
        <w:pStyle w:val="TableGraphic"/>
        <w:spacing w:before="120"/>
        <w:rPr>
          <w:rFonts w:ascii="Arial" w:hAnsi="Arial" w:cs="Arial"/>
          <w:sz w:val="15"/>
          <w:szCs w:val="15"/>
        </w:rPr>
      </w:pPr>
    </w:p>
    <w:p w14:paraId="14067239" w14:textId="15649A0B" w:rsidR="008633E5" w:rsidRDefault="008633E5" w:rsidP="008633E5"/>
    <w:p w14:paraId="4F764D0B" w14:textId="11D33A8F" w:rsidR="008633E5" w:rsidRDefault="008633E5" w:rsidP="008633E5"/>
    <w:p w14:paraId="6F7A4B79" w14:textId="59C538C8" w:rsidR="008633E5" w:rsidRPr="00421BEA" w:rsidRDefault="00421BEA" w:rsidP="00421BEA">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 (continued)</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0D2365" w:rsidRPr="008633E5" w14:paraId="41C953EF" w14:textId="77777777" w:rsidTr="000D2365">
        <w:trPr>
          <w:trHeight w:val="227"/>
          <w:jc w:val="center"/>
        </w:trPr>
        <w:tc>
          <w:tcPr>
            <w:tcW w:w="7880" w:type="dxa"/>
            <w:gridSpan w:val="6"/>
            <w:tcBorders>
              <w:top w:val="single" w:sz="4" w:space="0" w:color="auto"/>
              <w:left w:val="nil"/>
              <w:bottom w:val="nil"/>
              <w:right w:val="nil"/>
            </w:tcBorders>
            <w:shd w:val="clear" w:color="auto" w:fill="auto"/>
            <w:vAlign w:val="bottom"/>
          </w:tcPr>
          <w:p w14:paraId="49B86361" w14:textId="01A89190" w:rsidR="000D2365" w:rsidRPr="000D2365" w:rsidRDefault="000D2365" w:rsidP="00850609">
            <w:pPr>
              <w:spacing w:before="24" w:after="24" w:line="240" w:lineRule="auto"/>
              <w:rPr>
                <w:rFonts w:ascii="Times New Roman" w:hAnsi="Times New Roman"/>
                <w:sz w:val="20"/>
                <w:szCs w:val="24"/>
              </w:rPr>
            </w:pPr>
            <w:r w:rsidRPr="008633E5">
              <w:rPr>
                <w:rFonts w:ascii="Arial" w:hAnsi="Arial" w:cs="Arial"/>
                <w:b/>
                <w:bCs/>
                <w:color w:val="000000"/>
                <w:sz w:val="16"/>
                <w:szCs w:val="16"/>
              </w:rPr>
              <w:t>Note: Reconciliation of comprehensive income attributable to the entity</w:t>
            </w:r>
            <w:r w:rsidRPr="008633E5">
              <w:rPr>
                <w:rFonts w:ascii="Arial" w:hAnsi="Arial" w:cs="Arial"/>
                <w:color w:val="E26B0A"/>
                <w:sz w:val="16"/>
                <w:szCs w:val="16"/>
              </w:rPr>
              <w:t> </w:t>
            </w:r>
          </w:p>
        </w:tc>
      </w:tr>
      <w:tr w:rsidR="000D2365" w:rsidRPr="008633E5" w14:paraId="0BC1911C" w14:textId="77777777" w:rsidTr="00F84F34">
        <w:trPr>
          <w:trHeight w:val="340"/>
          <w:jc w:val="center"/>
        </w:trPr>
        <w:tc>
          <w:tcPr>
            <w:tcW w:w="3080" w:type="dxa"/>
            <w:tcBorders>
              <w:top w:val="single" w:sz="4" w:space="0" w:color="auto"/>
              <w:left w:val="nil"/>
              <w:bottom w:val="nil"/>
              <w:right w:val="nil"/>
            </w:tcBorders>
            <w:shd w:val="clear" w:color="auto" w:fill="auto"/>
            <w:hideMark/>
          </w:tcPr>
          <w:p w14:paraId="53F91A7B" w14:textId="77777777" w:rsidR="000D2365" w:rsidRPr="008633E5" w:rsidRDefault="000D2365" w:rsidP="000D2365">
            <w:pPr>
              <w:spacing w:before="24" w:after="0" w:line="240" w:lineRule="auto"/>
              <w:jc w:val="right"/>
              <w:rPr>
                <w:rFonts w:ascii="Times New Roman" w:hAnsi="Times New Roman"/>
                <w:sz w:val="20"/>
                <w:szCs w:val="24"/>
              </w:rPr>
            </w:pPr>
          </w:p>
        </w:tc>
        <w:tc>
          <w:tcPr>
            <w:tcW w:w="960" w:type="dxa"/>
            <w:tcBorders>
              <w:top w:val="single" w:sz="4" w:space="0" w:color="auto"/>
              <w:left w:val="nil"/>
              <w:bottom w:val="single" w:sz="4" w:space="0" w:color="auto"/>
              <w:right w:val="nil"/>
            </w:tcBorders>
            <w:shd w:val="clear" w:color="auto" w:fill="auto"/>
            <w:hideMark/>
          </w:tcPr>
          <w:p w14:paraId="1679B415" w14:textId="13116CAA" w:rsidR="000D2365" w:rsidRPr="008633E5" w:rsidRDefault="000D2365" w:rsidP="000D2365">
            <w:pPr>
              <w:spacing w:before="24" w:after="0" w:line="240" w:lineRule="auto"/>
              <w:jc w:val="right"/>
              <w:rPr>
                <w:rFonts w:ascii="Arial" w:hAnsi="Arial" w:cs="Arial"/>
                <w:b/>
                <w:bCs/>
                <w:sz w:val="16"/>
                <w:szCs w:val="16"/>
              </w:rPr>
            </w:pPr>
            <w:r>
              <w:rPr>
                <w:rFonts w:ascii="Arial" w:hAnsi="Arial" w:cs="Arial"/>
                <w:b/>
                <w:bCs/>
                <w:sz w:val="16"/>
                <w:szCs w:val="16"/>
              </w:rPr>
              <w:t>2022–</w:t>
            </w:r>
            <w:r w:rsidRPr="008633E5">
              <w:rPr>
                <w:rFonts w:ascii="Arial" w:hAnsi="Arial" w:cs="Arial"/>
                <w:b/>
                <w:bCs/>
                <w:sz w:val="16"/>
                <w:szCs w:val="16"/>
              </w:rPr>
              <w:t xml:space="preserve">23 </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D9D9D9"/>
            <w:hideMark/>
          </w:tcPr>
          <w:p w14:paraId="55FE4379" w14:textId="5576B31C" w:rsidR="000D2365" w:rsidRPr="008633E5" w:rsidRDefault="000D2365" w:rsidP="000D2365">
            <w:pPr>
              <w:spacing w:before="24" w:after="0" w:line="240" w:lineRule="auto"/>
              <w:jc w:val="right"/>
              <w:rPr>
                <w:rFonts w:ascii="Arial" w:hAnsi="Arial" w:cs="Arial"/>
                <w:b/>
                <w:bCs/>
                <w:sz w:val="16"/>
                <w:szCs w:val="16"/>
              </w:rPr>
            </w:pPr>
            <w:r>
              <w:rPr>
                <w:rFonts w:ascii="Arial" w:hAnsi="Arial" w:cs="Arial"/>
                <w:b/>
                <w:bCs/>
                <w:sz w:val="16"/>
                <w:szCs w:val="16"/>
              </w:rPr>
              <w:t>2023–</w:t>
            </w:r>
            <w:r w:rsidRPr="008633E5">
              <w:rPr>
                <w:rFonts w:ascii="Arial" w:hAnsi="Arial" w:cs="Arial"/>
                <w:b/>
                <w:bCs/>
                <w:sz w:val="16"/>
                <w:szCs w:val="16"/>
              </w:rPr>
              <w:t xml:space="preserve">24 </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166F5B7E" w14:textId="332EE8BA" w:rsidR="000D2365" w:rsidRPr="008633E5" w:rsidRDefault="000D2365" w:rsidP="000D2365">
            <w:pPr>
              <w:spacing w:before="24" w:after="0" w:line="240" w:lineRule="auto"/>
              <w:jc w:val="right"/>
              <w:rPr>
                <w:rFonts w:ascii="Arial" w:hAnsi="Arial" w:cs="Arial"/>
                <w:b/>
                <w:bCs/>
                <w:sz w:val="16"/>
                <w:szCs w:val="16"/>
              </w:rPr>
            </w:pPr>
            <w:r>
              <w:rPr>
                <w:rFonts w:ascii="Arial" w:hAnsi="Arial" w:cs="Arial"/>
                <w:b/>
                <w:bCs/>
                <w:sz w:val="16"/>
                <w:szCs w:val="16"/>
              </w:rPr>
              <w:t>2024–</w:t>
            </w:r>
            <w:r w:rsidRPr="008633E5">
              <w:rPr>
                <w:rFonts w:ascii="Arial" w:hAnsi="Arial" w:cs="Arial"/>
                <w:b/>
                <w:bCs/>
                <w:sz w:val="16"/>
                <w:szCs w:val="16"/>
              </w:rPr>
              <w:t xml:space="preserve">25 </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49159EC7" w14:textId="58E8BBA2" w:rsidR="000D2365" w:rsidRPr="008633E5" w:rsidRDefault="000D2365" w:rsidP="000D2365">
            <w:pPr>
              <w:spacing w:before="24" w:after="0" w:line="240" w:lineRule="auto"/>
              <w:jc w:val="right"/>
              <w:rPr>
                <w:rFonts w:ascii="Arial" w:hAnsi="Arial" w:cs="Arial"/>
                <w:b/>
                <w:bCs/>
                <w:sz w:val="16"/>
                <w:szCs w:val="16"/>
              </w:rPr>
            </w:pPr>
            <w:r>
              <w:rPr>
                <w:rFonts w:ascii="Arial" w:hAnsi="Arial" w:cs="Arial"/>
                <w:b/>
                <w:bCs/>
                <w:sz w:val="16"/>
                <w:szCs w:val="16"/>
              </w:rPr>
              <w:t>2025–</w:t>
            </w:r>
            <w:r w:rsidRPr="008633E5">
              <w:rPr>
                <w:rFonts w:ascii="Arial" w:hAnsi="Arial" w:cs="Arial"/>
                <w:b/>
                <w:bCs/>
                <w:sz w:val="16"/>
                <w:szCs w:val="16"/>
              </w:rPr>
              <w:t xml:space="preserve">26 </w:t>
            </w:r>
            <w:r w:rsidRPr="008633E5">
              <w:rPr>
                <w:rFonts w:ascii="Arial" w:hAnsi="Arial" w:cs="Arial"/>
                <w:b/>
                <w:bCs/>
                <w:sz w:val="16"/>
                <w:szCs w:val="16"/>
              </w:rPr>
              <w:br/>
            </w:r>
            <w:r w:rsidRPr="008633E5">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D79265C" w14:textId="49AF1C09" w:rsidR="000D2365" w:rsidRPr="008633E5" w:rsidRDefault="000D2365" w:rsidP="000D2365">
            <w:pPr>
              <w:spacing w:before="24" w:after="0" w:line="240" w:lineRule="auto"/>
              <w:jc w:val="right"/>
              <w:rPr>
                <w:rFonts w:ascii="Arial" w:hAnsi="Arial" w:cs="Arial"/>
                <w:b/>
                <w:bCs/>
                <w:sz w:val="16"/>
                <w:szCs w:val="16"/>
              </w:rPr>
            </w:pPr>
            <w:r>
              <w:rPr>
                <w:rFonts w:ascii="Arial" w:hAnsi="Arial" w:cs="Arial"/>
                <w:b/>
                <w:bCs/>
                <w:sz w:val="16"/>
                <w:szCs w:val="16"/>
              </w:rPr>
              <w:t>2026–</w:t>
            </w:r>
            <w:r w:rsidRPr="008633E5">
              <w:rPr>
                <w:rFonts w:ascii="Arial" w:hAnsi="Arial" w:cs="Arial"/>
                <w:b/>
                <w:bCs/>
                <w:sz w:val="16"/>
                <w:szCs w:val="16"/>
              </w:rPr>
              <w:t xml:space="preserve">27 </w:t>
            </w:r>
            <w:r w:rsidRPr="008633E5">
              <w:rPr>
                <w:rFonts w:ascii="Arial" w:hAnsi="Arial" w:cs="Arial"/>
                <w:b/>
                <w:bCs/>
                <w:sz w:val="16"/>
                <w:szCs w:val="16"/>
              </w:rPr>
              <w:br/>
            </w:r>
            <w:r w:rsidRPr="008633E5">
              <w:rPr>
                <w:rFonts w:ascii="Arial" w:hAnsi="Arial" w:cs="Arial"/>
                <w:sz w:val="16"/>
                <w:szCs w:val="16"/>
              </w:rPr>
              <w:t>$'000</w:t>
            </w:r>
          </w:p>
        </w:tc>
      </w:tr>
      <w:tr w:rsidR="000D2365" w:rsidRPr="008633E5" w14:paraId="7C48395E" w14:textId="77777777" w:rsidTr="001034F3">
        <w:trPr>
          <w:trHeight w:val="624"/>
          <w:jc w:val="center"/>
        </w:trPr>
        <w:tc>
          <w:tcPr>
            <w:tcW w:w="3080" w:type="dxa"/>
            <w:tcBorders>
              <w:top w:val="nil"/>
              <w:left w:val="nil"/>
              <w:bottom w:val="nil"/>
              <w:right w:val="nil"/>
            </w:tcBorders>
            <w:shd w:val="clear" w:color="auto" w:fill="auto"/>
            <w:vAlign w:val="bottom"/>
            <w:hideMark/>
          </w:tcPr>
          <w:p w14:paraId="1BE8920D" w14:textId="77777777" w:rsidR="000D2365" w:rsidRPr="008633E5" w:rsidRDefault="000D2365" w:rsidP="000D2365">
            <w:pPr>
              <w:spacing w:before="0" w:after="0" w:line="240" w:lineRule="auto"/>
              <w:rPr>
                <w:rFonts w:ascii="Arial" w:hAnsi="Arial" w:cs="Arial"/>
                <w:b/>
                <w:bCs/>
                <w:sz w:val="16"/>
                <w:szCs w:val="16"/>
              </w:rPr>
            </w:pPr>
            <w:r w:rsidRPr="008633E5">
              <w:rPr>
                <w:rFonts w:ascii="Arial" w:hAnsi="Arial" w:cs="Arial"/>
                <w:b/>
                <w:bCs/>
                <w:sz w:val="16"/>
                <w:szCs w:val="16"/>
              </w:rPr>
              <w:t>Total comprehensive income (loss) attributable to the Australian Government</w:t>
            </w:r>
          </w:p>
        </w:tc>
        <w:tc>
          <w:tcPr>
            <w:tcW w:w="960" w:type="dxa"/>
            <w:tcBorders>
              <w:top w:val="nil"/>
              <w:left w:val="nil"/>
              <w:bottom w:val="nil"/>
              <w:right w:val="nil"/>
            </w:tcBorders>
            <w:shd w:val="clear" w:color="auto" w:fill="auto"/>
            <w:noWrap/>
            <w:vAlign w:val="bottom"/>
            <w:hideMark/>
          </w:tcPr>
          <w:p w14:paraId="4437BD03"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(1,284)</w:t>
            </w:r>
          </w:p>
        </w:tc>
        <w:tc>
          <w:tcPr>
            <w:tcW w:w="960" w:type="dxa"/>
            <w:tcBorders>
              <w:top w:val="nil"/>
              <w:left w:val="nil"/>
              <w:bottom w:val="nil"/>
              <w:right w:val="nil"/>
            </w:tcBorders>
            <w:shd w:val="clear" w:color="000000" w:fill="D9D9D9"/>
            <w:noWrap/>
            <w:vAlign w:val="bottom"/>
            <w:hideMark/>
          </w:tcPr>
          <w:p w14:paraId="295AF016"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nil"/>
              <w:right w:val="nil"/>
            </w:tcBorders>
            <w:shd w:val="clear" w:color="auto" w:fill="auto"/>
            <w:noWrap/>
            <w:vAlign w:val="bottom"/>
            <w:hideMark/>
          </w:tcPr>
          <w:p w14:paraId="20B94739"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nil"/>
              <w:right w:val="nil"/>
            </w:tcBorders>
            <w:shd w:val="clear" w:color="auto" w:fill="auto"/>
            <w:noWrap/>
            <w:vAlign w:val="bottom"/>
            <w:hideMark/>
          </w:tcPr>
          <w:p w14:paraId="7EEE1744"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c>
          <w:tcPr>
            <w:tcW w:w="960" w:type="dxa"/>
            <w:tcBorders>
              <w:top w:val="nil"/>
              <w:left w:val="nil"/>
              <w:bottom w:val="nil"/>
              <w:right w:val="nil"/>
            </w:tcBorders>
            <w:shd w:val="clear" w:color="auto" w:fill="auto"/>
            <w:noWrap/>
            <w:vAlign w:val="bottom"/>
            <w:hideMark/>
          </w:tcPr>
          <w:p w14:paraId="0EFF8970"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(969)</w:t>
            </w:r>
          </w:p>
        </w:tc>
      </w:tr>
      <w:tr w:rsidR="000D2365" w:rsidRPr="008633E5" w14:paraId="400B78FA" w14:textId="77777777" w:rsidTr="00421BEA">
        <w:trPr>
          <w:trHeight w:val="621"/>
          <w:jc w:val="center"/>
        </w:trPr>
        <w:tc>
          <w:tcPr>
            <w:tcW w:w="3080" w:type="dxa"/>
            <w:tcBorders>
              <w:top w:val="nil"/>
              <w:left w:val="nil"/>
              <w:bottom w:val="nil"/>
              <w:right w:val="nil"/>
            </w:tcBorders>
            <w:shd w:val="clear" w:color="auto" w:fill="auto"/>
            <w:vAlign w:val="bottom"/>
            <w:hideMark/>
          </w:tcPr>
          <w:p w14:paraId="79CDC760" w14:textId="77777777" w:rsidR="000D2365" w:rsidRPr="008633E5" w:rsidRDefault="000D2365" w:rsidP="000D2365">
            <w:pPr>
              <w:spacing w:before="0" w:after="0" w:line="240" w:lineRule="auto"/>
              <w:ind w:leftChars="75" w:left="143"/>
              <w:rPr>
                <w:rFonts w:ascii="Arial" w:hAnsi="Arial" w:cs="Arial"/>
                <w:color w:val="000000"/>
                <w:sz w:val="16"/>
                <w:szCs w:val="16"/>
              </w:rPr>
            </w:pPr>
            <w:proofErr w:type="gramStart"/>
            <w:r w:rsidRPr="008633E5">
              <w:rPr>
                <w:rFonts w:ascii="Arial" w:hAnsi="Arial" w:cs="Arial"/>
                <w:color w:val="000000"/>
                <w:sz w:val="16"/>
                <w:szCs w:val="16"/>
              </w:rPr>
              <w:t>plus</w:t>
            </w:r>
            <w:proofErr w:type="gramEnd"/>
            <w:r w:rsidRPr="008633E5">
              <w:rPr>
                <w:rFonts w:ascii="Arial" w:hAnsi="Arial" w:cs="Arial"/>
                <w:color w:val="000000"/>
                <w:sz w:val="16"/>
                <w:szCs w:val="16"/>
              </w:rPr>
              <w:t xml:space="preserve"> non-appropriated expenses depreciation and amortisation expenses</w:t>
            </w:r>
          </w:p>
        </w:tc>
        <w:tc>
          <w:tcPr>
            <w:tcW w:w="960" w:type="dxa"/>
            <w:tcBorders>
              <w:top w:val="nil"/>
              <w:left w:val="nil"/>
              <w:bottom w:val="nil"/>
              <w:right w:val="nil"/>
            </w:tcBorders>
            <w:shd w:val="clear" w:color="auto" w:fill="auto"/>
            <w:noWrap/>
            <w:vAlign w:val="bottom"/>
            <w:hideMark/>
          </w:tcPr>
          <w:p w14:paraId="6666B45F"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1,358</w:t>
            </w:r>
          </w:p>
        </w:tc>
        <w:tc>
          <w:tcPr>
            <w:tcW w:w="960" w:type="dxa"/>
            <w:tcBorders>
              <w:top w:val="nil"/>
              <w:left w:val="nil"/>
              <w:bottom w:val="nil"/>
              <w:right w:val="nil"/>
            </w:tcBorders>
            <w:shd w:val="clear" w:color="000000" w:fill="D9D9D9"/>
            <w:noWrap/>
            <w:vAlign w:val="bottom"/>
            <w:hideMark/>
          </w:tcPr>
          <w:p w14:paraId="0D227C27"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969</w:t>
            </w:r>
          </w:p>
        </w:tc>
        <w:tc>
          <w:tcPr>
            <w:tcW w:w="960" w:type="dxa"/>
            <w:tcBorders>
              <w:top w:val="nil"/>
              <w:left w:val="nil"/>
              <w:bottom w:val="nil"/>
              <w:right w:val="nil"/>
            </w:tcBorders>
            <w:shd w:val="clear" w:color="auto" w:fill="auto"/>
            <w:noWrap/>
            <w:vAlign w:val="bottom"/>
            <w:hideMark/>
          </w:tcPr>
          <w:p w14:paraId="7F019D43"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969</w:t>
            </w:r>
          </w:p>
        </w:tc>
        <w:tc>
          <w:tcPr>
            <w:tcW w:w="960" w:type="dxa"/>
            <w:tcBorders>
              <w:top w:val="nil"/>
              <w:left w:val="nil"/>
              <w:bottom w:val="nil"/>
              <w:right w:val="nil"/>
            </w:tcBorders>
            <w:shd w:val="clear" w:color="auto" w:fill="auto"/>
            <w:noWrap/>
            <w:vAlign w:val="bottom"/>
            <w:hideMark/>
          </w:tcPr>
          <w:p w14:paraId="7BFAFCE9"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969</w:t>
            </w:r>
          </w:p>
        </w:tc>
        <w:tc>
          <w:tcPr>
            <w:tcW w:w="960" w:type="dxa"/>
            <w:tcBorders>
              <w:top w:val="nil"/>
              <w:left w:val="nil"/>
              <w:bottom w:val="nil"/>
              <w:right w:val="nil"/>
            </w:tcBorders>
            <w:shd w:val="clear" w:color="auto" w:fill="auto"/>
            <w:noWrap/>
            <w:vAlign w:val="bottom"/>
            <w:hideMark/>
          </w:tcPr>
          <w:p w14:paraId="66C5744C"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969</w:t>
            </w:r>
          </w:p>
        </w:tc>
      </w:tr>
      <w:tr w:rsidR="000D2365" w:rsidRPr="008633E5" w14:paraId="53ABC2B1" w14:textId="77777777" w:rsidTr="001034F3">
        <w:trPr>
          <w:trHeight w:val="425"/>
          <w:jc w:val="center"/>
        </w:trPr>
        <w:tc>
          <w:tcPr>
            <w:tcW w:w="3080" w:type="dxa"/>
            <w:tcBorders>
              <w:top w:val="nil"/>
              <w:left w:val="nil"/>
              <w:bottom w:val="nil"/>
              <w:right w:val="nil"/>
            </w:tcBorders>
            <w:shd w:val="clear" w:color="auto" w:fill="auto"/>
            <w:vAlign w:val="bottom"/>
            <w:hideMark/>
          </w:tcPr>
          <w:p w14:paraId="132CE1D8" w14:textId="77777777" w:rsidR="000D2365" w:rsidRPr="008633E5" w:rsidRDefault="000D2365" w:rsidP="000D2365">
            <w:pPr>
              <w:spacing w:before="0" w:after="0" w:line="240" w:lineRule="auto"/>
              <w:ind w:leftChars="75" w:left="143"/>
              <w:rPr>
                <w:rFonts w:ascii="Arial" w:hAnsi="Arial" w:cs="Arial"/>
                <w:color w:val="000000"/>
                <w:sz w:val="16"/>
                <w:szCs w:val="16"/>
              </w:rPr>
            </w:pPr>
            <w:proofErr w:type="gramStart"/>
            <w:r w:rsidRPr="008633E5">
              <w:rPr>
                <w:rFonts w:ascii="Arial" w:hAnsi="Arial" w:cs="Arial"/>
                <w:color w:val="000000"/>
                <w:sz w:val="16"/>
                <w:szCs w:val="16"/>
              </w:rPr>
              <w:t>plus</w:t>
            </w:r>
            <w:proofErr w:type="gramEnd"/>
            <w:r w:rsidRPr="008633E5">
              <w:rPr>
                <w:rFonts w:ascii="Arial" w:hAnsi="Arial" w:cs="Arial"/>
                <w:color w:val="000000"/>
                <w:sz w:val="16"/>
                <w:szCs w:val="16"/>
              </w:rPr>
              <w:t xml:space="preserve"> depreciation and amortisation expenses for </w:t>
            </w:r>
            <w:proofErr w:type="spellStart"/>
            <w:r w:rsidRPr="008633E5">
              <w:rPr>
                <w:rFonts w:ascii="Arial" w:hAnsi="Arial" w:cs="Arial"/>
                <w:color w:val="000000"/>
                <w:sz w:val="16"/>
                <w:szCs w:val="16"/>
              </w:rPr>
              <w:t>RoU</w:t>
            </w:r>
            <w:proofErr w:type="spellEnd"/>
          </w:p>
        </w:tc>
        <w:tc>
          <w:tcPr>
            <w:tcW w:w="960" w:type="dxa"/>
            <w:tcBorders>
              <w:top w:val="nil"/>
              <w:left w:val="nil"/>
              <w:bottom w:val="nil"/>
              <w:right w:val="nil"/>
            </w:tcBorders>
            <w:shd w:val="clear" w:color="auto" w:fill="auto"/>
            <w:noWrap/>
            <w:vAlign w:val="bottom"/>
            <w:hideMark/>
          </w:tcPr>
          <w:p w14:paraId="3BE0D8D6"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794</w:t>
            </w:r>
          </w:p>
        </w:tc>
        <w:tc>
          <w:tcPr>
            <w:tcW w:w="960" w:type="dxa"/>
            <w:tcBorders>
              <w:top w:val="nil"/>
              <w:left w:val="nil"/>
              <w:bottom w:val="nil"/>
              <w:right w:val="nil"/>
            </w:tcBorders>
            <w:shd w:val="clear" w:color="000000" w:fill="D9D9D9"/>
            <w:noWrap/>
            <w:vAlign w:val="bottom"/>
            <w:hideMark/>
          </w:tcPr>
          <w:p w14:paraId="3BEB5A84"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4EFC4C73"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400DB118"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684FACF9"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r>
      <w:tr w:rsidR="000D2365" w:rsidRPr="008633E5" w14:paraId="218B4780" w14:textId="77777777" w:rsidTr="001034F3">
        <w:trPr>
          <w:trHeight w:val="283"/>
          <w:jc w:val="center"/>
        </w:trPr>
        <w:tc>
          <w:tcPr>
            <w:tcW w:w="3080" w:type="dxa"/>
            <w:tcBorders>
              <w:top w:val="nil"/>
              <w:left w:val="nil"/>
              <w:bottom w:val="nil"/>
              <w:right w:val="nil"/>
            </w:tcBorders>
            <w:shd w:val="clear" w:color="auto" w:fill="auto"/>
            <w:vAlign w:val="bottom"/>
            <w:hideMark/>
          </w:tcPr>
          <w:p w14:paraId="7F58F243" w14:textId="77777777" w:rsidR="000D2365" w:rsidRPr="008633E5" w:rsidRDefault="000D2365" w:rsidP="000D2365">
            <w:pPr>
              <w:spacing w:before="0" w:after="0" w:line="240" w:lineRule="auto"/>
              <w:ind w:leftChars="75" w:left="143"/>
              <w:rPr>
                <w:rFonts w:ascii="Arial" w:hAnsi="Arial" w:cs="Arial"/>
                <w:color w:val="000000"/>
                <w:sz w:val="16"/>
                <w:szCs w:val="16"/>
              </w:rPr>
            </w:pPr>
            <w:r w:rsidRPr="008633E5">
              <w:rPr>
                <w:rFonts w:ascii="Arial" w:hAnsi="Arial" w:cs="Arial"/>
                <w:color w:val="000000"/>
                <w:sz w:val="16"/>
                <w:szCs w:val="16"/>
              </w:rPr>
              <w:t>less lease principal repayments</w:t>
            </w:r>
          </w:p>
        </w:tc>
        <w:tc>
          <w:tcPr>
            <w:tcW w:w="960" w:type="dxa"/>
            <w:tcBorders>
              <w:top w:val="nil"/>
              <w:left w:val="nil"/>
              <w:bottom w:val="nil"/>
              <w:right w:val="nil"/>
            </w:tcBorders>
            <w:shd w:val="clear" w:color="auto" w:fill="auto"/>
            <w:noWrap/>
            <w:vAlign w:val="bottom"/>
            <w:hideMark/>
          </w:tcPr>
          <w:p w14:paraId="1252FF1C"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(779)</w:t>
            </w:r>
          </w:p>
        </w:tc>
        <w:tc>
          <w:tcPr>
            <w:tcW w:w="960" w:type="dxa"/>
            <w:tcBorders>
              <w:top w:val="nil"/>
              <w:left w:val="nil"/>
              <w:bottom w:val="nil"/>
              <w:right w:val="nil"/>
            </w:tcBorders>
            <w:shd w:val="clear" w:color="000000" w:fill="D9D9D9"/>
            <w:noWrap/>
            <w:vAlign w:val="bottom"/>
            <w:hideMark/>
          </w:tcPr>
          <w:p w14:paraId="151197F0"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5EFE7F98"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6471C6E7"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c>
          <w:tcPr>
            <w:tcW w:w="960" w:type="dxa"/>
            <w:tcBorders>
              <w:top w:val="nil"/>
              <w:left w:val="nil"/>
              <w:bottom w:val="nil"/>
              <w:right w:val="nil"/>
            </w:tcBorders>
            <w:shd w:val="clear" w:color="auto" w:fill="auto"/>
            <w:noWrap/>
            <w:vAlign w:val="bottom"/>
            <w:hideMark/>
          </w:tcPr>
          <w:p w14:paraId="7BE88034" w14:textId="77777777" w:rsidR="000D2365" w:rsidRPr="008633E5" w:rsidRDefault="000D2365" w:rsidP="000D2365">
            <w:pPr>
              <w:spacing w:before="0" w:after="0" w:line="240" w:lineRule="auto"/>
              <w:jc w:val="right"/>
              <w:rPr>
                <w:rFonts w:ascii="Arial" w:hAnsi="Arial" w:cs="Arial"/>
                <w:sz w:val="16"/>
                <w:szCs w:val="16"/>
              </w:rPr>
            </w:pPr>
            <w:r w:rsidRPr="008633E5">
              <w:rPr>
                <w:rFonts w:ascii="Arial" w:hAnsi="Arial" w:cs="Arial"/>
                <w:sz w:val="16"/>
                <w:szCs w:val="16"/>
              </w:rPr>
              <w:t>(783)</w:t>
            </w:r>
          </w:p>
        </w:tc>
      </w:tr>
      <w:tr w:rsidR="000D2365" w:rsidRPr="008633E5" w14:paraId="6FEFD7F5" w14:textId="77777777" w:rsidTr="001034F3">
        <w:trPr>
          <w:trHeight w:val="454"/>
          <w:jc w:val="center"/>
        </w:trPr>
        <w:tc>
          <w:tcPr>
            <w:tcW w:w="3080" w:type="dxa"/>
            <w:tcBorders>
              <w:top w:val="nil"/>
              <w:left w:val="nil"/>
              <w:bottom w:val="single" w:sz="4" w:space="0" w:color="auto"/>
              <w:right w:val="nil"/>
            </w:tcBorders>
            <w:shd w:val="clear" w:color="auto" w:fill="auto"/>
            <w:vAlign w:val="bottom"/>
            <w:hideMark/>
          </w:tcPr>
          <w:p w14:paraId="7742AFAC" w14:textId="77777777" w:rsidR="000D2365" w:rsidRPr="008633E5" w:rsidRDefault="000D2365" w:rsidP="000D2365">
            <w:pPr>
              <w:spacing w:before="0" w:after="0" w:line="240" w:lineRule="auto"/>
              <w:rPr>
                <w:rFonts w:ascii="Arial" w:hAnsi="Arial" w:cs="Arial"/>
                <w:b/>
                <w:bCs/>
                <w:sz w:val="16"/>
                <w:szCs w:val="16"/>
              </w:rPr>
            </w:pPr>
            <w:r w:rsidRPr="008633E5">
              <w:rPr>
                <w:rFonts w:ascii="Arial" w:hAnsi="Arial" w:cs="Arial"/>
                <w:b/>
                <w:bCs/>
                <w:sz w:val="16"/>
                <w:szCs w:val="16"/>
              </w:rPr>
              <w:t>Total comprehensive income (loss) attributable to the agency</w:t>
            </w:r>
          </w:p>
        </w:tc>
        <w:tc>
          <w:tcPr>
            <w:tcW w:w="960" w:type="dxa"/>
            <w:tcBorders>
              <w:top w:val="nil"/>
              <w:left w:val="nil"/>
              <w:bottom w:val="single" w:sz="4" w:space="0" w:color="auto"/>
              <w:right w:val="nil"/>
            </w:tcBorders>
            <w:shd w:val="clear" w:color="auto" w:fill="auto"/>
            <w:noWrap/>
            <w:vAlign w:val="bottom"/>
            <w:hideMark/>
          </w:tcPr>
          <w:p w14:paraId="545A3FD6"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89</w:t>
            </w:r>
          </w:p>
        </w:tc>
        <w:tc>
          <w:tcPr>
            <w:tcW w:w="960" w:type="dxa"/>
            <w:tcBorders>
              <w:top w:val="nil"/>
              <w:left w:val="nil"/>
              <w:bottom w:val="single" w:sz="4" w:space="0" w:color="auto"/>
              <w:right w:val="nil"/>
            </w:tcBorders>
            <w:shd w:val="clear" w:color="000000" w:fill="D9D9D9"/>
            <w:noWrap/>
            <w:vAlign w:val="bottom"/>
            <w:hideMark/>
          </w:tcPr>
          <w:p w14:paraId="254FD361"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026CF387"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28C739DE"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w:t>
            </w:r>
          </w:p>
        </w:tc>
        <w:tc>
          <w:tcPr>
            <w:tcW w:w="960" w:type="dxa"/>
            <w:tcBorders>
              <w:top w:val="nil"/>
              <w:left w:val="nil"/>
              <w:bottom w:val="single" w:sz="4" w:space="0" w:color="auto"/>
              <w:right w:val="nil"/>
            </w:tcBorders>
            <w:shd w:val="clear" w:color="auto" w:fill="auto"/>
            <w:noWrap/>
            <w:vAlign w:val="bottom"/>
            <w:hideMark/>
          </w:tcPr>
          <w:p w14:paraId="7E03B97C" w14:textId="77777777" w:rsidR="000D2365" w:rsidRPr="008633E5" w:rsidRDefault="000D2365" w:rsidP="000D2365">
            <w:pPr>
              <w:spacing w:before="0" w:after="0" w:line="240" w:lineRule="auto"/>
              <w:jc w:val="right"/>
              <w:rPr>
                <w:rFonts w:ascii="Arial" w:hAnsi="Arial" w:cs="Arial"/>
                <w:b/>
                <w:bCs/>
                <w:sz w:val="16"/>
                <w:szCs w:val="16"/>
              </w:rPr>
            </w:pPr>
            <w:r w:rsidRPr="008633E5">
              <w:rPr>
                <w:rFonts w:ascii="Arial" w:hAnsi="Arial" w:cs="Arial"/>
                <w:b/>
                <w:bCs/>
                <w:sz w:val="16"/>
                <w:szCs w:val="16"/>
              </w:rPr>
              <w:t>-</w:t>
            </w:r>
          </w:p>
        </w:tc>
      </w:tr>
    </w:tbl>
    <w:p w14:paraId="2E4218F1" w14:textId="38A662A3" w:rsidR="00526CE6" w:rsidRPr="00F46B78" w:rsidRDefault="00526CE6" w:rsidP="00421BEA">
      <w:pPr>
        <w:pStyle w:val="FootnoteText"/>
        <w:spacing w:before="120"/>
      </w:pPr>
      <w:proofErr w:type="spellStart"/>
      <w:r w:rsidRPr="00F46B78">
        <w:t>RoU</w:t>
      </w:r>
      <w:proofErr w:type="spellEnd"/>
      <w:r w:rsidRPr="00F46B78">
        <w:t xml:space="preserve"> = Right-of-Use asset</w:t>
      </w:r>
    </w:p>
    <w:p w14:paraId="38C39637" w14:textId="77777777" w:rsidR="00526CE6" w:rsidRPr="00050BFE" w:rsidRDefault="00526CE6" w:rsidP="00526CE6">
      <w:pPr>
        <w:pStyle w:val="TableHeading"/>
        <w:spacing w:before="0"/>
      </w:pPr>
      <w:r>
        <w:br w:type="page"/>
      </w:r>
    </w:p>
    <w:p w14:paraId="42668C74" w14:textId="77777777" w:rsidR="00526CE6" w:rsidRDefault="00526CE6" w:rsidP="00526CE6">
      <w:pPr>
        <w:pStyle w:val="TableHeading"/>
        <w:spacing w:before="0"/>
        <w:rPr>
          <w:b w:val="0"/>
          <w:snapToGrid w:val="0"/>
        </w:rPr>
      </w:pPr>
      <w:r>
        <w:rPr>
          <w:snapToGrid w:val="0"/>
        </w:rPr>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 xml:space="preserve">heet (as </w:t>
      </w:r>
      <w:proofErr w:type="gramStart"/>
      <w:r w:rsidRPr="00014438">
        <w:rPr>
          <w:snapToGrid w:val="0"/>
        </w:rPr>
        <w:t>at</w:t>
      </w:r>
      <w:proofErr w:type="gramEnd"/>
      <w:r w:rsidRPr="00014438">
        <w:rPr>
          <w:snapToGrid w:val="0"/>
        </w:rPr>
        <w:t xml:space="preserve">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8560D8" w:rsidRPr="008560D8" w14:paraId="54856154" w14:textId="77777777" w:rsidTr="0063556F">
        <w:trPr>
          <w:trHeight w:val="765"/>
          <w:jc w:val="center"/>
        </w:trPr>
        <w:tc>
          <w:tcPr>
            <w:tcW w:w="3080" w:type="dxa"/>
            <w:tcBorders>
              <w:top w:val="single" w:sz="4" w:space="0" w:color="auto"/>
              <w:left w:val="nil"/>
              <w:bottom w:val="nil"/>
              <w:right w:val="nil"/>
            </w:tcBorders>
            <w:shd w:val="clear" w:color="auto" w:fill="auto"/>
            <w:hideMark/>
          </w:tcPr>
          <w:p w14:paraId="6A98E615" w14:textId="77777777" w:rsidR="008560D8" w:rsidRPr="008560D8" w:rsidRDefault="008560D8" w:rsidP="0063556F">
            <w:pPr>
              <w:spacing w:before="24" w:after="0" w:line="240" w:lineRule="auto"/>
              <w:jc w:val="right"/>
              <w:rPr>
                <w:rFonts w:ascii="Arial" w:hAnsi="Arial" w:cs="Arial"/>
                <w:color w:val="000000"/>
                <w:sz w:val="16"/>
                <w:szCs w:val="16"/>
              </w:rPr>
            </w:pPr>
            <w:r w:rsidRPr="008560D8">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hideMark/>
          </w:tcPr>
          <w:p w14:paraId="06BF914B" w14:textId="3C563676" w:rsidR="008560D8" w:rsidRPr="008560D8" w:rsidRDefault="008560D8" w:rsidP="0063556F">
            <w:pPr>
              <w:spacing w:before="24" w:after="0" w:line="240" w:lineRule="auto"/>
              <w:jc w:val="right"/>
              <w:rPr>
                <w:rFonts w:ascii="Arial" w:hAnsi="Arial" w:cs="Arial"/>
                <w:b/>
                <w:bCs/>
                <w:sz w:val="16"/>
                <w:szCs w:val="16"/>
              </w:rPr>
            </w:pPr>
            <w:r w:rsidRPr="008560D8">
              <w:rPr>
                <w:rFonts w:ascii="Arial" w:hAnsi="Arial" w:cs="Arial"/>
                <w:b/>
                <w:bCs/>
                <w:sz w:val="16"/>
                <w:szCs w:val="16"/>
              </w:rPr>
              <w:t>2022</w:t>
            </w:r>
            <w:r>
              <w:rPr>
                <w:rFonts w:ascii="Arial" w:hAnsi="Arial" w:cs="Arial"/>
                <w:b/>
                <w:bCs/>
                <w:sz w:val="16"/>
                <w:szCs w:val="16"/>
              </w:rPr>
              <w:t>–</w:t>
            </w:r>
            <w:r w:rsidRPr="008560D8">
              <w:rPr>
                <w:rFonts w:ascii="Arial" w:hAnsi="Arial" w:cs="Arial"/>
                <w:b/>
                <w:bCs/>
                <w:sz w:val="16"/>
                <w:szCs w:val="16"/>
              </w:rPr>
              <w:t>23</w:t>
            </w:r>
            <w:r w:rsidRPr="008560D8">
              <w:rPr>
                <w:rFonts w:ascii="Arial" w:hAnsi="Arial" w:cs="Arial"/>
                <w:b/>
                <w:bCs/>
                <w:sz w:val="16"/>
                <w:szCs w:val="16"/>
              </w:rPr>
              <w:br/>
              <w:t>Actual</w:t>
            </w:r>
            <w:r w:rsidRPr="008560D8">
              <w:rPr>
                <w:rFonts w:ascii="Arial" w:hAnsi="Arial" w:cs="Arial"/>
                <w:b/>
                <w:bCs/>
                <w:sz w:val="16"/>
                <w:szCs w:val="16"/>
              </w:rPr>
              <w:br/>
            </w:r>
            <w:r w:rsidRPr="008560D8">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7E359FAB" w14:textId="793FE08B" w:rsidR="008560D8" w:rsidRPr="008560D8" w:rsidRDefault="008560D8" w:rsidP="0063556F">
            <w:pPr>
              <w:spacing w:before="24" w:after="0" w:line="240" w:lineRule="auto"/>
              <w:jc w:val="right"/>
              <w:rPr>
                <w:rFonts w:ascii="Arial" w:hAnsi="Arial" w:cs="Arial"/>
                <w:b/>
                <w:bCs/>
                <w:sz w:val="16"/>
                <w:szCs w:val="16"/>
              </w:rPr>
            </w:pPr>
            <w:r w:rsidRPr="008560D8">
              <w:rPr>
                <w:rFonts w:ascii="Arial" w:hAnsi="Arial" w:cs="Arial"/>
                <w:b/>
                <w:bCs/>
                <w:sz w:val="16"/>
                <w:szCs w:val="16"/>
              </w:rPr>
              <w:t>2023</w:t>
            </w:r>
            <w:r>
              <w:rPr>
                <w:rFonts w:ascii="Arial" w:hAnsi="Arial" w:cs="Arial"/>
                <w:b/>
                <w:bCs/>
                <w:sz w:val="16"/>
                <w:szCs w:val="16"/>
              </w:rPr>
              <w:t>–</w:t>
            </w:r>
            <w:r w:rsidRPr="008560D8">
              <w:rPr>
                <w:rFonts w:ascii="Arial" w:hAnsi="Arial" w:cs="Arial"/>
                <w:b/>
                <w:bCs/>
                <w:sz w:val="16"/>
                <w:szCs w:val="16"/>
              </w:rPr>
              <w:t>24</w:t>
            </w:r>
            <w:r w:rsidRPr="008560D8">
              <w:rPr>
                <w:rFonts w:ascii="Arial" w:hAnsi="Arial" w:cs="Arial"/>
                <w:b/>
                <w:bCs/>
                <w:sz w:val="16"/>
                <w:szCs w:val="16"/>
              </w:rPr>
              <w:br/>
              <w:t>Revised</w:t>
            </w:r>
            <w:r w:rsidRPr="008560D8">
              <w:rPr>
                <w:rFonts w:ascii="Arial" w:hAnsi="Arial" w:cs="Arial"/>
                <w:b/>
                <w:bCs/>
                <w:sz w:val="16"/>
                <w:szCs w:val="16"/>
              </w:rPr>
              <w:br/>
              <w:t>Budget</w:t>
            </w:r>
            <w:r w:rsidRPr="008560D8">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6A3B5084" w14:textId="15C30AFE" w:rsidR="008560D8" w:rsidRPr="008560D8" w:rsidRDefault="008560D8" w:rsidP="0063556F">
            <w:pPr>
              <w:spacing w:before="24" w:after="0" w:line="240" w:lineRule="auto"/>
              <w:jc w:val="right"/>
              <w:rPr>
                <w:rFonts w:ascii="Arial" w:hAnsi="Arial" w:cs="Arial"/>
                <w:b/>
                <w:bCs/>
                <w:sz w:val="16"/>
                <w:szCs w:val="16"/>
              </w:rPr>
            </w:pPr>
            <w:r w:rsidRPr="008560D8">
              <w:rPr>
                <w:rFonts w:ascii="Arial" w:hAnsi="Arial" w:cs="Arial"/>
                <w:b/>
                <w:bCs/>
                <w:sz w:val="16"/>
                <w:szCs w:val="16"/>
              </w:rPr>
              <w:t>2024</w:t>
            </w:r>
            <w:r>
              <w:rPr>
                <w:rFonts w:ascii="Arial" w:hAnsi="Arial" w:cs="Arial"/>
                <w:b/>
                <w:bCs/>
                <w:sz w:val="16"/>
                <w:szCs w:val="16"/>
              </w:rPr>
              <w:t>–</w:t>
            </w:r>
            <w:r w:rsidRPr="008560D8">
              <w:rPr>
                <w:rFonts w:ascii="Arial" w:hAnsi="Arial" w:cs="Arial"/>
                <w:b/>
                <w:bCs/>
                <w:sz w:val="16"/>
                <w:szCs w:val="16"/>
              </w:rPr>
              <w:t>25 Forward estimate</w:t>
            </w:r>
            <w:r w:rsidRPr="008560D8">
              <w:rPr>
                <w:rFonts w:ascii="Arial" w:hAnsi="Arial" w:cs="Arial"/>
                <w:b/>
                <w:bCs/>
                <w:sz w:val="16"/>
                <w:szCs w:val="16"/>
              </w:rPr>
              <w:br/>
            </w:r>
            <w:r w:rsidRPr="008560D8">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008CB94A" w14:textId="3CAB651D" w:rsidR="008560D8" w:rsidRPr="008560D8" w:rsidRDefault="008560D8" w:rsidP="0063556F">
            <w:pPr>
              <w:spacing w:before="24" w:after="0" w:line="240" w:lineRule="auto"/>
              <w:jc w:val="right"/>
              <w:rPr>
                <w:rFonts w:ascii="Arial" w:hAnsi="Arial" w:cs="Arial"/>
                <w:b/>
                <w:bCs/>
                <w:sz w:val="16"/>
                <w:szCs w:val="16"/>
              </w:rPr>
            </w:pPr>
            <w:r w:rsidRPr="008560D8">
              <w:rPr>
                <w:rFonts w:ascii="Arial" w:hAnsi="Arial" w:cs="Arial"/>
                <w:b/>
                <w:bCs/>
                <w:sz w:val="16"/>
                <w:szCs w:val="16"/>
              </w:rPr>
              <w:t>2025</w:t>
            </w:r>
            <w:r>
              <w:rPr>
                <w:rFonts w:ascii="Arial" w:hAnsi="Arial" w:cs="Arial"/>
                <w:b/>
                <w:bCs/>
                <w:sz w:val="16"/>
                <w:szCs w:val="16"/>
              </w:rPr>
              <w:t>–</w:t>
            </w:r>
            <w:r w:rsidRPr="008560D8">
              <w:rPr>
                <w:rFonts w:ascii="Arial" w:hAnsi="Arial" w:cs="Arial"/>
                <w:b/>
                <w:bCs/>
                <w:sz w:val="16"/>
                <w:szCs w:val="16"/>
              </w:rPr>
              <w:t>26 Forward estimate</w:t>
            </w:r>
            <w:r w:rsidRPr="008560D8">
              <w:rPr>
                <w:rFonts w:ascii="Arial" w:hAnsi="Arial" w:cs="Arial"/>
                <w:b/>
                <w:bCs/>
                <w:sz w:val="16"/>
                <w:szCs w:val="16"/>
              </w:rPr>
              <w:br/>
            </w:r>
            <w:r w:rsidRPr="008560D8">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31ACFD7D" w14:textId="66F8C8B3" w:rsidR="008560D8" w:rsidRPr="008560D8" w:rsidRDefault="008560D8" w:rsidP="0063556F">
            <w:pPr>
              <w:spacing w:before="24" w:after="0" w:line="240" w:lineRule="auto"/>
              <w:jc w:val="right"/>
              <w:rPr>
                <w:rFonts w:ascii="Arial" w:hAnsi="Arial" w:cs="Arial"/>
                <w:b/>
                <w:bCs/>
                <w:sz w:val="16"/>
                <w:szCs w:val="16"/>
              </w:rPr>
            </w:pPr>
            <w:r>
              <w:rPr>
                <w:rFonts w:ascii="Arial" w:hAnsi="Arial" w:cs="Arial"/>
                <w:b/>
                <w:bCs/>
                <w:sz w:val="16"/>
                <w:szCs w:val="16"/>
              </w:rPr>
              <w:t>2026–</w:t>
            </w:r>
            <w:r w:rsidRPr="008560D8">
              <w:rPr>
                <w:rFonts w:ascii="Arial" w:hAnsi="Arial" w:cs="Arial"/>
                <w:b/>
                <w:bCs/>
                <w:sz w:val="16"/>
                <w:szCs w:val="16"/>
              </w:rPr>
              <w:t>27 Forward estimate</w:t>
            </w:r>
            <w:r w:rsidRPr="008560D8">
              <w:rPr>
                <w:rFonts w:ascii="Arial" w:hAnsi="Arial" w:cs="Arial"/>
                <w:b/>
                <w:bCs/>
                <w:sz w:val="16"/>
                <w:szCs w:val="16"/>
              </w:rPr>
              <w:br/>
            </w:r>
            <w:r w:rsidRPr="008560D8">
              <w:rPr>
                <w:rFonts w:ascii="Arial" w:hAnsi="Arial" w:cs="Arial"/>
                <w:sz w:val="16"/>
                <w:szCs w:val="16"/>
              </w:rPr>
              <w:t>$'000</w:t>
            </w:r>
          </w:p>
        </w:tc>
      </w:tr>
      <w:tr w:rsidR="008560D8" w:rsidRPr="008560D8" w14:paraId="47875CB0"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1BF3AC58" w14:textId="77777777" w:rsidR="008560D8" w:rsidRPr="008560D8" w:rsidRDefault="008560D8" w:rsidP="008560D8">
            <w:pPr>
              <w:spacing w:before="0" w:after="0" w:line="240" w:lineRule="auto"/>
              <w:rPr>
                <w:rFonts w:ascii="Arial" w:hAnsi="Arial" w:cs="Arial"/>
                <w:b/>
                <w:bCs/>
                <w:color w:val="000000"/>
                <w:sz w:val="16"/>
                <w:szCs w:val="16"/>
              </w:rPr>
            </w:pPr>
            <w:r w:rsidRPr="008560D8">
              <w:rPr>
                <w:rFonts w:ascii="Arial" w:hAnsi="Arial" w:cs="Arial"/>
                <w:b/>
                <w:bCs/>
                <w:color w:val="000000"/>
                <w:sz w:val="16"/>
                <w:szCs w:val="16"/>
              </w:rPr>
              <w:t>ASSETS</w:t>
            </w:r>
          </w:p>
        </w:tc>
        <w:tc>
          <w:tcPr>
            <w:tcW w:w="960" w:type="dxa"/>
            <w:tcBorders>
              <w:top w:val="single" w:sz="4" w:space="0" w:color="auto"/>
              <w:left w:val="nil"/>
              <w:bottom w:val="nil"/>
              <w:right w:val="nil"/>
            </w:tcBorders>
            <w:shd w:val="clear" w:color="auto" w:fill="auto"/>
            <w:noWrap/>
            <w:vAlign w:val="bottom"/>
            <w:hideMark/>
          </w:tcPr>
          <w:p w14:paraId="6E277F7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single" w:sz="4" w:space="0" w:color="auto"/>
              <w:left w:val="nil"/>
              <w:bottom w:val="nil"/>
              <w:right w:val="nil"/>
            </w:tcBorders>
            <w:shd w:val="clear" w:color="000000" w:fill="D9D9D9"/>
            <w:noWrap/>
            <w:vAlign w:val="bottom"/>
            <w:hideMark/>
          </w:tcPr>
          <w:p w14:paraId="7C50D2DC"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43B646C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42C5CF5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single" w:sz="4" w:space="0" w:color="auto"/>
              <w:left w:val="nil"/>
              <w:bottom w:val="nil"/>
              <w:right w:val="nil"/>
            </w:tcBorders>
            <w:shd w:val="clear" w:color="auto" w:fill="auto"/>
            <w:noWrap/>
            <w:vAlign w:val="bottom"/>
            <w:hideMark/>
          </w:tcPr>
          <w:p w14:paraId="39B09D17"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r>
      <w:tr w:rsidR="008560D8" w:rsidRPr="008560D8" w14:paraId="6879E48F"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2EFBA3E8"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06CBB834" w14:textId="77777777" w:rsidR="008560D8" w:rsidRPr="008560D8" w:rsidRDefault="008560D8" w:rsidP="008560D8">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06649DA"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7F2C1B6A"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A24AEF0"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C5809B9"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6ED7486B"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27422070"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Cash and cash equivalents</w:t>
            </w:r>
          </w:p>
        </w:tc>
        <w:tc>
          <w:tcPr>
            <w:tcW w:w="960" w:type="dxa"/>
            <w:tcBorders>
              <w:top w:val="nil"/>
              <w:left w:val="nil"/>
              <w:bottom w:val="nil"/>
              <w:right w:val="nil"/>
            </w:tcBorders>
            <w:shd w:val="clear" w:color="auto" w:fill="auto"/>
            <w:noWrap/>
            <w:vAlign w:val="bottom"/>
            <w:hideMark/>
          </w:tcPr>
          <w:p w14:paraId="2EE31E0A"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5,310</w:t>
            </w:r>
          </w:p>
        </w:tc>
        <w:tc>
          <w:tcPr>
            <w:tcW w:w="960" w:type="dxa"/>
            <w:tcBorders>
              <w:top w:val="nil"/>
              <w:left w:val="nil"/>
              <w:bottom w:val="nil"/>
              <w:right w:val="nil"/>
            </w:tcBorders>
            <w:shd w:val="clear" w:color="000000" w:fill="D9D9D9"/>
            <w:noWrap/>
            <w:vAlign w:val="bottom"/>
            <w:hideMark/>
          </w:tcPr>
          <w:p w14:paraId="5A0425B2"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5,310</w:t>
            </w:r>
          </w:p>
        </w:tc>
        <w:tc>
          <w:tcPr>
            <w:tcW w:w="960" w:type="dxa"/>
            <w:tcBorders>
              <w:top w:val="nil"/>
              <w:left w:val="nil"/>
              <w:bottom w:val="nil"/>
              <w:right w:val="nil"/>
            </w:tcBorders>
            <w:shd w:val="clear" w:color="auto" w:fill="auto"/>
            <w:noWrap/>
            <w:vAlign w:val="bottom"/>
            <w:hideMark/>
          </w:tcPr>
          <w:p w14:paraId="6C27031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5,310</w:t>
            </w:r>
          </w:p>
        </w:tc>
        <w:tc>
          <w:tcPr>
            <w:tcW w:w="960" w:type="dxa"/>
            <w:tcBorders>
              <w:top w:val="nil"/>
              <w:left w:val="nil"/>
              <w:bottom w:val="nil"/>
              <w:right w:val="nil"/>
            </w:tcBorders>
            <w:shd w:val="clear" w:color="auto" w:fill="auto"/>
            <w:noWrap/>
            <w:vAlign w:val="bottom"/>
            <w:hideMark/>
          </w:tcPr>
          <w:p w14:paraId="2FAF6D7E"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5,310</w:t>
            </w:r>
          </w:p>
        </w:tc>
        <w:tc>
          <w:tcPr>
            <w:tcW w:w="960" w:type="dxa"/>
            <w:tcBorders>
              <w:top w:val="nil"/>
              <w:left w:val="nil"/>
              <w:bottom w:val="nil"/>
              <w:right w:val="nil"/>
            </w:tcBorders>
            <w:shd w:val="clear" w:color="auto" w:fill="auto"/>
            <w:noWrap/>
            <w:vAlign w:val="bottom"/>
            <w:hideMark/>
          </w:tcPr>
          <w:p w14:paraId="78083B49"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5,310</w:t>
            </w:r>
          </w:p>
        </w:tc>
      </w:tr>
      <w:tr w:rsidR="008560D8" w:rsidRPr="008560D8" w14:paraId="0498EED0"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54021619"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Receivables</w:t>
            </w:r>
          </w:p>
        </w:tc>
        <w:tc>
          <w:tcPr>
            <w:tcW w:w="960" w:type="dxa"/>
            <w:tcBorders>
              <w:top w:val="nil"/>
              <w:left w:val="nil"/>
              <w:bottom w:val="nil"/>
              <w:right w:val="nil"/>
            </w:tcBorders>
            <w:shd w:val="clear" w:color="auto" w:fill="auto"/>
            <w:noWrap/>
            <w:vAlign w:val="bottom"/>
            <w:hideMark/>
          </w:tcPr>
          <w:p w14:paraId="6F16A63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5,149</w:t>
            </w:r>
          </w:p>
        </w:tc>
        <w:tc>
          <w:tcPr>
            <w:tcW w:w="960" w:type="dxa"/>
            <w:tcBorders>
              <w:top w:val="nil"/>
              <w:left w:val="nil"/>
              <w:bottom w:val="nil"/>
              <w:right w:val="nil"/>
            </w:tcBorders>
            <w:shd w:val="clear" w:color="000000" w:fill="D9D9D9"/>
            <w:noWrap/>
            <w:vAlign w:val="bottom"/>
            <w:hideMark/>
          </w:tcPr>
          <w:p w14:paraId="52F3130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5,932</w:t>
            </w:r>
          </w:p>
        </w:tc>
        <w:tc>
          <w:tcPr>
            <w:tcW w:w="960" w:type="dxa"/>
            <w:tcBorders>
              <w:top w:val="nil"/>
              <w:left w:val="nil"/>
              <w:bottom w:val="nil"/>
              <w:right w:val="nil"/>
            </w:tcBorders>
            <w:shd w:val="clear" w:color="auto" w:fill="auto"/>
            <w:noWrap/>
            <w:vAlign w:val="bottom"/>
            <w:hideMark/>
          </w:tcPr>
          <w:p w14:paraId="522DAA0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5,932</w:t>
            </w:r>
          </w:p>
        </w:tc>
        <w:tc>
          <w:tcPr>
            <w:tcW w:w="960" w:type="dxa"/>
            <w:tcBorders>
              <w:top w:val="nil"/>
              <w:left w:val="nil"/>
              <w:bottom w:val="nil"/>
              <w:right w:val="nil"/>
            </w:tcBorders>
            <w:shd w:val="clear" w:color="auto" w:fill="auto"/>
            <w:noWrap/>
            <w:vAlign w:val="bottom"/>
            <w:hideMark/>
          </w:tcPr>
          <w:p w14:paraId="3CE03751"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5,932</w:t>
            </w:r>
          </w:p>
        </w:tc>
        <w:tc>
          <w:tcPr>
            <w:tcW w:w="960" w:type="dxa"/>
            <w:tcBorders>
              <w:top w:val="nil"/>
              <w:left w:val="nil"/>
              <w:bottom w:val="nil"/>
              <w:right w:val="nil"/>
            </w:tcBorders>
            <w:shd w:val="clear" w:color="auto" w:fill="auto"/>
            <w:noWrap/>
            <w:vAlign w:val="bottom"/>
            <w:hideMark/>
          </w:tcPr>
          <w:p w14:paraId="00B6EC6E"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5,932</w:t>
            </w:r>
          </w:p>
        </w:tc>
      </w:tr>
      <w:tr w:rsidR="008560D8" w:rsidRPr="008560D8" w14:paraId="4BC17064"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7A0E538A" w14:textId="77777777" w:rsidR="008560D8" w:rsidRPr="008560D8" w:rsidRDefault="008560D8" w:rsidP="008560D8">
            <w:pPr>
              <w:spacing w:before="0" w:after="0" w:line="240" w:lineRule="auto"/>
              <w:ind w:leftChars="150" w:left="285"/>
              <w:rPr>
                <w:rFonts w:ascii="Arial" w:hAnsi="Arial" w:cs="Arial"/>
                <w:b/>
                <w:bCs/>
                <w:color w:val="000000"/>
                <w:sz w:val="16"/>
                <w:szCs w:val="16"/>
              </w:rPr>
            </w:pPr>
            <w:r w:rsidRPr="008560D8">
              <w:rPr>
                <w:rFonts w:ascii="Arial" w:hAnsi="Arial"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14:paraId="12A7C064"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10,459</w:t>
            </w:r>
          </w:p>
        </w:tc>
        <w:tc>
          <w:tcPr>
            <w:tcW w:w="960" w:type="dxa"/>
            <w:tcBorders>
              <w:top w:val="nil"/>
              <w:left w:val="nil"/>
              <w:bottom w:val="single" w:sz="4" w:space="0" w:color="auto"/>
              <w:right w:val="nil"/>
            </w:tcBorders>
            <w:shd w:val="clear" w:color="000000" w:fill="D9D9D9"/>
            <w:noWrap/>
            <w:vAlign w:val="bottom"/>
            <w:hideMark/>
          </w:tcPr>
          <w:p w14:paraId="488C7C18"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11,242</w:t>
            </w:r>
          </w:p>
        </w:tc>
        <w:tc>
          <w:tcPr>
            <w:tcW w:w="960" w:type="dxa"/>
            <w:tcBorders>
              <w:top w:val="nil"/>
              <w:left w:val="nil"/>
              <w:bottom w:val="single" w:sz="4" w:space="0" w:color="auto"/>
              <w:right w:val="nil"/>
            </w:tcBorders>
            <w:shd w:val="clear" w:color="auto" w:fill="auto"/>
            <w:noWrap/>
            <w:vAlign w:val="bottom"/>
            <w:hideMark/>
          </w:tcPr>
          <w:p w14:paraId="50816E4C"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11,242</w:t>
            </w:r>
          </w:p>
        </w:tc>
        <w:tc>
          <w:tcPr>
            <w:tcW w:w="960" w:type="dxa"/>
            <w:tcBorders>
              <w:top w:val="nil"/>
              <w:left w:val="nil"/>
              <w:bottom w:val="single" w:sz="4" w:space="0" w:color="auto"/>
              <w:right w:val="nil"/>
            </w:tcBorders>
            <w:shd w:val="clear" w:color="auto" w:fill="auto"/>
            <w:noWrap/>
            <w:vAlign w:val="bottom"/>
            <w:hideMark/>
          </w:tcPr>
          <w:p w14:paraId="107141B0"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11,242</w:t>
            </w:r>
          </w:p>
        </w:tc>
        <w:tc>
          <w:tcPr>
            <w:tcW w:w="960" w:type="dxa"/>
            <w:tcBorders>
              <w:top w:val="nil"/>
              <w:left w:val="nil"/>
              <w:bottom w:val="single" w:sz="4" w:space="0" w:color="auto"/>
              <w:right w:val="nil"/>
            </w:tcBorders>
            <w:shd w:val="clear" w:color="auto" w:fill="auto"/>
            <w:noWrap/>
            <w:vAlign w:val="bottom"/>
            <w:hideMark/>
          </w:tcPr>
          <w:p w14:paraId="63F1BBE0"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11,242</w:t>
            </w:r>
          </w:p>
        </w:tc>
      </w:tr>
      <w:tr w:rsidR="008560D8" w:rsidRPr="008560D8" w14:paraId="70493DF8"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57019B5F"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14:paraId="73B26CB1" w14:textId="77777777" w:rsidR="008560D8" w:rsidRPr="008560D8" w:rsidRDefault="008560D8" w:rsidP="008560D8">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1F00B2B2"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78D41BD2"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C3C3A3A"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D92B57D"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2287AB7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44DB50D3"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14:paraId="2CB880B3"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12,950</w:t>
            </w:r>
          </w:p>
        </w:tc>
        <w:tc>
          <w:tcPr>
            <w:tcW w:w="960" w:type="dxa"/>
            <w:tcBorders>
              <w:top w:val="nil"/>
              <w:left w:val="nil"/>
              <w:bottom w:val="nil"/>
              <w:right w:val="nil"/>
            </w:tcBorders>
            <w:shd w:val="clear" w:color="000000" w:fill="D9D9D9"/>
            <w:noWrap/>
            <w:vAlign w:val="bottom"/>
            <w:hideMark/>
          </w:tcPr>
          <w:p w14:paraId="3D2E28E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12,233</w:t>
            </w:r>
          </w:p>
        </w:tc>
        <w:tc>
          <w:tcPr>
            <w:tcW w:w="960" w:type="dxa"/>
            <w:tcBorders>
              <w:top w:val="nil"/>
              <w:left w:val="nil"/>
              <w:bottom w:val="nil"/>
              <w:right w:val="nil"/>
            </w:tcBorders>
            <w:shd w:val="clear" w:color="auto" w:fill="auto"/>
            <w:noWrap/>
            <w:vAlign w:val="bottom"/>
            <w:hideMark/>
          </w:tcPr>
          <w:p w14:paraId="2EE3B92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10,782</w:t>
            </w:r>
          </w:p>
        </w:tc>
        <w:tc>
          <w:tcPr>
            <w:tcW w:w="960" w:type="dxa"/>
            <w:tcBorders>
              <w:top w:val="nil"/>
              <w:left w:val="nil"/>
              <w:bottom w:val="nil"/>
              <w:right w:val="nil"/>
            </w:tcBorders>
            <w:shd w:val="clear" w:color="auto" w:fill="auto"/>
            <w:noWrap/>
            <w:vAlign w:val="bottom"/>
            <w:hideMark/>
          </w:tcPr>
          <w:p w14:paraId="7143C0F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9,333</w:t>
            </w:r>
          </w:p>
        </w:tc>
        <w:tc>
          <w:tcPr>
            <w:tcW w:w="960" w:type="dxa"/>
            <w:tcBorders>
              <w:top w:val="nil"/>
              <w:left w:val="nil"/>
              <w:bottom w:val="nil"/>
              <w:right w:val="nil"/>
            </w:tcBorders>
            <w:shd w:val="clear" w:color="auto" w:fill="auto"/>
            <w:noWrap/>
            <w:vAlign w:val="bottom"/>
            <w:hideMark/>
          </w:tcPr>
          <w:p w14:paraId="4F4EF13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7,884</w:t>
            </w:r>
          </w:p>
        </w:tc>
      </w:tr>
      <w:tr w:rsidR="008560D8" w:rsidRPr="008560D8" w14:paraId="193A808C"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49C98C5B"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 xml:space="preserve">Property, </w:t>
            </w:r>
            <w:proofErr w:type="gramStart"/>
            <w:r w:rsidRPr="008560D8">
              <w:rPr>
                <w:rFonts w:ascii="Arial" w:hAnsi="Arial" w:cs="Arial"/>
                <w:color w:val="000000"/>
                <w:sz w:val="16"/>
                <w:szCs w:val="16"/>
              </w:rPr>
              <w:t>plant</w:t>
            </w:r>
            <w:proofErr w:type="gramEnd"/>
            <w:r w:rsidRPr="008560D8">
              <w:rPr>
                <w:rFonts w:ascii="Arial" w:hAnsi="Arial" w:cs="Arial"/>
                <w:color w:val="000000"/>
                <w:sz w:val="16"/>
                <w:szCs w:val="16"/>
              </w:rPr>
              <w:t xml:space="preserve"> and equipment</w:t>
            </w:r>
          </w:p>
        </w:tc>
        <w:tc>
          <w:tcPr>
            <w:tcW w:w="960" w:type="dxa"/>
            <w:tcBorders>
              <w:top w:val="nil"/>
              <w:left w:val="nil"/>
              <w:bottom w:val="nil"/>
              <w:right w:val="nil"/>
            </w:tcBorders>
            <w:shd w:val="clear" w:color="auto" w:fill="auto"/>
            <w:noWrap/>
            <w:vAlign w:val="bottom"/>
            <w:hideMark/>
          </w:tcPr>
          <w:p w14:paraId="541A6BA1"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429</w:t>
            </w:r>
          </w:p>
        </w:tc>
        <w:tc>
          <w:tcPr>
            <w:tcW w:w="960" w:type="dxa"/>
            <w:tcBorders>
              <w:top w:val="nil"/>
              <w:left w:val="nil"/>
              <w:bottom w:val="nil"/>
              <w:right w:val="nil"/>
            </w:tcBorders>
            <w:shd w:val="clear" w:color="000000" w:fill="D9D9D9"/>
            <w:noWrap/>
            <w:vAlign w:val="bottom"/>
            <w:hideMark/>
          </w:tcPr>
          <w:p w14:paraId="149FE0E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545</w:t>
            </w:r>
          </w:p>
        </w:tc>
        <w:tc>
          <w:tcPr>
            <w:tcW w:w="960" w:type="dxa"/>
            <w:tcBorders>
              <w:top w:val="nil"/>
              <w:left w:val="nil"/>
              <w:bottom w:val="nil"/>
              <w:right w:val="nil"/>
            </w:tcBorders>
            <w:shd w:val="clear" w:color="auto" w:fill="auto"/>
            <w:noWrap/>
            <w:vAlign w:val="bottom"/>
            <w:hideMark/>
          </w:tcPr>
          <w:p w14:paraId="5483902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708</w:t>
            </w:r>
          </w:p>
        </w:tc>
        <w:tc>
          <w:tcPr>
            <w:tcW w:w="960" w:type="dxa"/>
            <w:tcBorders>
              <w:top w:val="nil"/>
              <w:left w:val="nil"/>
              <w:bottom w:val="nil"/>
              <w:right w:val="nil"/>
            </w:tcBorders>
            <w:shd w:val="clear" w:color="auto" w:fill="auto"/>
            <w:noWrap/>
            <w:vAlign w:val="bottom"/>
            <w:hideMark/>
          </w:tcPr>
          <w:p w14:paraId="563CFAC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872</w:t>
            </w:r>
          </w:p>
        </w:tc>
        <w:tc>
          <w:tcPr>
            <w:tcW w:w="960" w:type="dxa"/>
            <w:tcBorders>
              <w:top w:val="nil"/>
              <w:left w:val="nil"/>
              <w:bottom w:val="nil"/>
              <w:right w:val="nil"/>
            </w:tcBorders>
            <w:shd w:val="clear" w:color="auto" w:fill="auto"/>
            <w:noWrap/>
            <w:vAlign w:val="bottom"/>
            <w:hideMark/>
          </w:tcPr>
          <w:p w14:paraId="7C6DBEB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1,039</w:t>
            </w:r>
          </w:p>
        </w:tc>
      </w:tr>
      <w:tr w:rsidR="008560D8" w:rsidRPr="008560D8" w14:paraId="22818C7A"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74623D51"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Intangibles</w:t>
            </w:r>
          </w:p>
        </w:tc>
        <w:tc>
          <w:tcPr>
            <w:tcW w:w="960" w:type="dxa"/>
            <w:tcBorders>
              <w:top w:val="nil"/>
              <w:left w:val="nil"/>
              <w:bottom w:val="nil"/>
              <w:right w:val="nil"/>
            </w:tcBorders>
            <w:shd w:val="clear" w:color="auto" w:fill="auto"/>
            <w:noWrap/>
            <w:vAlign w:val="bottom"/>
            <w:hideMark/>
          </w:tcPr>
          <w:p w14:paraId="77D7510C"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1,418</w:t>
            </w:r>
          </w:p>
        </w:tc>
        <w:tc>
          <w:tcPr>
            <w:tcW w:w="960" w:type="dxa"/>
            <w:tcBorders>
              <w:top w:val="nil"/>
              <w:left w:val="nil"/>
              <w:bottom w:val="nil"/>
              <w:right w:val="nil"/>
            </w:tcBorders>
            <w:shd w:val="clear" w:color="000000" w:fill="D9D9D9"/>
            <w:noWrap/>
            <w:vAlign w:val="bottom"/>
            <w:hideMark/>
          </w:tcPr>
          <w:p w14:paraId="1A4D26AF"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2,097</w:t>
            </w:r>
          </w:p>
        </w:tc>
        <w:tc>
          <w:tcPr>
            <w:tcW w:w="960" w:type="dxa"/>
            <w:tcBorders>
              <w:top w:val="nil"/>
              <w:left w:val="nil"/>
              <w:bottom w:val="nil"/>
              <w:right w:val="nil"/>
            </w:tcBorders>
            <w:shd w:val="clear" w:color="auto" w:fill="auto"/>
            <w:noWrap/>
            <w:vAlign w:val="bottom"/>
            <w:hideMark/>
          </w:tcPr>
          <w:p w14:paraId="1CD1BBA7"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1,923</w:t>
            </w:r>
          </w:p>
        </w:tc>
        <w:tc>
          <w:tcPr>
            <w:tcW w:w="960" w:type="dxa"/>
            <w:tcBorders>
              <w:top w:val="nil"/>
              <w:left w:val="nil"/>
              <w:bottom w:val="nil"/>
              <w:right w:val="nil"/>
            </w:tcBorders>
            <w:shd w:val="clear" w:color="auto" w:fill="auto"/>
            <w:noWrap/>
            <w:vAlign w:val="bottom"/>
            <w:hideMark/>
          </w:tcPr>
          <w:p w14:paraId="3518B25C"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1,749</w:t>
            </w:r>
          </w:p>
        </w:tc>
        <w:tc>
          <w:tcPr>
            <w:tcW w:w="960" w:type="dxa"/>
            <w:tcBorders>
              <w:top w:val="nil"/>
              <w:left w:val="nil"/>
              <w:bottom w:val="nil"/>
              <w:right w:val="nil"/>
            </w:tcBorders>
            <w:shd w:val="clear" w:color="auto" w:fill="auto"/>
            <w:noWrap/>
            <w:vAlign w:val="bottom"/>
            <w:hideMark/>
          </w:tcPr>
          <w:p w14:paraId="0F7F523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1,575</w:t>
            </w:r>
          </w:p>
        </w:tc>
      </w:tr>
      <w:tr w:rsidR="008560D8" w:rsidRPr="008560D8" w14:paraId="57892237"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5EF6FA43"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Inventories</w:t>
            </w:r>
          </w:p>
        </w:tc>
        <w:tc>
          <w:tcPr>
            <w:tcW w:w="960" w:type="dxa"/>
            <w:tcBorders>
              <w:top w:val="nil"/>
              <w:left w:val="nil"/>
              <w:bottom w:val="nil"/>
              <w:right w:val="nil"/>
            </w:tcBorders>
            <w:shd w:val="clear" w:color="auto" w:fill="auto"/>
            <w:noWrap/>
            <w:vAlign w:val="bottom"/>
            <w:hideMark/>
          </w:tcPr>
          <w:p w14:paraId="43EBC34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178</w:t>
            </w:r>
          </w:p>
        </w:tc>
        <w:tc>
          <w:tcPr>
            <w:tcW w:w="960" w:type="dxa"/>
            <w:tcBorders>
              <w:top w:val="nil"/>
              <w:left w:val="nil"/>
              <w:bottom w:val="nil"/>
              <w:right w:val="nil"/>
            </w:tcBorders>
            <w:shd w:val="clear" w:color="000000" w:fill="D9D9D9"/>
            <w:noWrap/>
            <w:vAlign w:val="bottom"/>
            <w:hideMark/>
          </w:tcPr>
          <w:p w14:paraId="46AFDDC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179</w:t>
            </w:r>
          </w:p>
        </w:tc>
        <w:tc>
          <w:tcPr>
            <w:tcW w:w="960" w:type="dxa"/>
            <w:tcBorders>
              <w:top w:val="nil"/>
              <w:left w:val="nil"/>
              <w:bottom w:val="nil"/>
              <w:right w:val="nil"/>
            </w:tcBorders>
            <w:shd w:val="clear" w:color="auto" w:fill="auto"/>
            <w:noWrap/>
            <w:vAlign w:val="bottom"/>
            <w:hideMark/>
          </w:tcPr>
          <w:p w14:paraId="63DAEFD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179</w:t>
            </w:r>
          </w:p>
        </w:tc>
        <w:tc>
          <w:tcPr>
            <w:tcW w:w="960" w:type="dxa"/>
            <w:tcBorders>
              <w:top w:val="nil"/>
              <w:left w:val="nil"/>
              <w:bottom w:val="nil"/>
              <w:right w:val="nil"/>
            </w:tcBorders>
            <w:shd w:val="clear" w:color="auto" w:fill="auto"/>
            <w:noWrap/>
            <w:vAlign w:val="bottom"/>
            <w:hideMark/>
          </w:tcPr>
          <w:p w14:paraId="61308DF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179</w:t>
            </w:r>
          </w:p>
        </w:tc>
        <w:tc>
          <w:tcPr>
            <w:tcW w:w="960" w:type="dxa"/>
            <w:tcBorders>
              <w:top w:val="nil"/>
              <w:left w:val="nil"/>
              <w:bottom w:val="nil"/>
              <w:right w:val="nil"/>
            </w:tcBorders>
            <w:shd w:val="clear" w:color="auto" w:fill="auto"/>
            <w:noWrap/>
            <w:vAlign w:val="bottom"/>
            <w:hideMark/>
          </w:tcPr>
          <w:p w14:paraId="1EC3C5D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179</w:t>
            </w:r>
          </w:p>
        </w:tc>
      </w:tr>
      <w:tr w:rsidR="008560D8" w:rsidRPr="008560D8" w14:paraId="07E95FC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42F28DC5"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Other</w:t>
            </w:r>
          </w:p>
        </w:tc>
        <w:tc>
          <w:tcPr>
            <w:tcW w:w="960" w:type="dxa"/>
            <w:tcBorders>
              <w:top w:val="nil"/>
              <w:left w:val="nil"/>
              <w:bottom w:val="nil"/>
              <w:right w:val="nil"/>
            </w:tcBorders>
            <w:shd w:val="clear" w:color="auto" w:fill="auto"/>
            <w:noWrap/>
            <w:vAlign w:val="bottom"/>
            <w:hideMark/>
          </w:tcPr>
          <w:p w14:paraId="6E3586B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189</w:t>
            </w:r>
          </w:p>
        </w:tc>
        <w:tc>
          <w:tcPr>
            <w:tcW w:w="960" w:type="dxa"/>
            <w:tcBorders>
              <w:top w:val="nil"/>
              <w:left w:val="nil"/>
              <w:bottom w:val="nil"/>
              <w:right w:val="nil"/>
            </w:tcBorders>
            <w:shd w:val="clear" w:color="000000" w:fill="D9D9D9"/>
            <w:noWrap/>
            <w:vAlign w:val="bottom"/>
            <w:hideMark/>
          </w:tcPr>
          <w:p w14:paraId="167E3DFA"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189</w:t>
            </w:r>
          </w:p>
        </w:tc>
        <w:tc>
          <w:tcPr>
            <w:tcW w:w="960" w:type="dxa"/>
            <w:tcBorders>
              <w:top w:val="nil"/>
              <w:left w:val="nil"/>
              <w:bottom w:val="nil"/>
              <w:right w:val="nil"/>
            </w:tcBorders>
            <w:shd w:val="clear" w:color="auto" w:fill="auto"/>
            <w:noWrap/>
            <w:vAlign w:val="bottom"/>
            <w:hideMark/>
          </w:tcPr>
          <w:p w14:paraId="041C607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189</w:t>
            </w:r>
          </w:p>
        </w:tc>
        <w:tc>
          <w:tcPr>
            <w:tcW w:w="960" w:type="dxa"/>
            <w:tcBorders>
              <w:top w:val="nil"/>
              <w:left w:val="nil"/>
              <w:bottom w:val="nil"/>
              <w:right w:val="nil"/>
            </w:tcBorders>
            <w:shd w:val="clear" w:color="auto" w:fill="auto"/>
            <w:noWrap/>
            <w:vAlign w:val="bottom"/>
            <w:hideMark/>
          </w:tcPr>
          <w:p w14:paraId="4FAE458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189</w:t>
            </w:r>
          </w:p>
        </w:tc>
        <w:tc>
          <w:tcPr>
            <w:tcW w:w="960" w:type="dxa"/>
            <w:tcBorders>
              <w:top w:val="nil"/>
              <w:left w:val="nil"/>
              <w:bottom w:val="nil"/>
              <w:right w:val="nil"/>
            </w:tcBorders>
            <w:shd w:val="clear" w:color="auto" w:fill="auto"/>
            <w:noWrap/>
            <w:vAlign w:val="bottom"/>
            <w:hideMark/>
          </w:tcPr>
          <w:p w14:paraId="6BADDC4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189</w:t>
            </w:r>
          </w:p>
        </w:tc>
      </w:tr>
      <w:tr w:rsidR="008560D8" w:rsidRPr="008560D8" w14:paraId="2BBFCA17"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1F0BF4B1" w14:textId="77777777" w:rsidR="008560D8" w:rsidRPr="008560D8" w:rsidRDefault="008560D8" w:rsidP="008560D8">
            <w:pPr>
              <w:spacing w:before="0" w:after="0" w:line="240" w:lineRule="auto"/>
              <w:ind w:leftChars="150" w:left="285"/>
              <w:rPr>
                <w:rFonts w:ascii="Arial" w:hAnsi="Arial" w:cs="Arial"/>
                <w:b/>
                <w:bCs/>
                <w:color w:val="000000"/>
                <w:sz w:val="16"/>
                <w:szCs w:val="16"/>
              </w:rPr>
            </w:pPr>
            <w:r w:rsidRPr="008560D8">
              <w:rPr>
                <w:rFonts w:ascii="Arial" w:hAnsi="Arial"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14:paraId="28B6E1E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15,164</w:t>
            </w:r>
          </w:p>
        </w:tc>
        <w:tc>
          <w:tcPr>
            <w:tcW w:w="960" w:type="dxa"/>
            <w:tcBorders>
              <w:top w:val="nil"/>
              <w:left w:val="nil"/>
              <w:bottom w:val="single" w:sz="4" w:space="0" w:color="auto"/>
              <w:right w:val="nil"/>
            </w:tcBorders>
            <w:shd w:val="clear" w:color="000000" w:fill="D9D9D9"/>
            <w:noWrap/>
            <w:vAlign w:val="bottom"/>
            <w:hideMark/>
          </w:tcPr>
          <w:p w14:paraId="0B0505DB"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15,243</w:t>
            </w:r>
          </w:p>
        </w:tc>
        <w:tc>
          <w:tcPr>
            <w:tcW w:w="960" w:type="dxa"/>
            <w:tcBorders>
              <w:top w:val="nil"/>
              <w:left w:val="nil"/>
              <w:bottom w:val="single" w:sz="4" w:space="0" w:color="auto"/>
              <w:right w:val="nil"/>
            </w:tcBorders>
            <w:shd w:val="clear" w:color="auto" w:fill="auto"/>
            <w:noWrap/>
            <w:vAlign w:val="bottom"/>
            <w:hideMark/>
          </w:tcPr>
          <w:p w14:paraId="5ABE591B"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13,781</w:t>
            </w:r>
          </w:p>
        </w:tc>
        <w:tc>
          <w:tcPr>
            <w:tcW w:w="960" w:type="dxa"/>
            <w:tcBorders>
              <w:top w:val="nil"/>
              <w:left w:val="nil"/>
              <w:bottom w:val="single" w:sz="4" w:space="0" w:color="auto"/>
              <w:right w:val="nil"/>
            </w:tcBorders>
            <w:shd w:val="clear" w:color="auto" w:fill="auto"/>
            <w:noWrap/>
            <w:vAlign w:val="bottom"/>
            <w:hideMark/>
          </w:tcPr>
          <w:p w14:paraId="536D43A3"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12,322</w:t>
            </w:r>
          </w:p>
        </w:tc>
        <w:tc>
          <w:tcPr>
            <w:tcW w:w="960" w:type="dxa"/>
            <w:tcBorders>
              <w:top w:val="nil"/>
              <w:left w:val="nil"/>
              <w:bottom w:val="single" w:sz="4" w:space="0" w:color="auto"/>
              <w:right w:val="nil"/>
            </w:tcBorders>
            <w:shd w:val="clear" w:color="auto" w:fill="auto"/>
            <w:noWrap/>
            <w:vAlign w:val="bottom"/>
            <w:hideMark/>
          </w:tcPr>
          <w:p w14:paraId="21C8B47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10,866</w:t>
            </w:r>
          </w:p>
        </w:tc>
      </w:tr>
      <w:tr w:rsidR="008560D8" w:rsidRPr="008560D8" w14:paraId="51024B9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77B8A92C"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Total assets</w:t>
            </w:r>
          </w:p>
        </w:tc>
        <w:tc>
          <w:tcPr>
            <w:tcW w:w="960" w:type="dxa"/>
            <w:tcBorders>
              <w:top w:val="nil"/>
              <w:left w:val="nil"/>
              <w:bottom w:val="single" w:sz="4" w:space="0" w:color="auto"/>
              <w:right w:val="nil"/>
            </w:tcBorders>
            <w:shd w:val="clear" w:color="auto" w:fill="auto"/>
            <w:noWrap/>
            <w:vAlign w:val="bottom"/>
            <w:hideMark/>
          </w:tcPr>
          <w:p w14:paraId="023EEE81"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25,623</w:t>
            </w:r>
          </w:p>
        </w:tc>
        <w:tc>
          <w:tcPr>
            <w:tcW w:w="960" w:type="dxa"/>
            <w:tcBorders>
              <w:top w:val="nil"/>
              <w:left w:val="nil"/>
              <w:bottom w:val="single" w:sz="4" w:space="0" w:color="auto"/>
              <w:right w:val="nil"/>
            </w:tcBorders>
            <w:shd w:val="clear" w:color="000000" w:fill="D9D9D9"/>
            <w:noWrap/>
            <w:vAlign w:val="bottom"/>
            <w:hideMark/>
          </w:tcPr>
          <w:p w14:paraId="43508588"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26,485</w:t>
            </w:r>
          </w:p>
        </w:tc>
        <w:tc>
          <w:tcPr>
            <w:tcW w:w="960" w:type="dxa"/>
            <w:tcBorders>
              <w:top w:val="nil"/>
              <w:left w:val="nil"/>
              <w:bottom w:val="single" w:sz="4" w:space="0" w:color="auto"/>
              <w:right w:val="nil"/>
            </w:tcBorders>
            <w:shd w:val="clear" w:color="auto" w:fill="auto"/>
            <w:noWrap/>
            <w:vAlign w:val="bottom"/>
            <w:hideMark/>
          </w:tcPr>
          <w:p w14:paraId="031F94DE"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25,023</w:t>
            </w:r>
          </w:p>
        </w:tc>
        <w:tc>
          <w:tcPr>
            <w:tcW w:w="960" w:type="dxa"/>
            <w:tcBorders>
              <w:top w:val="nil"/>
              <w:left w:val="nil"/>
              <w:bottom w:val="single" w:sz="4" w:space="0" w:color="auto"/>
              <w:right w:val="nil"/>
            </w:tcBorders>
            <w:shd w:val="clear" w:color="auto" w:fill="auto"/>
            <w:noWrap/>
            <w:vAlign w:val="bottom"/>
            <w:hideMark/>
          </w:tcPr>
          <w:p w14:paraId="6D9EC6B0"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23,564</w:t>
            </w:r>
          </w:p>
        </w:tc>
        <w:tc>
          <w:tcPr>
            <w:tcW w:w="960" w:type="dxa"/>
            <w:tcBorders>
              <w:top w:val="nil"/>
              <w:left w:val="nil"/>
              <w:bottom w:val="single" w:sz="4" w:space="0" w:color="auto"/>
              <w:right w:val="nil"/>
            </w:tcBorders>
            <w:shd w:val="clear" w:color="auto" w:fill="auto"/>
            <w:noWrap/>
            <w:vAlign w:val="bottom"/>
            <w:hideMark/>
          </w:tcPr>
          <w:p w14:paraId="7F393710"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22,108</w:t>
            </w:r>
          </w:p>
        </w:tc>
      </w:tr>
      <w:tr w:rsidR="008560D8" w:rsidRPr="008560D8" w14:paraId="03F03F16"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601A8D2F" w14:textId="77777777" w:rsidR="008560D8" w:rsidRPr="008560D8" w:rsidRDefault="008560D8" w:rsidP="008560D8">
            <w:pPr>
              <w:spacing w:before="0" w:after="0" w:line="240" w:lineRule="auto"/>
              <w:rPr>
                <w:rFonts w:ascii="Arial" w:hAnsi="Arial" w:cs="Arial"/>
                <w:b/>
                <w:bCs/>
                <w:color w:val="000000"/>
                <w:sz w:val="16"/>
                <w:szCs w:val="16"/>
              </w:rPr>
            </w:pPr>
            <w:r w:rsidRPr="008560D8">
              <w:rPr>
                <w:rFonts w:ascii="Arial" w:hAnsi="Arial"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14:paraId="75A74027" w14:textId="77777777" w:rsidR="008560D8" w:rsidRPr="008560D8" w:rsidRDefault="008560D8" w:rsidP="008560D8">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C55109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5669D3B5"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4EBADB5"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073C242"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2051A5F7"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32B0F20E"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4942CC5E" w14:textId="77777777" w:rsidR="008560D8" w:rsidRPr="008560D8" w:rsidRDefault="008560D8" w:rsidP="008560D8">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22A6FE5A"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7B78921E"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B8A776B"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A141AB6"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0A14CFA1"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7758B325"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20DD780C"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2,801</w:t>
            </w:r>
          </w:p>
        </w:tc>
        <w:tc>
          <w:tcPr>
            <w:tcW w:w="960" w:type="dxa"/>
            <w:tcBorders>
              <w:top w:val="nil"/>
              <w:left w:val="nil"/>
              <w:bottom w:val="nil"/>
              <w:right w:val="nil"/>
            </w:tcBorders>
            <w:shd w:val="clear" w:color="000000" w:fill="D9D9D9"/>
            <w:noWrap/>
            <w:vAlign w:val="bottom"/>
            <w:hideMark/>
          </w:tcPr>
          <w:p w14:paraId="6B53238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2,800</w:t>
            </w:r>
          </w:p>
        </w:tc>
        <w:tc>
          <w:tcPr>
            <w:tcW w:w="960" w:type="dxa"/>
            <w:tcBorders>
              <w:top w:val="nil"/>
              <w:left w:val="nil"/>
              <w:bottom w:val="nil"/>
              <w:right w:val="nil"/>
            </w:tcBorders>
            <w:shd w:val="clear" w:color="auto" w:fill="auto"/>
            <w:noWrap/>
            <w:vAlign w:val="bottom"/>
            <w:hideMark/>
          </w:tcPr>
          <w:p w14:paraId="6F86AA3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2,800</w:t>
            </w:r>
          </w:p>
        </w:tc>
        <w:tc>
          <w:tcPr>
            <w:tcW w:w="960" w:type="dxa"/>
            <w:tcBorders>
              <w:top w:val="nil"/>
              <w:left w:val="nil"/>
              <w:bottom w:val="nil"/>
              <w:right w:val="nil"/>
            </w:tcBorders>
            <w:shd w:val="clear" w:color="auto" w:fill="auto"/>
            <w:noWrap/>
            <w:vAlign w:val="bottom"/>
            <w:hideMark/>
          </w:tcPr>
          <w:p w14:paraId="1C3DC8FE"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2,800</w:t>
            </w:r>
          </w:p>
        </w:tc>
        <w:tc>
          <w:tcPr>
            <w:tcW w:w="960" w:type="dxa"/>
            <w:tcBorders>
              <w:top w:val="nil"/>
              <w:left w:val="nil"/>
              <w:bottom w:val="nil"/>
              <w:right w:val="nil"/>
            </w:tcBorders>
            <w:shd w:val="clear" w:color="auto" w:fill="auto"/>
            <w:noWrap/>
            <w:vAlign w:val="bottom"/>
            <w:hideMark/>
          </w:tcPr>
          <w:p w14:paraId="0954823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2,800</w:t>
            </w:r>
          </w:p>
        </w:tc>
      </w:tr>
      <w:tr w:rsidR="008560D8" w:rsidRPr="008560D8" w14:paraId="49A9D38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5B6DFDD2"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Other payables</w:t>
            </w:r>
          </w:p>
        </w:tc>
        <w:tc>
          <w:tcPr>
            <w:tcW w:w="960" w:type="dxa"/>
            <w:tcBorders>
              <w:top w:val="nil"/>
              <w:left w:val="nil"/>
              <w:bottom w:val="nil"/>
              <w:right w:val="nil"/>
            </w:tcBorders>
            <w:shd w:val="clear" w:color="auto" w:fill="auto"/>
            <w:noWrap/>
            <w:vAlign w:val="bottom"/>
            <w:hideMark/>
          </w:tcPr>
          <w:p w14:paraId="25AF532F"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841</w:t>
            </w:r>
          </w:p>
        </w:tc>
        <w:tc>
          <w:tcPr>
            <w:tcW w:w="960" w:type="dxa"/>
            <w:tcBorders>
              <w:top w:val="nil"/>
              <w:left w:val="nil"/>
              <w:bottom w:val="nil"/>
              <w:right w:val="nil"/>
            </w:tcBorders>
            <w:shd w:val="clear" w:color="000000" w:fill="D9D9D9"/>
            <w:noWrap/>
            <w:vAlign w:val="bottom"/>
            <w:hideMark/>
          </w:tcPr>
          <w:p w14:paraId="5216E92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797</w:t>
            </w:r>
          </w:p>
        </w:tc>
        <w:tc>
          <w:tcPr>
            <w:tcW w:w="960" w:type="dxa"/>
            <w:tcBorders>
              <w:top w:val="nil"/>
              <w:left w:val="nil"/>
              <w:bottom w:val="nil"/>
              <w:right w:val="nil"/>
            </w:tcBorders>
            <w:shd w:val="clear" w:color="auto" w:fill="auto"/>
            <w:noWrap/>
            <w:vAlign w:val="bottom"/>
            <w:hideMark/>
          </w:tcPr>
          <w:p w14:paraId="53FB1DB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797</w:t>
            </w:r>
          </w:p>
        </w:tc>
        <w:tc>
          <w:tcPr>
            <w:tcW w:w="960" w:type="dxa"/>
            <w:tcBorders>
              <w:top w:val="nil"/>
              <w:left w:val="nil"/>
              <w:bottom w:val="nil"/>
              <w:right w:val="nil"/>
            </w:tcBorders>
            <w:shd w:val="clear" w:color="auto" w:fill="auto"/>
            <w:noWrap/>
            <w:vAlign w:val="bottom"/>
            <w:hideMark/>
          </w:tcPr>
          <w:p w14:paraId="63AEBC5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797</w:t>
            </w:r>
          </w:p>
        </w:tc>
        <w:tc>
          <w:tcPr>
            <w:tcW w:w="960" w:type="dxa"/>
            <w:tcBorders>
              <w:top w:val="nil"/>
              <w:left w:val="nil"/>
              <w:bottom w:val="nil"/>
              <w:right w:val="nil"/>
            </w:tcBorders>
            <w:shd w:val="clear" w:color="auto" w:fill="auto"/>
            <w:noWrap/>
            <w:vAlign w:val="bottom"/>
            <w:hideMark/>
          </w:tcPr>
          <w:p w14:paraId="417BE91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797</w:t>
            </w:r>
          </w:p>
        </w:tc>
      </w:tr>
      <w:tr w:rsidR="008560D8" w:rsidRPr="008560D8" w14:paraId="550FE6F5"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1324900D" w14:textId="77777777" w:rsidR="008560D8" w:rsidRPr="008560D8" w:rsidRDefault="008560D8" w:rsidP="008560D8">
            <w:pPr>
              <w:spacing w:before="0" w:after="0" w:line="240" w:lineRule="auto"/>
              <w:ind w:leftChars="150" w:left="285"/>
              <w:rPr>
                <w:rFonts w:ascii="Arial" w:hAnsi="Arial" w:cs="Arial"/>
                <w:b/>
                <w:bCs/>
                <w:color w:val="000000"/>
                <w:sz w:val="16"/>
                <w:szCs w:val="16"/>
              </w:rPr>
            </w:pPr>
            <w:r w:rsidRPr="008560D8">
              <w:rPr>
                <w:rFonts w:ascii="Arial" w:hAnsi="Arial"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14:paraId="7CB70A6D"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3,642</w:t>
            </w:r>
          </w:p>
        </w:tc>
        <w:tc>
          <w:tcPr>
            <w:tcW w:w="960" w:type="dxa"/>
            <w:tcBorders>
              <w:top w:val="nil"/>
              <w:left w:val="nil"/>
              <w:bottom w:val="single" w:sz="4" w:space="0" w:color="auto"/>
              <w:right w:val="nil"/>
            </w:tcBorders>
            <w:shd w:val="clear" w:color="000000" w:fill="D9D9D9"/>
            <w:noWrap/>
            <w:vAlign w:val="bottom"/>
            <w:hideMark/>
          </w:tcPr>
          <w:p w14:paraId="1517F149"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3,597</w:t>
            </w:r>
          </w:p>
        </w:tc>
        <w:tc>
          <w:tcPr>
            <w:tcW w:w="960" w:type="dxa"/>
            <w:tcBorders>
              <w:top w:val="nil"/>
              <w:left w:val="nil"/>
              <w:bottom w:val="single" w:sz="4" w:space="0" w:color="auto"/>
              <w:right w:val="nil"/>
            </w:tcBorders>
            <w:shd w:val="clear" w:color="auto" w:fill="auto"/>
            <w:noWrap/>
            <w:vAlign w:val="bottom"/>
            <w:hideMark/>
          </w:tcPr>
          <w:p w14:paraId="52903065"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3,597</w:t>
            </w:r>
          </w:p>
        </w:tc>
        <w:tc>
          <w:tcPr>
            <w:tcW w:w="960" w:type="dxa"/>
            <w:tcBorders>
              <w:top w:val="nil"/>
              <w:left w:val="nil"/>
              <w:bottom w:val="single" w:sz="4" w:space="0" w:color="auto"/>
              <w:right w:val="nil"/>
            </w:tcBorders>
            <w:shd w:val="clear" w:color="auto" w:fill="auto"/>
            <w:noWrap/>
            <w:vAlign w:val="bottom"/>
            <w:hideMark/>
          </w:tcPr>
          <w:p w14:paraId="009D7959"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3,597</w:t>
            </w:r>
          </w:p>
        </w:tc>
        <w:tc>
          <w:tcPr>
            <w:tcW w:w="960" w:type="dxa"/>
            <w:tcBorders>
              <w:top w:val="nil"/>
              <w:left w:val="nil"/>
              <w:bottom w:val="single" w:sz="4" w:space="0" w:color="auto"/>
              <w:right w:val="nil"/>
            </w:tcBorders>
            <w:shd w:val="clear" w:color="auto" w:fill="auto"/>
            <w:noWrap/>
            <w:vAlign w:val="bottom"/>
            <w:hideMark/>
          </w:tcPr>
          <w:p w14:paraId="3444F8F7"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3,597</w:t>
            </w:r>
          </w:p>
        </w:tc>
      </w:tr>
      <w:tr w:rsidR="008560D8" w:rsidRPr="008560D8" w14:paraId="338751BE"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5E1C386E"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Interest bearing liabilities</w:t>
            </w:r>
          </w:p>
        </w:tc>
        <w:tc>
          <w:tcPr>
            <w:tcW w:w="960" w:type="dxa"/>
            <w:tcBorders>
              <w:top w:val="nil"/>
              <w:left w:val="nil"/>
              <w:bottom w:val="nil"/>
              <w:right w:val="nil"/>
            </w:tcBorders>
            <w:shd w:val="clear" w:color="auto" w:fill="auto"/>
            <w:noWrap/>
            <w:vAlign w:val="bottom"/>
            <w:hideMark/>
          </w:tcPr>
          <w:p w14:paraId="7BADBA03" w14:textId="77777777" w:rsidR="008560D8" w:rsidRPr="008560D8" w:rsidRDefault="008560D8" w:rsidP="008560D8">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2C5EE10"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0E4AC816"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5EAB986"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8DC3918"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015E5928"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6957C1F5"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Leases</w:t>
            </w:r>
          </w:p>
        </w:tc>
        <w:tc>
          <w:tcPr>
            <w:tcW w:w="960" w:type="dxa"/>
            <w:tcBorders>
              <w:top w:val="nil"/>
              <w:left w:val="nil"/>
              <w:bottom w:val="nil"/>
              <w:right w:val="nil"/>
            </w:tcBorders>
            <w:shd w:val="clear" w:color="auto" w:fill="auto"/>
            <w:noWrap/>
            <w:vAlign w:val="bottom"/>
            <w:hideMark/>
          </w:tcPr>
          <w:p w14:paraId="66B8CF5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7,909</w:t>
            </w:r>
          </w:p>
        </w:tc>
        <w:tc>
          <w:tcPr>
            <w:tcW w:w="960" w:type="dxa"/>
            <w:tcBorders>
              <w:top w:val="nil"/>
              <w:left w:val="nil"/>
              <w:bottom w:val="nil"/>
              <w:right w:val="nil"/>
            </w:tcBorders>
            <w:shd w:val="clear" w:color="000000" w:fill="D9D9D9"/>
            <w:noWrap/>
            <w:vAlign w:val="bottom"/>
            <w:hideMark/>
          </w:tcPr>
          <w:p w14:paraId="5AF6EF5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8,363</w:t>
            </w:r>
          </w:p>
        </w:tc>
        <w:tc>
          <w:tcPr>
            <w:tcW w:w="960" w:type="dxa"/>
            <w:tcBorders>
              <w:top w:val="nil"/>
              <w:left w:val="nil"/>
              <w:bottom w:val="nil"/>
              <w:right w:val="nil"/>
            </w:tcBorders>
            <w:shd w:val="clear" w:color="auto" w:fill="auto"/>
            <w:noWrap/>
            <w:vAlign w:val="bottom"/>
            <w:hideMark/>
          </w:tcPr>
          <w:p w14:paraId="4E48689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7,580</w:t>
            </w:r>
          </w:p>
        </w:tc>
        <w:tc>
          <w:tcPr>
            <w:tcW w:w="960" w:type="dxa"/>
            <w:tcBorders>
              <w:top w:val="nil"/>
              <w:left w:val="nil"/>
              <w:bottom w:val="nil"/>
              <w:right w:val="nil"/>
            </w:tcBorders>
            <w:shd w:val="clear" w:color="auto" w:fill="auto"/>
            <w:noWrap/>
            <w:vAlign w:val="bottom"/>
            <w:hideMark/>
          </w:tcPr>
          <w:p w14:paraId="4AE16B75"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6,797</w:t>
            </w:r>
          </w:p>
        </w:tc>
        <w:tc>
          <w:tcPr>
            <w:tcW w:w="960" w:type="dxa"/>
            <w:tcBorders>
              <w:top w:val="nil"/>
              <w:left w:val="nil"/>
              <w:bottom w:val="nil"/>
              <w:right w:val="nil"/>
            </w:tcBorders>
            <w:shd w:val="clear" w:color="auto" w:fill="auto"/>
            <w:noWrap/>
            <w:vAlign w:val="bottom"/>
            <w:hideMark/>
          </w:tcPr>
          <w:p w14:paraId="44E431FC"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6,014</w:t>
            </w:r>
          </w:p>
        </w:tc>
      </w:tr>
      <w:tr w:rsidR="008560D8" w:rsidRPr="008560D8" w14:paraId="6DB9136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1B8F0762" w14:textId="77777777" w:rsidR="008560D8" w:rsidRPr="008560D8" w:rsidRDefault="008560D8" w:rsidP="008560D8">
            <w:pPr>
              <w:spacing w:before="0" w:after="0" w:line="240" w:lineRule="auto"/>
              <w:ind w:leftChars="150" w:left="285"/>
              <w:rPr>
                <w:rFonts w:ascii="Arial" w:hAnsi="Arial" w:cs="Arial"/>
                <w:b/>
                <w:bCs/>
                <w:color w:val="000000"/>
                <w:sz w:val="16"/>
                <w:szCs w:val="16"/>
              </w:rPr>
            </w:pPr>
            <w:r w:rsidRPr="008560D8">
              <w:rPr>
                <w:rFonts w:ascii="Arial" w:hAnsi="Arial" w:cs="Arial"/>
                <w:b/>
                <w:bCs/>
                <w:color w:val="000000"/>
                <w:sz w:val="16"/>
                <w:szCs w:val="16"/>
              </w:rPr>
              <w:t xml:space="preserve">Total </w:t>
            </w:r>
            <w:proofErr w:type="gramStart"/>
            <w:r w:rsidRPr="008560D8">
              <w:rPr>
                <w:rFonts w:ascii="Arial" w:hAnsi="Arial" w:cs="Arial"/>
                <w:b/>
                <w:bCs/>
                <w:color w:val="000000"/>
                <w:sz w:val="16"/>
                <w:szCs w:val="16"/>
              </w:rPr>
              <w:t>interest bearing</w:t>
            </w:r>
            <w:proofErr w:type="gramEnd"/>
            <w:r w:rsidRPr="008560D8">
              <w:rPr>
                <w:rFonts w:ascii="Arial" w:hAnsi="Arial" w:cs="Arial"/>
                <w:b/>
                <w:bCs/>
                <w:color w:val="000000"/>
                <w:sz w:val="16"/>
                <w:szCs w:val="16"/>
              </w:rPr>
              <w:t xml:space="preserve"> liabilities</w:t>
            </w:r>
          </w:p>
        </w:tc>
        <w:tc>
          <w:tcPr>
            <w:tcW w:w="960" w:type="dxa"/>
            <w:tcBorders>
              <w:top w:val="nil"/>
              <w:left w:val="nil"/>
              <w:bottom w:val="single" w:sz="4" w:space="0" w:color="auto"/>
              <w:right w:val="nil"/>
            </w:tcBorders>
            <w:shd w:val="clear" w:color="auto" w:fill="auto"/>
            <w:noWrap/>
            <w:vAlign w:val="bottom"/>
            <w:hideMark/>
          </w:tcPr>
          <w:p w14:paraId="591B08C0"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7,909</w:t>
            </w:r>
          </w:p>
        </w:tc>
        <w:tc>
          <w:tcPr>
            <w:tcW w:w="960" w:type="dxa"/>
            <w:tcBorders>
              <w:top w:val="nil"/>
              <w:left w:val="nil"/>
              <w:bottom w:val="single" w:sz="4" w:space="0" w:color="auto"/>
              <w:right w:val="nil"/>
            </w:tcBorders>
            <w:shd w:val="clear" w:color="000000" w:fill="D9D9D9"/>
            <w:noWrap/>
            <w:vAlign w:val="bottom"/>
            <w:hideMark/>
          </w:tcPr>
          <w:p w14:paraId="7D2BA465"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8,363</w:t>
            </w:r>
          </w:p>
        </w:tc>
        <w:tc>
          <w:tcPr>
            <w:tcW w:w="960" w:type="dxa"/>
            <w:tcBorders>
              <w:top w:val="nil"/>
              <w:left w:val="nil"/>
              <w:bottom w:val="single" w:sz="4" w:space="0" w:color="auto"/>
              <w:right w:val="nil"/>
            </w:tcBorders>
            <w:shd w:val="clear" w:color="auto" w:fill="auto"/>
            <w:noWrap/>
            <w:vAlign w:val="bottom"/>
            <w:hideMark/>
          </w:tcPr>
          <w:p w14:paraId="0E4EBBC4"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7,580</w:t>
            </w:r>
          </w:p>
        </w:tc>
        <w:tc>
          <w:tcPr>
            <w:tcW w:w="960" w:type="dxa"/>
            <w:tcBorders>
              <w:top w:val="nil"/>
              <w:left w:val="nil"/>
              <w:bottom w:val="single" w:sz="4" w:space="0" w:color="auto"/>
              <w:right w:val="nil"/>
            </w:tcBorders>
            <w:shd w:val="clear" w:color="auto" w:fill="auto"/>
            <w:noWrap/>
            <w:vAlign w:val="bottom"/>
            <w:hideMark/>
          </w:tcPr>
          <w:p w14:paraId="7D861874"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6,797</w:t>
            </w:r>
          </w:p>
        </w:tc>
        <w:tc>
          <w:tcPr>
            <w:tcW w:w="960" w:type="dxa"/>
            <w:tcBorders>
              <w:top w:val="nil"/>
              <w:left w:val="nil"/>
              <w:bottom w:val="single" w:sz="4" w:space="0" w:color="auto"/>
              <w:right w:val="nil"/>
            </w:tcBorders>
            <w:shd w:val="clear" w:color="auto" w:fill="auto"/>
            <w:noWrap/>
            <w:vAlign w:val="bottom"/>
            <w:hideMark/>
          </w:tcPr>
          <w:p w14:paraId="1C651A92"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6,014</w:t>
            </w:r>
          </w:p>
        </w:tc>
      </w:tr>
      <w:tr w:rsidR="008560D8" w:rsidRPr="008560D8" w14:paraId="5F15FE30"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702A3161"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14:paraId="1DB543DC" w14:textId="77777777" w:rsidR="008560D8" w:rsidRPr="008560D8" w:rsidRDefault="008560D8" w:rsidP="008560D8">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DF91EDF"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9222395"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DBBEB69"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D4304A6"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5754D278"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69C565E1" w14:textId="77777777" w:rsidR="008560D8" w:rsidRPr="008560D8" w:rsidRDefault="008560D8" w:rsidP="008560D8">
            <w:pPr>
              <w:spacing w:before="0" w:after="0" w:line="240" w:lineRule="auto"/>
              <w:ind w:leftChars="150" w:left="285"/>
              <w:rPr>
                <w:rFonts w:ascii="Arial" w:hAnsi="Arial" w:cs="Arial"/>
                <w:color w:val="000000"/>
                <w:sz w:val="16"/>
                <w:szCs w:val="16"/>
              </w:rPr>
            </w:pPr>
            <w:r w:rsidRPr="008560D8">
              <w:rPr>
                <w:rFonts w:ascii="Arial" w:hAnsi="Arial" w:cs="Arial"/>
                <w:color w:val="000000"/>
                <w:sz w:val="16"/>
                <w:szCs w:val="16"/>
              </w:rPr>
              <w:t>Employees</w:t>
            </w:r>
          </w:p>
        </w:tc>
        <w:tc>
          <w:tcPr>
            <w:tcW w:w="960" w:type="dxa"/>
            <w:tcBorders>
              <w:top w:val="nil"/>
              <w:left w:val="nil"/>
              <w:bottom w:val="nil"/>
              <w:right w:val="nil"/>
            </w:tcBorders>
            <w:shd w:val="clear" w:color="auto" w:fill="auto"/>
            <w:noWrap/>
            <w:vAlign w:val="bottom"/>
            <w:hideMark/>
          </w:tcPr>
          <w:p w14:paraId="54E25EE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5,123</w:t>
            </w:r>
          </w:p>
        </w:tc>
        <w:tc>
          <w:tcPr>
            <w:tcW w:w="960" w:type="dxa"/>
            <w:tcBorders>
              <w:top w:val="nil"/>
              <w:left w:val="nil"/>
              <w:bottom w:val="nil"/>
              <w:right w:val="nil"/>
            </w:tcBorders>
            <w:shd w:val="clear" w:color="000000" w:fill="D9D9D9"/>
            <w:noWrap/>
            <w:vAlign w:val="bottom"/>
            <w:hideMark/>
          </w:tcPr>
          <w:p w14:paraId="0B5F888E"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5,163</w:t>
            </w:r>
          </w:p>
        </w:tc>
        <w:tc>
          <w:tcPr>
            <w:tcW w:w="960" w:type="dxa"/>
            <w:tcBorders>
              <w:top w:val="nil"/>
              <w:left w:val="nil"/>
              <w:bottom w:val="nil"/>
              <w:right w:val="nil"/>
            </w:tcBorders>
            <w:shd w:val="clear" w:color="auto" w:fill="auto"/>
            <w:noWrap/>
            <w:vAlign w:val="bottom"/>
            <w:hideMark/>
          </w:tcPr>
          <w:p w14:paraId="6B0671BF"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5,163</w:t>
            </w:r>
          </w:p>
        </w:tc>
        <w:tc>
          <w:tcPr>
            <w:tcW w:w="960" w:type="dxa"/>
            <w:tcBorders>
              <w:top w:val="nil"/>
              <w:left w:val="nil"/>
              <w:bottom w:val="nil"/>
              <w:right w:val="nil"/>
            </w:tcBorders>
            <w:shd w:val="clear" w:color="auto" w:fill="auto"/>
            <w:noWrap/>
            <w:vAlign w:val="bottom"/>
            <w:hideMark/>
          </w:tcPr>
          <w:p w14:paraId="71469522"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5,163</w:t>
            </w:r>
          </w:p>
        </w:tc>
        <w:tc>
          <w:tcPr>
            <w:tcW w:w="960" w:type="dxa"/>
            <w:tcBorders>
              <w:top w:val="nil"/>
              <w:left w:val="nil"/>
              <w:bottom w:val="nil"/>
              <w:right w:val="nil"/>
            </w:tcBorders>
            <w:shd w:val="clear" w:color="auto" w:fill="auto"/>
            <w:noWrap/>
            <w:vAlign w:val="bottom"/>
            <w:hideMark/>
          </w:tcPr>
          <w:p w14:paraId="3BD43728"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5,163</w:t>
            </w:r>
          </w:p>
        </w:tc>
      </w:tr>
      <w:tr w:rsidR="008560D8" w:rsidRPr="008560D8" w14:paraId="1CD0E1B2"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6C1B36BC" w14:textId="77777777" w:rsidR="008560D8" w:rsidRPr="008560D8" w:rsidRDefault="008560D8" w:rsidP="008560D8">
            <w:pPr>
              <w:spacing w:before="0" w:after="0" w:line="240" w:lineRule="auto"/>
              <w:ind w:leftChars="150" w:left="285"/>
              <w:rPr>
                <w:rFonts w:ascii="Arial" w:hAnsi="Arial" w:cs="Arial"/>
                <w:b/>
                <w:bCs/>
                <w:color w:val="000000"/>
                <w:sz w:val="16"/>
                <w:szCs w:val="16"/>
              </w:rPr>
            </w:pPr>
            <w:r w:rsidRPr="008560D8">
              <w:rPr>
                <w:rFonts w:ascii="Arial" w:hAnsi="Arial"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14:paraId="6B0FAEC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5,123</w:t>
            </w:r>
          </w:p>
        </w:tc>
        <w:tc>
          <w:tcPr>
            <w:tcW w:w="960" w:type="dxa"/>
            <w:tcBorders>
              <w:top w:val="nil"/>
              <w:left w:val="nil"/>
              <w:bottom w:val="single" w:sz="4" w:space="0" w:color="auto"/>
              <w:right w:val="nil"/>
            </w:tcBorders>
            <w:shd w:val="clear" w:color="000000" w:fill="D9D9D9"/>
            <w:noWrap/>
            <w:vAlign w:val="bottom"/>
            <w:hideMark/>
          </w:tcPr>
          <w:p w14:paraId="53B0D219"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5,163</w:t>
            </w:r>
          </w:p>
        </w:tc>
        <w:tc>
          <w:tcPr>
            <w:tcW w:w="960" w:type="dxa"/>
            <w:tcBorders>
              <w:top w:val="nil"/>
              <w:left w:val="nil"/>
              <w:bottom w:val="single" w:sz="4" w:space="0" w:color="auto"/>
              <w:right w:val="nil"/>
            </w:tcBorders>
            <w:shd w:val="clear" w:color="auto" w:fill="auto"/>
            <w:noWrap/>
            <w:vAlign w:val="bottom"/>
            <w:hideMark/>
          </w:tcPr>
          <w:p w14:paraId="4178DFC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5,163</w:t>
            </w:r>
          </w:p>
        </w:tc>
        <w:tc>
          <w:tcPr>
            <w:tcW w:w="960" w:type="dxa"/>
            <w:tcBorders>
              <w:top w:val="nil"/>
              <w:left w:val="nil"/>
              <w:bottom w:val="single" w:sz="4" w:space="0" w:color="auto"/>
              <w:right w:val="nil"/>
            </w:tcBorders>
            <w:shd w:val="clear" w:color="auto" w:fill="auto"/>
            <w:noWrap/>
            <w:vAlign w:val="bottom"/>
            <w:hideMark/>
          </w:tcPr>
          <w:p w14:paraId="552D8ED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5,163</w:t>
            </w:r>
          </w:p>
        </w:tc>
        <w:tc>
          <w:tcPr>
            <w:tcW w:w="960" w:type="dxa"/>
            <w:tcBorders>
              <w:top w:val="nil"/>
              <w:left w:val="nil"/>
              <w:bottom w:val="single" w:sz="4" w:space="0" w:color="auto"/>
              <w:right w:val="nil"/>
            </w:tcBorders>
            <w:shd w:val="clear" w:color="auto" w:fill="auto"/>
            <w:noWrap/>
            <w:vAlign w:val="bottom"/>
            <w:hideMark/>
          </w:tcPr>
          <w:p w14:paraId="4FCD94C3"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5,163</w:t>
            </w:r>
          </w:p>
        </w:tc>
      </w:tr>
      <w:tr w:rsidR="008560D8" w:rsidRPr="008560D8" w14:paraId="7854A73E"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146F2FE0"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Total liabilities</w:t>
            </w:r>
          </w:p>
        </w:tc>
        <w:tc>
          <w:tcPr>
            <w:tcW w:w="960" w:type="dxa"/>
            <w:tcBorders>
              <w:top w:val="nil"/>
              <w:left w:val="nil"/>
              <w:bottom w:val="single" w:sz="4" w:space="0" w:color="auto"/>
              <w:right w:val="nil"/>
            </w:tcBorders>
            <w:shd w:val="clear" w:color="auto" w:fill="auto"/>
            <w:noWrap/>
            <w:vAlign w:val="bottom"/>
            <w:hideMark/>
          </w:tcPr>
          <w:p w14:paraId="088C5F6C"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16,674</w:t>
            </w:r>
          </w:p>
        </w:tc>
        <w:tc>
          <w:tcPr>
            <w:tcW w:w="960" w:type="dxa"/>
            <w:tcBorders>
              <w:top w:val="nil"/>
              <w:left w:val="nil"/>
              <w:bottom w:val="single" w:sz="4" w:space="0" w:color="auto"/>
              <w:right w:val="nil"/>
            </w:tcBorders>
            <w:shd w:val="clear" w:color="000000" w:fill="D9D9D9"/>
            <w:noWrap/>
            <w:vAlign w:val="bottom"/>
            <w:hideMark/>
          </w:tcPr>
          <w:p w14:paraId="0C356ACF"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17,123</w:t>
            </w:r>
          </w:p>
        </w:tc>
        <w:tc>
          <w:tcPr>
            <w:tcW w:w="960" w:type="dxa"/>
            <w:tcBorders>
              <w:top w:val="nil"/>
              <w:left w:val="nil"/>
              <w:bottom w:val="single" w:sz="4" w:space="0" w:color="auto"/>
              <w:right w:val="nil"/>
            </w:tcBorders>
            <w:shd w:val="clear" w:color="auto" w:fill="auto"/>
            <w:noWrap/>
            <w:vAlign w:val="bottom"/>
            <w:hideMark/>
          </w:tcPr>
          <w:p w14:paraId="784F3FFE"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16,340</w:t>
            </w:r>
          </w:p>
        </w:tc>
        <w:tc>
          <w:tcPr>
            <w:tcW w:w="960" w:type="dxa"/>
            <w:tcBorders>
              <w:top w:val="nil"/>
              <w:left w:val="nil"/>
              <w:bottom w:val="single" w:sz="4" w:space="0" w:color="auto"/>
              <w:right w:val="nil"/>
            </w:tcBorders>
            <w:shd w:val="clear" w:color="auto" w:fill="auto"/>
            <w:noWrap/>
            <w:vAlign w:val="bottom"/>
            <w:hideMark/>
          </w:tcPr>
          <w:p w14:paraId="1356E757"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15,557</w:t>
            </w:r>
          </w:p>
        </w:tc>
        <w:tc>
          <w:tcPr>
            <w:tcW w:w="960" w:type="dxa"/>
            <w:tcBorders>
              <w:top w:val="nil"/>
              <w:left w:val="nil"/>
              <w:bottom w:val="single" w:sz="4" w:space="0" w:color="auto"/>
              <w:right w:val="nil"/>
            </w:tcBorders>
            <w:shd w:val="clear" w:color="auto" w:fill="auto"/>
            <w:noWrap/>
            <w:vAlign w:val="bottom"/>
            <w:hideMark/>
          </w:tcPr>
          <w:p w14:paraId="07F5B606"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14,774</w:t>
            </w:r>
          </w:p>
        </w:tc>
      </w:tr>
      <w:tr w:rsidR="008560D8" w:rsidRPr="008560D8" w14:paraId="2B8D6AEF"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62A0F606" w14:textId="77777777" w:rsidR="008560D8" w:rsidRPr="008560D8" w:rsidRDefault="008560D8" w:rsidP="008560D8">
            <w:pPr>
              <w:spacing w:before="0" w:after="0" w:line="240" w:lineRule="auto"/>
              <w:rPr>
                <w:rFonts w:ascii="Arial" w:hAnsi="Arial" w:cs="Arial"/>
                <w:b/>
                <w:bCs/>
                <w:color w:val="000000"/>
                <w:sz w:val="16"/>
                <w:szCs w:val="16"/>
              </w:rPr>
            </w:pPr>
            <w:r w:rsidRPr="008560D8">
              <w:rPr>
                <w:rFonts w:ascii="Arial" w:hAnsi="Arial" w:cs="Arial"/>
                <w:b/>
                <w:bCs/>
                <w:color w:val="000000"/>
                <w:sz w:val="16"/>
                <w:szCs w:val="16"/>
              </w:rPr>
              <w:t>Net assets</w:t>
            </w:r>
          </w:p>
        </w:tc>
        <w:tc>
          <w:tcPr>
            <w:tcW w:w="960" w:type="dxa"/>
            <w:tcBorders>
              <w:top w:val="nil"/>
              <w:left w:val="nil"/>
              <w:bottom w:val="single" w:sz="4" w:space="0" w:color="auto"/>
              <w:right w:val="nil"/>
            </w:tcBorders>
            <w:shd w:val="clear" w:color="auto" w:fill="auto"/>
            <w:noWrap/>
            <w:vAlign w:val="bottom"/>
            <w:hideMark/>
          </w:tcPr>
          <w:p w14:paraId="540B31CD"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8,949</w:t>
            </w:r>
          </w:p>
        </w:tc>
        <w:tc>
          <w:tcPr>
            <w:tcW w:w="960" w:type="dxa"/>
            <w:tcBorders>
              <w:top w:val="nil"/>
              <w:left w:val="nil"/>
              <w:bottom w:val="single" w:sz="4" w:space="0" w:color="auto"/>
              <w:right w:val="nil"/>
            </w:tcBorders>
            <w:shd w:val="clear" w:color="000000" w:fill="D9D9D9"/>
            <w:noWrap/>
            <w:vAlign w:val="bottom"/>
            <w:hideMark/>
          </w:tcPr>
          <w:p w14:paraId="4C825559"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9,362</w:t>
            </w:r>
          </w:p>
        </w:tc>
        <w:tc>
          <w:tcPr>
            <w:tcW w:w="960" w:type="dxa"/>
            <w:tcBorders>
              <w:top w:val="nil"/>
              <w:left w:val="nil"/>
              <w:bottom w:val="single" w:sz="4" w:space="0" w:color="auto"/>
              <w:right w:val="nil"/>
            </w:tcBorders>
            <w:shd w:val="clear" w:color="auto" w:fill="auto"/>
            <w:noWrap/>
            <w:vAlign w:val="bottom"/>
            <w:hideMark/>
          </w:tcPr>
          <w:p w14:paraId="3F1102EF"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8,683</w:t>
            </w:r>
          </w:p>
        </w:tc>
        <w:tc>
          <w:tcPr>
            <w:tcW w:w="960" w:type="dxa"/>
            <w:tcBorders>
              <w:top w:val="nil"/>
              <w:left w:val="nil"/>
              <w:bottom w:val="single" w:sz="4" w:space="0" w:color="auto"/>
              <w:right w:val="nil"/>
            </w:tcBorders>
            <w:shd w:val="clear" w:color="auto" w:fill="auto"/>
            <w:noWrap/>
            <w:vAlign w:val="bottom"/>
            <w:hideMark/>
          </w:tcPr>
          <w:p w14:paraId="0AAA6F3B"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8,007</w:t>
            </w:r>
          </w:p>
        </w:tc>
        <w:tc>
          <w:tcPr>
            <w:tcW w:w="960" w:type="dxa"/>
            <w:tcBorders>
              <w:top w:val="nil"/>
              <w:left w:val="nil"/>
              <w:bottom w:val="single" w:sz="4" w:space="0" w:color="auto"/>
              <w:right w:val="nil"/>
            </w:tcBorders>
            <w:shd w:val="clear" w:color="auto" w:fill="auto"/>
            <w:noWrap/>
            <w:vAlign w:val="bottom"/>
            <w:hideMark/>
          </w:tcPr>
          <w:p w14:paraId="4779ED32"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7,334</w:t>
            </w:r>
          </w:p>
        </w:tc>
      </w:tr>
      <w:tr w:rsidR="008560D8" w:rsidRPr="008560D8" w14:paraId="7BF40AB7" w14:textId="77777777" w:rsidTr="0063556F">
        <w:trPr>
          <w:trHeight w:val="283"/>
          <w:jc w:val="center"/>
        </w:trPr>
        <w:tc>
          <w:tcPr>
            <w:tcW w:w="3080" w:type="dxa"/>
            <w:tcBorders>
              <w:top w:val="nil"/>
              <w:left w:val="nil"/>
              <w:bottom w:val="nil"/>
              <w:right w:val="nil"/>
            </w:tcBorders>
            <w:shd w:val="clear" w:color="auto" w:fill="auto"/>
            <w:noWrap/>
            <w:vAlign w:val="bottom"/>
            <w:hideMark/>
          </w:tcPr>
          <w:p w14:paraId="6B4C2F82" w14:textId="77777777" w:rsidR="008560D8" w:rsidRPr="008560D8" w:rsidRDefault="008560D8" w:rsidP="008560D8">
            <w:pPr>
              <w:spacing w:before="0" w:after="0" w:line="240" w:lineRule="auto"/>
              <w:rPr>
                <w:rFonts w:ascii="Arial" w:hAnsi="Arial" w:cs="Arial"/>
                <w:b/>
                <w:bCs/>
                <w:color w:val="000000"/>
                <w:sz w:val="16"/>
                <w:szCs w:val="16"/>
              </w:rPr>
            </w:pPr>
            <w:r w:rsidRPr="008560D8">
              <w:rPr>
                <w:rFonts w:ascii="Arial" w:hAnsi="Arial" w:cs="Arial"/>
                <w:b/>
                <w:bCs/>
                <w:color w:val="000000"/>
                <w:sz w:val="16"/>
                <w:szCs w:val="16"/>
              </w:rPr>
              <w:t>EQUITY</w:t>
            </w:r>
          </w:p>
        </w:tc>
        <w:tc>
          <w:tcPr>
            <w:tcW w:w="960" w:type="dxa"/>
            <w:tcBorders>
              <w:top w:val="nil"/>
              <w:left w:val="nil"/>
              <w:bottom w:val="nil"/>
              <w:right w:val="nil"/>
            </w:tcBorders>
            <w:shd w:val="clear" w:color="auto" w:fill="auto"/>
            <w:noWrap/>
            <w:vAlign w:val="bottom"/>
            <w:hideMark/>
          </w:tcPr>
          <w:p w14:paraId="64C78283" w14:textId="77777777" w:rsidR="008560D8" w:rsidRPr="008560D8" w:rsidRDefault="008560D8" w:rsidP="008560D8">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4E6D832"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3700D2A0" w14:textId="77777777" w:rsidR="008560D8" w:rsidRPr="008560D8" w:rsidRDefault="008560D8" w:rsidP="008560D8">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59D2382" w14:textId="77777777" w:rsidR="008560D8" w:rsidRPr="008560D8" w:rsidRDefault="008560D8" w:rsidP="008560D8">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86814D4" w14:textId="77777777" w:rsidR="008560D8" w:rsidRPr="008560D8" w:rsidRDefault="008560D8" w:rsidP="008560D8">
            <w:pPr>
              <w:spacing w:before="0" w:after="0" w:line="240" w:lineRule="auto"/>
              <w:jc w:val="right"/>
              <w:rPr>
                <w:rFonts w:ascii="Times New Roman" w:hAnsi="Times New Roman"/>
                <w:sz w:val="20"/>
              </w:rPr>
            </w:pPr>
          </w:p>
        </w:tc>
      </w:tr>
      <w:tr w:rsidR="008560D8" w:rsidRPr="008560D8" w14:paraId="55D33F59"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5C4BF86D" w14:textId="77777777" w:rsidR="008560D8" w:rsidRPr="008560D8" w:rsidRDefault="008560D8" w:rsidP="008560D8">
            <w:pPr>
              <w:spacing w:before="0" w:after="0" w:line="240" w:lineRule="auto"/>
              <w:ind w:leftChars="75" w:left="143"/>
              <w:rPr>
                <w:rFonts w:ascii="Arial" w:hAnsi="Arial" w:cs="Arial"/>
                <w:color w:val="000000"/>
                <w:sz w:val="16"/>
                <w:szCs w:val="16"/>
              </w:rPr>
            </w:pPr>
            <w:r w:rsidRPr="008560D8">
              <w:rPr>
                <w:rFonts w:ascii="Arial" w:hAnsi="Arial"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14:paraId="698667CE"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8,306</w:t>
            </w:r>
          </w:p>
        </w:tc>
        <w:tc>
          <w:tcPr>
            <w:tcW w:w="960" w:type="dxa"/>
            <w:tcBorders>
              <w:top w:val="nil"/>
              <w:left w:val="nil"/>
              <w:bottom w:val="nil"/>
              <w:right w:val="nil"/>
            </w:tcBorders>
            <w:shd w:val="clear" w:color="000000" w:fill="D9D9D9"/>
            <w:noWrap/>
            <w:vAlign w:val="bottom"/>
            <w:hideMark/>
          </w:tcPr>
          <w:p w14:paraId="64492D7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9,684</w:t>
            </w:r>
          </w:p>
        </w:tc>
        <w:tc>
          <w:tcPr>
            <w:tcW w:w="960" w:type="dxa"/>
            <w:tcBorders>
              <w:top w:val="nil"/>
              <w:left w:val="nil"/>
              <w:bottom w:val="nil"/>
              <w:right w:val="nil"/>
            </w:tcBorders>
            <w:shd w:val="clear" w:color="auto" w:fill="auto"/>
            <w:noWrap/>
            <w:vAlign w:val="bottom"/>
            <w:hideMark/>
          </w:tcPr>
          <w:p w14:paraId="66630493"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9,974</w:t>
            </w:r>
          </w:p>
        </w:tc>
        <w:tc>
          <w:tcPr>
            <w:tcW w:w="960" w:type="dxa"/>
            <w:tcBorders>
              <w:top w:val="nil"/>
              <w:left w:val="nil"/>
              <w:bottom w:val="nil"/>
              <w:right w:val="nil"/>
            </w:tcBorders>
            <w:shd w:val="clear" w:color="auto" w:fill="auto"/>
            <w:noWrap/>
            <w:vAlign w:val="bottom"/>
            <w:hideMark/>
          </w:tcPr>
          <w:p w14:paraId="7FB37861"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10,267</w:t>
            </w:r>
          </w:p>
        </w:tc>
        <w:tc>
          <w:tcPr>
            <w:tcW w:w="960" w:type="dxa"/>
            <w:tcBorders>
              <w:top w:val="nil"/>
              <w:left w:val="nil"/>
              <w:bottom w:val="nil"/>
              <w:right w:val="nil"/>
            </w:tcBorders>
            <w:shd w:val="clear" w:color="auto" w:fill="auto"/>
            <w:noWrap/>
            <w:vAlign w:val="bottom"/>
            <w:hideMark/>
          </w:tcPr>
          <w:p w14:paraId="231E208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10,563</w:t>
            </w:r>
          </w:p>
        </w:tc>
      </w:tr>
      <w:tr w:rsidR="008560D8" w:rsidRPr="008560D8" w14:paraId="66330BD6" w14:textId="77777777" w:rsidTr="008560D8">
        <w:trPr>
          <w:trHeight w:val="225"/>
          <w:jc w:val="center"/>
        </w:trPr>
        <w:tc>
          <w:tcPr>
            <w:tcW w:w="3080" w:type="dxa"/>
            <w:tcBorders>
              <w:top w:val="nil"/>
              <w:left w:val="nil"/>
              <w:bottom w:val="nil"/>
              <w:right w:val="nil"/>
            </w:tcBorders>
            <w:shd w:val="clear" w:color="auto" w:fill="auto"/>
            <w:noWrap/>
            <w:vAlign w:val="bottom"/>
            <w:hideMark/>
          </w:tcPr>
          <w:p w14:paraId="243224C8" w14:textId="77777777" w:rsidR="008560D8" w:rsidRPr="008560D8" w:rsidRDefault="008560D8" w:rsidP="008560D8">
            <w:pPr>
              <w:spacing w:before="0" w:after="0" w:line="240" w:lineRule="auto"/>
              <w:ind w:leftChars="75" w:left="143"/>
              <w:rPr>
                <w:rFonts w:ascii="Arial" w:hAnsi="Arial" w:cs="Arial"/>
                <w:color w:val="000000"/>
                <w:sz w:val="16"/>
                <w:szCs w:val="16"/>
              </w:rPr>
            </w:pPr>
            <w:r w:rsidRPr="008560D8">
              <w:rPr>
                <w:rFonts w:ascii="Arial" w:hAnsi="Arial" w:cs="Arial"/>
                <w:color w:val="000000"/>
                <w:sz w:val="16"/>
                <w:szCs w:val="16"/>
              </w:rPr>
              <w:t>Reserves</w:t>
            </w:r>
          </w:p>
        </w:tc>
        <w:tc>
          <w:tcPr>
            <w:tcW w:w="960" w:type="dxa"/>
            <w:tcBorders>
              <w:top w:val="nil"/>
              <w:left w:val="nil"/>
              <w:bottom w:val="nil"/>
              <w:right w:val="nil"/>
            </w:tcBorders>
            <w:shd w:val="clear" w:color="auto" w:fill="auto"/>
            <w:noWrap/>
            <w:vAlign w:val="bottom"/>
            <w:hideMark/>
          </w:tcPr>
          <w:p w14:paraId="32B9D24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1,392</w:t>
            </w:r>
          </w:p>
        </w:tc>
        <w:tc>
          <w:tcPr>
            <w:tcW w:w="960" w:type="dxa"/>
            <w:tcBorders>
              <w:top w:val="nil"/>
              <w:left w:val="nil"/>
              <w:bottom w:val="nil"/>
              <w:right w:val="nil"/>
            </w:tcBorders>
            <w:shd w:val="clear" w:color="000000" w:fill="D9D9D9"/>
            <w:noWrap/>
            <w:vAlign w:val="bottom"/>
            <w:hideMark/>
          </w:tcPr>
          <w:p w14:paraId="1DC44AB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1,393</w:t>
            </w:r>
          </w:p>
        </w:tc>
        <w:tc>
          <w:tcPr>
            <w:tcW w:w="960" w:type="dxa"/>
            <w:tcBorders>
              <w:top w:val="nil"/>
              <w:left w:val="nil"/>
              <w:bottom w:val="nil"/>
              <w:right w:val="nil"/>
            </w:tcBorders>
            <w:shd w:val="clear" w:color="auto" w:fill="auto"/>
            <w:noWrap/>
            <w:vAlign w:val="bottom"/>
            <w:hideMark/>
          </w:tcPr>
          <w:p w14:paraId="0E739B1D"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1,393</w:t>
            </w:r>
          </w:p>
        </w:tc>
        <w:tc>
          <w:tcPr>
            <w:tcW w:w="960" w:type="dxa"/>
            <w:tcBorders>
              <w:top w:val="nil"/>
              <w:left w:val="nil"/>
              <w:bottom w:val="nil"/>
              <w:right w:val="nil"/>
            </w:tcBorders>
            <w:shd w:val="clear" w:color="auto" w:fill="auto"/>
            <w:noWrap/>
            <w:vAlign w:val="bottom"/>
            <w:hideMark/>
          </w:tcPr>
          <w:p w14:paraId="04125D5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1,393</w:t>
            </w:r>
          </w:p>
        </w:tc>
        <w:tc>
          <w:tcPr>
            <w:tcW w:w="960" w:type="dxa"/>
            <w:tcBorders>
              <w:top w:val="nil"/>
              <w:left w:val="nil"/>
              <w:bottom w:val="nil"/>
              <w:right w:val="nil"/>
            </w:tcBorders>
            <w:shd w:val="clear" w:color="auto" w:fill="auto"/>
            <w:noWrap/>
            <w:vAlign w:val="bottom"/>
            <w:hideMark/>
          </w:tcPr>
          <w:p w14:paraId="4F936FC1"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1,393</w:t>
            </w:r>
          </w:p>
        </w:tc>
      </w:tr>
      <w:tr w:rsidR="008560D8" w:rsidRPr="008560D8" w14:paraId="40D68C11" w14:textId="77777777" w:rsidTr="0063556F">
        <w:trPr>
          <w:trHeight w:val="425"/>
          <w:jc w:val="center"/>
        </w:trPr>
        <w:tc>
          <w:tcPr>
            <w:tcW w:w="3080" w:type="dxa"/>
            <w:tcBorders>
              <w:top w:val="nil"/>
              <w:left w:val="nil"/>
              <w:bottom w:val="nil"/>
              <w:right w:val="nil"/>
            </w:tcBorders>
            <w:shd w:val="clear" w:color="auto" w:fill="auto"/>
            <w:vAlign w:val="bottom"/>
            <w:hideMark/>
          </w:tcPr>
          <w:p w14:paraId="4F5A10F2" w14:textId="77777777" w:rsidR="008560D8" w:rsidRPr="008560D8" w:rsidRDefault="008560D8" w:rsidP="008560D8">
            <w:pPr>
              <w:spacing w:before="0" w:after="0" w:line="240" w:lineRule="auto"/>
              <w:ind w:leftChars="75" w:left="143"/>
              <w:rPr>
                <w:rFonts w:ascii="Arial" w:hAnsi="Arial" w:cs="Arial"/>
                <w:color w:val="000000"/>
                <w:sz w:val="16"/>
                <w:szCs w:val="16"/>
              </w:rPr>
            </w:pPr>
            <w:r w:rsidRPr="008560D8">
              <w:rPr>
                <w:rFonts w:ascii="Arial" w:hAnsi="Arial" w:cs="Arial"/>
                <w:color w:val="000000"/>
                <w:sz w:val="16"/>
                <w:szCs w:val="16"/>
              </w:rPr>
              <w:t>Retained surpluses or accumulated deficits</w:t>
            </w:r>
          </w:p>
        </w:tc>
        <w:tc>
          <w:tcPr>
            <w:tcW w:w="960" w:type="dxa"/>
            <w:tcBorders>
              <w:top w:val="nil"/>
              <w:left w:val="nil"/>
              <w:bottom w:val="single" w:sz="4" w:space="0" w:color="auto"/>
              <w:right w:val="nil"/>
            </w:tcBorders>
            <w:shd w:val="clear" w:color="auto" w:fill="auto"/>
            <w:noWrap/>
            <w:vAlign w:val="bottom"/>
            <w:hideMark/>
          </w:tcPr>
          <w:p w14:paraId="4D48E596"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(749)</w:t>
            </w:r>
          </w:p>
        </w:tc>
        <w:tc>
          <w:tcPr>
            <w:tcW w:w="960" w:type="dxa"/>
            <w:tcBorders>
              <w:top w:val="nil"/>
              <w:left w:val="nil"/>
              <w:bottom w:val="single" w:sz="4" w:space="0" w:color="auto"/>
              <w:right w:val="nil"/>
            </w:tcBorders>
            <w:shd w:val="clear" w:color="000000" w:fill="D9D9D9"/>
            <w:noWrap/>
            <w:vAlign w:val="bottom"/>
            <w:hideMark/>
          </w:tcPr>
          <w:p w14:paraId="009C84E3"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(1,715)</w:t>
            </w:r>
          </w:p>
        </w:tc>
        <w:tc>
          <w:tcPr>
            <w:tcW w:w="960" w:type="dxa"/>
            <w:tcBorders>
              <w:top w:val="nil"/>
              <w:left w:val="nil"/>
              <w:bottom w:val="single" w:sz="4" w:space="0" w:color="auto"/>
              <w:right w:val="nil"/>
            </w:tcBorders>
            <w:shd w:val="clear" w:color="auto" w:fill="auto"/>
            <w:noWrap/>
            <w:vAlign w:val="bottom"/>
            <w:hideMark/>
          </w:tcPr>
          <w:p w14:paraId="0FA2A05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(2,684)</w:t>
            </w:r>
          </w:p>
        </w:tc>
        <w:tc>
          <w:tcPr>
            <w:tcW w:w="960" w:type="dxa"/>
            <w:tcBorders>
              <w:top w:val="nil"/>
              <w:left w:val="nil"/>
              <w:bottom w:val="single" w:sz="4" w:space="0" w:color="auto"/>
              <w:right w:val="nil"/>
            </w:tcBorders>
            <w:shd w:val="clear" w:color="auto" w:fill="auto"/>
            <w:noWrap/>
            <w:vAlign w:val="bottom"/>
            <w:hideMark/>
          </w:tcPr>
          <w:p w14:paraId="6CED8244"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(3,653)</w:t>
            </w:r>
          </w:p>
        </w:tc>
        <w:tc>
          <w:tcPr>
            <w:tcW w:w="960" w:type="dxa"/>
            <w:tcBorders>
              <w:top w:val="nil"/>
              <w:left w:val="nil"/>
              <w:bottom w:val="single" w:sz="4" w:space="0" w:color="auto"/>
              <w:right w:val="nil"/>
            </w:tcBorders>
            <w:shd w:val="clear" w:color="auto" w:fill="auto"/>
            <w:noWrap/>
            <w:vAlign w:val="bottom"/>
            <w:hideMark/>
          </w:tcPr>
          <w:p w14:paraId="6EAB688B" w14:textId="77777777" w:rsidR="008560D8" w:rsidRPr="008560D8" w:rsidRDefault="008560D8" w:rsidP="008560D8">
            <w:pPr>
              <w:spacing w:before="0" w:after="0" w:line="240" w:lineRule="auto"/>
              <w:jc w:val="right"/>
              <w:rPr>
                <w:rFonts w:ascii="Arial" w:hAnsi="Arial" w:cs="Arial"/>
                <w:sz w:val="16"/>
                <w:szCs w:val="16"/>
              </w:rPr>
            </w:pPr>
            <w:r w:rsidRPr="008560D8">
              <w:rPr>
                <w:rFonts w:ascii="Arial" w:hAnsi="Arial" w:cs="Arial"/>
                <w:sz w:val="16"/>
                <w:szCs w:val="16"/>
              </w:rPr>
              <w:t>(4,622)</w:t>
            </w:r>
          </w:p>
        </w:tc>
      </w:tr>
      <w:tr w:rsidR="008560D8" w:rsidRPr="008560D8" w14:paraId="42673E90" w14:textId="77777777" w:rsidTr="008560D8">
        <w:trPr>
          <w:trHeight w:val="225"/>
          <w:jc w:val="center"/>
        </w:trPr>
        <w:tc>
          <w:tcPr>
            <w:tcW w:w="3080" w:type="dxa"/>
            <w:tcBorders>
              <w:top w:val="nil"/>
              <w:left w:val="nil"/>
              <w:bottom w:val="single" w:sz="4" w:space="0" w:color="auto"/>
              <w:right w:val="nil"/>
            </w:tcBorders>
            <w:shd w:val="clear" w:color="auto" w:fill="auto"/>
            <w:noWrap/>
            <w:vAlign w:val="bottom"/>
            <w:hideMark/>
          </w:tcPr>
          <w:p w14:paraId="01C82D7D" w14:textId="77777777" w:rsidR="008560D8" w:rsidRPr="008560D8" w:rsidRDefault="008560D8" w:rsidP="008560D8">
            <w:pPr>
              <w:spacing w:before="0" w:after="0" w:line="240" w:lineRule="auto"/>
              <w:ind w:leftChars="75" w:left="143"/>
              <w:rPr>
                <w:rFonts w:ascii="Arial" w:hAnsi="Arial" w:cs="Arial"/>
                <w:b/>
                <w:bCs/>
                <w:color w:val="000000"/>
                <w:sz w:val="16"/>
                <w:szCs w:val="16"/>
              </w:rPr>
            </w:pPr>
            <w:r w:rsidRPr="008560D8">
              <w:rPr>
                <w:rFonts w:ascii="Arial" w:hAnsi="Arial" w:cs="Arial"/>
                <w:b/>
                <w:bCs/>
                <w:color w:val="000000"/>
                <w:sz w:val="16"/>
                <w:szCs w:val="16"/>
              </w:rPr>
              <w:t>Total equity</w:t>
            </w:r>
          </w:p>
        </w:tc>
        <w:tc>
          <w:tcPr>
            <w:tcW w:w="960" w:type="dxa"/>
            <w:tcBorders>
              <w:top w:val="nil"/>
              <w:left w:val="nil"/>
              <w:bottom w:val="single" w:sz="4" w:space="0" w:color="auto"/>
              <w:right w:val="nil"/>
            </w:tcBorders>
            <w:shd w:val="clear" w:color="auto" w:fill="auto"/>
            <w:noWrap/>
            <w:vAlign w:val="bottom"/>
            <w:hideMark/>
          </w:tcPr>
          <w:p w14:paraId="7785C88F"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8,949</w:t>
            </w:r>
          </w:p>
        </w:tc>
        <w:tc>
          <w:tcPr>
            <w:tcW w:w="960" w:type="dxa"/>
            <w:tcBorders>
              <w:top w:val="nil"/>
              <w:left w:val="nil"/>
              <w:bottom w:val="single" w:sz="4" w:space="0" w:color="auto"/>
              <w:right w:val="nil"/>
            </w:tcBorders>
            <w:shd w:val="clear" w:color="000000" w:fill="D9D9D9"/>
            <w:noWrap/>
            <w:vAlign w:val="bottom"/>
            <w:hideMark/>
          </w:tcPr>
          <w:p w14:paraId="626BFFF9"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9,362</w:t>
            </w:r>
          </w:p>
        </w:tc>
        <w:tc>
          <w:tcPr>
            <w:tcW w:w="960" w:type="dxa"/>
            <w:tcBorders>
              <w:top w:val="nil"/>
              <w:left w:val="nil"/>
              <w:bottom w:val="single" w:sz="4" w:space="0" w:color="auto"/>
              <w:right w:val="nil"/>
            </w:tcBorders>
            <w:shd w:val="clear" w:color="auto" w:fill="auto"/>
            <w:noWrap/>
            <w:vAlign w:val="bottom"/>
            <w:hideMark/>
          </w:tcPr>
          <w:p w14:paraId="6447E51F"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8,683</w:t>
            </w:r>
          </w:p>
        </w:tc>
        <w:tc>
          <w:tcPr>
            <w:tcW w:w="960" w:type="dxa"/>
            <w:tcBorders>
              <w:top w:val="nil"/>
              <w:left w:val="nil"/>
              <w:bottom w:val="single" w:sz="4" w:space="0" w:color="auto"/>
              <w:right w:val="nil"/>
            </w:tcBorders>
            <w:shd w:val="clear" w:color="auto" w:fill="auto"/>
            <w:noWrap/>
            <w:vAlign w:val="bottom"/>
            <w:hideMark/>
          </w:tcPr>
          <w:p w14:paraId="352DC528"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8,007</w:t>
            </w:r>
          </w:p>
        </w:tc>
        <w:tc>
          <w:tcPr>
            <w:tcW w:w="960" w:type="dxa"/>
            <w:tcBorders>
              <w:top w:val="nil"/>
              <w:left w:val="nil"/>
              <w:bottom w:val="single" w:sz="4" w:space="0" w:color="auto"/>
              <w:right w:val="nil"/>
            </w:tcBorders>
            <w:shd w:val="clear" w:color="auto" w:fill="auto"/>
            <w:noWrap/>
            <w:vAlign w:val="bottom"/>
            <w:hideMark/>
          </w:tcPr>
          <w:p w14:paraId="37F162C7" w14:textId="77777777" w:rsidR="008560D8" w:rsidRPr="008560D8" w:rsidRDefault="008560D8" w:rsidP="008560D8">
            <w:pPr>
              <w:spacing w:before="0" w:after="0" w:line="240" w:lineRule="auto"/>
              <w:jc w:val="right"/>
              <w:rPr>
                <w:rFonts w:ascii="Arial" w:hAnsi="Arial" w:cs="Arial"/>
                <w:b/>
                <w:bCs/>
                <w:sz w:val="16"/>
                <w:szCs w:val="16"/>
              </w:rPr>
            </w:pPr>
            <w:r w:rsidRPr="008560D8">
              <w:rPr>
                <w:rFonts w:ascii="Arial" w:hAnsi="Arial" w:cs="Arial"/>
                <w:b/>
                <w:bCs/>
                <w:sz w:val="16"/>
                <w:szCs w:val="16"/>
              </w:rPr>
              <w:t>7,334</w:t>
            </w:r>
          </w:p>
        </w:tc>
      </w:tr>
    </w:tbl>
    <w:p w14:paraId="38F057C3" w14:textId="77777777" w:rsidR="00526CE6" w:rsidRDefault="00526CE6" w:rsidP="00526CE6">
      <w:pPr>
        <w:pStyle w:val="TableHeading"/>
        <w:spacing w:before="0"/>
        <w:rPr>
          <w:snapToGrid w:val="0"/>
        </w:rPr>
      </w:pPr>
    </w:p>
    <w:p w14:paraId="7763B8EA" w14:textId="77777777" w:rsidR="00526CE6" w:rsidRDefault="00526CE6" w:rsidP="00526CE6">
      <w:pPr>
        <w:spacing w:before="0" w:after="0" w:line="240" w:lineRule="auto"/>
        <w:rPr>
          <w:rFonts w:ascii="Arial" w:hAnsi="Arial"/>
          <w:b/>
          <w:snapToGrid w:val="0"/>
          <w:sz w:val="20"/>
        </w:rPr>
      </w:pPr>
      <w:r>
        <w:rPr>
          <w:snapToGrid w:val="0"/>
        </w:rPr>
        <w:br w:type="page"/>
      </w:r>
    </w:p>
    <w:p w14:paraId="47B9EA7C" w14:textId="1474294B" w:rsidR="00526CE6" w:rsidRDefault="00526CE6" w:rsidP="00526CE6">
      <w:pPr>
        <w:pStyle w:val="TableHeading"/>
        <w:spacing w:before="0"/>
        <w:rPr>
          <w:b w:val="0"/>
          <w:snapToGrid w:val="0"/>
        </w:rPr>
      </w:pPr>
      <w:r>
        <w:rPr>
          <w:snapToGrid w:val="0"/>
        </w:rPr>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sidR="000F5337">
        <w:rPr>
          <w:snapToGrid w:val="0"/>
        </w:rPr>
        <w:t>y</w:t>
      </w:r>
      <w:r w:rsidRPr="00014438">
        <w:rPr>
          <w:snapToGrid w:val="0"/>
        </w:rPr>
        <w:t xml:space="preserve">ear </w:t>
      </w:r>
      <w:r>
        <w:rPr>
          <w:snapToGrid w:val="0"/>
        </w:rPr>
        <w:t>2023–24</w:t>
      </w:r>
      <w:r w:rsidRPr="00014438">
        <w:rPr>
          <w:snapToGrid w:val="0"/>
        </w:rPr>
        <w:t>)</w:t>
      </w:r>
      <w:r w:rsidRPr="00EC73D1">
        <w:rPr>
          <w:b w:val="0"/>
          <w:snapToGrid w:val="0"/>
        </w:rPr>
        <w:t xml:space="preserve"> </w:t>
      </w:r>
    </w:p>
    <w:tbl>
      <w:tblPr>
        <w:tblW w:w="7880" w:type="dxa"/>
        <w:jc w:val="center"/>
        <w:tblLayout w:type="fixed"/>
        <w:tblLook w:val="04A0" w:firstRow="1" w:lastRow="0" w:firstColumn="1" w:lastColumn="0" w:noHBand="0" w:noVBand="1"/>
      </w:tblPr>
      <w:tblGrid>
        <w:gridCol w:w="3080"/>
        <w:gridCol w:w="1160"/>
        <w:gridCol w:w="1240"/>
        <w:gridCol w:w="1240"/>
        <w:gridCol w:w="1160"/>
      </w:tblGrid>
      <w:tr w:rsidR="000A6549" w:rsidRPr="000A6549" w14:paraId="26ED4729" w14:textId="77777777" w:rsidTr="00350FC8">
        <w:trPr>
          <w:trHeight w:val="765"/>
          <w:jc w:val="center"/>
        </w:trPr>
        <w:tc>
          <w:tcPr>
            <w:tcW w:w="3080" w:type="dxa"/>
            <w:tcBorders>
              <w:top w:val="single" w:sz="4" w:space="0" w:color="auto"/>
              <w:left w:val="nil"/>
              <w:bottom w:val="nil"/>
              <w:right w:val="nil"/>
            </w:tcBorders>
            <w:shd w:val="clear" w:color="auto" w:fill="auto"/>
            <w:hideMark/>
          </w:tcPr>
          <w:p w14:paraId="764C7A20" w14:textId="77777777" w:rsidR="000A6549" w:rsidRPr="000A6549" w:rsidRDefault="000A6549" w:rsidP="00350FC8">
            <w:pPr>
              <w:spacing w:before="24" w:after="0" w:line="240" w:lineRule="auto"/>
              <w:jc w:val="right"/>
              <w:rPr>
                <w:rFonts w:ascii="Times New Roman" w:hAnsi="Times New Roman"/>
                <w:sz w:val="20"/>
                <w:szCs w:val="24"/>
              </w:rPr>
            </w:pPr>
          </w:p>
        </w:tc>
        <w:tc>
          <w:tcPr>
            <w:tcW w:w="1160" w:type="dxa"/>
            <w:tcBorders>
              <w:top w:val="single" w:sz="4" w:space="0" w:color="auto"/>
              <w:left w:val="nil"/>
              <w:bottom w:val="single" w:sz="4" w:space="0" w:color="auto"/>
              <w:right w:val="nil"/>
            </w:tcBorders>
            <w:shd w:val="clear" w:color="auto" w:fill="auto"/>
            <w:hideMark/>
          </w:tcPr>
          <w:p w14:paraId="6EF60999" w14:textId="77777777" w:rsidR="000A6549" w:rsidRPr="000A6549" w:rsidRDefault="000A6549" w:rsidP="00350FC8">
            <w:pPr>
              <w:spacing w:before="24" w:after="0" w:line="240" w:lineRule="auto"/>
              <w:jc w:val="right"/>
              <w:rPr>
                <w:rFonts w:ascii="Arial" w:hAnsi="Arial" w:cs="Arial"/>
                <w:color w:val="000000"/>
                <w:sz w:val="16"/>
                <w:szCs w:val="16"/>
              </w:rPr>
            </w:pPr>
            <w:r w:rsidRPr="000A6549">
              <w:rPr>
                <w:rFonts w:ascii="Arial" w:hAnsi="Arial" w:cs="Arial"/>
                <w:b/>
                <w:bCs/>
                <w:color w:val="000000"/>
                <w:sz w:val="16"/>
                <w:szCs w:val="16"/>
              </w:rPr>
              <w:t xml:space="preserve">Retained earnings </w:t>
            </w:r>
            <w:r w:rsidRPr="000A6549">
              <w:rPr>
                <w:rFonts w:ascii="Arial" w:hAnsi="Arial" w:cs="Arial"/>
                <w:color w:val="000000"/>
                <w:sz w:val="16"/>
                <w:szCs w:val="16"/>
              </w:rPr>
              <w:br/>
            </w:r>
            <w:r w:rsidRPr="000A6549">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6FDB199B" w14:textId="77777777" w:rsidR="000A6549" w:rsidRPr="000A6549" w:rsidRDefault="000A6549" w:rsidP="00350FC8">
            <w:pPr>
              <w:spacing w:before="24" w:after="0" w:line="240" w:lineRule="auto"/>
              <w:jc w:val="right"/>
              <w:rPr>
                <w:rFonts w:ascii="Arial" w:hAnsi="Arial" w:cs="Arial"/>
                <w:color w:val="000000"/>
                <w:sz w:val="16"/>
                <w:szCs w:val="16"/>
              </w:rPr>
            </w:pPr>
            <w:r w:rsidRPr="000A6549">
              <w:rPr>
                <w:rFonts w:ascii="Arial" w:hAnsi="Arial" w:cs="Arial"/>
                <w:b/>
                <w:bCs/>
                <w:color w:val="000000"/>
                <w:sz w:val="16"/>
                <w:szCs w:val="16"/>
              </w:rPr>
              <w:t xml:space="preserve">Asset revaluation reserve </w:t>
            </w:r>
            <w:r w:rsidRPr="000A6549">
              <w:rPr>
                <w:rFonts w:ascii="Arial" w:hAnsi="Arial" w:cs="Arial"/>
                <w:color w:val="000000"/>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43724638" w14:textId="77777777" w:rsidR="000A6549" w:rsidRPr="000A6549" w:rsidRDefault="000A6549" w:rsidP="00350FC8">
            <w:pPr>
              <w:spacing w:before="24" w:after="0" w:line="240" w:lineRule="auto"/>
              <w:jc w:val="right"/>
              <w:rPr>
                <w:rFonts w:ascii="Arial" w:hAnsi="Arial" w:cs="Arial"/>
                <w:color w:val="000000"/>
                <w:sz w:val="16"/>
                <w:szCs w:val="16"/>
              </w:rPr>
            </w:pPr>
            <w:r w:rsidRPr="000A6549">
              <w:rPr>
                <w:rFonts w:ascii="Arial" w:hAnsi="Arial" w:cs="Arial"/>
                <w:b/>
                <w:bCs/>
                <w:color w:val="000000"/>
                <w:sz w:val="16"/>
                <w:szCs w:val="16"/>
              </w:rPr>
              <w:t>Contributed equity/</w:t>
            </w:r>
            <w:r w:rsidRPr="000A6549">
              <w:rPr>
                <w:rFonts w:ascii="Arial" w:hAnsi="Arial" w:cs="Arial"/>
                <w:b/>
                <w:bCs/>
                <w:color w:val="000000"/>
                <w:sz w:val="16"/>
                <w:szCs w:val="16"/>
              </w:rPr>
              <w:br/>
              <w:t xml:space="preserve">capital </w:t>
            </w:r>
            <w:r w:rsidRPr="000A6549">
              <w:rPr>
                <w:rFonts w:ascii="Arial" w:hAnsi="Arial" w:cs="Arial"/>
                <w:color w:val="000000"/>
                <w:sz w:val="16"/>
                <w:szCs w:val="16"/>
              </w:rPr>
              <w:br/>
              <w:t>$'000</w:t>
            </w:r>
          </w:p>
        </w:tc>
        <w:tc>
          <w:tcPr>
            <w:tcW w:w="1160" w:type="dxa"/>
            <w:tcBorders>
              <w:top w:val="single" w:sz="4" w:space="0" w:color="auto"/>
              <w:left w:val="nil"/>
              <w:bottom w:val="single" w:sz="4" w:space="0" w:color="auto"/>
              <w:right w:val="nil"/>
            </w:tcBorders>
            <w:shd w:val="clear" w:color="auto" w:fill="auto"/>
            <w:hideMark/>
          </w:tcPr>
          <w:p w14:paraId="11FCB660" w14:textId="77777777" w:rsidR="000A6549" w:rsidRPr="000A6549" w:rsidRDefault="000A6549" w:rsidP="00350FC8">
            <w:pPr>
              <w:spacing w:before="24" w:after="0" w:line="240" w:lineRule="auto"/>
              <w:jc w:val="right"/>
              <w:rPr>
                <w:rFonts w:ascii="Arial" w:hAnsi="Arial" w:cs="Arial"/>
                <w:color w:val="000000"/>
                <w:sz w:val="16"/>
                <w:szCs w:val="16"/>
              </w:rPr>
            </w:pPr>
            <w:r w:rsidRPr="000A6549">
              <w:rPr>
                <w:rFonts w:ascii="Arial" w:hAnsi="Arial" w:cs="Arial"/>
                <w:b/>
                <w:bCs/>
                <w:color w:val="000000"/>
                <w:sz w:val="16"/>
                <w:szCs w:val="16"/>
              </w:rPr>
              <w:t xml:space="preserve">Total </w:t>
            </w:r>
            <w:r w:rsidRPr="000A6549">
              <w:rPr>
                <w:rFonts w:ascii="Arial" w:hAnsi="Arial" w:cs="Arial"/>
                <w:b/>
                <w:bCs/>
                <w:color w:val="000000"/>
                <w:sz w:val="16"/>
                <w:szCs w:val="16"/>
              </w:rPr>
              <w:br/>
              <w:t xml:space="preserve">equity </w:t>
            </w:r>
            <w:r w:rsidRPr="000A6549">
              <w:rPr>
                <w:rFonts w:ascii="Arial" w:hAnsi="Arial" w:cs="Arial"/>
                <w:color w:val="000000"/>
                <w:sz w:val="16"/>
                <w:szCs w:val="16"/>
              </w:rPr>
              <w:br/>
            </w:r>
            <w:r w:rsidRPr="000A6549">
              <w:rPr>
                <w:rFonts w:ascii="Arial" w:hAnsi="Arial" w:cs="Arial"/>
                <w:color w:val="000000"/>
                <w:sz w:val="16"/>
                <w:szCs w:val="16"/>
              </w:rPr>
              <w:br/>
              <w:t>$'000</w:t>
            </w:r>
          </w:p>
        </w:tc>
      </w:tr>
      <w:tr w:rsidR="000A6549" w:rsidRPr="000A6549" w14:paraId="39E715D8" w14:textId="77777777" w:rsidTr="000A6549">
        <w:trPr>
          <w:trHeight w:val="225"/>
          <w:jc w:val="center"/>
        </w:trPr>
        <w:tc>
          <w:tcPr>
            <w:tcW w:w="3080" w:type="dxa"/>
            <w:tcBorders>
              <w:top w:val="nil"/>
              <w:left w:val="nil"/>
              <w:bottom w:val="nil"/>
              <w:right w:val="nil"/>
            </w:tcBorders>
            <w:shd w:val="clear" w:color="auto" w:fill="auto"/>
            <w:noWrap/>
            <w:vAlign w:val="bottom"/>
            <w:hideMark/>
          </w:tcPr>
          <w:p w14:paraId="77CFB1E7"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 xml:space="preserve">Opening balance as </w:t>
            </w:r>
            <w:proofErr w:type="gramStart"/>
            <w:r w:rsidRPr="000A6549">
              <w:rPr>
                <w:rFonts w:ascii="Arial" w:hAnsi="Arial" w:cs="Arial"/>
                <w:b/>
                <w:bCs/>
                <w:color w:val="000000"/>
                <w:sz w:val="16"/>
                <w:szCs w:val="16"/>
              </w:rPr>
              <w:t>at</w:t>
            </w:r>
            <w:proofErr w:type="gramEnd"/>
            <w:r w:rsidRPr="000A6549">
              <w:rPr>
                <w:rFonts w:ascii="Arial" w:hAnsi="Arial" w:cs="Arial"/>
                <w:b/>
                <w:bCs/>
                <w:color w:val="000000"/>
                <w:sz w:val="16"/>
                <w:szCs w:val="16"/>
              </w:rPr>
              <w:t xml:space="preserve"> 1 July 2023</w:t>
            </w:r>
          </w:p>
        </w:tc>
        <w:tc>
          <w:tcPr>
            <w:tcW w:w="1160" w:type="dxa"/>
            <w:tcBorders>
              <w:top w:val="nil"/>
              <w:left w:val="nil"/>
              <w:bottom w:val="nil"/>
              <w:right w:val="nil"/>
            </w:tcBorders>
            <w:shd w:val="clear" w:color="auto" w:fill="auto"/>
            <w:noWrap/>
            <w:vAlign w:val="bottom"/>
            <w:hideMark/>
          </w:tcPr>
          <w:p w14:paraId="75E8EC17" w14:textId="77777777" w:rsidR="000A6549" w:rsidRPr="000A6549" w:rsidRDefault="000A6549" w:rsidP="000A6549">
            <w:pPr>
              <w:spacing w:before="0" w:after="0" w:line="240" w:lineRule="auto"/>
              <w:rPr>
                <w:rFonts w:ascii="Arial" w:hAnsi="Arial" w:cs="Arial"/>
                <w:b/>
                <w:bCs/>
                <w:color w:val="000000"/>
                <w:sz w:val="16"/>
                <w:szCs w:val="16"/>
              </w:rPr>
            </w:pPr>
          </w:p>
        </w:tc>
        <w:tc>
          <w:tcPr>
            <w:tcW w:w="1240" w:type="dxa"/>
            <w:tcBorders>
              <w:top w:val="nil"/>
              <w:left w:val="nil"/>
              <w:bottom w:val="nil"/>
              <w:right w:val="nil"/>
            </w:tcBorders>
            <w:shd w:val="clear" w:color="auto" w:fill="auto"/>
            <w:noWrap/>
            <w:vAlign w:val="bottom"/>
            <w:hideMark/>
          </w:tcPr>
          <w:p w14:paraId="03B63442" w14:textId="77777777" w:rsidR="000A6549" w:rsidRPr="000A6549" w:rsidRDefault="000A6549" w:rsidP="000A6549">
            <w:pPr>
              <w:spacing w:before="0" w:after="0" w:line="240" w:lineRule="auto"/>
              <w:jc w:val="righ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14:paraId="7FFF6BDD" w14:textId="77777777" w:rsidR="000A6549" w:rsidRPr="000A6549" w:rsidRDefault="000A6549" w:rsidP="000A6549">
            <w:pPr>
              <w:spacing w:before="0" w:after="0" w:line="240" w:lineRule="auto"/>
              <w:jc w:val="right"/>
              <w:rPr>
                <w:rFonts w:ascii="Times New Roman" w:hAnsi="Times New Roman"/>
                <w:sz w:val="20"/>
              </w:rPr>
            </w:pPr>
          </w:p>
        </w:tc>
        <w:tc>
          <w:tcPr>
            <w:tcW w:w="1160" w:type="dxa"/>
            <w:tcBorders>
              <w:top w:val="nil"/>
              <w:left w:val="nil"/>
              <w:bottom w:val="nil"/>
              <w:right w:val="nil"/>
            </w:tcBorders>
            <w:shd w:val="clear" w:color="auto" w:fill="auto"/>
            <w:noWrap/>
            <w:vAlign w:val="bottom"/>
            <w:hideMark/>
          </w:tcPr>
          <w:p w14:paraId="04D9FDB7"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1176CCD6" w14:textId="77777777" w:rsidTr="00350FC8">
        <w:trPr>
          <w:trHeight w:val="454"/>
          <w:jc w:val="center"/>
        </w:trPr>
        <w:tc>
          <w:tcPr>
            <w:tcW w:w="3080" w:type="dxa"/>
            <w:tcBorders>
              <w:top w:val="nil"/>
              <w:left w:val="nil"/>
              <w:bottom w:val="nil"/>
              <w:right w:val="nil"/>
            </w:tcBorders>
            <w:shd w:val="clear" w:color="auto" w:fill="auto"/>
            <w:vAlign w:val="bottom"/>
            <w:hideMark/>
          </w:tcPr>
          <w:p w14:paraId="713DDA6E" w14:textId="77777777" w:rsidR="000A6549" w:rsidRPr="000A6549" w:rsidRDefault="000A6549" w:rsidP="000A6549">
            <w:pPr>
              <w:spacing w:before="0" w:after="0" w:line="240" w:lineRule="auto"/>
              <w:ind w:leftChars="75" w:left="143"/>
              <w:rPr>
                <w:rFonts w:ascii="Arial" w:hAnsi="Arial" w:cs="Arial"/>
                <w:color w:val="000000"/>
                <w:sz w:val="16"/>
                <w:szCs w:val="16"/>
              </w:rPr>
            </w:pPr>
            <w:r w:rsidRPr="000A6549">
              <w:rPr>
                <w:rFonts w:ascii="Arial" w:hAnsi="Arial" w:cs="Arial"/>
                <w:color w:val="000000"/>
                <w:sz w:val="16"/>
                <w:szCs w:val="16"/>
              </w:rPr>
              <w:t>Balance carried forward from previous period</w:t>
            </w:r>
          </w:p>
        </w:tc>
        <w:tc>
          <w:tcPr>
            <w:tcW w:w="1160" w:type="dxa"/>
            <w:tcBorders>
              <w:top w:val="nil"/>
              <w:left w:val="nil"/>
              <w:bottom w:val="nil"/>
              <w:right w:val="nil"/>
            </w:tcBorders>
            <w:shd w:val="clear" w:color="auto" w:fill="auto"/>
            <w:noWrap/>
            <w:vAlign w:val="bottom"/>
            <w:hideMark/>
          </w:tcPr>
          <w:p w14:paraId="6CF19B6E"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(749)</w:t>
            </w:r>
          </w:p>
        </w:tc>
        <w:tc>
          <w:tcPr>
            <w:tcW w:w="1240" w:type="dxa"/>
            <w:tcBorders>
              <w:top w:val="nil"/>
              <w:left w:val="nil"/>
              <w:bottom w:val="nil"/>
              <w:right w:val="nil"/>
            </w:tcBorders>
            <w:shd w:val="clear" w:color="auto" w:fill="auto"/>
            <w:noWrap/>
            <w:vAlign w:val="bottom"/>
            <w:hideMark/>
          </w:tcPr>
          <w:p w14:paraId="0BE4B357"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1,392</w:t>
            </w:r>
          </w:p>
        </w:tc>
        <w:tc>
          <w:tcPr>
            <w:tcW w:w="1240" w:type="dxa"/>
            <w:tcBorders>
              <w:top w:val="nil"/>
              <w:left w:val="nil"/>
              <w:bottom w:val="nil"/>
              <w:right w:val="nil"/>
            </w:tcBorders>
            <w:shd w:val="clear" w:color="auto" w:fill="auto"/>
            <w:noWrap/>
            <w:vAlign w:val="bottom"/>
            <w:hideMark/>
          </w:tcPr>
          <w:p w14:paraId="5FC0C521"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8,306</w:t>
            </w:r>
          </w:p>
        </w:tc>
        <w:tc>
          <w:tcPr>
            <w:tcW w:w="1160" w:type="dxa"/>
            <w:tcBorders>
              <w:top w:val="nil"/>
              <w:left w:val="nil"/>
              <w:bottom w:val="nil"/>
              <w:right w:val="nil"/>
            </w:tcBorders>
            <w:shd w:val="clear" w:color="auto" w:fill="auto"/>
            <w:noWrap/>
            <w:vAlign w:val="bottom"/>
            <w:hideMark/>
          </w:tcPr>
          <w:p w14:paraId="0157697F"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8,949</w:t>
            </w:r>
          </w:p>
        </w:tc>
      </w:tr>
      <w:tr w:rsidR="000A6549" w:rsidRPr="000A6549" w14:paraId="19674D00" w14:textId="77777777" w:rsidTr="00350FC8">
        <w:trPr>
          <w:trHeight w:val="283"/>
          <w:jc w:val="center"/>
        </w:trPr>
        <w:tc>
          <w:tcPr>
            <w:tcW w:w="3080" w:type="dxa"/>
            <w:tcBorders>
              <w:top w:val="nil"/>
              <w:left w:val="nil"/>
              <w:bottom w:val="nil"/>
              <w:right w:val="nil"/>
            </w:tcBorders>
            <w:shd w:val="clear" w:color="auto" w:fill="auto"/>
            <w:noWrap/>
            <w:vAlign w:val="bottom"/>
            <w:hideMark/>
          </w:tcPr>
          <w:p w14:paraId="159CDADA" w14:textId="77777777" w:rsidR="000A6549" w:rsidRPr="000A6549" w:rsidRDefault="000A6549" w:rsidP="000A6549">
            <w:pPr>
              <w:spacing w:before="0" w:after="0" w:line="240" w:lineRule="auto"/>
              <w:ind w:leftChars="75" w:left="143"/>
              <w:rPr>
                <w:rFonts w:ascii="Arial" w:hAnsi="Arial" w:cs="Arial"/>
                <w:sz w:val="16"/>
                <w:szCs w:val="16"/>
              </w:rPr>
            </w:pPr>
            <w:r w:rsidRPr="000A6549">
              <w:rPr>
                <w:rFonts w:ascii="Arial" w:hAnsi="Arial" w:cs="Arial"/>
                <w:sz w:val="16"/>
                <w:szCs w:val="16"/>
              </w:rPr>
              <w:t>Opening balance adjustment</w:t>
            </w:r>
          </w:p>
        </w:tc>
        <w:tc>
          <w:tcPr>
            <w:tcW w:w="1160" w:type="dxa"/>
            <w:tcBorders>
              <w:top w:val="nil"/>
              <w:left w:val="nil"/>
              <w:bottom w:val="nil"/>
              <w:right w:val="nil"/>
            </w:tcBorders>
            <w:shd w:val="clear" w:color="auto" w:fill="auto"/>
            <w:noWrap/>
            <w:vAlign w:val="bottom"/>
            <w:hideMark/>
          </w:tcPr>
          <w:p w14:paraId="3D84A983"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2567CD4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1A3B3EA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6DDEDA3D"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w:t>
            </w:r>
          </w:p>
        </w:tc>
      </w:tr>
      <w:tr w:rsidR="000A6549" w:rsidRPr="000A6549" w14:paraId="7D5823B8" w14:textId="77777777" w:rsidTr="00350FC8">
        <w:trPr>
          <w:trHeight w:val="283"/>
          <w:jc w:val="center"/>
        </w:trPr>
        <w:tc>
          <w:tcPr>
            <w:tcW w:w="3080" w:type="dxa"/>
            <w:tcBorders>
              <w:top w:val="nil"/>
              <w:left w:val="nil"/>
              <w:bottom w:val="nil"/>
              <w:right w:val="nil"/>
            </w:tcBorders>
            <w:shd w:val="clear" w:color="auto" w:fill="auto"/>
            <w:noWrap/>
            <w:vAlign w:val="bottom"/>
            <w:hideMark/>
          </w:tcPr>
          <w:p w14:paraId="2B01AFC6" w14:textId="77777777" w:rsidR="000A6549" w:rsidRPr="000A6549" w:rsidRDefault="000A6549" w:rsidP="000A6549">
            <w:pPr>
              <w:spacing w:before="0" w:after="0" w:line="240" w:lineRule="auto"/>
              <w:ind w:leftChars="75" w:left="143"/>
              <w:rPr>
                <w:rFonts w:ascii="Arial" w:hAnsi="Arial" w:cs="Arial"/>
                <w:sz w:val="16"/>
                <w:szCs w:val="16"/>
              </w:rPr>
            </w:pPr>
            <w:r w:rsidRPr="000A6549">
              <w:rPr>
                <w:rFonts w:ascii="Arial" w:hAnsi="Arial" w:cs="Arial"/>
                <w:sz w:val="16"/>
                <w:szCs w:val="16"/>
              </w:rPr>
              <w:t>Surplus (deficit) for the period</w:t>
            </w:r>
          </w:p>
        </w:tc>
        <w:tc>
          <w:tcPr>
            <w:tcW w:w="1160" w:type="dxa"/>
            <w:tcBorders>
              <w:top w:val="nil"/>
              <w:left w:val="nil"/>
              <w:bottom w:val="nil"/>
              <w:right w:val="nil"/>
            </w:tcBorders>
            <w:shd w:val="clear" w:color="auto" w:fill="auto"/>
            <w:noWrap/>
            <w:vAlign w:val="bottom"/>
            <w:hideMark/>
          </w:tcPr>
          <w:p w14:paraId="7AC1104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(969)</w:t>
            </w:r>
          </w:p>
        </w:tc>
        <w:tc>
          <w:tcPr>
            <w:tcW w:w="1240" w:type="dxa"/>
            <w:tcBorders>
              <w:top w:val="nil"/>
              <w:left w:val="nil"/>
              <w:bottom w:val="nil"/>
              <w:right w:val="nil"/>
            </w:tcBorders>
            <w:shd w:val="clear" w:color="auto" w:fill="auto"/>
            <w:noWrap/>
            <w:vAlign w:val="bottom"/>
            <w:hideMark/>
          </w:tcPr>
          <w:p w14:paraId="5B9B3DD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6DA0B2F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48FF1868"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(969)</w:t>
            </w:r>
          </w:p>
        </w:tc>
      </w:tr>
      <w:tr w:rsidR="000A6549" w:rsidRPr="000A6549" w14:paraId="6045BD7A" w14:textId="77777777" w:rsidTr="00350FC8">
        <w:trPr>
          <w:trHeight w:val="283"/>
          <w:jc w:val="center"/>
        </w:trPr>
        <w:tc>
          <w:tcPr>
            <w:tcW w:w="3080" w:type="dxa"/>
            <w:tcBorders>
              <w:top w:val="nil"/>
              <w:left w:val="nil"/>
              <w:bottom w:val="nil"/>
              <w:right w:val="nil"/>
            </w:tcBorders>
            <w:shd w:val="clear" w:color="auto" w:fill="auto"/>
            <w:noWrap/>
            <w:vAlign w:val="bottom"/>
            <w:hideMark/>
          </w:tcPr>
          <w:p w14:paraId="395F5729" w14:textId="77777777" w:rsidR="000A6549" w:rsidRPr="000A6549" w:rsidRDefault="000A6549" w:rsidP="000A6549">
            <w:pPr>
              <w:spacing w:before="0" w:after="0" w:line="240" w:lineRule="auto"/>
              <w:ind w:leftChars="75" w:left="143"/>
              <w:rPr>
                <w:rFonts w:ascii="Arial" w:hAnsi="Arial" w:cs="Arial"/>
                <w:color w:val="000000"/>
                <w:sz w:val="16"/>
                <w:szCs w:val="16"/>
              </w:rPr>
            </w:pPr>
            <w:r w:rsidRPr="000A6549">
              <w:rPr>
                <w:rFonts w:ascii="Arial" w:hAnsi="Arial" w:cs="Arial"/>
                <w:color w:val="000000"/>
                <w:sz w:val="16"/>
                <w:szCs w:val="16"/>
              </w:rPr>
              <w:t>Appropriation (equity injection)</w:t>
            </w:r>
          </w:p>
        </w:tc>
        <w:tc>
          <w:tcPr>
            <w:tcW w:w="1160" w:type="dxa"/>
            <w:tcBorders>
              <w:top w:val="nil"/>
              <w:left w:val="nil"/>
              <w:bottom w:val="nil"/>
              <w:right w:val="nil"/>
            </w:tcBorders>
            <w:shd w:val="clear" w:color="auto" w:fill="auto"/>
            <w:noWrap/>
            <w:vAlign w:val="bottom"/>
            <w:hideMark/>
          </w:tcPr>
          <w:p w14:paraId="199F898D"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186CAEE8"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w:t>
            </w:r>
          </w:p>
        </w:tc>
        <w:tc>
          <w:tcPr>
            <w:tcW w:w="1240" w:type="dxa"/>
            <w:tcBorders>
              <w:top w:val="nil"/>
              <w:left w:val="nil"/>
              <w:bottom w:val="nil"/>
              <w:right w:val="nil"/>
            </w:tcBorders>
            <w:shd w:val="clear" w:color="auto" w:fill="auto"/>
            <w:noWrap/>
            <w:vAlign w:val="bottom"/>
            <w:hideMark/>
          </w:tcPr>
          <w:p w14:paraId="1C7EB51A"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w:t>
            </w:r>
          </w:p>
        </w:tc>
        <w:tc>
          <w:tcPr>
            <w:tcW w:w="1160" w:type="dxa"/>
            <w:tcBorders>
              <w:top w:val="nil"/>
              <w:left w:val="nil"/>
              <w:bottom w:val="nil"/>
              <w:right w:val="nil"/>
            </w:tcBorders>
            <w:shd w:val="clear" w:color="auto" w:fill="auto"/>
            <w:noWrap/>
            <w:vAlign w:val="bottom"/>
            <w:hideMark/>
          </w:tcPr>
          <w:p w14:paraId="43F67079"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w:t>
            </w:r>
          </w:p>
        </w:tc>
      </w:tr>
      <w:tr w:rsidR="000A6549" w:rsidRPr="000A6549" w14:paraId="79A003D2" w14:textId="77777777" w:rsidTr="00350FC8">
        <w:trPr>
          <w:trHeight w:val="283"/>
          <w:jc w:val="center"/>
        </w:trPr>
        <w:tc>
          <w:tcPr>
            <w:tcW w:w="3080" w:type="dxa"/>
            <w:tcBorders>
              <w:top w:val="nil"/>
              <w:left w:val="nil"/>
              <w:bottom w:val="nil"/>
              <w:right w:val="nil"/>
            </w:tcBorders>
            <w:shd w:val="clear" w:color="000000" w:fill="FFFFFF"/>
            <w:noWrap/>
            <w:vAlign w:val="bottom"/>
            <w:hideMark/>
          </w:tcPr>
          <w:p w14:paraId="6E82E442" w14:textId="77777777" w:rsidR="000A6549" w:rsidRPr="000A6549" w:rsidRDefault="000A6549" w:rsidP="000A6549">
            <w:pPr>
              <w:spacing w:before="0" w:after="0" w:line="240" w:lineRule="auto"/>
              <w:ind w:leftChars="75" w:left="143"/>
              <w:rPr>
                <w:rFonts w:ascii="Arial" w:hAnsi="Arial" w:cs="Arial"/>
                <w:sz w:val="16"/>
                <w:szCs w:val="16"/>
              </w:rPr>
            </w:pPr>
            <w:r w:rsidRPr="000A6549">
              <w:rPr>
                <w:rFonts w:ascii="Arial" w:hAnsi="Arial" w:cs="Arial"/>
                <w:sz w:val="16"/>
                <w:szCs w:val="16"/>
              </w:rPr>
              <w:t>Capital budget - Bill 1 (DCB)</w:t>
            </w:r>
          </w:p>
        </w:tc>
        <w:tc>
          <w:tcPr>
            <w:tcW w:w="1160" w:type="dxa"/>
            <w:tcBorders>
              <w:top w:val="nil"/>
              <w:left w:val="nil"/>
              <w:bottom w:val="single" w:sz="4" w:space="0" w:color="auto"/>
              <w:right w:val="nil"/>
            </w:tcBorders>
            <w:shd w:val="clear" w:color="auto" w:fill="auto"/>
            <w:noWrap/>
            <w:vAlign w:val="bottom"/>
            <w:hideMark/>
          </w:tcPr>
          <w:p w14:paraId="2E7BAA3E"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w:t>
            </w:r>
          </w:p>
        </w:tc>
        <w:tc>
          <w:tcPr>
            <w:tcW w:w="1240" w:type="dxa"/>
            <w:tcBorders>
              <w:top w:val="nil"/>
              <w:left w:val="nil"/>
              <w:bottom w:val="single" w:sz="4" w:space="0" w:color="auto"/>
              <w:right w:val="nil"/>
            </w:tcBorders>
            <w:shd w:val="clear" w:color="auto" w:fill="auto"/>
            <w:noWrap/>
            <w:vAlign w:val="bottom"/>
            <w:hideMark/>
          </w:tcPr>
          <w:p w14:paraId="593EE683"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w:t>
            </w:r>
          </w:p>
        </w:tc>
        <w:tc>
          <w:tcPr>
            <w:tcW w:w="1240" w:type="dxa"/>
            <w:tcBorders>
              <w:top w:val="nil"/>
              <w:left w:val="nil"/>
              <w:bottom w:val="single" w:sz="4" w:space="0" w:color="auto"/>
              <w:right w:val="nil"/>
            </w:tcBorders>
            <w:shd w:val="clear" w:color="auto" w:fill="auto"/>
            <w:noWrap/>
            <w:vAlign w:val="bottom"/>
            <w:hideMark/>
          </w:tcPr>
          <w:p w14:paraId="5D1E0F32"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1,378</w:t>
            </w:r>
          </w:p>
        </w:tc>
        <w:tc>
          <w:tcPr>
            <w:tcW w:w="1160" w:type="dxa"/>
            <w:tcBorders>
              <w:top w:val="nil"/>
              <w:left w:val="nil"/>
              <w:bottom w:val="single" w:sz="4" w:space="0" w:color="auto"/>
              <w:right w:val="nil"/>
            </w:tcBorders>
            <w:shd w:val="clear" w:color="auto" w:fill="auto"/>
            <w:noWrap/>
            <w:vAlign w:val="bottom"/>
            <w:hideMark/>
          </w:tcPr>
          <w:p w14:paraId="6539E8AC"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1,378</w:t>
            </w:r>
          </w:p>
        </w:tc>
      </w:tr>
      <w:tr w:rsidR="000A6549" w:rsidRPr="000A6549" w14:paraId="49B37868" w14:textId="77777777" w:rsidTr="00350FC8">
        <w:trPr>
          <w:trHeight w:val="454"/>
          <w:jc w:val="center"/>
        </w:trPr>
        <w:tc>
          <w:tcPr>
            <w:tcW w:w="3080" w:type="dxa"/>
            <w:tcBorders>
              <w:top w:val="nil"/>
              <w:left w:val="nil"/>
              <w:bottom w:val="single" w:sz="4" w:space="0" w:color="auto"/>
              <w:right w:val="nil"/>
            </w:tcBorders>
            <w:shd w:val="clear" w:color="auto" w:fill="auto"/>
            <w:vAlign w:val="bottom"/>
            <w:hideMark/>
          </w:tcPr>
          <w:p w14:paraId="0ABF7A5D"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Estimated closing balance as at</w:t>
            </w:r>
            <w:r w:rsidRPr="000A6549">
              <w:rPr>
                <w:rFonts w:ascii="Arial" w:hAnsi="Arial" w:cs="Arial"/>
                <w:b/>
                <w:bCs/>
                <w:color w:val="000000"/>
                <w:sz w:val="16"/>
                <w:szCs w:val="16"/>
              </w:rPr>
              <w:br/>
              <w:t>30 June 2024</w:t>
            </w:r>
          </w:p>
        </w:tc>
        <w:tc>
          <w:tcPr>
            <w:tcW w:w="1160" w:type="dxa"/>
            <w:tcBorders>
              <w:top w:val="nil"/>
              <w:left w:val="nil"/>
              <w:bottom w:val="single" w:sz="4" w:space="0" w:color="auto"/>
              <w:right w:val="nil"/>
            </w:tcBorders>
            <w:shd w:val="clear" w:color="auto" w:fill="auto"/>
            <w:noWrap/>
            <w:vAlign w:val="bottom"/>
            <w:hideMark/>
          </w:tcPr>
          <w:p w14:paraId="6EC60AFD"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(1,718)</w:t>
            </w:r>
          </w:p>
        </w:tc>
        <w:tc>
          <w:tcPr>
            <w:tcW w:w="1240" w:type="dxa"/>
            <w:tcBorders>
              <w:top w:val="nil"/>
              <w:left w:val="nil"/>
              <w:bottom w:val="single" w:sz="4" w:space="0" w:color="auto"/>
              <w:right w:val="nil"/>
            </w:tcBorders>
            <w:shd w:val="clear" w:color="auto" w:fill="auto"/>
            <w:noWrap/>
            <w:vAlign w:val="bottom"/>
            <w:hideMark/>
          </w:tcPr>
          <w:p w14:paraId="3EA07782"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1,392</w:t>
            </w:r>
          </w:p>
        </w:tc>
        <w:tc>
          <w:tcPr>
            <w:tcW w:w="1240" w:type="dxa"/>
            <w:tcBorders>
              <w:top w:val="nil"/>
              <w:left w:val="nil"/>
              <w:bottom w:val="single" w:sz="4" w:space="0" w:color="auto"/>
              <w:right w:val="nil"/>
            </w:tcBorders>
            <w:shd w:val="clear" w:color="auto" w:fill="auto"/>
            <w:noWrap/>
            <w:vAlign w:val="bottom"/>
            <w:hideMark/>
          </w:tcPr>
          <w:p w14:paraId="2D1589C6"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9,684</w:t>
            </w:r>
          </w:p>
        </w:tc>
        <w:tc>
          <w:tcPr>
            <w:tcW w:w="1160" w:type="dxa"/>
            <w:tcBorders>
              <w:top w:val="nil"/>
              <w:left w:val="nil"/>
              <w:bottom w:val="single" w:sz="4" w:space="0" w:color="auto"/>
              <w:right w:val="nil"/>
            </w:tcBorders>
            <w:shd w:val="clear" w:color="auto" w:fill="auto"/>
            <w:noWrap/>
            <w:vAlign w:val="bottom"/>
            <w:hideMark/>
          </w:tcPr>
          <w:p w14:paraId="2E5338B6" w14:textId="77777777" w:rsidR="000A6549" w:rsidRPr="000A6549" w:rsidRDefault="000A6549" w:rsidP="000A6549">
            <w:pPr>
              <w:spacing w:before="0" w:after="0" w:line="240" w:lineRule="auto"/>
              <w:jc w:val="right"/>
              <w:rPr>
                <w:rFonts w:ascii="Arial" w:hAnsi="Arial" w:cs="Arial"/>
                <w:b/>
                <w:bCs/>
                <w:color w:val="000000"/>
                <w:sz w:val="16"/>
                <w:szCs w:val="16"/>
              </w:rPr>
            </w:pPr>
            <w:r w:rsidRPr="000A6549">
              <w:rPr>
                <w:rFonts w:ascii="Arial" w:hAnsi="Arial" w:cs="Arial"/>
                <w:b/>
                <w:bCs/>
                <w:color w:val="000000"/>
                <w:sz w:val="16"/>
                <w:szCs w:val="16"/>
              </w:rPr>
              <w:t>9,358</w:t>
            </w:r>
          </w:p>
        </w:tc>
      </w:tr>
    </w:tbl>
    <w:p w14:paraId="2F6BA3C7" w14:textId="6CD3F906" w:rsidR="00526CE6" w:rsidRPr="00F46B78" w:rsidRDefault="00526CE6" w:rsidP="000A6549">
      <w:pPr>
        <w:pStyle w:val="FootnoteText"/>
        <w:spacing w:before="120"/>
      </w:pPr>
      <w:r w:rsidRPr="00F46B78">
        <w:t>DCB = Departmental Capital Budget</w:t>
      </w:r>
    </w:p>
    <w:p w14:paraId="4F76D160" w14:textId="77777777" w:rsidR="00526CE6" w:rsidRPr="00134C8D" w:rsidRDefault="00526CE6" w:rsidP="00526CE6">
      <w:pPr>
        <w:spacing w:before="120" w:after="0" w:line="240" w:lineRule="auto"/>
        <w:rPr>
          <w:rFonts w:ascii="Arial" w:hAnsi="Arial" w:cs="Arial"/>
          <w:sz w:val="16"/>
          <w:szCs w:val="16"/>
        </w:rPr>
      </w:pPr>
    </w:p>
    <w:p w14:paraId="482DD2E4" w14:textId="77777777" w:rsidR="00303B77" w:rsidRDefault="00303B77">
      <w:pPr>
        <w:spacing w:before="0" w:after="0" w:line="240" w:lineRule="auto"/>
        <w:rPr>
          <w:rFonts w:ascii="Arial" w:hAnsi="Arial"/>
          <w:b/>
          <w:snapToGrid w:val="0"/>
          <w:sz w:val="20"/>
        </w:rPr>
      </w:pPr>
      <w:r>
        <w:rPr>
          <w:snapToGrid w:val="0"/>
        </w:rPr>
        <w:br w:type="page"/>
      </w:r>
    </w:p>
    <w:p w14:paraId="1C4B1FAD" w14:textId="30D07539" w:rsidR="00526CE6" w:rsidRDefault="00526CE6" w:rsidP="00526CE6">
      <w:pPr>
        <w:pStyle w:val="TableHeading"/>
        <w:spacing w:before="0"/>
        <w:rPr>
          <w:snapToGrid w:val="0"/>
        </w:rPr>
      </w:pPr>
      <w:r>
        <w:rPr>
          <w:snapToGrid w:val="0"/>
        </w:rPr>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7880" w:type="dxa"/>
        <w:jc w:val="center"/>
        <w:tblLayout w:type="fixed"/>
        <w:tblLook w:val="04A0" w:firstRow="1" w:lastRow="0" w:firstColumn="1" w:lastColumn="0" w:noHBand="0" w:noVBand="1"/>
      </w:tblPr>
      <w:tblGrid>
        <w:gridCol w:w="3141"/>
        <w:gridCol w:w="944"/>
        <w:gridCol w:w="948"/>
        <w:gridCol w:w="949"/>
        <w:gridCol w:w="949"/>
        <w:gridCol w:w="949"/>
      </w:tblGrid>
      <w:tr w:rsidR="000A6549" w:rsidRPr="000A6549" w14:paraId="68ADC555" w14:textId="77777777" w:rsidTr="000A6549">
        <w:trPr>
          <w:trHeight w:val="765"/>
          <w:jc w:val="center"/>
        </w:trPr>
        <w:tc>
          <w:tcPr>
            <w:tcW w:w="3141" w:type="dxa"/>
            <w:tcBorders>
              <w:top w:val="single" w:sz="4" w:space="0" w:color="auto"/>
              <w:left w:val="nil"/>
              <w:bottom w:val="nil"/>
              <w:right w:val="nil"/>
            </w:tcBorders>
            <w:shd w:val="clear" w:color="auto" w:fill="auto"/>
            <w:vAlign w:val="bottom"/>
            <w:hideMark/>
          </w:tcPr>
          <w:p w14:paraId="404796E5" w14:textId="77777777" w:rsidR="000A6549" w:rsidRPr="000A6549" w:rsidRDefault="000A6549" w:rsidP="000A6549">
            <w:pPr>
              <w:spacing w:before="24"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4" w:type="dxa"/>
            <w:tcBorders>
              <w:top w:val="single" w:sz="4" w:space="0" w:color="auto"/>
              <w:left w:val="nil"/>
              <w:bottom w:val="single" w:sz="4" w:space="0" w:color="auto"/>
              <w:right w:val="nil"/>
            </w:tcBorders>
            <w:shd w:val="clear" w:color="auto" w:fill="auto"/>
            <w:vAlign w:val="bottom"/>
            <w:hideMark/>
          </w:tcPr>
          <w:p w14:paraId="1574B1CD" w14:textId="13A68CA6" w:rsidR="000A6549" w:rsidRPr="000A6549" w:rsidRDefault="000A6549" w:rsidP="000A6549">
            <w:pPr>
              <w:spacing w:before="24" w:after="0" w:line="240" w:lineRule="auto"/>
              <w:jc w:val="right"/>
              <w:rPr>
                <w:rFonts w:ascii="Arial" w:hAnsi="Arial" w:cs="Arial"/>
                <w:b/>
                <w:bCs/>
                <w:sz w:val="16"/>
                <w:szCs w:val="16"/>
              </w:rPr>
            </w:pPr>
            <w:r>
              <w:rPr>
                <w:rFonts w:ascii="Arial" w:hAnsi="Arial" w:cs="Arial"/>
                <w:b/>
                <w:bCs/>
                <w:sz w:val="16"/>
                <w:szCs w:val="16"/>
              </w:rPr>
              <w:t>2022–</w:t>
            </w:r>
            <w:r w:rsidRPr="000A6549">
              <w:rPr>
                <w:rFonts w:ascii="Arial" w:hAnsi="Arial" w:cs="Arial"/>
                <w:b/>
                <w:bCs/>
                <w:sz w:val="16"/>
                <w:szCs w:val="16"/>
              </w:rPr>
              <w:t>23</w:t>
            </w:r>
            <w:r w:rsidRPr="000A6549">
              <w:rPr>
                <w:rFonts w:ascii="Arial" w:hAnsi="Arial" w:cs="Arial"/>
                <w:b/>
                <w:bCs/>
                <w:sz w:val="16"/>
                <w:szCs w:val="16"/>
              </w:rPr>
              <w:br/>
              <w:t>Actual</w:t>
            </w:r>
            <w:r w:rsidRPr="000A6549">
              <w:rPr>
                <w:rFonts w:ascii="Arial" w:hAnsi="Arial" w:cs="Arial"/>
                <w:b/>
                <w:bCs/>
                <w:sz w:val="16"/>
                <w:szCs w:val="16"/>
              </w:rPr>
              <w:br/>
            </w:r>
            <w:r w:rsidRPr="000A6549">
              <w:rPr>
                <w:rFonts w:ascii="Arial" w:hAnsi="Arial" w:cs="Arial"/>
                <w:b/>
                <w:bCs/>
                <w:sz w:val="16"/>
                <w:szCs w:val="16"/>
              </w:rPr>
              <w:br/>
            </w:r>
            <w:r w:rsidRPr="000A6549">
              <w:rPr>
                <w:rFonts w:ascii="Arial" w:hAnsi="Arial" w:cs="Arial"/>
                <w:sz w:val="16"/>
                <w:szCs w:val="16"/>
              </w:rPr>
              <w:t>$'000</w:t>
            </w:r>
          </w:p>
        </w:tc>
        <w:tc>
          <w:tcPr>
            <w:tcW w:w="948" w:type="dxa"/>
            <w:tcBorders>
              <w:top w:val="single" w:sz="4" w:space="0" w:color="auto"/>
              <w:left w:val="nil"/>
              <w:bottom w:val="single" w:sz="4" w:space="0" w:color="auto"/>
              <w:right w:val="nil"/>
            </w:tcBorders>
            <w:shd w:val="clear" w:color="000000" w:fill="D9D9D9"/>
            <w:vAlign w:val="bottom"/>
            <w:hideMark/>
          </w:tcPr>
          <w:p w14:paraId="38D5BA73" w14:textId="2D463BDE" w:rsidR="000A6549" w:rsidRPr="000A6549" w:rsidRDefault="000A6549" w:rsidP="000A6549">
            <w:pPr>
              <w:spacing w:before="24" w:after="0" w:line="240" w:lineRule="auto"/>
              <w:jc w:val="right"/>
              <w:rPr>
                <w:rFonts w:ascii="Arial" w:hAnsi="Arial" w:cs="Arial"/>
                <w:b/>
                <w:bCs/>
                <w:sz w:val="16"/>
                <w:szCs w:val="16"/>
              </w:rPr>
            </w:pPr>
            <w:r>
              <w:rPr>
                <w:rFonts w:ascii="Arial" w:hAnsi="Arial" w:cs="Arial"/>
                <w:b/>
                <w:bCs/>
                <w:sz w:val="16"/>
                <w:szCs w:val="16"/>
              </w:rPr>
              <w:t>2023–</w:t>
            </w:r>
            <w:r w:rsidRPr="000A6549">
              <w:rPr>
                <w:rFonts w:ascii="Arial" w:hAnsi="Arial" w:cs="Arial"/>
                <w:b/>
                <w:bCs/>
                <w:sz w:val="16"/>
                <w:szCs w:val="16"/>
              </w:rPr>
              <w:t>24</w:t>
            </w:r>
            <w:r w:rsidRPr="000A6549">
              <w:rPr>
                <w:rFonts w:ascii="Arial" w:hAnsi="Arial" w:cs="Arial"/>
                <w:b/>
                <w:bCs/>
                <w:sz w:val="16"/>
                <w:szCs w:val="16"/>
              </w:rPr>
              <w:br/>
              <w:t>Revised</w:t>
            </w:r>
            <w:r w:rsidRPr="000A6549">
              <w:rPr>
                <w:rFonts w:ascii="Arial" w:hAnsi="Arial" w:cs="Arial"/>
                <w:b/>
                <w:bCs/>
                <w:sz w:val="16"/>
                <w:szCs w:val="16"/>
              </w:rPr>
              <w:br/>
              <w:t>Budget</w:t>
            </w:r>
            <w:r w:rsidRPr="000A6549">
              <w:rPr>
                <w:rFonts w:ascii="Arial" w:hAnsi="Arial" w:cs="Arial"/>
                <w:b/>
                <w:bCs/>
                <w:sz w:val="16"/>
                <w:szCs w:val="16"/>
              </w:rPr>
              <w:br/>
            </w:r>
            <w:r w:rsidRPr="000A6549">
              <w:rPr>
                <w:rFonts w:ascii="Arial" w:hAnsi="Arial" w:cs="Arial"/>
                <w:sz w:val="16"/>
                <w:szCs w:val="16"/>
              </w:rPr>
              <w:t>$'000</w:t>
            </w:r>
          </w:p>
        </w:tc>
        <w:tc>
          <w:tcPr>
            <w:tcW w:w="949" w:type="dxa"/>
            <w:tcBorders>
              <w:top w:val="single" w:sz="4" w:space="0" w:color="auto"/>
              <w:left w:val="nil"/>
              <w:bottom w:val="single" w:sz="4" w:space="0" w:color="auto"/>
              <w:right w:val="nil"/>
            </w:tcBorders>
            <w:shd w:val="clear" w:color="auto" w:fill="auto"/>
            <w:vAlign w:val="bottom"/>
            <w:hideMark/>
          </w:tcPr>
          <w:p w14:paraId="7A5E915C" w14:textId="248A592E" w:rsidR="000A6549" w:rsidRPr="000A6549" w:rsidRDefault="000A6549" w:rsidP="000A6549">
            <w:pPr>
              <w:spacing w:before="24" w:after="0" w:line="240" w:lineRule="auto"/>
              <w:jc w:val="right"/>
              <w:rPr>
                <w:rFonts w:ascii="Arial" w:hAnsi="Arial" w:cs="Arial"/>
                <w:b/>
                <w:bCs/>
                <w:sz w:val="16"/>
                <w:szCs w:val="16"/>
              </w:rPr>
            </w:pPr>
            <w:r w:rsidRPr="000A6549">
              <w:rPr>
                <w:rFonts w:ascii="Arial" w:hAnsi="Arial" w:cs="Arial"/>
                <w:b/>
                <w:bCs/>
                <w:sz w:val="16"/>
                <w:szCs w:val="16"/>
              </w:rPr>
              <w:t>2024</w:t>
            </w:r>
            <w:r>
              <w:rPr>
                <w:rFonts w:ascii="Arial" w:hAnsi="Arial" w:cs="Arial"/>
                <w:b/>
                <w:bCs/>
                <w:sz w:val="16"/>
                <w:szCs w:val="16"/>
              </w:rPr>
              <w:t>–</w:t>
            </w:r>
            <w:r w:rsidRPr="000A6549">
              <w:rPr>
                <w:rFonts w:ascii="Arial" w:hAnsi="Arial" w:cs="Arial"/>
                <w:b/>
                <w:bCs/>
                <w:sz w:val="16"/>
                <w:szCs w:val="16"/>
              </w:rPr>
              <w:t>25 Forward estimate</w:t>
            </w:r>
            <w:r w:rsidRPr="000A6549">
              <w:rPr>
                <w:rFonts w:ascii="Arial" w:hAnsi="Arial" w:cs="Arial"/>
                <w:b/>
                <w:bCs/>
                <w:sz w:val="16"/>
                <w:szCs w:val="16"/>
              </w:rPr>
              <w:br/>
            </w:r>
            <w:r w:rsidRPr="000A6549">
              <w:rPr>
                <w:rFonts w:ascii="Arial" w:hAnsi="Arial" w:cs="Arial"/>
                <w:sz w:val="16"/>
                <w:szCs w:val="16"/>
              </w:rPr>
              <w:t>$'000</w:t>
            </w:r>
          </w:p>
        </w:tc>
        <w:tc>
          <w:tcPr>
            <w:tcW w:w="949" w:type="dxa"/>
            <w:tcBorders>
              <w:top w:val="single" w:sz="4" w:space="0" w:color="auto"/>
              <w:left w:val="nil"/>
              <w:bottom w:val="single" w:sz="4" w:space="0" w:color="auto"/>
              <w:right w:val="nil"/>
            </w:tcBorders>
            <w:shd w:val="clear" w:color="auto" w:fill="auto"/>
            <w:vAlign w:val="bottom"/>
            <w:hideMark/>
          </w:tcPr>
          <w:p w14:paraId="18FB707C" w14:textId="6ECA9A6A" w:rsidR="000A6549" w:rsidRPr="000A6549" w:rsidRDefault="000A6549" w:rsidP="000A6549">
            <w:pPr>
              <w:spacing w:before="24" w:after="0" w:line="240" w:lineRule="auto"/>
              <w:jc w:val="right"/>
              <w:rPr>
                <w:rFonts w:ascii="Arial" w:hAnsi="Arial" w:cs="Arial"/>
                <w:b/>
                <w:bCs/>
                <w:sz w:val="16"/>
                <w:szCs w:val="16"/>
              </w:rPr>
            </w:pPr>
            <w:r>
              <w:rPr>
                <w:rFonts w:ascii="Arial" w:hAnsi="Arial" w:cs="Arial"/>
                <w:b/>
                <w:bCs/>
                <w:sz w:val="16"/>
                <w:szCs w:val="16"/>
              </w:rPr>
              <w:t>2025–</w:t>
            </w:r>
            <w:r w:rsidRPr="000A6549">
              <w:rPr>
                <w:rFonts w:ascii="Arial" w:hAnsi="Arial" w:cs="Arial"/>
                <w:b/>
                <w:bCs/>
                <w:sz w:val="16"/>
                <w:szCs w:val="16"/>
              </w:rPr>
              <w:t>26 Forward estimate</w:t>
            </w:r>
            <w:r w:rsidRPr="000A6549">
              <w:rPr>
                <w:rFonts w:ascii="Arial" w:hAnsi="Arial" w:cs="Arial"/>
                <w:b/>
                <w:bCs/>
                <w:sz w:val="16"/>
                <w:szCs w:val="16"/>
              </w:rPr>
              <w:br/>
            </w:r>
            <w:r w:rsidRPr="000A6549">
              <w:rPr>
                <w:rFonts w:ascii="Arial" w:hAnsi="Arial" w:cs="Arial"/>
                <w:sz w:val="16"/>
                <w:szCs w:val="16"/>
              </w:rPr>
              <w:t>$'000</w:t>
            </w:r>
          </w:p>
        </w:tc>
        <w:tc>
          <w:tcPr>
            <w:tcW w:w="949" w:type="dxa"/>
            <w:tcBorders>
              <w:top w:val="single" w:sz="4" w:space="0" w:color="auto"/>
              <w:left w:val="nil"/>
              <w:bottom w:val="single" w:sz="4" w:space="0" w:color="auto"/>
              <w:right w:val="nil"/>
            </w:tcBorders>
            <w:shd w:val="clear" w:color="auto" w:fill="auto"/>
            <w:vAlign w:val="bottom"/>
            <w:hideMark/>
          </w:tcPr>
          <w:p w14:paraId="0116F47B" w14:textId="6736FFCD" w:rsidR="000A6549" w:rsidRPr="000A6549" w:rsidRDefault="000A6549" w:rsidP="000A6549">
            <w:pPr>
              <w:spacing w:before="24" w:after="0" w:line="240" w:lineRule="auto"/>
              <w:jc w:val="right"/>
              <w:rPr>
                <w:rFonts w:ascii="Arial" w:hAnsi="Arial" w:cs="Arial"/>
                <w:b/>
                <w:bCs/>
                <w:sz w:val="16"/>
                <w:szCs w:val="16"/>
              </w:rPr>
            </w:pPr>
            <w:r w:rsidRPr="000A6549">
              <w:rPr>
                <w:rFonts w:ascii="Arial" w:hAnsi="Arial" w:cs="Arial"/>
                <w:b/>
                <w:bCs/>
                <w:sz w:val="16"/>
                <w:szCs w:val="16"/>
              </w:rPr>
              <w:t>2026</w:t>
            </w:r>
            <w:r>
              <w:rPr>
                <w:rFonts w:ascii="Arial" w:hAnsi="Arial" w:cs="Arial"/>
                <w:b/>
                <w:bCs/>
                <w:sz w:val="16"/>
                <w:szCs w:val="16"/>
              </w:rPr>
              <w:t>–</w:t>
            </w:r>
            <w:r w:rsidRPr="000A6549">
              <w:rPr>
                <w:rFonts w:ascii="Arial" w:hAnsi="Arial" w:cs="Arial"/>
                <w:b/>
                <w:bCs/>
                <w:sz w:val="16"/>
                <w:szCs w:val="16"/>
              </w:rPr>
              <w:t>27 Forward estimate</w:t>
            </w:r>
            <w:r w:rsidRPr="000A6549">
              <w:rPr>
                <w:rFonts w:ascii="Arial" w:hAnsi="Arial" w:cs="Arial"/>
                <w:b/>
                <w:bCs/>
                <w:sz w:val="16"/>
                <w:szCs w:val="16"/>
              </w:rPr>
              <w:br/>
            </w:r>
            <w:r w:rsidRPr="000A6549">
              <w:rPr>
                <w:rFonts w:ascii="Arial" w:hAnsi="Arial" w:cs="Arial"/>
                <w:sz w:val="16"/>
                <w:szCs w:val="16"/>
              </w:rPr>
              <w:t>$'000</w:t>
            </w:r>
          </w:p>
        </w:tc>
      </w:tr>
      <w:tr w:rsidR="000A6549" w:rsidRPr="000A6549" w14:paraId="47EA7BAB"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6D7845FD"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OPERATING ACTIVITIES</w:t>
            </w:r>
          </w:p>
        </w:tc>
        <w:tc>
          <w:tcPr>
            <w:tcW w:w="944" w:type="dxa"/>
            <w:tcBorders>
              <w:top w:val="single" w:sz="4" w:space="0" w:color="auto"/>
              <w:left w:val="nil"/>
              <w:bottom w:val="nil"/>
              <w:right w:val="nil"/>
            </w:tcBorders>
            <w:shd w:val="clear" w:color="auto" w:fill="auto"/>
            <w:noWrap/>
            <w:vAlign w:val="bottom"/>
            <w:hideMark/>
          </w:tcPr>
          <w:p w14:paraId="3A21E6BC"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8" w:type="dxa"/>
            <w:tcBorders>
              <w:top w:val="single" w:sz="4" w:space="0" w:color="auto"/>
              <w:left w:val="nil"/>
              <w:bottom w:val="nil"/>
              <w:right w:val="nil"/>
            </w:tcBorders>
            <w:shd w:val="clear" w:color="000000" w:fill="D9D9D9"/>
            <w:noWrap/>
            <w:vAlign w:val="bottom"/>
            <w:hideMark/>
          </w:tcPr>
          <w:p w14:paraId="419D7C75"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9" w:type="dxa"/>
            <w:tcBorders>
              <w:top w:val="single" w:sz="4" w:space="0" w:color="auto"/>
              <w:left w:val="nil"/>
              <w:bottom w:val="nil"/>
              <w:right w:val="nil"/>
            </w:tcBorders>
            <w:shd w:val="clear" w:color="auto" w:fill="auto"/>
            <w:noWrap/>
            <w:vAlign w:val="bottom"/>
            <w:hideMark/>
          </w:tcPr>
          <w:p w14:paraId="51BC7D41"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9" w:type="dxa"/>
            <w:tcBorders>
              <w:top w:val="single" w:sz="4" w:space="0" w:color="auto"/>
              <w:left w:val="nil"/>
              <w:bottom w:val="nil"/>
              <w:right w:val="nil"/>
            </w:tcBorders>
            <w:shd w:val="clear" w:color="auto" w:fill="auto"/>
            <w:noWrap/>
            <w:vAlign w:val="bottom"/>
            <w:hideMark/>
          </w:tcPr>
          <w:p w14:paraId="471DFDE8"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9" w:type="dxa"/>
            <w:tcBorders>
              <w:top w:val="single" w:sz="4" w:space="0" w:color="auto"/>
              <w:left w:val="nil"/>
              <w:bottom w:val="nil"/>
              <w:right w:val="nil"/>
            </w:tcBorders>
            <w:shd w:val="clear" w:color="auto" w:fill="auto"/>
            <w:noWrap/>
            <w:vAlign w:val="bottom"/>
            <w:hideMark/>
          </w:tcPr>
          <w:p w14:paraId="64A27835"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r>
      <w:tr w:rsidR="000A6549" w:rsidRPr="000A6549" w14:paraId="24D44528"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99736FA"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Cash received</w:t>
            </w:r>
          </w:p>
        </w:tc>
        <w:tc>
          <w:tcPr>
            <w:tcW w:w="944" w:type="dxa"/>
            <w:tcBorders>
              <w:top w:val="nil"/>
              <w:left w:val="nil"/>
              <w:bottom w:val="nil"/>
              <w:right w:val="nil"/>
            </w:tcBorders>
            <w:shd w:val="clear" w:color="auto" w:fill="auto"/>
            <w:noWrap/>
            <w:vAlign w:val="bottom"/>
            <w:hideMark/>
          </w:tcPr>
          <w:p w14:paraId="0924BEDC" w14:textId="77777777" w:rsidR="000A6549" w:rsidRPr="000A6549" w:rsidRDefault="000A6549" w:rsidP="000A6549">
            <w:pPr>
              <w:spacing w:before="0" w:after="0" w:line="240" w:lineRule="auto"/>
              <w:ind w:firstLineChars="100" w:firstLine="161"/>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61BAAD93" w14:textId="77777777" w:rsidR="000A6549" w:rsidRPr="000A6549" w:rsidRDefault="000A6549" w:rsidP="000A6549">
            <w:pPr>
              <w:spacing w:before="0" w:after="0" w:line="240" w:lineRule="auto"/>
              <w:jc w:val="right"/>
              <w:rPr>
                <w:rFonts w:ascii="Arial" w:hAnsi="Arial" w:cs="Arial"/>
                <w:color w:val="000000"/>
                <w:sz w:val="16"/>
                <w:szCs w:val="16"/>
              </w:rPr>
            </w:pPr>
            <w:r w:rsidRPr="000A6549">
              <w:rPr>
                <w:rFonts w:ascii="Arial" w:hAnsi="Arial" w:cs="Arial"/>
                <w:color w:val="000000"/>
                <w:sz w:val="16"/>
                <w:szCs w:val="16"/>
              </w:rPr>
              <w:t> </w:t>
            </w:r>
          </w:p>
        </w:tc>
        <w:tc>
          <w:tcPr>
            <w:tcW w:w="949" w:type="dxa"/>
            <w:tcBorders>
              <w:top w:val="nil"/>
              <w:left w:val="nil"/>
              <w:bottom w:val="nil"/>
              <w:right w:val="nil"/>
            </w:tcBorders>
            <w:shd w:val="clear" w:color="auto" w:fill="auto"/>
            <w:noWrap/>
            <w:vAlign w:val="bottom"/>
            <w:hideMark/>
          </w:tcPr>
          <w:p w14:paraId="51A1CE52" w14:textId="77777777" w:rsidR="000A6549" w:rsidRPr="000A6549" w:rsidRDefault="000A6549" w:rsidP="000A6549">
            <w:pPr>
              <w:spacing w:before="0" w:after="0" w:line="240" w:lineRule="auto"/>
              <w:jc w:val="right"/>
              <w:rPr>
                <w:rFonts w:ascii="Arial" w:hAnsi="Arial" w:cs="Arial"/>
                <w:color w:val="000000"/>
                <w:sz w:val="16"/>
                <w:szCs w:val="16"/>
              </w:rPr>
            </w:pPr>
          </w:p>
        </w:tc>
        <w:tc>
          <w:tcPr>
            <w:tcW w:w="949" w:type="dxa"/>
            <w:tcBorders>
              <w:top w:val="nil"/>
              <w:left w:val="nil"/>
              <w:bottom w:val="nil"/>
              <w:right w:val="nil"/>
            </w:tcBorders>
            <w:shd w:val="clear" w:color="auto" w:fill="auto"/>
            <w:noWrap/>
            <w:vAlign w:val="bottom"/>
            <w:hideMark/>
          </w:tcPr>
          <w:p w14:paraId="47750B89"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70486840"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599464A6"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7E6DC434"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Appropriations</w:t>
            </w:r>
          </w:p>
        </w:tc>
        <w:tc>
          <w:tcPr>
            <w:tcW w:w="944" w:type="dxa"/>
            <w:tcBorders>
              <w:top w:val="nil"/>
              <w:left w:val="nil"/>
              <w:bottom w:val="nil"/>
              <w:right w:val="nil"/>
            </w:tcBorders>
            <w:shd w:val="clear" w:color="auto" w:fill="auto"/>
            <w:noWrap/>
            <w:vAlign w:val="bottom"/>
            <w:hideMark/>
          </w:tcPr>
          <w:p w14:paraId="540CF35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37,396</w:t>
            </w:r>
          </w:p>
        </w:tc>
        <w:tc>
          <w:tcPr>
            <w:tcW w:w="948" w:type="dxa"/>
            <w:tcBorders>
              <w:top w:val="nil"/>
              <w:left w:val="nil"/>
              <w:bottom w:val="nil"/>
              <w:right w:val="nil"/>
            </w:tcBorders>
            <w:shd w:val="clear" w:color="000000" w:fill="D9D9D9"/>
            <w:noWrap/>
            <w:vAlign w:val="bottom"/>
            <w:hideMark/>
          </w:tcPr>
          <w:p w14:paraId="0FDFC1D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35,246</w:t>
            </w:r>
          </w:p>
        </w:tc>
        <w:tc>
          <w:tcPr>
            <w:tcW w:w="949" w:type="dxa"/>
            <w:tcBorders>
              <w:top w:val="nil"/>
              <w:left w:val="nil"/>
              <w:bottom w:val="nil"/>
              <w:right w:val="nil"/>
            </w:tcBorders>
            <w:shd w:val="clear" w:color="auto" w:fill="auto"/>
            <w:noWrap/>
            <w:vAlign w:val="bottom"/>
            <w:hideMark/>
          </w:tcPr>
          <w:p w14:paraId="161C5DA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23,518</w:t>
            </w:r>
          </w:p>
        </w:tc>
        <w:tc>
          <w:tcPr>
            <w:tcW w:w="949" w:type="dxa"/>
            <w:tcBorders>
              <w:top w:val="nil"/>
              <w:left w:val="nil"/>
              <w:bottom w:val="nil"/>
              <w:right w:val="nil"/>
            </w:tcBorders>
            <w:shd w:val="clear" w:color="auto" w:fill="auto"/>
            <w:noWrap/>
            <w:vAlign w:val="bottom"/>
            <w:hideMark/>
          </w:tcPr>
          <w:p w14:paraId="59409B0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24,101</w:t>
            </w:r>
          </w:p>
        </w:tc>
        <w:tc>
          <w:tcPr>
            <w:tcW w:w="949" w:type="dxa"/>
            <w:tcBorders>
              <w:top w:val="nil"/>
              <w:left w:val="nil"/>
              <w:bottom w:val="nil"/>
              <w:right w:val="nil"/>
            </w:tcBorders>
            <w:shd w:val="clear" w:color="auto" w:fill="auto"/>
            <w:noWrap/>
            <w:vAlign w:val="bottom"/>
            <w:hideMark/>
          </w:tcPr>
          <w:p w14:paraId="1E87C4C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24,226</w:t>
            </w:r>
          </w:p>
        </w:tc>
      </w:tr>
      <w:tr w:rsidR="000A6549" w:rsidRPr="000A6549" w14:paraId="60AE46CF"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2CE61F27"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Goods and services</w:t>
            </w:r>
          </w:p>
        </w:tc>
        <w:tc>
          <w:tcPr>
            <w:tcW w:w="944" w:type="dxa"/>
            <w:tcBorders>
              <w:top w:val="nil"/>
              <w:left w:val="nil"/>
              <w:bottom w:val="nil"/>
              <w:right w:val="nil"/>
            </w:tcBorders>
            <w:shd w:val="clear" w:color="auto" w:fill="auto"/>
            <w:noWrap/>
            <w:vAlign w:val="bottom"/>
            <w:hideMark/>
          </w:tcPr>
          <w:p w14:paraId="1345F5C2"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4,311</w:t>
            </w:r>
          </w:p>
        </w:tc>
        <w:tc>
          <w:tcPr>
            <w:tcW w:w="948" w:type="dxa"/>
            <w:tcBorders>
              <w:top w:val="nil"/>
              <w:left w:val="nil"/>
              <w:bottom w:val="nil"/>
              <w:right w:val="nil"/>
            </w:tcBorders>
            <w:shd w:val="clear" w:color="000000" w:fill="D9D9D9"/>
            <w:noWrap/>
            <w:vAlign w:val="bottom"/>
            <w:hideMark/>
          </w:tcPr>
          <w:p w14:paraId="7DF1DE1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1,800</w:t>
            </w:r>
          </w:p>
        </w:tc>
        <w:tc>
          <w:tcPr>
            <w:tcW w:w="949" w:type="dxa"/>
            <w:tcBorders>
              <w:top w:val="nil"/>
              <w:left w:val="nil"/>
              <w:bottom w:val="nil"/>
              <w:right w:val="nil"/>
            </w:tcBorders>
            <w:shd w:val="clear" w:color="auto" w:fill="auto"/>
            <w:noWrap/>
            <w:vAlign w:val="bottom"/>
            <w:hideMark/>
          </w:tcPr>
          <w:p w14:paraId="42E2885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1,800</w:t>
            </w:r>
          </w:p>
        </w:tc>
        <w:tc>
          <w:tcPr>
            <w:tcW w:w="949" w:type="dxa"/>
            <w:tcBorders>
              <w:top w:val="nil"/>
              <w:left w:val="nil"/>
              <w:bottom w:val="nil"/>
              <w:right w:val="nil"/>
            </w:tcBorders>
            <w:shd w:val="clear" w:color="auto" w:fill="auto"/>
            <w:noWrap/>
            <w:vAlign w:val="bottom"/>
            <w:hideMark/>
          </w:tcPr>
          <w:p w14:paraId="0795B6B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1,800</w:t>
            </w:r>
          </w:p>
        </w:tc>
        <w:tc>
          <w:tcPr>
            <w:tcW w:w="949" w:type="dxa"/>
            <w:tcBorders>
              <w:top w:val="nil"/>
              <w:left w:val="nil"/>
              <w:bottom w:val="nil"/>
              <w:right w:val="nil"/>
            </w:tcBorders>
            <w:shd w:val="clear" w:color="auto" w:fill="auto"/>
            <w:noWrap/>
            <w:vAlign w:val="bottom"/>
            <w:hideMark/>
          </w:tcPr>
          <w:p w14:paraId="15906CE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1,800</w:t>
            </w:r>
          </w:p>
        </w:tc>
      </w:tr>
      <w:tr w:rsidR="000A6549" w:rsidRPr="000A6549" w14:paraId="51B5A420"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18DF6731"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Net GST received</w:t>
            </w:r>
          </w:p>
        </w:tc>
        <w:tc>
          <w:tcPr>
            <w:tcW w:w="944" w:type="dxa"/>
            <w:tcBorders>
              <w:top w:val="nil"/>
              <w:left w:val="nil"/>
              <w:bottom w:val="nil"/>
              <w:right w:val="nil"/>
            </w:tcBorders>
            <w:shd w:val="clear" w:color="auto" w:fill="auto"/>
            <w:noWrap/>
            <w:vAlign w:val="bottom"/>
            <w:hideMark/>
          </w:tcPr>
          <w:p w14:paraId="4D867D2B"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959</w:t>
            </w:r>
          </w:p>
        </w:tc>
        <w:tc>
          <w:tcPr>
            <w:tcW w:w="948" w:type="dxa"/>
            <w:tcBorders>
              <w:top w:val="nil"/>
              <w:left w:val="nil"/>
              <w:bottom w:val="nil"/>
              <w:right w:val="nil"/>
            </w:tcBorders>
            <w:shd w:val="clear" w:color="000000" w:fill="D9D9D9"/>
            <w:noWrap/>
            <w:vAlign w:val="bottom"/>
            <w:hideMark/>
          </w:tcPr>
          <w:p w14:paraId="3B7CC79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1,045</w:t>
            </w:r>
          </w:p>
        </w:tc>
        <w:tc>
          <w:tcPr>
            <w:tcW w:w="949" w:type="dxa"/>
            <w:tcBorders>
              <w:top w:val="nil"/>
              <w:left w:val="nil"/>
              <w:bottom w:val="nil"/>
              <w:right w:val="nil"/>
            </w:tcBorders>
            <w:shd w:val="clear" w:color="auto" w:fill="auto"/>
            <w:noWrap/>
            <w:vAlign w:val="bottom"/>
            <w:hideMark/>
          </w:tcPr>
          <w:p w14:paraId="3D00E390"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1,045</w:t>
            </w:r>
          </w:p>
        </w:tc>
        <w:tc>
          <w:tcPr>
            <w:tcW w:w="949" w:type="dxa"/>
            <w:tcBorders>
              <w:top w:val="nil"/>
              <w:left w:val="nil"/>
              <w:bottom w:val="nil"/>
              <w:right w:val="nil"/>
            </w:tcBorders>
            <w:shd w:val="clear" w:color="auto" w:fill="auto"/>
            <w:noWrap/>
            <w:vAlign w:val="bottom"/>
            <w:hideMark/>
          </w:tcPr>
          <w:p w14:paraId="6626D5A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1,045</w:t>
            </w:r>
          </w:p>
        </w:tc>
        <w:tc>
          <w:tcPr>
            <w:tcW w:w="949" w:type="dxa"/>
            <w:tcBorders>
              <w:top w:val="nil"/>
              <w:left w:val="nil"/>
              <w:bottom w:val="nil"/>
              <w:right w:val="nil"/>
            </w:tcBorders>
            <w:shd w:val="clear" w:color="auto" w:fill="auto"/>
            <w:noWrap/>
            <w:vAlign w:val="bottom"/>
            <w:hideMark/>
          </w:tcPr>
          <w:p w14:paraId="7ADED59B"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1,045</w:t>
            </w:r>
          </w:p>
        </w:tc>
      </w:tr>
      <w:tr w:rsidR="000A6549" w:rsidRPr="000A6549" w14:paraId="03878A9F"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4066538A"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Other</w:t>
            </w:r>
          </w:p>
        </w:tc>
        <w:tc>
          <w:tcPr>
            <w:tcW w:w="944" w:type="dxa"/>
            <w:tcBorders>
              <w:top w:val="nil"/>
              <w:left w:val="nil"/>
              <w:bottom w:val="nil"/>
              <w:right w:val="nil"/>
            </w:tcBorders>
            <w:shd w:val="clear" w:color="auto" w:fill="auto"/>
            <w:noWrap/>
            <w:vAlign w:val="bottom"/>
            <w:hideMark/>
          </w:tcPr>
          <w:p w14:paraId="309FAEE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8" w:type="dxa"/>
            <w:tcBorders>
              <w:top w:val="nil"/>
              <w:left w:val="nil"/>
              <w:bottom w:val="nil"/>
              <w:right w:val="nil"/>
            </w:tcBorders>
            <w:shd w:val="clear" w:color="000000" w:fill="D9D9D9"/>
            <w:noWrap/>
            <w:vAlign w:val="bottom"/>
            <w:hideMark/>
          </w:tcPr>
          <w:p w14:paraId="7905784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186</w:t>
            </w:r>
          </w:p>
        </w:tc>
        <w:tc>
          <w:tcPr>
            <w:tcW w:w="949" w:type="dxa"/>
            <w:tcBorders>
              <w:top w:val="nil"/>
              <w:left w:val="nil"/>
              <w:bottom w:val="nil"/>
              <w:right w:val="nil"/>
            </w:tcBorders>
            <w:shd w:val="clear" w:color="auto" w:fill="auto"/>
            <w:noWrap/>
            <w:vAlign w:val="bottom"/>
            <w:hideMark/>
          </w:tcPr>
          <w:p w14:paraId="61E3597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186</w:t>
            </w:r>
          </w:p>
        </w:tc>
        <w:tc>
          <w:tcPr>
            <w:tcW w:w="949" w:type="dxa"/>
            <w:tcBorders>
              <w:top w:val="nil"/>
              <w:left w:val="nil"/>
              <w:bottom w:val="nil"/>
              <w:right w:val="nil"/>
            </w:tcBorders>
            <w:shd w:val="clear" w:color="auto" w:fill="auto"/>
            <w:noWrap/>
            <w:vAlign w:val="bottom"/>
            <w:hideMark/>
          </w:tcPr>
          <w:p w14:paraId="69ECDE42"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186</w:t>
            </w:r>
          </w:p>
        </w:tc>
        <w:tc>
          <w:tcPr>
            <w:tcW w:w="949" w:type="dxa"/>
            <w:tcBorders>
              <w:top w:val="nil"/>
              <w:left w:val="nil"/>
              <w:bottom w:val="nil"/>
              <w:right w:val="nil"/>
            </w:tcBorders>
            <w:shd w:val="clear" w:color="auto" w:fill="auto"/>
            <w:noWrap/>
            <w:vAlign w:val="bottom"/>
            <w:hideMark/>
          </w:tcPr>
          <w:p w14:paraId="3F177F9D"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186</w:t>
            </w:r>
          </w:p>
        </w:tc>
      </w:tr>
      <w:tr w:rsidR="000A6549" w:rsidRPr="000A6549" w14:paraId="1DC7181D"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1DDAE69" w14:textId="77777777" w:rsidR="000A6549" w:rsidRPr="000A6549" w:rsidRDefault="000A6549" w:rsidP="00B96BAA">
            <w:pPr>
              <w:spacing w:before="0" w:after="0" w:line="240" w:lineRule="auto"/>
              <w:ind w:leftChars="150" w:left="285"/>
              <w:rPr>
                <w:rFonts w:ascii="Arial" w:hAnsi="Arial" w:cs="Arial"/>
                <w:b/>
                <w:bCs/>
                <w:color w:val="000000"/>
                <w:sz w:val="16"/>
                <w:szCs w:val="16"/>
              </w:rPr>
            </w:pPr>
            <w:r w:rsidRPr="000A6549">
              <w:rPr>
                <w:rFonts w:ascii="Arial" w:hAnsi="Arial" w:cs="Arial"/>
                <w:b/>
                <w:bCs/>
                <w:color w:val="000000"/>
                <w:sz w:val="16"/>
                <w:szCs w:val="16"/>
              </w:rPr>
              <w:t>Total cash received</w:t>
            </w:r>
          </w:p>
        </w:tc>
        <w:tc>
          <w:tcPr>
            <w:tcW w:w="944" w:type="dxa"/>
            <w:tcBorders>
              <w:top w:val="nil"/>
              <w:left w:val="nil"/>
              <w:bottom w:val="single" w:sz="4" w:space="0" w:color="auto"/>
              <w:right w:val="nil"/>
            </w:tcBorders>
            <w:shd w:val="clear" w:color="auto" w:fill="auto"/>
            <w:noWrap/>
            <w:vAlign w:val="bottom"/>
            <w:hideMark/>
          </w:tcPr>
          <w:p w14:paraId="3078B1E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42,666</w:t>
            </w:r>
          </w:p>
        </w:tc>
        <w:tc>
          <w:tcPr>
            <w:tcW w:w="948" w:type="dxa"/>
            <w:tcBorders>
              <w:top w:val="nil"/>
              <w:left w:val="nil"/>
              <w:bottom w:val="single" w:sz="4" w:space="0" w:color="auto"/>
              <w:right w:val="nil"/>
            </w:tcBorders>
            <w:shd w:val="clear" w:color="000000" w:fill="D9D9D9"/>
            <w:noWrap/>
            <w:vAlign w:val="bottom"/>
            <w:hideMark/>
          </w:tcPr>
          <w:p w14:paraId="214E013B"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38,277</w:t>
            </w:r>
          </w:p>
        </w:tc>
        <w:tc>
          <w:tcPr>
            <w:tcW w:w="949" w:type="dxa"/>
            <w:tcBorders>
              <w:top w:val="nil"/>
              <w:left w:val="nil"/>
              <w:bottom w:val="single" w:sz="4" w:space="0" w:color="auto"/>
              <w:right w:val="nil"/>
            </w:tcBorders>
            <w:shd w:val="clear" w:color="auto" w:fill="auto"/>
            <w:noWrap/>
            <w:vAlign w:val="bottom"/>
            <w:hideMark/>
          </w:tcPr>
          <w:p w14:paraId="4891E6C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26,549</w:t>
            </w:r>
          </w:p>
        </w:tc>
        <w:tc>
          <w:tcPr>
            <w:tcW w:w="949" w:type="dxa"/>
            <w:tcBorders>
              <w:top w:val="nil"/>
              <w:left w:val="nil"/>
              <w:bottom w:val="single" w:sz="4" w:space="0" w:color="auto"/>
              <w:right w:val="nil"/>
            </w:tcBorders>
            <w:shd w:val="clear" w:color="auto" w:fill="auto"/>
            <w:noWrap/>
            <w:vAlign w:val="bottom"/>
            <w:hideMark/>
          </w:tcPr>
          <w:p w14:paraId="204F894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27,132</w:t>
            </w:r>
          </w:p>
        </w:tc>
        <w:tc>
          <w:tcPr>
            <w:tcW w:w="949" w:type="dxa"/>
            <w:tcBorders>
              <w:top w:val="nil"/>
              <w:left w:val="nil"/>
              <w:bottom w:val="single" w:sz="4" w:space="0" w:color="auto"/>
              <w:right w:val="nil"/>
            </w:tcBorders>
            <w:shd w:val="clear" w:color="auto" w:fill="auto"/>
            <w:noWrap/>
            <w:vAlign w:val="bottom"/>
            <w:hideMark/>
          </w:tcPr>
          <w:p w14:paraId="26517375"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27,257</w:t>
            </w:r>
          </w:p>
        </w:tc>
      </w:tr>
      <w:tr w:rsidR="000A6549" w:rsidRPr="000A6549" w14:paraId="1B9434AF" w14:textId="77777777" w:rsidTr="008A655B">
        <w:trPr>
          <w:trHeight w:val="283"/>
          <w:jc w:val="center"/>
        </w:trPr>
        <w:tc>
          <w:tcPr>
            <w:tcW w:w="3141" w:type="dxa"/>
            <w:tcBorders>
              <w:top w:val="nil"/>
              <w:left w:val="nil"/>
              <w:bottom w:val="nil"/>
              <w:right w:val="nil"/>
            </w:tcBorders>
            <w:shd w:val="clear" w:color="auto" w:fill="auto"/>
            <w:noWrap/>
            <w:vAlign w:val="bottom"/>
            <w:hideMark/>
          </w:tcPr>
          <w:p w14:paraId="79F4C462"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3E1ED81E" w14:textId="77777777" w:rsidR="000A6549" w:rsidRPr="000A6549" w:rsidRDefault="000A6549" w:rsidP="000A6549">
            <w:pPr>
              <w:spacing w:before="0" w:after="0" w:line="240" w:lineRule="auto"/>
              <w:ind w:firstLineChars="100" w:firstLine="161"/>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4055BBC2"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3410D88B"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055028E3"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6F3D3E84"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277C0523"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1FB5D240"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Employees</w:t>
            </w:r>
          </w:p>
        </w:tc>
        <w:tc>
          <w:tcPr>
            <w:tcW w:w="944" w:type="dxa"/>
            <w:tcBorders>
              <w:top w:val="nil"/>
              <w:left w:val="nil"/>
              <w:bottom w:val="nil"/>
              <w:right w:val="nil"/>
            </w:tcBorders>
            <w:shd w:val="clear" w:color="auto" w:fill="auto"/>
            <w:noWrap/>
            <w:vAlign w:val="bottom"/>
            <w:hideMark/>
          </w:tcPr>
          <w:p w14:paraId="1D4FAF5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18,232</w:t>
            </w:r>
          </w:p>
        </w:tc>
        <w:tc>
          <w:tcPr>
            <w:tcW w:w="948" w:type="dxa"/>
            <w:tcBorders>
              <w:top w:val="nil"/>
              <w:left w:val="nil"/>
              <w:bottom w:val="nil"/>
              <w:right w:val="nil"/>
            </w:tcBorders>
            <w:shd w:val="clear" w:color="000000" w:fill="D9D9D9"/>
            <w:noWrap/>
            <w:vAlign w:val="bottom"/>
            <w:hideMark/>
          </w:tcPr>
          <w:p w14:paraId="1505E75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23,628</w:t>
            </w:r>
          </w:p>
        </w:tc>
        <w:tc>
          <w:tcPr>
            <w:tcW w:w="949" w:type="dxa"/>
            <w:tcBorders>
              <w:top w:val="nil"/>
              <w:left w:val="nil"/>
              <w:bottom w:val="nil"/>
              <w:right w:val="nil"/>
            </w:tcBorders>
            <w:shd w:val="clear" w:color="auto" w:fill="auto"/>
            <w:noWrap/>
            <w:vAlign w:val="bottom"/>
            <w:hideMark/>
          </w:tcPr>
          <w:p w14:paraId="1E887C1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15,301</w:t>
            </w:r>
          </w:p>
        </w:tc>
        <w:tc>
          <w:tcPr>
            <w:tcW w:w="949" w:type="dxa"/>
            <w:tcBorders>
              <w:top w:val="nil"/>
              <w:left w:val="nil"/>
              <w:bottom w:val="nil"/>
              <w:right w:val="nil"/>
            </w:tcBorders>
            <w:shd w:val="clear" w:color="auto" w:fill="auto"/>
            <w:noWrap/>
            <w:vAlign w:val="bottom"/>
            <w:hideMark/>
          </w:tcPr>
          <w:p w14:paraId="750DAB3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15,604</w:t>
            </w:r>
          </w:p>
        </w:tc>
        <w:tc>
          <w:tcPr>
            <w:tcW w:w="949" w:type="dxa"/>
            <w:tcBorders>
              <w:top w:val="nil"/>
              <w:left w:val="nil"/>
              <w:bottom w:val="nil"/>
              <w:right w:val="nil"/>
            </w:tcBorders>
            <w:shd w:val="clear" w:color="auto" w:fill="auto"/>
            <w:noWrap/>
            <w:vAlign w:val="bottom"/>
            <w:hideMark/>
          </w:tcPr>
          <w:p w14:paraId="286E388B"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15,699</w:t>
            </w:r>
          </w:p>
        </w:tc>
      </w:tr>
      <w:tr w:rsidR="000A6549" w:rsidRPr="000A6549" w14:paraId="1D166DB1"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5BDDE4FB"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Suppliers</w:t>
            </w:r>
          </w:p>
        </w:tc>
        <w:tc>
          <w:tcPr>
            <w:tcW w:w="944" w:type="dxa"/>
            <w:tcBorders>
              <w:top w:val="nil"/>
              <w:left w:val="nil"/>
              <w:bottom w:val="nil"/>
              <w:right w:val="nil"/>
            </w:tcBorders>
            <w:shd w:val="clear" w:color="auto" w:fill="auto"/>
            <w:noWrap/>
            <w:vAlign w:val="bottom"/>
            <w:hideMark/>
          </w:tcPr>
          <w:p w14:paraId="6AA6662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18,480</w:t>
            </w:r>
          </w:p>
        </w:tc>
        <w:tc>
          <w:tcPr>
            <w:tcW w:w="948" w:type="dxa"/>
            <w:tcBorders>
              <w:top w:val="nil"/>
              <w:left w:val="nil"/>
              <w:bottom w:val="nil"/>
              <w:right w:val="nil"/>
            </w:tcBorders>
            <w:shd w:val="clear" w:color="000000" w:fill="D9D9D9"/>
            <w:noWrap/>
            <w:vAlign w:val="bottom"/>
            <w:hideMark/>
          </w:tcPr>
          <w:p w14:paraId="0CA9880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13,781</w:t>
            </w:r>
          </w:p>
        </w:tc>
        <w:tc>
          <w:tcPr>
            <w:tcW w:w="949" w:type="dxa"/>
            <w:tcBorders>
              <w:top w:val="nil"/>
              <w:left w:val="nil"/>
              <w:bottom w:val="nil"/>
              <w:right w:val="nil"/>
            </w:tcBorders>
            <w:shd w:val="clear" w:color="auto" w:fill="auto"/>
            <w:noWrap/>
            <w:vAlign w:val="bottom"/>
            <w:hideMark/>
          </w:tcPr>
          <w:p w14:paraId="5ED49F0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10,380</w:t>
            </w:r>
          </w:p>
        </w:tc>
        <w:tc>
          <w:tcPr>
            <w:tcW w:w="949" w:type="dxa"/>
            <w:tcBorders>
              <w:top w:val="nil"/>
              <w:left w:val="nil"/>
              <w:bottom w:val="nil"/>
              <w:right w:val="nil"/>
            </w:tcBorders>
            <w:shd w:val="clear" w:color="auto" w:fill="auto"/>
            <w:noWrap/>
            <w:vAlign w:val="bottom"/>
            <w:hideMark/>
          </w:tcPr>
          <w:p w14:paraId="1DE4CC1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10,660</w:t>
            </w:r>
          </w:p>
        </w:tc>
        <w:tc>
          <w:tcPr>
            <w:tcW w:w="949" w:type="dxa"/>
            <w:tcBorders>
              <w:top w:val="nil"/>
              <w:left w:val="nil"/>
              <w:bottom w:val="nil"/>
              <w:right w:val="nil"/>
            </w:tcBorders>
            <w:shd w:val="clear" w:color="auto" w:fill="auto"/>
            <w:noWrap/>
            <w:vAlign w:val="bottom"/>
            <w:hideMark/>
          </w:tcPr>
          <w:p w14:paraId="6D77842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10,690</w:t>
            </w:r>
          </w:p>
        </w:tc>
      </w:tr>
      <w:tr w:rsidR="000A6549" w:rsidRPr="000A6549" w14:paraId="5E62A8BA"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07AF3C0"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Interest payments on lease liability</w:t>
            </w:r>
          </w:p>
        </w:tc>
        <w:tc>
          <w:tcPr>
            <w:tcW w:w="944" w:type="dxa"/>
            <w:tcBorders>
              <w:top w:val="nil"/>
              <w:left w:val="nil"/>
              <w:bottom w:val="nil"/>
              <w:right w:val="nil"/>
            </w:tcBorders>
            <w:shd w:val="clear" w:color="auto" w:fill="auto"/>
            <w:noWrap/>
            <w:vAlign w:val="bottom"/>
            <w:hideMark/>
          </w:tcPr>
          <w:p w14:paraId="07E5B51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73</w:t>
            </w:r>
          </w:p>
        </w:tc>
        <w:tc>
          <w:tcPr>
            <w:tcW w:w="948" w:type="dxa"/>
            <w:tcBorders>
              <w:top w:val="nil"/>
              <w:left w:val="nil"/>
              <w:bottom w:val="nil"/>
              <w:right w:val="nil"/>
            </w:tcBorders>
            <w:shd w:val="clear" w:color="000000" w:fill="D9D9D9"/>
            <w:noWrap/>
            <w:vAlign w:val="bottom"/>
            <w:hideMark/>
          </w:tcPr>
          <w:p w14:paraId="125FF60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85</w:t>
            </w:r>
          </w:p>
        </w:tc>
        <w:tc>
          <w:tcPr>
            <w:tcW w:w="949" w:type="dxa"/>
            <w:tcBorders>
              <w:top w:val="nil"/>
              <w:left w:val="nil"/>
              <w:bottom w:val="nil"/>
              <w:right w:val="nil"/>
            </w:tcBorders>
            <w:shd w:val="clear" w:color="auto" w:fill="auto"/>
            <w:noWrap/>
            <w:vAlign w:val="bottom"/>
            <w:hideMark/>
          </w:tcPr>
          <w:p w14:paraId="066DB63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85</w:t>
            </w:r>
          </w:p>
        </w:tc>
        <w:tc>
          <w:tcPr>
            <w:tcW w:w="949" w:type="dxa"/>
            <w:tcBorders>
              <w:top w:val="nil"/>
              <w:left w:val="nil"/>
              <w:bottom w:val="nil"/>
              <w:right w:val="nil"/>
            </w:tcBorders>
            <w:shd w:val="clear" w:color="auto" w:fill="auto"/>
            <w:noWrap/>
            <w:vAlign w:val="bottom"/>
            <w:hideMark/>
          </w:tcPr>
          <w:p w14:paraId="39F3DAA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85</w:t>
            </w:r>
          </w:p>
        </w:tc>
        <w:tc>
          <w:tcPr>
            <w:tcW w:w="949" w:type="dxa"/>
            <w:tcBorders>
              <w:top w:val="nil"/>
              <w:left w:val="nil"/>
              <w:bottom w:val="nil"/>
              <w:right w:val="nil"/>
            </w:tcBorders>
            <w:shd w:val="clear" w:color="auto" w:fill="auto"/>
            <w:noWrap/>
            <w:vAlign w:val="bottom"/>
            <w:hideMark/>
          </w:tcPr>
          <w:p w14:paraId="5B18B84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85</w:t>
            </w:r>
          </w:p>
        </w:tc>
      </w:tr>
      <w:tr w:rsidR="000A6549" w:rsidRPr="000A6549" w14:paraId="5E564D91"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9EFCA1B" w14:textId="77777777" w:rsidR="000A6549" w:rsidRPr="000A6549" w:rsidRDefault="000A6549" w:rsidP="00B96BAA">
            <w:pPr>
              <w:spacing w:before="0" w:after="0" w:line="240" w:lineRule="auto"/>
              <w:ind w:leftChars="150" w:left="285"/>
              <w:rPr>
                <w:rFonts w:ascii="Arial" w:hAnsi="Arial" w:cs="Arial"/>
                <w:b/>
                <w:bCs/>
                <w:color w:val="000000"/>
                <w:sz w:val="16"/>
                <w:szCs w:val="16"/>
              </w:rPr>
            </w:pPr>
            <w:r w:rsidRPr="000A6549">
              <w:rPr>
                <w:rFonts w:ascii="Arial" w:hAnsi="Arial" w:cs="Arial"/>
                <w:b/>
                <w:bCs/>
                <w:color w:val="000000"/>
                <w:sz w:val="16"/>
                <w:szCs w:val="16"/>
              </w:rPr>
              <w:t>Total cash used</w:t>
            </w:r>
          </w:p>
        </w:tc>
        <w:tc>
          <w:tcPr>
            <w:tcW w:w="944" w:type="dxa"/>
            <w:tcBorders>
              <w:top w:val="nil"/>
              <w:left w:val="nil"/>
              <w:bottom w:val="single" w:sz="4" w:space="0" w:color="auto"/>
              <w:right w:val="nil"/>
            </w:tcBorders>
            <w:shd w:val="clear" w:color="auto" w:fill="auto"/>
            <w:noWrap/>
            <w:vAlign w:val="bottom"/>
            <w:hideMark/>
          </w:tcPr>
          <w:p w14:paraId="4F291BD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36,785</w:t>
            </w:r>
          </w:p>
        </w:tc>
        <w:tc>
          <w:tcPr>
            <w:tcW w:w="948" w:type="dxa"/>
            <w:tcBorders>
              <w:top w:val="nil"/>
              <w:left w:val="nil"/>
              <w:bottom w:val="single" w:sz="4" w:space="0" w:color="auto"/>
              <w:right w:val="nil"/>
            </w:tcBorders>
            <w:shd w:val="clear" w:color="000000" w:fill="D9D9D9"/>
            <w:noWrap/>
            <w:vAlign w:val="bottom"/>
            <w:hideMark/>
          </w:tcPr>
          <w:p w14:paraId="771CE8A1"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37,494</w:t>
            </w:r>
          </w:p>
        </w:tc>
        <w:tc>
          <w:tcPr>
            <w:tcW w:w="949" w:type="dxa"/>
            <w:tcBorders>
              <w:top w:val="nil"/>
              <w:left w:val="nil"/>
              <w:bottom w:val="single" w:sz="4" w:space="0" w:color="auto"/>
              <w:right w:val="nil"/>
            </w:tcBorders>
            <w:shd w:val="clear" w:color="auto" w:fill="auto"/>
            <w:noWrap/>
            <w:vAlign w:val="bottom"/>
            <w:hideMark/>
          </w:tcPr>
          <w:p w14:paraId="2B15622C"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25,766</w:t>
            </w:r>
          </w:p>
        </w:tc>
        <w:tc>
          <w:tcPr>
            <w:tcW w:w="949" w:type="dxa"/>
            <w:tcBorders>
              <w:top w:val="nil"/>
              <w:left w:val="nil"/>
              <w:bottom w:val="single" w:sz="4" w:space="0" w:color="auto"/>
              <w:right w:val="nil"/>
            </w:tcBorders>
            <w:shd w:val="clear" w:color="auto" w:fill="auto"/>
            <w:noWrap/>
            <w:vAlign w:val="bottom"/>
            <w:hideMark/>
          </w:tcPr>
          <w:p w14:paraId="6E640B3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26,349</w:t>
            </w:r>
          </w:p>
        </w:tc>
        <w:tc>
          <w:tcPr>
            <w:tcW w:w="949" w:type="dxa"/>
            <w:tcBorders>
              <w:top w:val="nil"/>
              <w:left w:val="nil"/>
              <w:bottom w:val="single" w:sz="4" w:space="0" w:color="auto"/>
              <w:right w:val="nil"/>
            </w:tcBorders>
            <w:shd w:val="clear" w:color="auto" w:fill="auto"/>
            <w:noWrap/>
            <w:vAlign w:val="bottom"/>
            <w:hideMark/>
          </w:tcPr>
          <w:p w14:paraId="0F0F705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26,474</w:t>
            </w:r>
          </w:p>
        </w:tc>
      </w:tr>
      <w:tr w:rsidR="000A6549" w:rsidRPr="000A6549" w14:paraId="4E8F58BF" w14:textId="77777777" w:rsidTr="008A655B">
        <w:trPr>
          <w:trHeight w:val="454"/>
          <w:jc w:val="center"/>
        </w:trPr>
        <w:tc>
          <w:tcPr>
            <w:tcW w:w="3141" w:type="dxa"/>
            <w:tcBorders>
              <w:top w:val="nil"/>
              <w:left w:val="nil"/>
              <w:bottom w:val="nil"/>
              <w:right w:val="nil"/>
            </w:tcBorders>
            <w:shd w:val="clear" w:color="auto" w:fill="auto"/>
            <w:vAlign w:val="bottom"/>
            <w:hideMark/>
          </w:tcPr>
          <w:p w14:paraId="2FEA8CD7"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Net cash from (or used by) operating activities</w:t>
            </w:r>
          </w:p>
        </w:tc>
        <w:tc>
          <w:tcPr>
            <w:tcW w:w="944" w:type="dxa"/>
            <w:tcBorders>
              <w:top w:val="nil"/>
              <w:left w:val="nil"/>
              <w:bottom w:val="single" w:sz="4" w:space="0" w:color="auto"/>
              <w:right w:val="nil"/>
            </w:tcBorders>
            <w:shd w:val="clear" w:color="auto" w:fill="auto"/>
            <w:noWrap/>
            <w:vAlign w:val="bottom"/>
            <w:hideMark/>
          </w:tcPr>
          <w:p w14:paraId="5429F3CA"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5,881</w:t>
            </w:r>
          </w:p>
        </w:tc>
        <w:tc>
          <w:tcPr>
            <w:tcW w:w="948" w:type="dxa"/>
            <w:tcBorders>
              <w:top w:val="nil"/>
              <w:left w:val="nil"/>
              <w:bottom w:val="single" w:sz="4" w:space="0" w:color="auto"/>
              <w:right w:val="nil"/>
            </w:tcBorders>
            <w:shd w:val="clear" w:color="000000" w:fill="D9D9D9"/>
            <w:noWrap/>
            <w:vAlign w:val="bottom"/>
            <w:hideMark/>
          </w:tcPr>
          <w:p w14:paraId="687A647F"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3A6E4D5B"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349A6125"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218D8E0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r>
      <w:tr w:rsidR="000A6549" w:rsidRPr="000A6549" w14:paraId="0759E509" w14:textId="77777777" w:rsidTr="008A655B">
        <w:trPr>
          <w:trHeight w:val="283"/>
          <w:jc w:val="center"/>
        </w:trPr>
        <w:tc>
          <w:tcPr>
            <w:tcW w:w="3141" w:type="dxa"/>
            <w:tcBorders>
              <w:top w:val="nil"/>
              <w:left w:val="nil"/>
              <w:bottom w:val="nil"/>
              <w:right w:val="nil"/>
            </w:tcBorders>
            <w:shd w:val="clear" w:color="auto" w:fill="auto"/>
            <w:noWrap/>
            <w:vAlign w:val="bottom"/>
            <w:hideMark/>
          </w:tcPr>
          <w:p w14:paraId="6C4C70EC"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INVESTING ACTIVITIES</w:t>
            </w:r>
          </w:p>
        </w:tc>
        <w:tc>
          <w:tcPr>
            <w:tcW w:w="944" w:type="dxa"/>
            <w:tcBorders>
              <w:top w:val="nil"/>
              <w:left w:val="nil"/>
              <w:bottom w:val="nil"/>
              <w:right w:val="nil"/>
            </w:tcBorders>
            <w:shd w:val="clear" w:color="auto" w:fill="auto"/>
            <w:noWrap/>
            <w:vAlign w:val="bottom"/>
            <w:hideMark/>
          </w:tcPr>
          <w:p w14:paraId="4B951042" w14:textId="77777777" w:rsidR="000A6549" w:rsidRPr="000A6549" w:rsidRDefault="000A6549" w:rsidP="000A6549">
            <w:pPr>
              <w:spacing w:before="0" w:after="0" w:line="240" w:lineRule="auto"/>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309D9E00"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29C340AA"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42948B5B"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57B2F47B"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3A66E058"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1EB42F49"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0186D306" w14:textId="77777777" w:rsidR="000A6549" w:rsidRPr="000A6549" w:rsidRDefault="000A6549" w:rsidP="000A6549">
            <w:pPr>
              <w:spacing w:before="0" w:after="0" w:line="240" w:lineRule="auto"/>
              <w:ind w:firstLineChars="100" w:firstLine="161"/>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2C5A35F1"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1BD43133"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36703DEB"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0B042E0A"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2226F717" w14:textId="77777777" w:rsidTr="008A655B">
        <w:trPr>
          <w:trHeight w:val="425"/>
          <w:jc w:val="center"/>
        </w:trPr>
        <w:tc>
          <w:tcPr>
            <w:tcW w:w="3141" w:type="dxa"/>
            <w:tcBorders>
              <w:top w:val="nil"/>
              <w:left w:val="nil"/>
              <w:bottom w:val="nil"/>
              <w:right w:val="nil"/>
            </w:tcBorders>
            <w:shd w:val="clear" w:color="auto" w:fill="auto"/>
            <w:vAlign w:val="bottom"/>
            <w:hideMark/>
          </w:tcPr>
          <w:p w14:paraId="17B957FA"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 xml:space="preserve">Purchase of property, </w:t>
            </w:r>
            <w:proofErr w:type="gramStart"/>
            <w:r w:rsidRPr="000A6549">
              <w:rPr>
                <w:rFonts w:ascii="Arial" w:hAnsi="Arial" w:cs="Arial"/>
                <w:color w:val="000000"/>
                <w:sz w:val="16"/>
                <w:szCs w:val="16"/>
              </w:rPr>
              <w:t>plant</w:t>
            </w:r>
            <w:proofErr w:type="gramEnd"/>
            <w:r w:rsidRPr="000A6549">
              <w:rPr>
                <w:rFonts w:ascii="Arial" w:hAnsi="Arial" w:cs="Arial"/>
                <w:color w:val="000000"/>
                <w:sz w:val="16"/>
                <w:szCs w:val="16"/>
              </w:rPr>
              <w:t xml:space="preserve"> and equipment</w:t>
            </w:r>
          </w:p>
        </w:tc>
        <w:tc>
          <w:tcPr>
            <w:tcW w:w="944" w:type="dxa"/>
            <w:tcBorders>
              <w:top w:val="nil"/>
              <w:left w:val="nil"/>
              <w:bottom w:val="nil"/>
              <w:right w:val="nil"/>
            </w:tcBorders>
            <w:shd w:val="clear" w:color="auto" w:fill="auto"/>
            <w:noWrap/>
            <w:vAlign w:val="bottom"/>
            <w:hideMark/>
          </w:tcPr>
          <w:p w14:paraId="3C70DAA7"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341</w:t>
            </w:r>
          </w:p>
        </w:tc>
        <w:tc>
          <w:tcPr>
            <w:tcW w:w="948" w:type="dxa"/>
            <w:tcBorders>
              <w:top w:val="nil"/>
              <w:left w:val="nil"/>
              <w:bottom w:val="nil"/>
              <w:right w:val="nil"/>
            </w:tcBorders>
            <w:shd w:val="clear" w:color="000000" w:fill="D9D9D9"/>
            <w:noWrap/>
            <w:vAlign w:val="bottom"/>
            <w:hideMark/>
          </w:tcPr>
          <w:p w14:paraId="5081016C" w14:textId="11230B57" w:rsidR="000A6549" w:rsidRPr="000A6549" w:rsidRDefault="000D2365" w:rsidP="000D2365">
            <w:pPr>
              <w:spacing w:before="0" w:after="0" w:line="240" w:lineRule="auto"/>
              <w:jc w:val="right"/>
              <w:rPr>
                <w:rFonts w:ascii="Arial" w:hAnsi="Arial" w:cs="Arial"/>
                <w:sz w:val="16"/>
                <w:szCs w:val="16"/>
              </w:rPr>
            </w:pPr>
            <w:r>
              <w:rPr>
                <w:rFonts w:ascii="Arial" w:hAnsi="Arial" w:cs="Arial"/>
                <w:sz w:val="16"/>
                <w:szCs w:val="16"/>
              </w:rPr>
              <w:t>525</w:t>
            </w:r>
          </w:p>
        </w:tc>
        <w:tc>
          <w:tcPr>
            <w:tcW w:w="949" w:type="dxa"/>
            <w:tcBorders>
              <w:top w:val="nil"/>
              <w:left w:val="nil"/>
              <w:bottom w:val="nil"/>
              <w:right w:val="nil"/>
            </w:tcBorders>
            <w:shd w:val="clear" w:color="auto" w:fill="auto"/>
            <w:noWrap/>
            <w:vAlign w:val="bottom"/>
            <w:hideMark/>
          </w:tcPr>
          <w:p w14:paraId="00207464"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290</w:t>
            </w:r>
          </w:p>
        </w:tc>
        <w:tc>
          <w:tcPr>
            <w:tcW w:w="949" w:type="dxa"/>
            <w:tcBorders>
              <w:top w:val="nil"/>
              <w:left w:val="nil"/>
              <w:bottom w:val="nil"/>
              <w:right w:val="nil"/>
            </w:tcBorders>
            <w:shd w:val="clear" w:color="auto" w:fill="auto"/>
            <w:noWrap/>
            <w:vAlign w:val="bottom"/>
            <w:hideMark/>
          </w:tcPr>
          <w:p w14:paraId="781DBFD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293</w:t>
            </w:r>
          </w:p>
        </w:tc>
        <w:tc>
          <w:tcPr>
            <w:tcW w:w="949" w:type="dxa"/>
            <w:tcBorders>
              <w:top w:val="nil"/>
              <w:left w:val="nil"/>
              <w:bottom w:val="nil"/>
              <w:right w:val="nil"/>
            </w:tcBorders>
            <w:shd w:val="clear" w:color="auto" w:fill="auto"/>
            <w:noWrap/>
            <w:vAlign w:val="bottom"/>
            <w:hideMark/>
          </w:tcPr>
          <w:p w14:paraId="2856B9E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296</w:t>
            </w:r>
          </w:p>
        </w:tc>
      </w:tr>
      <w:tr w:rsidR="000A6549" w:rsidRPr="000A6549" w14:paraId="5470B4EE" w14:textId="77777777" w:rsidTr="008A655B">
        <w:trPr>
          <w:trHeight w:val="227"/>
          <w:jc w:val="center"/>
        </w:trPr>
        <w:tc>
          <w:tcPr>
            <w:tcW w:w="3141" w:type="dxa"/>
            <w:tcBorders>
              <w:top w:val="nil"/>
              <w:left w:val="nil"/>
              <w:bottom w:val="nil"/>
              <w:right w:val="nil"/>
            </w:tcBorders>
            <w:shd w:val="clear" w:color="auto" w:fill="auto"/>
            <w:vAlign w:val="bottom"/>
            <w:hideMark/>
          </w:tcPr>
          <w:p w14:paraId="4BE1DFDB" w14:textId="77777777" w:rsidR="000A6549" w:rsidRPr="000A6549" w:rsidRDefault="000A6549" w:rsidP="00B96BAA">
            <w:pPr>
              <w:spacing w:before="0" w:after="0" w:line="240" w:lineRule="auto"/>
              <w:ind w:leftChars="150" w:left="285"/>
              <w:rPr>
                <w:rFonts w:ascii="Arial" w:hAnsi="Arial" w:cs="Arial"/>
                <w:color w:val="000000"/>
                <w:sz w:val="16"/>
                <w:szCs w:val="16"/>
              </w:rPr>
            </w:pPr>
            <w:r w:rsidRPr="000A6549">
              <w:rPr>
                <w:rFonts w:ascii="Arial" w:hAnsi="Arial" w:cs="Arial"/>
                <w:color w:val="000000"/>
                <w:sz w:val="16"/>
                <w:szCs w:val="16"/>
              </w:rPr>
              <w:t>Purchase of intangibles</w:t>
            </w:r>
          </w:p>
        </w:tc>
        <w:tc>
          <w:tcPr>
            <w:tcW w:w="944" w:type="dxa"/>
            <w:tcBorders>
              <w:top w:val="nil"/>
              <w:left w:val="nil"/>
              <w:bottom w:val="nil"/>
              <w:right w:val="nil"/>
            </w:tcBorders>
            <w:shd w:val="clear" w:color="auto" w:fill="auto"/>
            <w:noWrap/>
            <w:vAlign w:val="bottom"/>
            <w:hideMark/>
          </w:tcPr>
          <w:p w14:paraId="3355BEB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739</w:t>
            </w:r>
          </w:p>
        </w:tc>
        <w:tc>
          <w:tcPr>
            <w:tcW w:w="948" w:type="dxa"/>
            <w:tcBorders>
              <w:top w:val="nil"/>
              <w:left w:val="nil"/>
              <w:bottom w:val="nil"/>
              <w:right w:val="nil"/>
            </w:tcBorders>
            <w:shd w:val="clear" w:color="000000" w:fill="D9D9D9"/>
            <w:noWrap/>
            <w:vAlign w:val="bottom"/>
            <w:hideMark/>
          </w:tcPr>
          <w:p w14:paraId="7B82F488"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853</w:t>
            </w:r>
          </w:p>
        </w:tc>
        <w:tc>
          <w:tcPr>
            <w:tcW w:w="949" w:type="dxa"/>
            <w:tcBorders>
              <w:top w:val="nil"/>
              <w:left w:val="nil"/>
              <w:bottom w:val="nil"/>
              <w:right w:val="nil"/>
            </w:tcBorders>
            <w:shd w:val="clear" w:color="auto" w:fill="auto"/>
            <w:noWrap/>
            <w:vAlign w:val="bottom"/>
            <w:hideMark/>
          </w:tcPr>
          <w:p w14:paraId="69EBF51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1C279FD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372D004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r>
      <w:tr w:rsidR="000A6549" w:rsidRPr="000A6549" w14:paraId="1BF07966"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2D9E216" w14:textId="77777777" w:rsidR="000A6549" w:rsidRPr="000A6549" w:rsidRDefault="000A6549" w:rsidP="00B96BAA">
            <w:pPr>
              <w:spacing w:before="0" w:after="0" w:line="240" w:lineRule="auto"/>
              <w:ind w:leftChars="150" w:left="285"/>
              <w:rPr>
                <w:rFonts w:ascii="Arial" w:hAnsi="Arial" w:cs="Arial"/>
                <w:b/>
                <w:bCs/>
                <w:color w:val="000000"/>
                <w:sz w:val="16"/>
                <w:szCs w:val="16"/>
              </w:rPr>
            </w:pPr>
            <w:r w:rsidRPr="000A6549">
              <w:rPr>
                <w:rFonts w:ascii="Arial" w:hAnsi="Arial" w:cs="Arial"/>
                <w:b/>
                <w:bCs/>
                <w:color w:val="000000"/>
                <w:sz w:val="16"/>
                <w:szCs w:val="16"/>
              </w:rPr>
              <w:t>Total cash used</w:t>
            </w:r>
          </w:p>
        </w:tc>
        <w:tc>
          <w:tcPr>
            <w:tcW w:w="944" w:type="dxa"/>
            <w:tcBorders>
              <w:top w:val="nil"/>
              <w:left w:val="nil"/>
              <w:bottom w:val="single" w:sz="4" w:space="0" w:color="auto"/>
              <w:right w:val="nil"/>
            </w:tcBorders>
            <w:shd w:val="clear" w:color="auto" w:fill="auto"/>
            <w:noWrap/>
            <w:vAlign w:val="bottom"/>
            <w:hideMark/>
          </w:tcPr>
          <w:p w14:paraId="7BC30E6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1,080</w:t>
            </w:r>
          </w:p>
        </w:tc>
        <w:tc>
          <w:tcPr>
            <w:tcW w:w="948" w:type="dxa"/>
            <w:tcBorders>
              <w:top w:val="nil"/>
              <w:left w:val="nil"/>
              <w:bottom w:val="single" w:sz="4" w:space="0" w:color="auto"/>
              <w:right w:val="nil"/>
            </w:tcBorders>
            <w:shd w:val="clear" w:color="000000" w:fill="D9D9D9"/>
            <w:noWrap/>
            <w:vAlign w:val="bottom"/>
            <w:hideMark/>
          </w:tcPr>
          <w:p w14:paraId="050B756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1,378</w:t>
            </w:r>
          </w:p>
        </w:tc>
        <w:tc>
          <w:tcPr>
            <w:tcW w:w="949" w:type="dxa"/>
            <w:tcBorders>
              <w:top w:val="nil"/>
              <w:left w:val="nil"/>
              <w:bottom w:val="single" w:sz="4" w:space="0" w:color="auto"/>
              <w:right w:val="nil"/>
            </w:tcBorders>
            <w:shd w:val="clear" w:color="auto" w:fill="auto"/>
            <w:noWrap/>
            <w:vAlign w:val="bottom"/>
            <w:hideMark/>
          </w:tcPr>
          <w:p w14:paraId="23A4035B"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290</w:t>
            </w:r>
          </w:p>
        </w:tc>
        <w:tc>
          <w:tcPr>
            <w:tcW w:w="949" w:type="dxa"/>
            <w:tcBorders>
              <w:top w:val="nil"/>
              <w:left w:val="nil"/>
              <w:bottom w:val="single" w:sz="4" w:space="0" w:color="auto"/>
              <w:right w:val="nil"/>
            </w:tcBorders>
            <w:shd w:val="clear" w:color="auto" w:fill="auto"/>
            <w:noWrap/>
            <w:vAlign w:val="bottom"/>
            <w:hideMark/>
          </w:tcPr>
          <w:p w14:paraId="6621751A"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293</w:t>
            </w:r>
          </w:p>
        </w:tc>
        <w:tc>
          <w:tcPr>
            <w:tcW w:w="949" w:type="dxa"/>
            <w:tcBorders>
              <w:top w:val="nil"/>
              <w:left w:val="nil"/>
              <w:bottom w:val="single" w:sz="4" w:space="0" w:color="auto"/>
              <w:right w:val="nil"/>
            </w:tcBorders>
            <w:shd w:val="clear" w:color="auto" w:fill="auto"/>
            <w:noWrap/>
            <w:vAlign w:val="bottom"/>
            <w:hideMark/>
          </w:tcPr>
          <w:p w14:paraId="2C96456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296</w:t>
            </w:r>
          </w:p>
        </w:tc>
      </w:tr>
      <w:tr w:rsidR="000A6549" w:rsidRPr="000A6549" w14:paraId="67D7B475" w14:textId="77777777" w:rsidTr="008A655B">
        <w:trPr>
          <w:trHeight w:val="454"/>
          <w:jc w:val="center"/>
        </w:trPr>
        <w:tc>
          <w:tcPr>
            <w:tcW w:w="3141" w:type="dxa"/>
            <w:tcBorders>
              <w:top w:val="nil"/>
              <w:left w:val="nil"/>
              <w:bottom w:val="nil"/>
              <w:right w:val="nil"/>
            </w:tcBorders>
            <w:shd w:val="clear" w:color="auto" w:fill="auto"/>
            <w:vAlign w:val="bottom"/>
            <w:hideMark/>
          </w:tcPr>
          <w:p w14:paraId="736E0BC1"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Net cash from (or used by) investing activities</w:t>
            </w:r>
          </w:p>
        </w:tc>
        <w:tc>
          <w:tcPr>
            <w:tcW w:w="944" w:type="dxa"/>
            <w:tcBorders>
              <w:top w:val="nil"/>
              <w:left w:val="nil"/>
              <w:bottom w:val="single" w:sz="4" w:space="0" w:color="auto"/>
              <w:right w:val="nil"/>
            </w:tcBorders>
            <w:shd w:val="clear" w:color="auto" w:fill="auto"/>
            <w:noWrap/>
            <w:vAlign w:val="bottom"/>
            <w:hideMark/>
          </w:tcPr>
          <w:p w14:paraId="5FC5D2D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(1,080)</w:t>
            </w:r>
          </w:p>
        </w:tc>
        <w:tc>
          <w:tcPr>
            <w:tcW w:w="948" w:type="dxa"/>
            <w:tcBorders>
              <w:top w:val="nil"/>
              <w:left w:val="nil"/>
              <w:bottom w:val="single" w:sz="4" w:space="0" w:color="auto"/>
              <w:right w:val="nil"/>
            </w:tcBorders>
            <w:shd w:val="clear" w:color="000000" w:fill="D9D9D9"/>
            <w:noWrap/>
            <w:vAlign w:val="bottom"/>
            <w:hideMark/>
          </w:tcPr>
          <w:p w14:paraId="43355E63"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(1,378)</w:t>
            </w:r>
          </w:p>
        </w:tc>
        <w:tc>
          <w:tcPr>
            <w:tcW w:w="949" w:type="dxa"/>
            <w:tcBorders>
              <w:top w:val="nil"/>
              <w:left w:val="nil"/>
              <w:bottom w:val="single" w:sz="4" w:space="0" w:color="auto"/>
              <w:right w:val="nil"/>
            </w:tcBorders>
            <w:shd w:val="clear" w:color="auto" w:fill="auto"/>
            <w:noWrap/>
            <w:vAlign w:val="bottom"/>
            <w:hideMark/>
          </w:tcPr>
          <w:p w14:paraId="7172DA3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(290)</w:t>
            </w:r>
          </w:p>
        </w:tc>
        <w:tc>
          <w:tcPr>
            <w:tcW w:w="949" w:type="dxa"/>
            <w:tcBorders>
              <w:top w:val="nil"/>
              <w:left w:val="nil"/>
              <w:bottom w:val="single" w:sz="4" w:space="0" w:color="auto"/>
              <w:right w:val="nil"/>
            </w:tcBorders>
            <w:shd w:val="clear" w:color="auto" w:fill="auto"/>
            <w:noWrap/>
            <w:vAlign w:val="bottom"/>
            <w:hideMark/>
          </w:tcPr>
          <w:p w14:paraId="5E2AA9E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(293)</w:t>
            </w:r>
          </w:p>
        </w:tc>
        <w:tc>
          <w:tcPr>
            <w:tcW w:w="949" w:type="dxa"/>
            <w:tcBorders>
              <w:top w:val="nil"/>
              <w:left w:val="nil"/>
              <w:bottom w:val="single" w:sz="4" w:space="0" w:color="auto"/>
              <w:right w:val="nil"/>
            </w:tcBorders>
            <w:shd w:val="clear" w:color="auto" w:fill="auto"/>
            <w:noWrap/>
            <w:vAlign w:val="bottom"/>
            <w:hideMark/>
          </w:tcPr>
          <w:p w14:paraId="25C3E93E"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(296)</w:t>
            </w:r>
          </w:p>
        </w:tc>
      </w:tr>
      <w:tr w:rsidR="000A6549" w:rsidRPr="000A6549" w14:paraId="3B31EF7D" w14:textId="77777777" w:rsidTr="008A655B">
        <w:trPr>
          <w:trHeight w:val="283"/>
          <w:jc w:val="center"/>
        </w:trPr>
        <w:tc>
          <w:tcPr>
            <w:tcW w:w="3141" w:type="dxa"/>
            <w:tcBorders>
              <w:top w:val="nil"/>
              <w:left w:val="nil"/>
              <w:bottom w:val="nil"/>
              <w:right w:val="nil"/>
            </w:tcBorders>
            <w:shd w:val="clear" w:color="auto" w:fill="auto"/>
            <w:noWrap/>
            <w:vAlign w:val="bottom"/>
            <w:hideMark/>
          </w:tcPr>
          <w:p w14:paraId="5932CA8A"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FINANCING ACTIVITIES</w:t>
            </w:r>
          </w:p>
        </w:tc>
        <w:tc>
          <w:tcPr>
            <w:tcW w:w="944" w:type="dxa"/>
            <w:tcBorders>
              <w:top w:val="nil"/>
              <w:left w:val="nil"/>
              <w:bottom w:val="nil"/>
              <w:right w:val="nil"/>
            </w:tcBorders>
            <w:shd w:val="clear" w:color="auto" w:fill="auto"/>
            <w:noWrap/>
            <w:vAlign w:val="bottom"/>
            <w:hideMark/>
          </w:tcPr>
          <w:p w14:paraId="0C90E867" w14:textId="77777777" w:rsidR="000A6549" w:rsidRPr="000A6549" w:rsidRDefault="000A6549" w:rsidP="000A6549">
            <w:pPr>
              <w:spacing w:before="0" w:after="0" w:line="240" w:lineRule="auto"/>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2E3069D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125966AD"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0AC4C135"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3934D73C"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3AD70302"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5BD6E52"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Cash received</w:t>
            </w:r>
          </w:p>
        </w:tc>
        <w:tc>
          <w:tcPr>
            <w:tcW w:w="944" w:type="dxa"/>
            <w:tcBorders>
              <w:top w:val="nil"/>
              <w:left w:val="nil"/>
              <w:bottom w:val="nil"/>
              <w:right w:val="nil"/>
            </w:tcBorders>
            <w:shd w:val="clear" w:color="auto" w:fill="auto"/>
            <w:noWrap/>
            <w:vAlign w:val="bottom"/>
            <w:hideMark/>
          </w:tcPr>
          <w:p w14:paraId="4F3E0672" w14:textId="77777777" w:rsidR="000A6549" w:rsidRPr="000A6549" w:rsidRDefault="000A6549" w:rsidP="000A6549">
            <w:pPr>
              <w:spacing w:before="0" w:after="0" w:line="240" w:lineRule="auto"/>
              <w:ind w:firstLineChars="100" w:firstLine="161"/>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198A284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6437A546"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45CC4FD6"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4A1FA3AD"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5F354262"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659B316D" w14:textId="77777777" w:rsidR="000A6549" w:rsidRPr="000A6549" w:rsidRDefault="000A6549" w:rsidP="00B96BAA">
            <w:pPr>
              <w:spacing w:before="0" w:after="0" w:line="240" w:lineRule="auto"/>
              <w:ind w:leftChars="150" w:left="285"/>
              <w:rPr>
                <w:rFonts w:ascii="Arial" w:hAnsi="Arial" w:cs="Arial"/>
                <w:sz w:val="16"/>
                <w:szCs w:val="16"/>
              </w:rPr>
            </w:pPr>
            <w:r w:rsidRPr="000A6549">
              <w:rPr>
                <w:rFonts w:ascii="Arial" w:hAnsi="Arial" w:cs="Arial"/>
                <w:sz w:val="16"/>
                <w:szCs w:val="16"/>
              </w:rPr>
              <w:t>Appropriations - contributed equity</w:t>
            </w:r>
          </w:p>
        </w:tc>
        <w:tc>
          <w:tcPr>
            <w:tcW w:w="944" w:type="dxa"/>
            <w:tcBorders>
              <w:top w:val="nil"/>
              <w:left w:val="nil"/>
              <w:bottom w:val="nil"/>
              <w:right w:val="nil"/>
            </w:tcBorders>
            <w:shd w:val="clear" w:color="auto" w:fill="auto"/>
            <w:noWrap/>
            <w:vAlign w:val="bottom"/>
            <w:hideMark/>
          </w:tcPr>
          <w:p w14:paraId="0DC40A4D"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628</w:t>
            </w:r>
          </w:p>
        </w:tc>
        <w:tc>
          <w:tcPr>
            <w:tcW w:w="948" w:type="dxa"/>
            <w:tcBorders>
              <w:top w:val="nil"/>
              <w:left w:val="nil"/>
              <w:bottom w:val="nil"/>
              <w:right w:val="nil"/>
            </w:tcBorders>
            <w:shd w:val="clear" w:color="000000" w:fill="D9D9D9"/>
            <w:noWrap/>
            <w:vAlign w:val="bottom"/>
            <w:hideMark/>
          </w:tcPr>
          <w:p w14:paraId="34CBEE6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1,378</w:t>
            </w:r>
          </w:p>
        </w:tc>
        <w:tc>
          <w:tcPr>
            <w:tcW w:w="949" w:type="dxa"/>
            <w:tcBorders>
              <w:top w:val="nil"/>
              <w:left w:val="nil"/>
              <w:bottom w:val="nil"/>
              <w:right w:val="nil"/>
            </w:tcBorders>
            <w:shd w:val="clear" w:color="auto" w:fill="auto"/>
            <w:noWrap/>
            <w:vAlign w:val="bottom"/>
            <w:hideMark/>
          </w:tcPr>
          <w:p w14:paraId="0E86F69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290</w:t>
            </w:r>
          </w:p>
        </w:tc>
        <w:tc>
          <w:tcPr>
            <w:tcW w:w="949" w:type="dxa"/>
            <w:tcBorders>
              <w:top w:val="nil"/>
              <w:left w:val="nil"/>
              <w:bottom w:val="nil"/>
              <w:right w:val="nil"/>
            </w:tcBorders>
            <w:shd w:val="clear" w:color="auto" w:fill="auto"/>
            <w:noWrap/>
            <w:vAlign w:val="bottom"/>
            <w:hideMark/>
          </w:tcPr>
          <w:p w14:paraId="6AAE9F4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293</w:t>
            </w:r>
          </w:p>
        </w:tc>
        <w:tc>
          <w:tcPr>
            <w:tcW w:w="949" w:type="dxa"/>
            <w:tcBorders>
              <w:top w:val="nil"/>
              <w:left w:val="nil"/>
              <w:bottom w:val="nil"/>
              <w:right w:val="nil"/>
            </w:tcBorders>
            <w:shd w:val="clear" w:color="auto" w:fill="auto"/>
            <w:noWrap/>
            <w:vAlign w:val="bottom"/>
            <w:hideMark/>
          </w:tcPr>
          <w:p w14:paraId="4822196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296</w:t>
            </w:r>
          </w:p>
        </w:tc>
      </w:tr>
      <w:tr w:rsidR="000A6549" w:rsidRPr="000A6549" w14:paraId="419FFF6D"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19408BC3" w14:textId="77777777" w:rsidR="000A6549" w:rsidRPr="000A6549" w:rsidRDefault="000A6549" w:rsidP="00B96BAA">
            <w:pPr>
              <w:spacing w:before="0" w:after="0" w:line="240" w:lineRule="auto"/>
              <w:ind w:leftChars="150" w:left="285"/>
              <w:rPr>
                <w:rFonts w:ascii="Arial" w:hAnsi="Arial" w:cs="Arial"/>
                <w:sz w:val="16"/>
                <w:szCs w:val="16"/>
              </w:rPr>
            </w:pPr>
            <w:r w:rsidRPr="000A6549">
              <w:rPr>
                <w:rFonts w:ascii="Arial" w:hAnsi="Arial" w:cs="Arial"/>
                <w:sz w:val="16"/>
                <w:szCs w:val="16"/>
              </w:rPr>
              <w:t>Other contributed equity</w:t>
            </w:r>
          </w:p>
        </w:tc>
        <w:tc>
          <w:tcPr>
            <w:tcW w:w="944" w:type="dxa"/>
            <w:tcBorders>
              <w:top w:val="nil"/>
              <w:left w:val="nil"/>
              <w:bottom w:val="nil"/>
              <w:right w:val="nil"/>
            </w:tcBorders>
            <w:shd w:val="clear" w:color="auto" w:fill="auto"/>
            <w:noWrap/>
            <w:vAlign w:val="bottom"/>
            <w:hideMark/>
          </w:tcPr>
          <w:p w14:paraId="5C3E695E"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8" w:type="dxa"/>
            <w:tcBorders>
              <w:top w:val="nil"/>
              <w:left w:val="nil"/>
              <w:bottom w:val="nil"/>
              <w:right w:val="nil"/>
            </w:tcBorders>
            <w:shd w:val="clear" w:color="000000" w:fill="D9D9D9"/>
            <w:noWrap/>
            <w:vAlign w:val="bottom"/>
            <w:hideMark/>
          </w:tcPr>
          <w:p w14:paraId="615D177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4B59DB50"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513F76E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0AC1A33D"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r>
      <w:tr w:rsidR="000A6549" w:rsidRPr="000A6549" w14:paraId="07A78E64"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3216CF24" w14:textId="77777777" w:rsidR="000A6549" w:rsidRPr="000A6549" w:rsidRDefault="000A6549" w:rsidP="00B96BAA">
            <w:pPr>
              <w:spacing w:before="0" w:after="0" w:line="240" w:lineRule="auto"/>
              <w:ind w:leftChars="150" w:left="285"/>
              <w:rPr>
                <w:rFonts w:ascii="Arial" w:hAnsi="Arial" w:cs="Arial"/>
                <w:sz w:val="16"/>
                <w:szCs w:val="16"/>
              </w:rPr>
            </w:pPr>
            <w:r w:rsidRPr="000A6549">
              <w:rPr>
                <w:rFonts w:ascii="Arial" w:hAnsi="Arial" w:cs="Arial"/>
                <w:sz w:val="16"/>
                <w:szCs w:val="16"/>
              </w:rPr>
              <w:t>Restructuring</w:t>
            </w:r>
          </w:p>
        </w:tc>
        <w:tc>
          <w:tcPr>
            <w:tcW w:w="944" w:type="dxa"/>
            <w:tcBorders>
              <w:top w:val="nil"/>
              <w:left w:val="nil"/>
              <w:bottom w:val="nil"/>
              <w:right w:val="nil"/>
            </w:tcBorders>
            <w:shd w:val="clear" w:color="auto" w:fill="auto"/>
            <w:noWrap/>
            <w:vAlign w:val="bottom"/>
            <w:hideMark/>
          </w:tcPr>
          <w:p w14:paraId="30156A0D"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8" w:type="dxa"/>
            <w:tcBorders>
              <w:top w:val="nil"/>
              <w:left w:val="nil"/>
              <w:bottom w:val="nil"/>
              <w:right w:val="nil"/>
            </w:tcBorders>
            <w:shd w:val="clear" w:color="000000" w:fill="D9D9D9"/>
            <w:noWrap/>
            <w:vAlign w:val="bottom"/>
            <w:hideMark/>
          </w:tcPr>
          <w:p w14:paraId="4092439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46390EDE"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15FC27E7"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c>
          <w:tcPr>
            <w:tcW w:w="949" w:type="dxa"/>
            <w:tcBorders>
              <w:top w:val="nil"/>
              <w:left w:val="nil"/>
              <w:bottom w:val="nil"/>
              <w:right w:val="nil"/>
            </w:tcBorders>
            <w:shd w:val="clear" w:color="auto" w:fill="auto"/>
            <w:noWrap/>
            <w:vAlign w:val="bottom"/>
            <w:hideMark/>
          </w:tcPr>
          <w:p w14:paraId="059386D0"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w:t>
            </w:r>
          </w:p>
        </w:tc>
      </w:tr>
      <w:tr w:rsidR="000A6549" w:rsidRPr="000A6549" w14:paraId="154EFDEB"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420E47FA" w14:textId="77777777" w:rsidR="000A6549" w:rsidRPr="000A6549" w:rsidRDefault="000A6549" w:rsidP="00B96BAA">
            <w:pPr>
              <w:spacing w:before="0" w:after="0" w:line="240" w:lineRule="auto"/>
              <w:ind w:leftChars="150" w:left="285"/>
              <w:rPr>
                <w:rFonts w:ascii="Arial" w:hAnsi="Arial" w:cs="Arial"/>
                <w:b/>
                <w:bCs/>
                <w:color w:val="000000"/>
                <w:sz w:val="16"/>
                <w:szCs w:val="16"/>
              </w:rPr>
            </w:pPr>
            <w:r w:rsidRPr="000A6549">
              <w:rPr>
                <w:rFonts w:ascii="Arial" w:hAnsi="Arial" w:cs="Arial"/>
                <w:b/>
                <w:bCs/>
                <w:color w:val="000000"/>
                <w:sz w:val="16"/>
                <w:szCs w:val="16"/>
              </w:rPr>
              <w:t>Total cash received</w:t>
            </w:r>
          </w:p>
        </w:tc>
        <w:tc>
          <w:tcPr>
            <w:tcW w:w="944" w:type="dxa"/>
            <w:tcBorders>
              <w:top w:val="nil"/>
              <w:left w:val="nil"/>
              <w:bottom w:val="single" w:sz="4" w:space="0" w:color="auto"/>
              <w:right w:val="nil"/>
            </w:tcBorders>
            <w:shd w:val="clear" w:color="auto" w:fill="auto"/>
            <w:noWrap/>
            <w:vAlign w:val="bottom"/>
            <w:hideMark/>
          </w:tcPr>
          <w:p w14:paraId="38EC1DC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628</w:t>
            </w:r>
          </w:p>
        </w:tc>
        <w:tc>
          <w:tcPr>
            <w:tcW w:w="948" w:type="dxa"/>
            <w:tcBorders>
              <w:top w:val="nil"/>
              <w:left w:val="nil"/>
              <w:bottom w:val="single" w:sz="4" w:space="0" w:color="auto"/>
              <w:right w:val="nil"/>
            </w:tcBorders>
            <w:shd w:val="clear" w:color="000000" w:fill="D9D9D9"/>
            <w:noWrap/>
            <w:vAlign w:val="bottom"/>
            <w:hideMark/>
          </w:tcPr>
          <w:p w14:paraId="553E707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1,378</w:t>
            </w:r>
          </w:p>
        </w:tc>
        <w:tc>
          <w:tcPr>
            <w:tcW w:w="949" w:type="dxa"/>
            <w:tcBorders>
              <w:top w:val="nil"/>
              <w:left w:val="nil"/>
              <w:bottom w:val="single" w:sz="4" w:space="0" w:color="auto"/>
              <w:right w:val="nil"/>
            </w:tcBorders>
            <w:shd w:val="clear" w:color="auto" w:fill="auto"/>
            <w:noWrap/>
            <w:vAlign w:val="bottom"/>
            <w:hideMark/>
          </w:tcPr>
          <w:p w14:paraId="576C9E81"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290</w:t>
            </w:r>
          </w:p>
        </w:tc>
        <w:tc>
          <w:tcPr>
            <w:tcW w:w="949" w:type="dxa"/>
            <w:tcBorders>
              <w:top w:val="nil"/>
              <w:left w:val="nil"/>
              <w:bottom w:val="single" w:sz="4" w:space="0" w:color="auto"/>
              <w:right w:val="nil"/>
            </w:tcBorders>
            <w:shd w:val="clear" w:color="auto" w:fill="auto"/>
            <w:noWrap/>
            <w:vAlign w:val="bottom"/>
            <w:hideMark/>
          </w:tcPr>
          <w:p w14:paraId="7D099393"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293</w:t>
            </w:r>
          </w:p>
        </w:tc>
        <w:tc>
          <w:tcPr>
            <w:tcW w:w="949" w:type="dxa"/>
            <w:tcBorders>
              <w:top w:val="nil"/>
              <w:left w:val="nil"/>
              <w:bottom w:val="single" w:sz="4" w:space="0" w:color="auto"/>
              <w:right w:val="nil"/>
            </w:tcBorders>
            <w:shd w:val="clear" w:color="auto" w:fill="auto"/>
            <w:noWrap/>
            <w:vAlign w:val="bottom"/>
            <w:hideMark/>
          </w:tcPr>
          <w:p w14:paraId="736F710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296</w:t>
            </w:r>
          </w:p>
        </w:tc>
      </w:tr>
      <w:tr w:rsidR="000A6549" w:rsidRPr="000A6549" w14:paraId="1A6292B8" w14:textId="77777777" w:rsidTr="008A655B">
        <w:trPr>
          <w:trHeight w:val="283"/>
          <w:jc w:val="center"/>
        </w:trPr>
        <w:tc>
          <w:tcPr>
            <w:tcW w:w="3141" w:type="dxa"/>
            <w:tcBorders>
              <w:top w:val="nil"/>
              <w:left w:val="nil"/>
              <w:bottom w:val="nil"/>
              <w:right w:val="nil"/>
            </w:tcBorders>
            <w:shd w:val="clear" w:color="auto" w:fill="auto"/>
            <w:noWrap/>
            <w:vAlign w:val="bottom"/>
            <w:hideMark/>
          </w:tcPr>
          <w:p w14:paraId="126FF006"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Cash used</w:t>
            </w:r>
          </w:p>
        </w:tc>
        <w:tc>
          <w:tcPr>
            <w:tcW w:w="944" w:type="dxa"/>
            <w:tcBorders>
              <w:top w:val="nil"/>
              <w:left w:val="nil"/>
              <w:bottom w:val="nil"/>
              <w:right w:val="nil"/>
            </w:tcBorders>
            <w:shd w:val="clear" w:color="auto" w:fill="auto"/>
            <w:noWrap/>
            <w:vAlign w:val="bottom"/>
            <w:hideMark/>
          </w:tcPr>
          <w:p w14:paraId="6B57CCE0" w14:textId="77777777" w:rsidR="000A6549" w:rsidRPr="000A6549" w:rsidRDefault="000A6549" w:rsidP="000A6549">
            <w:pPr>
              <w:spacing w:before="0" w:after="0" w:line="240" w:lineRule="auto"/>
              <w:ind w:firstLineChars="100" w:firstLine="161"/>
              <w:rPr>
                <w:rFonts w:ascii="Arial" w:hAnsi="Arial" w:cs="Arial"/>
                <w:b/>
                <w:bCs/>
                <w:color w:val="000000"/>
                <w:sz w:val="16"/>
                <w:szCs w:val="16"/>
              </w:rPr>
            </w:pPr>
          </w:p>
        </w:tc>
        <w:tc>
          <w:tcPr>
            <w:tcW w:w="948" w:type="dxa"/>
            <w:tcBorders>
              <w:top w:val="nil"/>
              <w:left w:val="nil"/>
              <w:bottom w:val="nil"/>
              <w:right w:val="nil"/>
            </w:tcBorders>
            <w:shd w:val="clear" w:color="000000" w:fill="D9D9D9"/>
            <w:noWrap/>
            <w:vAlign w:val="bottom"/>
            <w:hideMark/>
          </w:tcPr>
          <w:p w14:paraId="225B9E2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 </w:t>
            </w:r>
          </w:p>
        </w:tc>
        <w:tc>
          <w:tcPr>
            <w:tcW w:w="949" w:type="dxa"/>
            <w:tcBorders>
              <w:top w:val="nil"/>
              <w:left w:val="nil"/>
              <w:bottom w:val="nil"/>
              <w:right w:val="nil"/>
            </w:tcBorders>
            <w:shd w:val="clear" w:color="auto" w:fill="auto"/>
            <w:noWrap/>
            <w:vAlign w:val="bottom"/>
            <w:hideMark/>
          </w:tcPr>
          <w:p w14:paraId="2FCEB328" w14:textId="77777777" w:rsidR="000A6549" w:rsidRPr="000A6549" w:rsidRDefault="000A6549" w:rsidP="000A6549">
            <w:pPr>
              <w:spacing w:before="0"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bottom"/>
            <w:hideMark/>
          </w:tcPr>
          <w:p w14:paraId="27BBC479" w14:textId="77777777" w:rsidR="000A6549" w:rsidRPr="000A6549" w:rsidRDefault="000A6549" w:rsidP="000A6549">
            <w:pPr>
              <w:spacing w:before="0" w:after="0" w:line="240" w:lineRule="auto"/>
              <w:jc w:val="right"/>
              <w:rPr>
                <w:rFonts w:ascii="Times New Roman" w:hAnsi="Times New Roman"/>
                <w:sz w:val="20"/>
              </w:rPr>
            </w:pPr>
          </w:p>
        </w:tc>
        <w:tc>
          <w:tcPr>
            <w:tcW w:w="949" w:type="dxa"/>
            <w:tcBorders>
              <w:top w:val="nil"/>
              <w:left w:val="nil"/>
              <w:bottom w:val="nil"/>
              <w:right w:val="nil"/>
            </w:tcBorders>
            <w:shd w:val="clear" w:color="auto" w:fill="auto"/>
            <w:noWrap/>
            <w:vAlign w:val="bottom"/>
            <w:hideMark/>
          </w:tcPr>
          <w:p w14:paraId="696D1F9C" w14:textId="77777777" w:rsidR="000A6549" w:rsidRPr="000A6549" w:rsidRDefault="000A6549" w:rsidP="000A6549">
            <w:pPr>
              <w:spacing w:before="0" w:after="0" w:line="240" w:lineRule="auto"/>
              <w:jc w:val="right"/>
              <w:rPr>
                <w:rFonts w:ascii="Times New Roman" w:hAnsi="Times New Roman"/>
                <w:sz w:val="20"/>
              </w:rPr>
            </w:pPr>
          </w:p>
        </w:tc>
      </w:tr>
      <w:tr w:rsidR="000A6549" w:rsidRPr="000A6549" w14:paraId="1F940F64" w14:textId="77777777" w:rsidTr="000A6549">
        <w:trPr>
          <w:trHeight w:val="225"/>
          <w:jc w:val="center"/>
        </w:trPr>
        <w:tc>
          <w:tcPr>
            <w:tcW w:w="3141" w:type="dxa"/>
            <w:tcBorders>
              <w:top w:val="nil"/>
              <w:left w:val="nil"/>
              <w:bottom w:val="nil"/>
              <w:right w:val="nil"/>
            </w:tcBorders>
            <w:shd w:val="clear" w:color="000000" w:fill="FFFFFF"/>
            <w:noWrap/>
            <w:vAlign w:val="bottom"/>
            <w:hideMark/>
          </w:tcPr>
          <w:p w14:paraId="52A357A9" w14:textId="77777777" w:rsidR="000A6549" w:rsidRPr="000A6549" w:rsidRDefault="000A6549" w:rsidP="00B96BAA">
            <w:pPr>
              <w:spacing w:before="0" w:after="0" w:line="240" w:lineRule="auto"/>
              <w:ind w:leftChars="150" w:left="285"/>
              <w:rPr>
                <w:rFonts w:ascii="Arial" w:hAnsi="Arial" w:cs="Arial"/>
                <w:sz w:val="16"/>
                <w:szCs w:val="16"/>
              </w:rPr>
            </w:pPr>
            <w:r w:rsidRPr="000A6549">
              <w:rPr>
                <w:rFonts w:ascii="Arial" w:hAnsi="Arial" w:cs="Arial"/>
                <w:sz w:val="16"/>
                <w:szCs w:val="16"/>
              </w:rPr>
              <w:t>Lease principal repayments</w:t>
            </w:r>
          </w:p>
        </w:tc>
        <w:tc>
          <w:tcPr>
            <w:tcW w:w="944" w:type="dxa"/>
            <w:tcBorders>
              <w:top w:val="nil"/>
              <w:left w:val="nil"/>
              <w:bottom w:val="nil"/>
              <w:right w:val="nil"/>
            </w:tcBorders>
            <w:shd w:val="clear" w:color="auto" w:fill="auto"/>
            <w:noWrap/>
            <w:vAlign w:val="bottom"/>
            <w:hideMark/>
          </w:tcPr>
          <w:p w14:paraId="5F66DEC9"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779</w:t>
            </w:r>
          </w:p>
        </w:tc>
        <w:tc>
          <w:tcPr>
            <w:tcW w:w="948" w:type="dxa"/>
            <w:tcBorders>
              <w:top w:val="nil"/>
              <w:left w:val="nil"/>
              <w:bottom w:val="nil"/>
              <w:right w:val="nil"/>
            </w:tcBorders>
            <w:shd w:val="clear" w:color="000000" w:fill="D9D9D9"/>
            <w:noWrap/>
            <w:vAlign w:val="bottom"/>
            <w:hideMark/>
          </w:tcPr>
          <w:p w14:paraId="087DB08C"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783</w:t>
            </w:r>
          </w:p>
        </w:tc>
        <w:tc>
          <w:tcPr>
            <w:tcW w:w="949" w:type="dxa"/>
            <w:tcBorders>
              <w:top w:val="nil"/>
              <w:left w:val="nil"/>
              <w:bottom w:val="nil"/>
              <w:right w:val="nil"/>
            </w:tcBorders>
            <w:shd w:val="clear" w:color="auto" w:fill="auto"/>
            <w:noWrap/>
            <w:vAlign w:val="bottom"/>
            <w:hideMark/>
          </w:tcPr>
          <w:p w14:paraId="58EA9112"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783</w:t>
            </w:r>
          </w:p>
        </w:tc>
        <w:tc>
          <w:tcPr>
            <w:tcW w:w="949" w:type="dxa"/>
            <w:tcBorders>
              <w:top w:val="nil"/>
              <w:left w:val="nil"/>
              <w:bottom w:val="nil"/>
              <w:right w:val="nil"/>
            </w:tcBorders>
            <w:shd w:val="clear" w:color="auto" w:fill="auto"/>
            <w:noWrap/>
            <w:vAlign w:val="bottom"/>
            <w:hideMark/>
          </w:tcPr>
          <w:p w14:paraId="39CC51CE"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783</w:t>
            </w:r>
          </w:p>
        </w:tc>
        <w:tc>
          <w:tcPr>
            <w:tcW w:w="949" w:type="dxa"/>
            <w:tcBorders>
              <w:top w:val="nil"/>
              <w:left w:val="nil"/>
              <w:bottom w:val="nil"/>
              <w:right w:val="nil"/>
            </w:tcBorders>
            <w:shd w:val="clear" w:color="auto" w:fill="auto"/>
            <w:noWrap/>
            <w:vAlign w:val="bottom"/>
            <w:hideMark/>
          </w:tcPr>
          <w:p w14:paraId="6E6B25BF"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783</w:t>
            </w:r>
          </w:p>
        </w:tc>
      </w:tr>
      <w:tr w:rsidR="000A6549" w:rsidRPr="000A6549" w14:paraId="66CE1453" w14:textId="77777777" w:rsidTr="000A6549">
        <w:trPr>
          <w:trHeight w:val="225"/>
          <w:jc w:val="center"/>
        </w:trPr>
        <w:tc>
          <w:tcPr>
            <w:tcW w:w="3141" w:type="dxa"/>
            <w:tcBorders>
              <w:top w:val="nil"/>
              <w:left w:val="nil"/>
              <w:bottom w:val="nil"/>
              <w:right w:val="nil"/>
            </w:tcBorders>
            <w:shd w:val="clear" w:color="auto" w:fill="auto"/>
            <w:noWrap/>
            <w:vAlign w:val="bottom"/>
            <w:hideMark/>
          </w:tcPr>
          <w:p w14:paraId="0E1F44AD" w14:textId="77777777" w:rsidR="000A6549" w:rsidRPr="000A6549" w:rsidRDefault="000A6549" w:rsidP="00B96BAA">
            <w:pPr>
              <w:spacing w:before="0" w:after="0" w:line="240" w:lineRule="auto"/>
              <w:ind w:leftChars="150" w:left="285"/>
              <w:rPr>
                <w:rFonts w:ascii="Arial" w:hAnsi="Arial" w:cs="Arial"/>
                <w:b/>
                <w:bCs/>
                <w:color w:val="000000"/>
                <w:sz w:val="16"/>
                <w:szCs w:val="16"/>
              </w:rPr>
            </w:pPr>
            <w:r w:rsidRPr="000A6549">
              <w:rPr>
                <w:rFonts w:ascii="Arial" w:hAnsi="Arial" w:cs="Arial"/>
                <w:b/>
                <w:bCs/>
                <w:color w:val="000000"/>
                <w:sz w:val="16"/>
                <w:szCs w:val="16"/>
              </w:rPr>
              <w:t>Total cash used</w:t>
            </w:r>
          </w:p>
        </w:tc>
        <w:tc>
          <w:tcPr>
            <w:tcW w:w="944" w:type="dxa"/>
            <w:tcBorders>
              <w:top w:val="nil"/>
              <w:left w:val="nil"/>
              <w:bottom w:val="single" w:sz="4" w:space="0" w:color="auto"/>
              <w:right w:val="nil"/>
            </w:tcBorders>
            <w:shd w:val="clear" w:color="auto" w:fill="auto"/>
            <w:noWrap/>
            <w:vAlign w:val="bottom"/>
            <w:hideMark/>
          </w:tcPr>
          <w:p w14:paraId="609A500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779</w:t>
            </w:r>
          </w:p>
        </w:tc>
        <w:tc>
          <w:tcPr>
            <w:tcW w:w="948" w:type="dxa"/>
            <w:tcBorders>
              <w:top w:val="nil"/>
              <w:left w:val="nil"/>
              <w:bottom w:val="single" w:sz="4" w:space="0" w:color="auto"/>
              <w:right w:val="nil"/>
            </w:tcBorders>
            <w:shd w:val="clear" w:color="000000" w:fill="D9D9D9"/>
            <w:noWrap/>
            <w:vAlign w:val="bottom"/>
            <w:hideMark/>
          </w:tcPr>
          <w:p w14:paraId="1AFDED33"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1A817547"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737CDDA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c>
          <w:tcPr>
            <w:tcW w:w="949" w:type="dxa"/>
            <w:tcBorders>
              <w:top w:val="nil"/>
              <w:left w:val="nil"/>
              <w:bottom w:val="single" w:sz="4" w:space="0" w:color="auto"/>
              <w:right w:val="nil"/>
            </w:tcBorders>
            <w:shd w:val="clear" w:color="auto" w:fill="auto"/>
            <w:noWrap/>
            <w:vAlign w:val="bottom"/>
            <w:hideMark/>
          </w:tcPr>
          <w:p w14:paraId="1850976E"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783</w:t>
            </w:r>
          </w:p>
        </w:tc>
      </w:tr>
      <w:tr w:rsidR="000A6549" w:rsidRPr="000A6549" w14:paraId="223A0BB7" w14:textId="77777777" w:rsidTr="008A655B">
        <w:trPr>
          <w:trHeight w:val="454"/>
          <w:jc w:val="center"/>
        </w:trPr>
        <w:tc>
          <w:tcPr>
            <w:tcW w:w="3141" w:type="dxa"/>
            <w:tcBorders>
              <w:top w:val="nil"/>
              <w:left w:val="nil"/>
              <w:bottom w:val="nil"/>
              <w:right w:val="nil"/>
            </w:tcBorders>
            <w:shd w:val="clear" w:color="auto" w:fill="auto"/>
            <w:vAlign w:val="bottom"/>
            <w:hideMark/>
          </w:tcPr>
          <w:p w14:paraId="0AEEAB4B" w14:textId="77777777" w:rsidR="000A6549" w:rsidRPr="000A6549" w:rsidRDefault="000A6549" w:rsidP="00B96BAA">
            <w:pPr>
              <w:spacing w:before="0" w:after="0" w:line="240" w:lineRule="auto"/>
              <w:ind w:leftChars="75" w:left="143"/>
              <w:rPr>
                <w:rFonts w:ascii="Arial" w:hAnsi="Arial" w:cs="Arial"/>
                <w:b/>
                <w:bCs/>
                <w:color w:val="000000"/>
                <w:sz w:val="16"/>
                <w:szCs w:val="16"/>
              </w:rPr>
            </w:pPr>
            <w:r w:rsidRPr="000A6549">
              <w:rPr>
                <w:rFonts w:ascii="Arial" w:hAnsi="Arial" w:cs="Arial"/>
                <w:b/>
                <w:bCs/>
                <w:color w:val="000000"/>
                <w:sz w:val="16"/>
                <w:szCs w:val="16"/>
              </w:rPr>
              <w:t>Net cash from (or used by) financing activities</w:t>
            </w:r>
          </w:p>
        </w:tc>
        <w:tc>
          <w:tcPr>
            <w:tcW w:w="944" w:type="dxa"/>
            <w:tcBorders>
              <w:top w:val="nil"/>
              <w:left w:val="nil"/>
              <w:bottom w:val="single" w:sz="4" w:space="0" w:color="auto"/>
              <w:right w:val="nil"/>
            </w:tcBorders>
            <w:shd w:val="clear" w:color="auto" w:fill="auto"/>
            <w:noWrap/>
            <w:vAlign w:val="bottom"/>
            <w:hideMark/>
          </w:tcPr>
          <w:p w14:paraId="012E086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(151)</w:t>
            </w:r>
          </w:p>
        </w:tc>
        <w:tc>
          <w:tcPr>
            <w:tcW w:w="948" w:type="dxa"/>
            <w:tcBorders>
              <w:top w:val="nil"/>
              <w:left w:val="nil"/>
              <w:bottom w:val="single" w:sz="4" w:space="0" w:color="auto"/>
              <w:right w:val="nil"/>
            </w:tcBorders>
            <w:shd w:val="clear" w:color="000000" w:fill="D9D9D9"/>
            <w:noWrap/>
            <w:vAlign w:val="bottom"/>
            <w:hideMark/>
          </w:tcPr>
          <w:p w14:paraId="5E044A8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595</w:t>
            </w:r>
          </w:p>
        </w:tc>
        <w:tc>
          <w:tcPr>
            <w:tcW w:w="949" w:type="dxa"/>
            <w:tcBorders>
              <w:top w:val="nil"/>
              <w:left w:val="nil"/>
              <w:bottom w:val="single" w:sz="4" w:space="0" w:color="auto"/>
              <w:right w:val="nil"/>
            </w:tcBorders>
            <w:shd w:val="clear" w:color="auto" w:fill="auto"/>
            <w:noWrap/>
            <w:vAlign w:val="bottom"/>
            <w:hideMark/>
          </w:tcPr>
          <w:p w14:paraId="65ACF0D8"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(493)</w:t>
            </w:r>
          </w:p>
        </w:tc>
        <w:tc>
          <w:tcPr>
            <w:tcW w:w="949" w:type="dxa"/>
            <w:tcBorders>
              <w:top w:val="nil"/>
              <w:left w:val="nil"/>
              <w:bottom w:val="single" w:sz="4" w:space="0" w:color="auto"/>
              <w:right w:val="nil"/>
            </w:tcBorders>
            <w:shd w:val="clear" w:color="auto" w:fill="auto"/>
            <w:noWrap/>
            <w:vAlign w:val="bottom"/>
            <w:hideMark/>
          </w:tcPr>
          <w:p w14:paraId="36A069CF"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(490)</w:t>
            </w:r>
          </w:p>
        </w:tc>
        <w:tc>
          <w:tcPr>
            <w:tcW w:w="949" w:type="dxa"/>
            <w:tcBorders>
              <w:top w:val="nil"/>
              <w:left w:val="nil"/>
              <w:bottom w:val="single" w:sz="4" w:space="0" w:color="auto"/>
              <w:right w:val="nil"/>
            </w:tcBorders>
            <w:shd w:val="clear" w:color="auto" w:fill="auto"/>
            <w:noWrap/>
            <w:vAlign w:val="bottom"/>
            <w:hideMark/>
          </w:tcPr>
          <w:p w14:paraId="4307EDC9"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(487)</w:t>
            </w:r>
          </w:p>
        </w:tc>
      </w:tr>
      <w:tr w:rsidR="000A6549" w:rsidRPr="000A6549" w14:paraId="333124C3" w14:textId="77777777" w:rsidTr="008A655B">
        <w:trPr>
          <w:trHeight w:val="425"/>
          <w:jc w:val="center"/>
        </w:trPr>
        <w:tc>
          <w:tcPr>
            <w:tcW w:w="3141" w:type="dxa"/>
            <w:tcBorders>
              <w:top w:val="nil"/>
              <w:left w:val="nil"/>
              <w:bottom w:val="nil"/>
              <w:right w:val="nil"/>
            </w:tcBorders>
            <w:shd w:val="clear" w:color="auto" w:fill="auto"/>
            <w:vAlign w:val="bottom"/>
            <w:hideMark/>
          </w:tcPr>
          <w:p w14:paraId="27E04133"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Net increase (or decrease) in cash held</w:t>
            </w:r>
          </w:p>
        </w:tc>
        <w:tc>
          <w:tcPr>
            <w:tcW w:w="944" w:type="dxa"/>
            <w:tcBorders>
              <w:top w:val="nil"/>
              <w:left w:val="nil"/>
              <w:bottom w:val="single" w:sz="4" w:space="0" w:color="auto"/>
              <w:right w:val="nil"/>
            </w:tcBorders>
            <w:shd w:val="clear" w:color="auto" w:fill="auto"/>
            <w:noWrap/>
            <w:vAlign w:val="bottom"/>
            <w:hideMark/>
          </w:tcPr>
          <w:p w14:paraId="61321392"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4,650</w:t>
            </w:r>
          </w:p>
        </w:tc>
        <w:tc>
          <w:tcPr>
            <w:tcW w:w="948" w:type="dxa"/>
            <w:tcBorders>
              <w:top w:val="nil"/>
              <w:left w:val="nil"/>
              <w:bottom w:val="single" w:sz="4" w:space="0" w:color="auto"/>
              <w:right w:val="nil"/>
            </w:tcBorders>
            <w:shd w:val="clear" w:color="000000" w:fill="D9D9D9"/>
            <w:noWrap/>
            <w:vAlign w:val="bottom"/>
            <w:hideMark/>
          </w:tcPr>
          <w:p w14:paraId="5925C445"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18E76B0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01029F5A"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w:t>
            </w:r>
          </w:p>
        </w:tc>
        <w:tc>
          <w:tcPr>
            <w:tcW w:w="949" w:type="dxa"/>
            <w:tcBorders>
              <w:top w:val="nil"/>
              <w:left w:val="nil"/>
              <w:bottom w:val="single" w:sz="4" w:space="0" w:color="auto"/>
              <w:right w:val="nil"/>
            </w:tcBorders>
            <w:shd w:val="clear" w:color="auto" w:fill="auto"/>
            <w:noWrap/>
            <w:vAlign w:val="bottom"/>
            <w:hideMark/>
          </w:tcPr>
          <w:p w14:paraId="5CA7FA1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w:t>
            </w:r>
          </w:p>
        </w:tc>
      </w:tr>
      <w:tr w:rsidR="000A6549" w:rsidRPr="000A6549" w14:paraId="1E90F75F" w14:textId="77777777" w:rsidTr="008A655B">
        <w:trPr>
          <w:trHeight w:val="425"/>
          <w:jc w:val="center"/>
        </w:trPr>
        <w:tc>
          <w:tcPr>
            <w:tcW w:w="3141" w:type="dxa"/>
            <w:tcBorders>
              <w:top w:val="nil"/>
              <w:left w:val="nil"/>
              <w:bottom w:val="nil"/>
              <w:right w:val="nil"/>
            </w:tcBorders>
            <w:shd w:val="clear" w:color="auto" w:fill="auto"/>
            <w:vAlign w:val="bottom"/>
            <w:hideMark/>
          </w:tcPr>
          <w:p w14:paraId="7F5C0FD2" w14:textId="77777777" w:rsidR="000A6549" w:rsidRPr="000A6549" w:rsidRDefault="000A6549" w:rsidP="00B96BAA">
            <w:pPr>
              <w:spacing w:before="0" w:after="0" w:line="240" w:lineRule="auto"/>
              <w:ind w:leftChars="75" w:left="143"/>
              <w:rPr>
                <w:rFonts w:ascii="Arial" w:hAnsi="Arial" w:cs="Arial"/>
                <w:color w:val="000000"/>
                <w:sz w:val="16"/>
                <w:szCs w:val="16"/>
              </w:rPr>
            </w:pPr>
            <w:r w:rsidRPr="000A6549">
              <w:rPr>
                <w:rFonts w:ascii="Arial" w:hAnsi="Arial" w:cs="Arial"/>
                <w:color w:val="000000"/>
                <w:sz w:val="16"/>
                <w:szCs w:val="16"/>
              </w:rPr>
              <w:t>Cash and cash equivalents at the beginning of the reporting period</w:t>
            </w:r>
          </w:p>
        </w:tc>
        <w:tc>
          <w:tcPr>
            <w:tcW w:w="944" w:type="dxa"/>
            <w:tcBorders>
              <w:top w:val="nil"/>
              <w:left w:val="nil"/>
              <w:bottom w:val="nil"/>
              <w:right w:val="nil"/>
            </w:tcBorders>
            <w:shd w:val="clear" w:color="auto" w:fill="auto"/>
            <w:noWrap/>
            <w:vAlign w:val="bottom"/>
            <w:hideMark/>
          </w:tcPr>
          <w:p w14:paraId="09D7FA55"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659</w:t>
            </w:r>
          </w:p>
        </w:tc>
        <w:tc>
          <w:tcPr>
            <w:tcW w:w="948" w:type="dxa"/>
            <w:tcBorders>
              <w:top w:val="nil"/>
              <w:left w:val="nil"/>
              <w:bottom w:val="nil"/>
              <w:right w:val="nil"/>
            </w:tcBorders>
            <w:shd w:val="clear" w:color="000000" w:fill="D9D9D9"/>
            <w:noWrap/>
            <w:vAlign w:val="bottom"/>
            <w:hideMark/>
          </w:tcPr>
          <w:p w14:paraId="3DAB38E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5,310</w:t>
            </w:r>
          </w:p>
        </w:tc>
        <w:tc>
          <w:tcPr>
            <w:tcW w:w="949" w:type="dxa"/>
            <w:tcBorders>
              <w:top w:val="nil"/>
              <w:left w:val="nil"/>
              <w:bottom w:val="nil"/>
              <w:right w:val="nil"/>
            </w:tcBorders>
            <w:shd w:val="clear" w:color="auto" w:fill="auto"/>
            <w:noWrap/>
            <w:vAlign w:val="bottom"/>
            <w:hideMark/>
          </w:tcPr>
          <w:p w14:paraId="6CB33F06"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5,310</w:t>
            </w:r>
          </w:p>
        </w:tc>
        <w:tc>
          <w:tcPr>
            <w:tcW w:w="949" w:type="dxa"/>
            <w:tcBorders>
              <w:top w:val="nil"/>
              <w:left w:val="nil"/>
              <w:bottom w:val="nil"/>
              <w:right w:val="nil"/>
            </w:tcBorders>
            <w:shd w:val="clear" w:color="auto" w:fill="auto"/>
            <w:noWrap/>
            <w:vAlign w:val="bottom"/>
            <w:hideMark/>
          </w:tcPr>
          <w:p w14:paraId="3385B71A"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5,310</w:t>
            </w:r>
          </w:p>
        </w:tc>
        <w:tc>
          <w:tcPr>
            <w:tcW w:w="949" w:type="dxa"/>
            <w:tcBorders>
              <w:top w:val="nil"/>
              <w:left w:val="nil"/>
              <w:bottom w:val="nil"/>
              <w:right w:val="nil"/>
            </w:tcBorders>
            <w:shd w:val="clear" w:color="auto" w:fill="auto"/>
            <w:noWrap/>
            <w:vAlign w:val="bottom"/>
            <w:hideMark/>
          </w:tcPr>
          <w:p w14:paraId="2BCE25E8" w14:textId="77777777" w:rsidR="000A6549" w:rsidRPr="000A6549" w:rsidRDefault="000A6549" w:rsidP="000A6549">
            <w:pPr>
              <w:spacing w:before="0" w:after="0" w:line="240" w:lineRule="auto"/>
              <w:jc w:val="right"/>
              <w:rPr>
                <w:rFonts w:ascii="Arial" w:hAnsi="Arial" w:cs="Arial"/>
                <w:sz w:val="16"/>
                <w:szCs w:val="16"/>
              </w:rPr>
            </w:pPr>
            <w:r w:rsidRPr="000A6549">
              <w:rPr>
                <w:rFonts w:ascii="Arial" w:hAnsi="Arial" w:cs="Arial"/>
                <w:sz w:val="16"/>
                <w:szCs w:val="16"/>
              </w:rPr>
              <w:t>5,310</w:t>
            </w:r>
          </w:p>
        </w:tc>
      </w:tr>
      <w:tr w:rsidR="000A6549" w:rsidRPr="000A6549" w14:paraId="3397DB53" w14:textId="77777777" w:rsidTr="008A655B">
        <w:trPr>
          <w:trHeight w:val="454"/>
          <w:jc w:val="center"/>
        </w:trPr>
        <w:tc>
          <w:tcPr>
            <w:tcW w:w="3141" w:type="dxa"/>
            <w:tcBorders>
              <w:top w:val="nil"/>
              <w:left w:val="nil"/>
              <w:bottom w:val="single" w:sz="4" w:space="0" w:color="auto"/>
              <w:right w:val="nil"/>
            </w:tcBorders>
            <w:shd w:val="clear" w:color="auto" w:fill="auto"/>
            <w:vAlign w:val="bottom"/>
            <w:hideMark/>
          </w:tcPr>
          <w:p w14:paraId="3A6EB2EE" w14:textId="77777777" w:rsidR="000A6549" w:rsidRPr="000A6549" w:rsidRDefault="000A6549" w:rsidP="000A6549">
            <w:pPr>
              <w:spacing w:before="0" w:after="0" w:line="240" w:lineRule="auto"/>
              <w:rPr>
                <w:rFonts w:ascii="Arial" w:hAnsi="Arial" w:cs="Arial"/>
                <w:b/>
                <w:bCs/>
                <w:color w:val="000000"/>
                <w:sz w:val="16"/>
                <w:szCs w:val="16"/>
              </w:rPr>
            </w:pPr>
            <w:r w:rsidRPr="000A6549">
              <w:rPr>
                <w:rFonts w:ascii="Arial" w:hAnsi="Arial" w:cs="Arial"/>
                <w:b/>
                <w:bCs/>
                <w:color w:val="000000"/>
                <w:sz w:val="16"/>
                <w:szCs w:val="16"/>
              </w:rPr>
              <w:t>Cash and cash equivalents at the end of the reporting period</w:t>
            </w:r>
          </w:p>
        </w:tc>
        <w:tc>
          <w:tcPr>
            <w:tcW w:w="944" w:type="dxa"/>
            <w:tcBorders>
              <w:top w:val="nil"/>
              <w:left w:val="nil"/>
              <w:bottom w:val="single" w:sz="4" w:space="0" w:color="auto"/>
              <w:right w:val="nil"/>
            </w:tcBorders>
            <w:shd w:val="clear" w:color="auto" w:fill="auto"/>
            <w:noWrap/>
            <w:vAlign w:val="bottom"/>
            <w:hideMark/>
          </w:tcPr>
          <w:p w14:paraId="43D32FE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5,310</w:t>
            </w:r>
          </w:p>
        </w:tc>
        <w:tc>
          <w:tcPr>
            <w:tcW w:w="948" w:type="dxa"/>
            <w:tcBorders>
              <w:top w:val="nil"/>
              <w:left w:val="nil"/>
              <w:bottom w:val="single" w:sz="4" w:space="0" w:color="auto"/>
              <w:right w:val="nil"/>
            </w:tcBorders>
            <w:shd w:val="clear" w:color="000000" w:fill="D9D9D9"/>
            <w:noWrap/>
            <w:vAlign w:val="bottom"/>
            <w:hideMark/>
          </w:tcPr>
          <w:p w14:paraId="17E06EEE"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5,310</w:t>
            </w:r>
          </w:p>
        </w:tc>
        <w:tc>
          <w:tcPr>
            <w:tcW w:w="949" w:type="dxa"/>
            <w:tcBorders>
              <w:top w:val="nil"/>
              <w:left w:val="nil"/>
              <w:bottom w:val="single" w:sz="4" w:space="0" w:color="auto"/>
              <w:right w:val="nil"/>
            </w:tcBorders>
            <w:shd w:val="clear" w:color="auto" w:fill="auto"/>
            <w:noWrap/>
            <w:vAlign w:val="bottom"/>
            <w:hideMark/>
          </w:tcPr>
          <w:p w14:paraId="180C700A"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5,310</w:t>
            </w:r>
          </w:p>
        </w:tc>
        <w:tc>
          <w:tcPr>
            <w:tcW w:w="949" w:type="dxa"/>
            <w:tcBorders>
              <w:top w:val="nil"/>
              <w:left w:val="nil"/>
              <w:bottom w:val="single" w:sz="4" w:space="0" w:color="auto"/>
              <w:right w:val="nil"/>
            </w:tcBorders>
            <w:shd w:val="clear" w:color="auto" w:fill="auto"/>
            <w:noWrap/>
            <w:vAlign w:val="bottom"/>
            <w:hideMark/>
          </w:tcPr>
          <w:p w14:paraId="3032DF5D"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5,310</w:t>
            </w:r>
          </w:p>
        </w:tc>
        <w:tc>
          <w:tcPr>
            <w:tcW w:w="949" w:type="dxa"/>
            <w:tcBorders>
              <w:top w:val="nil"/>
              <w:left w:val="nil"/>
              <w:bottom w:val="single" w:sz="4" w:space="0" w:color="auto"/>
              <w:right w:val="nil"/>
            </w:tcBorders>
            <w:shd w:val="clear" w:color="auto" w:fill="auto"/>
            <w:noWrap/>
            <w:vAlign w:val="bottom"/>
            <w:hideMark/>
          </w:tcPr>
          <w:p w14:paraId="2AAFC150" w14:textId="77777777" w:rsidR="000A6549" w:rsidRPr="000A6549" w:rsidRDefault="000A6549" w:rsidP="000A6549">
            <w:pPr>
              <w:spacing w:before="0" w:after="0" w:line="240" w:lineRule="auto"/>
              <w:jc w:val="right"/>
              <w:rPr>
                <w:rFonts w:ascii="Arial" w:hAnsi="Arial" w:cs="Arial"/>
                <w:b/>
                <w:bCs/>
                <w:sz w:val="16"/>
                <w:szCs w:val="16"/>
              </w:rPr>
            </w:pPr>
            <w:r w:rsidRPr="000A6549">
              <w:rPr>
                <w:rFonts w:ascii="Arial" w:hAnsi="Arial" w:cs="Arial"/>
                <w:b/>
                <w:bCs/>
                <w:sz w:val="16"/>
                <w:szCs w:val="16"/>
              </w:rPr>
              <w:t>5,310</w:t>
            </w:r>
          </w:p>
        </w:tc>
      </w:tr>
    </w:tbl>
    <w:p w14:paraId="39EB15FA" w14:textId="14FDE2EE" w:rsidR="000A6549" w:rsidRDefault="000A6549">
      <w:pPr>
        <w:spacing w:before="0" w:after="0" w:line="240" w:lineRule="auto"/>
        <w:rPr>
          <w:rFonts w:ascii="Arial" w:hAnsi="Arial"/>
          <w:snapToGrid w:val="0"/>
          <w:sz w:val="16"/>
        </w:rPr>
      </w:pPr>
      <w:r>
        <w:rPr>
          <w:snapToGrid w:val="0"/>
        </w:rPr>
        <w:br w:type="page"/>
      </w:r>
    </w:p>
    <w:p w14:paraId="0AB6DA47" w14:textId="4440BB1B" w:rsidR="00526CE6" w:rsidRDefault="00526CE6" w:rsidP="00526CE6">
      <w:pPr>
        <w:pStyle w:val="TableHeading"/>
        <w:spacing w:before="0"/>
        <w:rPr>
          <w:b w:val="0"/>
          <w:snapToGrid w:val="0"/>
        </w:rPr>
      </w:pPr>
      <w:r>
        <w:rPr>
          <w:snapToGrid w:val="0"/>
        </w:rPr>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B96BAA" w:rsidRPr="00B96BAA" w14:paraId="10CCC8D3" w14:textId="77777777" w:rsidTr="00396A36">
        <w:trPr>
          <w:trHeight w:val="765"/>
          <w:jc w:val="center"/>
        </w:trPr>
        <w:tc>
          <w:tcPr>
            <w:tcW w:w="3080" w:type="dxa"/>
            <w:tcBorders>
              <w:top w:val="single" w:sz="4" w:space="0" w:color="auto"/>
              <w:left w:val="nil"/>
              <w:bottom w:val="nil"/>
              <w:right w:val="nil"/>
            </w:tcBorders>
            <w:shd w:val="clear" w:color="000000" w:fill="FFFFFF"/>
            <w:hideMark/>
          </w:tcPr>
          <w:p w14:paraId="538EC818" w14:textId="77777777" w:rsidR="00B96BAA" w:rsidRPr="00B96BAA" w:rsidRDefault="00B96BAA" w:rsidP="00396A36">
            <w:pPr>
              <w:spacing w:before="24" w:after="0" w:line="240" w:lineRule="auto"/>
              <w:jc w:val="right"/>
              <w:rPr>
                <w:rFonts w:ascii="Arial" w:hAnsi="Arial" w:cs="Arial"/>
                <w:sz w:val="16"/>
                <w:szCs w:val="16"/>
              </w:rPr>
            </w:pPr>
            <w:r w:rsidRPr="00B96BAA">
              <w:rPr>
                <w:rFonts w:ascii="Arial" w:hAnsi="Arial" w:cs="Arial"/>
                <w:sz w:val="16"/>
                <w:szCs w:val="16"/>
              </w:rPr>
              <w:t> </w:t>
            </w:r>
          </w:p>
        </w:tc>
        <w:tc>
          <w:tcPr>
            <w:tcW w:w="960" w:type="dxa"/>
            <w:tcBorders>
              <w:top w:val="single" w:sz="4" w:space="0" w:color="auto"/>
              <w:left w:val="nil"/>
              <w:bottom w:val="single" w:sz="4" w:space="0" w:color="auto"/>
              <w:right w:val="nil"/>
            </w:tcBorders>
            <w:shd w:val="clear" w:color="auto" w:fill="auto"/>
            <w:hideMark/>
          </w:tcPr>
          <w:p w14:paraId="279F2FD7" w14:textId="458D88E5" w:rsidR="00B96BAA" w:rsidRPr="00B96BAA" w:rsidRDefault="00B96BAA" w:rsidP="00396A36">
            <w:pPr>
              <w:spacing w:before="24" w:after="0" w:line="240" w:lineRule="auto"/>
              <w:jc w:val="right"/>
              <w:rPr>
                <w:rFonts w:ascii="Arial" w:hAnsi="Arial" w:cs="Arial"/>
                <w:b/>
                <w:bCs/>
                <w:sz w:val="16"/>
                <w:szCs w:val="16"/>
              </w:rPr>
            </w:pPr>
            <w:r>
              <w:rPr>
                <w:rFonts w:ascii="Arial" w:hAnsi="Arial" w:cs="Arial"/>
                <w:b/>
                <w:bCs/>
                <w:sz w:val="16"/>
                <w:szCs w:val="16"/>
              </w:rPr>
              <w:t>2022–</w:t>
            </w:r>
            <w:r w:rsidRPr="00B96BAA">
              <w:rPr>
                <w:rFonts w:ascii="Arial" w:hAnsi="Arial" w:cs="Arial"/>
                <w:b/>
                <w:bCs/>
                <w:sz w:val="16"/>
                <w:szCs w:val="16"/>
              </w:rPr>
              <w:t>23</w:t>
            </w:r>
            <w:r w:rsidRPr="00B96BAA">
              <w:rPr>
                <w:rFonts w:ascii="Arial" w:hAnsi="Arial" w:cs="Arial"/>
                <w:b/>
                <w:bCs/>
                <w:sz w:val="16"/>
                <w:szCs w:val="16"/>
              </w:rPr>
              <w:br/>
              <w:t>Actual</w:t>
            </w:r>
            <w:r w:rsidRPr="00B96BAA">
              <w:rPr>
                <w:rFonts w:ascii="Arial" w:hAnsi="Arial" w:cs="Arial"/>
                <w:b/>
                <w:bCs/>
                <w:sz w:val="16"/>
                <w:szCs w:val="16"/>
              </w:rPr>
              <w:br/>
            </w:r>
            <w:r w:rsidRPr="00B96BAA">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000000" w:fill="D9D9D9"/>
            <w:hideMark/>
          </w:tcPr>
          <w:p w14:paraId="20FB0CE5" w14:textId="5F075FE5" w:rsidR="00B96BAA" w:rsidRPr="00B96BAA" w:rsidRDefault="00B96BAA" w:rsidP="00396A36">
            <w:pPr>
              <w:spacing w:before="24" w:after="0" w:line="240" w:lineRule="auto"/>
              <w:jc w:val="right"/>
              <w:rPr>
                <w:rFonts w:ascii="Arial" w:hAnsi="Arial" w:cs="Arial"/>
                <w:b/>
                <w:bCs/>
                <w:sz w:val="16"/>
                <w:szCs w:val="16"/>
              </w:rPr>
            </w:pPr>
            <w:r>
              <w:rPr>
                <w:rFonts w:ascii="Arial" w:hAnsi="Arial" w:cs="Arial"/>
                <w:b/>
                <w:bCs/>
                <w:sz w:val="16"/>
                <w:szCs w:val="16"/>
              </w:rPr>
              <w:t>2023–</w:t>
            </w:r>
            <w:r w:rsidRPr="00B96BAA">
              <w:rPr>
                <w:rFonts w:ascii="Arial" w:hAnsi="Arial" w:cs="Arial"/>
                <w:b/>
                <w:bCs/>
                <w:sz w:val="16"/>
                <w:szCs w:val="16"/>
              </w:rPr>
              <w:t>24</w:t>
            </w:r>
            <w:r w:rsidRPr="00B96BAA">
              <w:rPr>
                <w:rFonts w:ascii="Arial" w:hAnsi="Arial" w:cs="Arial"/>
                <w:b/>
                <w:bCs/>
                <w:sz w:val="16"/>
                <w:szCs w:val="16"/>
              </w:rPr>
              <w:br/>
              <w:t>Revised</w:t>
            </w:r>
            <w:r w:rsidRPr="00B96BAA">
              <w:rPr>
                <w:rFonts w:ascii="Arial" w:hAnsi="Arial" w:cs="Arial"/>
                <w:b/>
                <w:bCs/>
                <w:sz w:val="16"/>
                <w:szCs w:val="16"/>
              </w:rPr>
              <w:br/>
              <w:t>Budget</w:t>
            </w:r>
            <w:r w:rsidRPr="00B96BAA">
              <w:rPr>
                <w:rFonts w:ascii="Arial" w:hAnsi="Arial" w:cs="Arial"/>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5A2A7319" w14:textId="442FC920" w:rsidR="00B96BAA" w:rsidRPr="00B96BAA" w:rsidRDefault="00B96BAA" w:rsidP="00396A36">
            <w:pPr>
              <w:spacing w:before="24" w:after="0" w:line="240" w:lineRule="auto"/>
              <w:jc w:val="right"/>
              <w:rPr>
                <w:rFonts w:ascii="Arial" w:hAnsi="Arial" w:cs="Arial"/>
                <w:b/>
                <w:bCs/>
                <w:sz w:val="16"/>
                <w:szCs w:val="16"/>
              </w:rPr>
            </w:pPr>
            <w:r>
              <w:rPr>
                <w:rFonts w:ascii="Arial" w:hAnsi="Arial" w:cs="Arial"/>
                <w:b/>
                <w:bCs/>
                <w:sz w:val="16"/>
                <w:szCs w:val="16"/>
              </w:rPr>
              <w:t>2024–</w:t>
            </w:r>
            <w:r w:rsidRPr="00B96BAA">
              <w:rPr>
                <w:rFonts w:ascii="Arial" w:hAnsi="Arial" w:cs="Arial"/>
                <w:b/>
                <w:bCs/>
                <w:sz w:val="16"/>
                <w:szCs w:val="16"/>
              </w:rPr>
              <w:t>25 Forward estimate</w:t>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298E71FB" w14:textId="4B750810" w:rsidR="00B96BAA" w:rsidRPr="00B96BAA" w:rsidRDefault="00B96BAA" w:rsidP="00396A36">
            <w:pPr>
              <w:spacing w:before="24" w:after="0" w:line="240" w:lineRule="auto"/>
              <w:jc w:val="right"/>
              <w:rPr>
                <w:rFonts w:ascii="Arial" w:hAnsi="Arial" w:cs="Arial"/>
                <w:b/>
                <w:bCs/>
                <w:sz w:val="16"/>
                <w:szCs w:val="16"/>
              </w:rPr>
            </w:pPr>
            <w:r>
              <w:rPr>
                <w:rFonts w:ascii="Arial" w:hAnsi="Arial" w:cs="Arial"/>
                <w:b/>
                <w:bCs/>
                <w:sz w:val="16"/>
                <w:szCs w:val="16"/>
              </w:rPr>
              <w:t>2025–</w:t>
            </w:r>
            <w:r w:rsidRPr="00B96BAA">
              <w:rPr>
                <w:rFonts w:ascii="Arial" w:hAnsi="Arial" w:cs="Arial"/>
                <w:b/>
                <w:bCs/>
                <w:sz w:val="16"/>
                <w:szCs w:val="16"/>
              </w:rPr>
              <w:t>26 Forward estimate</w:t>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8B7733D" w14:textId="63224C0D" w:rsidR="00B96BAA" w:rsidRPr="00B96BAA" w:rsidRDefault="00B96BAA" w:rsidP="00396A36">
            <w:pPr>
              <w:spacing w:before="24" w:after="0" w:line="240" w:lineRule="auto"/>
              <w:jc w:val="right"/>
              <w:rPr>
                <w:rFonts w:ascii="Arial" w:hAnsi="Arial" w:cs="Arial"/>
                <w:b/>
                <w:bCs/>
                <w:sz w:val="16"/>
                <w:szCs w:val="16"/>
              </w:rPr>
            </w:pPr>
            <w:r w:rsidRPr="00B96BAA">
              <w:rPr>
                <w:rFonts w:ascii="Arial" w:hAnsi="Arial" w:cs="Arial"/>
                <w:b/>
                <w:bCs/>
                <w:sz w:val="16"/>
                <w:szCs w:val="16"/>
              </w:rPr>
              <w:t>2026</w:t>
            </w:r>
            <w:r>
              <w:rPr>
                <w:rFonts w:ascii="Arial" w:hAnsi="Arial" w:cs="Arial"/>
                <w:b/>
                <w:bCs/>
                <w:sz w:val="16"/>
                <w:szCs w:val="16"/>
              </w:rPr>
              <w:t>–</w:t>
            </w:r>
            <w:r w:rsidRPr="00B96BAA">
              <w:rPr>
                <w:rFonts w:ascii="Arial" w:hAnsi="Arial" w:cs="Arial"/>
                <w:b/>
                <w:bCs/>
                <w:sz w:val="16"/>
                <w:szCs w:val="16"/>
              </w:rPr>
              <w:t>27 Forward estimate</w:t>
            </w:r>
            <w:r w:rsidRPr="00B96BAA">
              <w:rPr>
                <w:rFonts w:ascii="Arial" w:hAnsi="Arial" w:cs="Arial"/>
                <w:b/>
                <w:bCs/>
                <w:sz w:val="16"/>
                <w:szCs w:val="16"/>
              </w:rPr>
              <w:br/>
            </w:r>
            <w:r w:rsidRPr="00B96BAA">
              <w:rPr>
                <w:rFonts w:ascii="Arial" w:hAnsi="Arial" w:cs="Arial"/>
                <w:sz w:val="16"/>
                <w:szCs w:val="16"/>
              </w:rPr>
              <w:t>$'000</w:t>
            </w:r>
          </w:p>
        </w:tc>
      </w:tr>
      <w:tr w:rsidR="00B96BAA" w:rsidRPr="00B96BAA" w14:paraId="5FA6C97C"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1B40FC14"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CAPITAL APPROPRIATIONS</w:t>
            </w:r>
          </w:p>
        </w:tc>
        <w:tc>
          <w:tcPr>
            <w:tcW w:w="960" w:type="dxa"/>
            <w:tcBorders>
              <w:top w:val="single" w:sz="4" w:space="0" w:color="auto"/>
              <w:left w:val="nil"/>
              <w:bottom w:val="nil"/>
              <w:right w:val="nil"/>
            </w:tcBorders>
            <w:shd w:val="clear" w:color="000000" w:fill="FFFFFF"/>
            <w:noWrap/>
            <w:vAlign w:val="bottom"/>
            <w:hideMark/>
          </w:tcPr>
          <w:p w14:paraId="2713524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single" w:sz="4" w:space="0" w:color="auto"/>
              <w:left w:val="nil"/>
              <w:bottom w:val="nil"/>
              <w:right w:val="nil"/>
            </w:tcBorders>
            <w:shd w:val="clear" w:color="000000" w:fill="D9D9D9"/>
            <w:noWrap/>
            <w:vAlign w:val="bottom"/>
            <w:hideMark/>
          </w:tcPr>
          <w:p w14:paraId="2B490EF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2CCF0B85"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1DF9AA3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single" w:sz="4" w:space="0" w:color="auto"/>
              <w:left w:val="nil"/>
              <w:bottom w:val="nil"/>
              <w:right w:val="nil"/>
            </w:tcBorders>
            <w:shd w:val="clear" w:color="auto" w:fill="auto"/>
            <w:noWrap/>
            <w:vAlign w:val="bottom"/>
            <w:hideMark/>
          </w:tcPr>
          <w:p w14:paraId="0E048D20"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r>
      <w:tr w:rsidR="00B96BAA" w:rsidRPr="00B96BAA" w14:paraId="62A203B2"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1C8C711E"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Capital budget - Bill 1 (DCB)</w:t>
            </w:r>
          </w:p>
        </w:tc>
        <w:tc>
          <w:tcPr>
            <w:tcW w:w="960" w:type="dxa"/>
            <w:tcBorders>
              <w:top w:val="nil"/>
              <w:left w:val="nil"/>
              <w:bottom w:val="nil"/>
              <w:right w:val="nil"/>
            </w:tcBorders>
            <w:shd w:val="clear" w:color="auto" w:fill="auto"/>
            <w:noWrap/>
            <w:vAlign w:val="bottom"/>
            <w:hideMark/>
          </w:tcPr>
          <w:p w14:paraId="52DC41E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237</w:t>
            </w:r>
          </w:p>
        </w:tc>
        <w:tc>
          <w:tcPr>
            <w:tcW w:w="960" w:type="dxa"/>
            <w:tcBorders>
              <w:top w:val="nil"/>
              <w:left w:val="nil"/>
              <w:bottom w:val="nil"/>
              <w:right w:val="nil"/>
            </w:tcBorders>
            <w:shd w:val="clear" w:color="000000" w:fill="D9D9D9"/>
            <w:noWrap/>
            <w:vAlign w:val="bottom"/>
            <w:hideMark/>
          </w:tcPr>
          <w:p w14:paraId="66D9D32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1,378</w:t>
            </w:r>
          </w:p>
        </w:tc>
        <w:tc>
          <w:tcPr>
            <w:tcW w:w="960" w:type="dxa"/>
            <w:tcBorders>
              <w:top w:val="nil"/>
              <w:left w:val="nil"/>
              <w:bottom w:val="nil"/>
              <w:right w:val="nil"/>
            </w:tcBorders>
            <w:shd w:val="clear" w:color="auto" w:fill="auto"/>
            <w:noWrap/>
            <w:vAlign w:val="bottom"/>
            <w:hideMark/>
          </w:tcPr>
          <w:p w14:paraId="4D863F88"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290</w:t>
            </w:r>
          </w:p>
        </w:tc>
        <w:tc>
          <w:tcPr>
            <w:tcW w:w="960" w:type="dxa"/>
            <w:tcBorders>
              <w:top w:val="nil"/>
              <w:left w:val="nil"/>
              <w:bottom w:val="nil"/>
              <w:right w:val="nil"/>
            </w:tcBorders>
            <w:shd w:val="clear" w:color="auto" w:fill="auto"/>
            <w:noWrap/>
            <w:vAlign w:val="bottom"/>
            <w:hideMark/>
          </w:tcPr>
          <w:p w14:paraId="32401F5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293</w:t>
            </w:r>
          </w:p>
        </w:tc>
        <w:tc>
          <w:tcPr>
            <w:tcW w:w="960" w:type="dxa"/>
            <w:tcBorders>
              <w:top w:val="nil"/>
              <w:left w:val="nil"/>
              <w:bottom w:val="nil"/>
              <w:right w:val="nil"/>
            </w:tcBorders>
            <w:shd w:val="clear" w:color="auto" w:fill="auto"/>
            <w:noWrap/>
            <w:vAlign w:val="bottom"/>
            <w:hideMark/>
          </w:tcPr>
          <w:p w14:paraId="6100469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296</w:t>
            </w:r>
          </w:p>
        </w:tc>
      </w:tr>
      <w:tr w:rsidR="00B96BAA" w:rsidRPr="00B96BAA" w14:paraId="737A2B4E" w14:textId="77777777" w:rsidTr="00396A36">
        <w:trPr>
          <w:trHeight w:val="227"/>
          <w:jc w:val="center"/>
        </w:trPr>
        <w:tc>
          <w:tcPr>
            <w:tcW w:w="3080" w:type="dxa"/>
            <w:tcBorders>
              <w:top w:val="nil"/>
              <w:left w:val="nil"/>
              <w:bottom w:val="nil"/>
              <w:right w:val="nil"/>
            </w:tcBorders>
            <w:shd w:val="clear" w:color="000000" w:fill="FFFFFF"/>
            <w:noWrap/>
            <w:vAlign w:val="bottom"/>
            <w:hideMark/>
          </w:tcPr>
          <w:p w14:paraId="7C74BDDE"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Equity injections - Bill 2</w:t>
            </w:r>
          </w:p>
        </w:tc>
        <w:tc>
          <w:tcPr>
            <w:tcW w:w="960" w:type="dxa"/>
            <w:tcBorders>
              <w:top w:val="nil"/>
              <w:left w:val="nil"/>
              <w:bottom w:val="nil"/>
              <w:right w:val="nil"/>
            </w:tcBorders>
            <w:shd w:val="clear" w:color="auto" w:fill="auto"/>
            <w:noWrap/>
            <w:vAlign w:val="bottom"/>
            <w:hideMark/>
          </w:tcPr>
          <w:p w14:paraId="25A4F7A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359</w:t>
            </w:r>
          </w:p>
        </w:tc>
        <w:tc>
          <w:tcPr>
            <w:tcW w:w="960" w:type="dxa"/>
            <w:tcBorders>
              <w:top w:val="nil"/>
              <w:left w:val="nil"/>
              <w:bottom w:val="nil"/>
              <w:right w:val="nil"/>
            </w:tcBorders>
            <w:shd w:val="clear" w:color="000000" w:fill="D9D9D9"/>
            <w:noWrap/>
            <w:vAlign w:val="bottom"/>
            <w:hideMark/>
          </w:tcPr>
          <w:p w14:paraId="44BE251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DA12E7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3B800F3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3AD4096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r>
      <w:tr w:rsidR="00B96BAA" w:rsidRPr="00B96BAA" w14:paraId="29F38B76"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30DC3C95"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14:paraId="0C0CF3AD"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596</w:t>
            </w:r>
          </w:p>
        </w:tc>
        <w:tc>
          <w:tcPr>
            <w:tcW w:w="960" w:type="dxa"/>
            <w:tcBorders>
              <w:top w:val="nil"/>
              <w:left w:val="nil"/>
              <w:bottom w:val="single" w:sz="4" w:space="0" w:color="auto"/>
              <w:right w:val="nil"/>
            </w:tcBorders>
            <w:shd w:val="clear" w:color="000000" w:fill="D9D9D9"/>
            <w:noWrap/>
            <w:vAlign w:val="bottom"/>
            <w:hideMark/>
          </w:tcPr>
          <w:p w14:paraId="67ECFBA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1,378</w:t>
            </w:r>
          </w:p>
        </w:tc>
        <w:tc>
          <w:tcPr>
            <w:tcW w:w="960" w:type="dxa"/>
            <w:tcBorders>
              <w:top w:val="nil"/>
              <w:left w:val="nil"/>
              <w:bottom w:val="single" w:sz="4" w:space="0" w:color="auto"/>
              <w:right w:val="nil"/>
            </w:tcBorders>
            <w:shd w:val="clear" w:color="auto" w:fill="auto"/>
            <w:noWrap/>
            <w:vAlign w:val="bottom"/>
            <w:hideMark/>
          </w:tcPr>
          <w:p w14:paraId="097E29C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290</w:t>
            </w:r>
          </w:p>
        </w:tc>
        <w:tc>
          <w:tcPr>
            <w:tcW w:w="960" w:type="dxa"/>
            <w:tcBorders>
              <w:top w:val="nil"/>
              <w:left w:val="nil"/>
              <w:bottom w:val="single" w:sz="4" w:space="0" w:color="auto"/>
              <w:right w:val="nil"/>
            </w:tcBorders>
            <w:shd w:val="clear" w:color="auto" w:fill="auto"/>
            <w:noWrap/>
            <w:vAlign w:val="bottom"/>
            <w:hideMark/>
          </w:tcPr>
          <w:p w14:paraId="48158C6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293</w:t>
            </w:r>
          </w:p>
        </w:tc>
        <w:tc>
          <w:tcPr>
            <w:tcW w:w="960" w:type="dxa"/>
            <w:tcBorders>
              <w:top w:val="nil"/>
              <w:left w:val="nil"/>
              <w:bottom w:val="single" w:sz="4" w:space="0" w:color="auto"/>
              <w:right w:val="nil"/>
            </w:tcBorders>
            <w:shd w:val="clear" w:color="auto" w:fill="auto"/>
            <w:noWrap/>
            <w:vAlign w:val="bottom"/>
            <w:hideMark/>
          </w:tcPr>
          <w:p w14:paraId="7DB87F2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296</w:t>
            </w:r>
          </w:p>
        </w:tc>
      </w:tr>
      <w:tr w:rsidR="00B96BAA" w:rsidRPr="00B96BAA" w14:paraId="0A6E4F52" w14:textId="77777777" w:rsidTr="00396A36">
        <w:trPr>
          <w:trHeight w:val="454"/>
          <w:jc w:val="center"/>
        </w:trPr>
        <w:tc>
          <w:tcPr>
            <w:tcW w:w="3080" w:type="dxa"/>
            <w:tcBorders>
              <w:top w:val="nil"/>
              <w:left w:val="nil"/>
              <w:bottom w:val="nil"/>
              <w:right w:val="nil"/>
            </w:tcBorders>
            <w:shd w:val="clear" w:color="000000" w:fill="FFFFFF"/>
            <w:vAlign w:val="bottom"/>
            <w:hideMark/>
          </w:tcPr>
          <w:p w14:paraId="7F39E4A3"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Total new capital appropriations represented by:</w:t>
            </w:r>
          </w:p>
        </w:tc>
        <w:tc>
          <w:tcPr>
            <w:tcW w:w="960" w:type="dxa"/>
            <w:tcBorders>
              <w:top w:val="nil"/>
              <w:left w:val="nil"/>
              <w:bottom w:val="nil"/>
              <w:right w:val="nil"/>
            </w:tcBorders>
            <w:shd w:val="clear" w:color="000000" w:fill="FFFFFF"/>
            <w:noWrap/>
            <w:vAlign w:val="bottom"/>
            <w:hideMark/>
          </w:tcPr>
          <w:p w14:paraId="6B0538F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000000" w:fill="D9D9D9"/>
            <w:noWrap/>
            <w:vAlign w:val="bottom"/>
            <w:hideMark/>
          </w:tcPr>
          <w:p w14:paraId="4266A64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706EB0E"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F74676E"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FB0BDCE"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7AA4F54E"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44E5BB34"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Purchase of non-financial assets</w:t>
            </w:r>
          </w:p>
        </w:tc>
        <w:tc>
          <w:tcPr>
            <w:tcW w:w="960" w:type="dxa"/>
            <w:tcBorders>
              <w:top w:val="nil"/>
              <w:left w:val="nil"/>
              <w:bottom w:val="nil"/>
              <w:right w:val="nil"/>
            </w:tcBorders>
            <w:shd w:val="clear" w:color="auto" w:fill="auto"/>
            <w:noWrap/>
            <w:vAlign w:val="bottom"/>
            <w:hideMark/>
          </w:tcPr>
          <w:p w14:paraId="3C4B9F7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596</w:t>
            </w:r>
          </w:p>
        </w:tc>
        <w:tc>
          <w:tcPr>
            <w:tcW w:w="960" w:type="dxa"/>
            <w:tcBorders>
              <w:top w:val="nil"/>
              <w:left w:val="nil"/>
              <w:bottom w:val="nil"/>
              <w:right w:val="nil"/>
            </w:tcBorders>
            <w:shd w:val="clear" w:color="000000" w:fill="D9D9D9"/>
            <w:noWrap/>
            <w:vAlign w:val="bottom"/>
            <w:hideMark/>
          </w:tcPr>
          <w:p w14:paraId="3C328A4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1,378</w:t>
            </w:r>
          </w:p>
        </w:tc>
        <w:tc>
          <w:tcPr>
            <w:tcW w:w="960" w:type="dxa"/>
            <w:tcBorders>
              <w:top w:val="nil"/>
              <w:left w:val="nil"/>
              <w:bottom w:val="nil"/>
              <w:right w:val="nil"/>
            </w:tcBorders>
            <w:shd w:val="clear" w:color="auto" w:fill="auto"/>
            <w:noWrap/>
            <w:vAlign w:val="bottom"/>
            <w:hideMark/>
          </w:tcPr>
          <w:p w14:paraId="79F08A8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290</w:t>
            </w:r>
          </w:p>
        </w:tc>
        <w:tc>
          <w:tcPr>
            <w:tcW w:w="960" w:type="dxa"/>
            <w:tcBorders>
              <w:top w:val="nil"/>
              <w:left w:val="nil"/>
              <w:bottom w:val="nil"/>
              <w:right w:val="nil"/>
            </w:tcBorders>
            <w:shd w:val="clear" w:color="auto" w:fill="auto"/>
            <w:noWrap/>
            <w:vAlign w:val="bottom"/>
            <w:hideMark/>
          </w:tcPr>
          <w:p w14:paraId="1BFF661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293</w:t>
            </w:r>
          </w:p>
        </w:tc>
        <w:tc>
          <w:tcPr>
            <w:tcW w:w="960" w:type="dxa"/>
            <w:tcBorders>
              <w:top w:val="nil"/>
              <w:left w:val="nil"/>
              <w:bottom w:val="nil"/>
              <w:right w:val="nil"/>
            </w:tcBorders>
            <w:shd w:val="clear" w:color="auto" w:fill="auto"/>
            <w:noWrap/>
            <w:vAlign w:val="bottom"/>
            <w:hideMark/>
          </w:tcPr>
          <w:p w14:paraId="2FFC3C60"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296</w:t>
            </w:r>
          </w:p>
        </w:tc>
      </w:tr>
      <w:tr w:rsidR="00B96BAA" w:rsidRPr="00B96BAA" w14:paraId="5FD30D63"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2563A7A6"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14:paraId="7B235DF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596</w:t>
            </w:r>
          </w:p>
        </w:tc>
        <w:tc>
          <w:tcPr>
            <w:tcW w:w="960" w:type="dxa"/>
            <w:tcBorders>
              <w:top w:val="nil"/>
              <w:left w:val="nil"/>
              <w:bottom w:val="single" w:sz="4" w:space="0" w:color="auto"/>
              <w:right w:val="nil"/>
            </w:tcBorders>
            <w:shd w:val="clear" w:color="000000" w:fill="D9D9D9"/>
            <w:noWrap/>
            <w:vAlign w:val="bottom"/>
            <w:hideMark/>
          </w:tcPr>
          <w:p w14:paraId="16D81A8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1,378</w:t>
            </w:r>
          </w:p>
        </w:tc>
        <w:tc>
          <w:tcPr>
            <w:tcW w:w="960" w:type="dxa"/>
            <w:tcBorders>
              <w:top w:val="nil"/>
              <w:left w:val="nil"/>
              <w:bottom w:val="single" w:sz="4" w:space="0" w:color="auto"/>
              <w:right w:val="nil"/>
            </w:tcBorders>
            <w:shd w:val="clear" w:color="auto" w:fill="auto"/>
            <w:noWrap/>
            <w:vAlign w:val="bottom"/>
            <w:hideMark/>
          </w:tcPr>
          <w:p w14:paraId="7B7E929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290</w:t>
            </w:r>
          </w:p>
        </w:tc>
        <w:tc>
          <w:tcPr>
            <w:tcW w:w="960" w:type="dxa"/>
            <w:tcBorders>
              <w:top w:val="nil"/>
              <w:left w:val="nil"/>
              <w:bottom w:val="single" w:sz="4" w:space="0" w:color="auto"/>
              <w:right w:val="nil"/>
            </w:tcBorders>
            <w:shd w:val="clear" w:color="auto" w:fill="auto"/>
            <w:noWrap/>
            <w:vAlign w:val="bottom"/>
            <w:hideMark/>
          </w:tcPr>
          <w:p w14:paraId="41C9C99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293</w:t>
            </w:r>
          </w:p>
        </w:tc>
        <w:tc>
          <w:tcPr>
            <w:tcW w:w="960" w:type="dxa"/>
            <w:tcBorders>
              <w:top w:val="nil"/>
              <w:left w:val="nil"/>
              <w:bottom w:val="single" w:sz="4" w:space="0" w:color="auto"/>
              <w:right w:val="nil"/>
            </w:tcBorders>
            <w:shd w:val="clear" w:color="auto" w:fill="auto"/>
            <w:noWrap/>
            <w:vAlign w:val="bottom"/>
            <w:hideMark/>
          </w:tcPr>
          <w:p w14:paraId="7547D56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296</w:t>
            </w:r>
          </w:p>
        </w:tc>
      </w:tr>
      <w:tr w:rsidR="00B96BAA" w:rsidRPr="00B96BAA" w14:paraId="4BF18C57" w14:textId="77777777" w:rsidTr="00396A36">
        <w:trPr>
          <w:trHeight w:val="454"/>
          <w:jc w:val="center"/>
        </w:trPr>
        <w:tc>
          <w:tcPr>
            <w:tcW w:w="3080" w:type="dxa"/>
            <w:tcBorders>
              <w:top w:val="nil"/>
              <w:left w:val="nil"/>
              <w:bottom w:val="nil"/>
              <w:right w:val="nil"/>
            </w:tcBorders>
            <w:shd w:val="clear" w:color="000000" w:fill="FFFFFF"/>
            <w:vAlign w:val="bottom"/>
            <w:hideMark/>
          </w:tcPr>
          <w:p w14:paraId="3EB56CB3"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PURCHASE OF NON-FINANCIAL ASSETS</w:t>
            </w:r>
          </w:p>
        </w:tc>
        <w:tc>
          <w:tcPr>
            <w:tcW w:w="960" w:type="dxa"/>
            <w:tcBorders>
              <w:top w:val="nil"/>
              <w:left w:val="nil"/>
              <w:bottom w:val="nil"/>
              <w:right w:val="nil"/>
            </w:tcBorders>
            <w:shd w:val="clear" w:color="000000" w:fill="FFFFFF"/>
            <w:noWrap/>
            <w:vAlign w:val="bottom"/>
            <w:hideMark/>
          </w:tcPr>
          <w:p w14:paraId="5117F1C8"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000000" w:fill="D9D9D9"/>
            <w:noWrap/>
            <w:vAlign w:val="bottom"/>
            <w:hideMark/>
          </w:tcPr>
          <w:p w14:paraId="1EA36EEF"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bottom"/>
            <w:hideMark/>
          </w:tcPr>
          <w:p w14:paraId="7EE3822A" w14:textId="77777777" w:rsidR="00B96BAA" w:rsidRPr="00B96BAA" w:rsidRDefault="00B96BAA" w:rsidP="00B96BAA">
            <w:pPr>
              <w:spacing w:before="0"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79058010"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30EDAEC"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753B9FC8" w14:textId="77777777" w:rsidTr="00396A36">
        <w:trPr>
          <w:trHeight w:val="425"/>
          <w:jc w:val="center"/>
        </w:trPr>
        <w:tc>
          <w:tcPr>
            <w:tcW w:w="3080" w:type="dxa"/>
            <w:tcBorders>
              <w:top w:val="nil"/>
              <w:left w:val="nil"/>
              <w:bottom w:val="nil"/>
              <w:right w:val="nil"/>
            </w:tcBorders>
            <w:shd w:val="clear" w:color="000000" w:fill="FFFFFF"/>
            <w:vAlign w:val="bottom"/>
            <w:hideMark/>
          </w:tcPr>
          <w:p w14:paraId="0CA1C212"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Funded by capital appropriations - equity injection</w:t>
            </w:r>
            <w:r w:rsidRPr="00B96BAA">
              <w:rPr>
                <w:rFonts w:ascii="Arial" w:hAnsi="Arial" w:cs="Arial"/>
                <w:sz w:val="16"/>
                <w:szCs w:val="16"/>
                <w:vertAlign w:val="superscript"/>
              </w:rPr>
              <w:t xml:space="preserve"> (a)</w:t>
            </w:r>
          </w:p>
        </w:tc>
        <w:tc>
          <w:tcPr>
            <w:tcW w:w="960" w:type="dxa"/>
            <w:tcBorders>
              <w:top w:val="nil"/>
              <w:left w:val="nil"/>
              <w:bottom w:val="nil"/>
              <w:right w:val="nil"/>
            </w:tcBorders>
            <w:shd w:val="clear" w:color="auto" w:fill="auto"/>
            <w:noWrap/>
            <w:vAlign w:val="bottom"/>
            <w:hideMark/>
          </w:tcPr>
          <w:p w14:paraId="349EE58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359</w:t>
            </w:r>
          </w:p>
        </w:tc>
        <w:tc>
          <w:tcPr>
            <w:tcW w:w="960" w:type="dxa"/>
            <w:tcBorders>
              <w:top w:val="nil"/>
              <w:left w:val="nil"/>
              <w:bottom w:val="nil"/>
              <w:right w:val="nil"/>
            </w:tcBorders>
            <w:shd w:val="clear" w:color="000000" w:fill="D9D9D9"/>
            <w:noWrap/>
            <w:vAlign w:val="bottom"/>
            <w:hideMark/>
          </w:tcPr>
          <w:p w14:paraId="4ED9818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94BFFE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3A5EAA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F290F4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r>
      <w:tr w:rsidR="00B96BAA" w:rsidRPr="00B96BAA" w14:paraId="11B7BD77" w14:textId="77777777" w:rsidTr="00B96BAA">
        <w:trPr>
          <w:trHeight w:val="228"/>
          <w:jc w:val="center"/>
        </w:trPr>
        <w:tc>
          <w:tcPr>
            <w:tcW w:w="3080" w:type="dxa"/>
            <w:tcBorders>
              <w:top w:val="nil"/>
              <w:left w:val="nil"/>
              <w:bottom w:val="nil"/>
              <w:right w:val="nil"/>
            </w:tcBorders>
            <w:shd w:val="clear" w:color="000000" w:fill="FFFFFF"/>
            <w:vAlign w:val="bottom"/>
            <w:hideMark/>
          </w:tcPr>
          <w:p w14:paraId="0B6DB412"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Funded by capital appropriation - DCB</w:t>
            </w:r>
            <w:r w:rsidRPr="00B96BAA">
              <w:rPr>
                <w:rFonts w:ascii="Arial" w:hAnsi="Arial" w:cs="Arial"/>
                <w:sz w:val="16"/>
                <w:szCs w:val="16"/>
                <w:vertAlign w:val="superscript"/>
              </w:rPr>
              <w:t xml:space="preserve"> (b)</w:t>
            </w:r>
          </w:p>
        </w:tc>
        <w:tc>
          <w:tcPr>
            <w:tcW w:w="960" w:type="dxa"/>
            <w:tcBorders>
              <w:top w:val="nil"/>
              <w:left w:val="nil"/>
              <w:bottom w:val="nil"/>
              <w:right w:val="nil"/>
            </w:tcBorders>
            <w:shd w:val="clear" w:color="auto" w:fill="auto"/>
            <w:noWrap/>
            <w:vAlign w:val="bottom"/>
            <w:hideMark/>
          </w:tcPr>
          <w:p w14:paraId="0AA1C61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237</w:t>
            </w:r>
          </w:p>
        </w:tc>
        <w:tc>
          <w:tcPr>
            <w:tcW w:w="960" w:type="dxa"/>
            <w:tcBorders>
              <w:top w:val="nil"/>
              <w:left w:val="nil"/>
              <w:bottom w:val="nil"/>
              <w:right w:val="nil"/>
            </w:tcBorders>
            <w:shd w:val="clear" w:color="000000" w:fill="D9D9D9"/>
            <w:noWrap/>
            <w:vAlign w:val="bottom"/>
            <w:hideMark/>
          </w:tcPr>
          <w:p w14:paraId="7B3A53D9"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1,378</w:t>
            </w:r>
          </w:p>
        </w:tc>
        <w:tc>
          <w:tcPr>
            <w:tcW w:w="960" w:type="dxa"/>
            <w:tcBorders>
              <w:top w:val="nil"/>
              <w:left w:val="nil"/>
              <w:bottom w:val="nil"/>
              <w:right w:val="nil"/>
            </w:tcBorders>
            <w:shd w:val="clear" w:color="auto" w:fill="auto"/>
            <w:noWrap/>
            <w:vAlign w:val="bottom"/>
            <w:hideMark/>
          </w:tcPr>
          <w:p w14:paraId="07AF9BB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290</w:t>
            </w:r>
          </w:p>
        </w:tc>
        <w:tc>
          <w:tcPr>
            <w:tcW w:w="960" w:type="dxa"/>
            <w:tcBorders>
              <w:top w:val="nil"/>
              <w:left w:val="nil"/>
              <w:bottom w:val="nil"/>
              <w:right w:val="nil"/>
            </w:tcBorders>
            <w:shd w:val="clear" w:color="auto" w:fill="auto"/>
            <w:noWrap/>
            <w:vAlign w:val="bottom"/>
            <w:hideMark/>
          </w:tcPr>
          <w:p w14:paraId="76F5033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293</w:t>
            </w:r>
          </w:p>
        </w:tc>
        <w:tc>
          <w:tcPr>
            <w:tcW w:w="960" w:type="dxa"/>
            <w:tcBorders>
              <w:top w:val="nil"/>
              <w:left w:val="nil"/>
              <w:bottom w:val="nil"/>
              <w:right w:val="nil"/>
            </w:tcBorders>
            <w:shd w:val="clear" w:color="auto" w:fill="auto"/>
            <w:noWrap/>
            <w:vAlign w:val="bottom"/>
            <w:hideMark/>
          </w:tcPr>
          <w:p w14:paraId="3088F8A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296</w:t>
            </w:r>
          </w:p>
        </w:tc>
      </w:tr>
      <w:tr w:rsidR="00B96BAA" w:rsidRPr="00B96BAA" w14:paraId="1A7766BE" w14:textId="77777777" w:rsidTr="00396A36">
        <w:trPr>
          <w:trHeight w:val="425"/>
          <w:jc w:val="center"/>
        </w:trPr>
        <w:tc>
          <w:tcPr>
            <w:tcW w:w="3080" w:type="dxa"/>
            <w:tcBorders>
              <w:top w:val="nil"/>
              <w:left w:val="nil"/>
              <w:bottom w:val="nil"/>
              <w:right w:val="nil"/>
            </w:tcBorders>
            <w:shd w:val="clear" w:color="000000" w:fill="FFFFFF"/>
            <w:vAlign w:val="bottom"/>
            <w:hideMark/>
          </w:tcPr>
          <w:p w14:paraId="50EC4ACE"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Funded internally from departmental resources</w:t>
            </w:r>
          </w:p>
        </w:tc>
        <w:tc>
          <w:tcPr>
            <w:tcW w:w="960" w:type="dxa"/>
            <w:tcBorders>
              <w:top w:val="nil"/>
              <w:left w:val="nil"/>
              <w:bottom w:val="nil"/>
              <w:right w:val="nil"/>
            </w:tcBorders>
            <w:shd w:val="clear" w:color="auto" w:fill="auto"/>
            <w:noWrap/>
            <w:vAlign w:val="bottom"/>
            <w:hideMark/>
          </w:tcPr>
          <w:p w14:paraId="13FEB31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2D29C65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36AB9010"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EC28B1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385E733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r>
      <w:tr w:rsidR="00B96BAA" w:rsidRPr="00B96BAA" w14:paraId="272A4C62" w14:textId="77777777" w:rsidTr="00396A36">
        <w:trPr>
          <w:trHeight w:val="425"/>
          <w:jc w:val="center"/>
        </w:trPr>
        <w:tc>
          <w:tcPr>
            <w:tcW w:w="3080" w:type="dxa"/>
            <w:tcBorders>
              <w:top w:val="nil"/>
              <w:left w:val="nil"/>
              <w:bottom w:val="nil"/>
              <w:right w:val="nil"/>
            </w:tcBorders>
            <w:shd w:val="clear" w:color="000000" w:fill="FFFFFF"/>
            <w:vAlign w:val="bottom"/>
            <w:hideMark/>
          </w:tcPr>
          <w:p w14:paraId="71AD455C"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acquisitions of non-financial assets</w:t>
            </w:r>
          </w:p>
        </w:tc>
        <w:tc>
          <w:tcPr>
            <w:tcW w:w="960" w:type="dxa"/>
            <w:tcBorders>
              <w:top w:val="nil"/>
              <w:left w:val="nil"/>
              <w:bottom w:val="single" w:sz="4" w:space="0" w:color="auto"/>
              <w:right w:val="nil"/>
            </w:tcBorders>
            <w:shd w:val="clear" w:color="auto" w:fill="auto"/>
            <w:noWrap/>
            <w:vAlign w:val="bottom"/>
            <w:hideMark/>
          </w:tcPr>
          <w:p w14:paraId="1F4ADF6C"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596</w:t>
            </w:r>
          </w:p>
        </w:tc>
        <w:tc>
          <w:tcPr>
            <w:tcW w:w="960" w:type="dxa"/>
            <w:tcBorders>
              <w:top w:val="nil"/>
              <w:left w:val="nil"/>
              <w:bottom w:val="single" w:sz="4" w:space="0" w:color="auto"/>
              <w:right w:val="nil"/>
            </w:tcBorders>
            <w:shd w:val="clear" w:color="000000" w:fill="D9D9D9"/>
            <w:noWrap/>
            <w:vAlign w:val="bottom"/>
            <w:hideMark/>
          </w:tcPr>
          <w:p w14:paraId="1669F59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1,378</w:t>
            </w:r>
          </w:p>
        </w:tc>
        <w:tc>
          <w:tcPr>
            <w:tcW w:w="960" w:type="dxa"/>
            <w:tcBorders>
              <w:top w:val="nil"/>
              <w:left w:val="nil"/>
              <w:bottom w:val="single" w:sz="4" w:space="0" w:color="auto"/>
              <w:right w:val="nil"/>
            </w:tcBorders>
            <w:shd w:val="clear" w:color="auto" w:fill="auto"/>
            <w:noWrap/>
            <w:vAlign w:val="bottom"/>
            <w:hideMark/>
          </w:tcPr>
          <w:p w14:paraId="79FFAD5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290</w:t>
            </w:r>
          </w:p>
        </w:tc>
        <w:tc>
          <w:tcPr>
            <w:tcW w:w="960" w:type="dxa"/>
            <w:tcBorders>
              <w:top w:val="nil"/>
              <w:left w:val="nil"/>
              <w:bottom w:val="single" w:sz="4" w:space="0" w:color="auto"/>
              <w:right w:val="nil"/>
            </w:tcBorders>
            <w:shd w:val="clear" w:color="auto" w:fill="auto"/>
            <w:noWrap/>
            <w:vAlign w:val="bottom"/>
            <w:hideMark/>
          </w:tcPr>
          <w:p w14:paraId="60AAF797"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293</w:t>
            </w:r>
          </w:p>
        </w:tc>
        <w:tc>
          <w:tcPr>
            <w:tcW w:w="960" w:type="dxa"/>
            <w:tcBorders>
              <w:top w:val="nil"/>
              <w:left w:val="nil"/>
              <w:bottom w:val="single" w:sz="4" w:space="0" w:color="auto"/>
              <w:right w:val="nil"/>
            </w:tcBorders>
            <w:shd w:val="clear" w:color="auto" w:fill="auto"/>
            <w:noWrap/>
            <w:vAlign w:val="bottom"/>
            <w:hideMark/>
          </w:tcPr>
          <w:p w14:paraId="19E9533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296</w:t>
            </w:r>
          </w:p>
        </w:tc>
      </w:tr>
      <w:tr w:rsidR="00B96BAA" w:rsidRPr="00B96BAA" w14:paraId="36DF65B7" w14:textId="77777777" w:rsidTr="00396A36">
        <w:trPr>
          <w:trHeight w:val="624"/>
          <w:jc w:val="center"/>
        </w:trPr>
        <w:tc>
          <w:tcPr>
            <w:tcW w:w="3080" w:type="dxa"/>
            <w:tcBorders>
              <w:top w:val="nil"/>
              <w:left w:val="nil"/>
              <w:bottom w:val="nil"/>
              <w:right w:val="nil"/>
            </w:tcBorders>
            <w:shd w:val="clear" w:color="000000" w:fill="FFFFFF"/>
            <w:vAlign w:val="bottom"/>
            <w:hideMark/>
          </w:tcPr>
          <w:p w14:paraId="1CC1188E"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RECONCILIATION OF CASH USED TO ACQUIRE ASSETS TO ASSET MOVEMENT TABLE</w:t>
            </w:r>
          </w:p>
        </w:tc>
        <w:tc>
          <w:tcPr>
            <w:tcW w:w="960" w:type="dxa"/>
            <w:tcBorders>
              <w:top w:val="nil"/>
              <w:left w:val="nil"/>
              <w:bottom w:val="nil"/>
              <w:right w:val="nil"/>
            </w:tcBorders>
            <w:shd w:val="clear" w:color="auto" w:fill="auto"/>
            <w:noWrap/>
            <w:vAlign w:val="bottom"/>
            <w:hideMark/>
          </w:tcPr>
          <w:p w14:paraId="36D7C7F8" w14:textId="77777777" w:rsidR="00B96BAA" w:rsidRPr="00B96BAA" w:rsidRDefault="00B96BAA" w:rsidP="00B96BAA">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0F1F3A6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 </w:t>
            </w:r>
          </w:p>
        </w:tc>
        <w:tc>
          <w:tcPr>
            <w:tcW w:w="960" w:type="dxa"/>
            <w:tcBorders>
              <w:top w:val="nil"/>
              <w:left w:val="nil"/>
              <w:bottom w:val="nil"/>
              <w:right w:val="nil"/>
            </w:tcBorders>
            <w:shd w:val="clear" w:color="auto" w:fill="auto"/>
            <w:noWrap/>
            <w:vAlign w:val="bottom"/>
            <w:hideMark/>
          </w:tcPr>
          <w:p w14:paraId="3C105BEF" w14:textId="77777777" w:rsidR="00B96BAA" w:rsidRPr="00B96BAA" w:rsidRDefault="00B96BAA" w:rsidP="00B96BAA">
            <w:pPr>
              <w:spacing w:before="0" w:after="0" w:line="240" w:lineRule="auto"/>
              <w:jc w:val="right"/>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14:paraId="5AA3A37C"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2C3A6B6"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43F67FF6" w14:textId="77777777" w:rsidTr="00B96BAA">
        <w:trPr>
          <w:trHeight w:val="225"/>
          <w:jc w:val="center"/>
        </w:trPr>
        <w:tc>
          <w:tcPr>
            <w:tcW w:w="3080" w:type="dxa"/>
            <w:tcBorders>
              <w:top w:val="nil"/>
              <w:left w:val="nil"/>
              <w:bottom w:val="nil"/>
              <w:right w:val="nil"/>
            </w:tcBorders>
            <w:shd w:val="clear" w:color="000000" w:fill="FFFFFF"/>
            <w:noWrap/>
            <w:vAlign w:val="bottom"/>
            <w:hideMark/>
          </w:tcPr>
          <w:p w14:paraId="334DEFE7"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Total purchases</w:t>
            </w:r>
          </w:p>
        </w:tc>
        <w:tc>
          <w:tcPr>
            <w:tcW w:w="960" w:type="dxa"/>
            <w:tcBorders>
              <w:top w:val="nil"/>
              <w:left w:val="nil"/>
              <w:bottom w:val="nil"/>
              <w:right w:val="nil"/>
            </w:tcBorders>
            <w:shd w:val="clear" w:color="auto" w:fill="auto"/>
            <w:noWrap/>
            <w:vAlign w:val="bottom"/>
            <w:hideMark/>
          </w:tcPr>
          <w:p w14:paraId="4FF9434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1,080</w:t>
            </w:r>
          </w:p>
        </w:tc>
        <w:tc>
          <w:tcPr>
            <w:tcW w:w="960" w:type="dxa"/>
            <w:tcBorders>
              <w:top w:val="nil"/>
              <w:left w:val="nil"/>
              <w:bottom w:val="nil"/>
              <w:right w:val="nil"/>
            </w:tcBorders>
            <w:shd w:val="clear" w:color="000000" w:fill="D9D9D9"/>
            <w:noWrap/>
            <w:vAlign w:val="bottom"/>
            <w:hideMark/>
          </w:tcPr>
          <w:p w14:paraId="2896531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1,378</w:t>
            </w:r>
          </w:p>
        </w:tc>
        <w:tc>
          <w:tcPr>
            <w:tcW w:w="960" w:type="dxa"/>
            <w:tcBorders>
              <w:top w:val="nil"/>
              <w:left w:val="nil"/>
              <w:bottom w:val="nil"/>
              <w:right w:val="nil"/>
            </w:tcBorders>
            <w:shd w:val="clear" w:color="auto" w:fill="auto"/>
            <w:noWrap/>
            <w:vAlign w:val="bottom"/>
            <w:hideMark/>
          </w:tcPr>
          <w:p w14:paraId="29FE1C21"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290</w:t>
            </w:r>
          </w:p>
        </w:tc>
        <w:tc>
          <w:tcPr>
            <w:tcW w:w="960" w:type="dxa"/>
            <w:tcBorders>
              <w:top w:val="nil"/>
              <w:left w:val="nil"/>
              <w:bottom w:val="nil"/>
              <w:right w:val="nil"/>
            </w:tcBorders>
            <w:shd w:val="clear" w:color="auto" w:fill="auto"/>
            <w:noWrap/>
            <w:vAlign w:val="bottom"/>
            <w:hideMark/>
          </w:tcPr>
          <w:p w14:paraId="1489ED1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293</w:t>
            </w:r>
          </w:p>
        </w:tc>
        <w:tc>
          <w:tcPr>
            <w:tcW w:w="960" w:type="dxa"/>
            <w:tcBorders>
              <w:top w:val="nil"/>
              <w:left w:val="nil"/>
              <w:bottom w:val="nil"/>
              <w:right w:val="nil"/>
            </w:tcBorders>
            <w:shd w:val="clear" w:color="auto" w:fill="auto"/>
            <w:noWrap/>
            <w:vAlign w:val="bottom"/>
            <w:hideMark/>
          </w:tcPr>
          <w:p w14:paraId="0A5A442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296</w:t>
            </w:r>
          </w:p>
        </w:tc>
      </w:tr>
      <w:tr w:rsidR="00B96BAA" w:rsidRPr="00B96BAA" w14:paraId="55434F69" w14:textId="77777777" w:rsidTr="00396A36">
        <w:trPr>
          <w:trHeight w:val="425"/>
          <w:jc w:val="center"/>
        </w:trPr>
        <w:tc>
          <w:tcPr>
            <w:tcW w:w="3080" w:type="dxa"/>
            <w:tcBorders>
              <w:top w:val="nil"/>
              <w:left w:val="nil"/>
              <w:bottom w:val="single" w:sz="4" w:space="0" w:color="auto"/>
              <w:right w:val="nil"/>
            </w:tcBorders>
            <w:shd w:val="clear" w:color="000000" w:fill="FFFFFF"/>
            <w:vAlign w:val="bottom"/>
            <w:hideMark/>
          </w:tcPr>
          <w:p w14:paraId="6297E5BE"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cash used to acquire assets</w:t>
            </w:r>
          </w:p>
        </w:tc>
        <w:tc>
          <w:tcPr>
            <w:tcW w:w="960" w:type="dxa"/>
            <w:tcBorders>
              <w:top w:val="nil"/>
              <w:left w:val="nil"/>
              <w:bottom w:val="single" w:sz="4" w:space="0" w:color="auto"/>
              <w:right w:val="nil"/>
            </w:tcBorders>
            <w:shd w:val="clear" w:color="auto" w:fill="auto"/>
            <w:noWrap/>
            <w:vAlign w:val="bottom"/>
            <w:hideMark/>
          </w:tcPr>
          <w:p w14:paraId="7855A102" w14:textId="77777777" w:rsidR="00B96BAA" w:rsidRPr="00B96BAA" w:rsidRDefault="00B96BAA" w:rsidP="00B96BAA">
            <w:pPr>
              <w:spacing w:before="0" w:after="0" w:line="240" w:lineRule="auto"/>
              <w:jc w:val="right"/>
              <w:rPr>
                <w:rFonts w:ascii="Arial" w:hAnsi="Arial" w:cs="Arial"/>
                <w:b/>
                <w:bCs/>
                <w:sz w:val="16"/>
                <w:szCs w:val="16"/>
              </w:rPr>
            </w:pPr>
            <w:r w:rsidRPr="00B96BAA">
              <w:rPr>
                <w:rFonts w:ascii="Arial" w:hAnsi="Arial" w:cs="Arial"/>
                <w:b/>
                <w:bCs/>
                <w:sz w:val="16"/>
                <w:szCs w:val="16"/>
              </w:rPr>
              <w:t>1,080</w:t>
            </w:r>
          </w:p>
        </w:tc>
        <w:tc>
          <w:tcPr>
            <w:tcW w:w="960" w:type="dxa"/>
            <w:tcBorders>
              <w:top w:val="nil"/>
              <w:left w:val="nil"/>
              <w:bottom w:val="single" w:sz="4" w:space="0" w:color="auto"/>
              <w:right w:val="nil"/>
            </w:tcBorders>
            <w:shd w:val="clear" w:color="000000" w:fill="D9D9D9"/>
            <w:noWrap/>
            <w:vAlign w:val="bottom"/>
            <w:hideMark/>
          </w:tcPr>
          <w:p w14:paraId="080EB4A7" w14:textId="77777777" w:rsidR="00B96BAA" w:rsidRPr="00B96BAA" w:rsidRDefault="00B96BAA" w:rsidP="00B96BAA">
            <w:pPr>
              <w:spacing w:before="0" w:after="0" w:line="240" w:lineRule="auto"/>
              <w:jc w:val="right"/>
              <w:rPr>
                <w:rFonts w:ascii="Arial" w:hAnsi="Arial" w:cs="Arial"/>
                <w:b/>
                <w:bCs/>
                <w:sz w:val="16"/>
                <w:szCs w:val="16"/>
              </w:rPr>
            </w:pPr>
            <w:r w:rsidRPr="00B96BAA">
              <w:rPr>
                <w:rFonts w:ascii="Arial" w:hAnsi="Arial" w:cs="Arial"/>
                <w:b/>
                <w:bCs/>
                <w:sz w:val="16"/>
                <w:szCs w:val="16"/>
              </w:rPr>
              <w:t>1,378</w:t>
            </w:r>
          </w:p>
        </w:tc>
        <w:tc>
          <w:tcPr>
            <w:tcW w:w="960" w:type="dxa"/>
            <w:tcBorders>
              <w:top w:val="nil"/>
              <w:left w:val="nil"/>
              <w:bottom w:val="single" w:sz="4" w:space="0" w:color="auto"/>
              <w:right w:val="nil"/>
            </w:tcBorders>
            <w:shd w:val="clear" w:color="auto" w:fill="auto"/>
            <w:noWrap/>
            <w:vAlign w:val="bottom"/>
            <w:hideMark/>
          </w:tcPr>
          <w:p w14:paraId="373525F0" w14:textId="77777777" w:rsidR="00B96BAA" w:rsidRPr="00B96BAA" w:rsidRDefault="00B96BAA" w:rsidP="00B96BAA">
            <w:pPr>
              <w:spacing w:before="0" w:after="0" w:line="240" w:lineRule="auto"/>
              <w:jc w:val="right"/>
              <w:rPr>
                <w:rFonts w:ascii="Arial" w:hAnsi="Arial" w:cs="Arial"/>
                <w:b/>
                <w:bCs/>
                <w:sz w:val="16"/>
                <w:szCs w:val="16"/>
              </w:rPr>
            </w:pPr>
            <w:r w:rsidRPr="00B96BAA">
              <w:rPr>
                <w:rFonts w:ascii="Arial" w:hAnsi="Arial" w:cs="Arial"/>
                <w:b/>
                <w:bCs/>
                <w:sz w:val="16"/>
                <w:szCs w:val="16"/>
              </w:rPr>
              <w:t>290</w:t>
            </w:r>
          </w:p>
        </w:tc>
        <w:tc>
          <w:tcPr>
            <w:tcW w:w="960" w:type="dxa"/>
            <w:tcBorders>
              <w:top w:val="nil"/>
              <w:left w:val="nil"/>
              <w:bottom w:val="single" w:sz="4" w:space="0" w:color="auto"/>
              <w:right w:val="nil"/>
            </w:tcBorders>
            <w:shd w:val="clear" w:color="auto" w:fill="auto"/>
            <w:noWrap/>
            <w:vAlign w:val="bottom"/>
            <w:hideMark/>
          </w:tcPr>
          <w:p w14:paraId="0CFD35AB" w14:textId="77777777" w:rsidR="00B96BAA" w:rsidRPr="00B96BAA" w:rsidRDefault="00B96BAA" w:rsidP="00B96BAA">
            <w:pPr>
              <w:spacing w:before="0" w:after="0" w:line="240" w:lineRule="auto"/>
              <w:jc w:val="right"/>
              <w:rPr>
                <w:rFonts w:ascii="Arial" w:hAnsi="Arial" w:cs="Arial"/>
                <w:b/>
                <w:bCs/>
                <w:sz w:val="16"/>
                <w:szCs w:val="16"/>
              </w:rPr>
            </w:pPr>
            <w:r w:rsidRPr="00B96BAA">
              <w:rPr>
                <w:rFonts w:ascii="Arial" w:hAnsi="Arial" w:cs="Arial"/>
                <w:b/>
                <w:bCs/>
                <w:sz w:val="16"/>
                <w:szCs w:val="16"/>
              </w:rPr>
              <w:t>293</w:t>
            </w:r>
          </w:p>
        </w:tc>
        <w:tc>
          <w:tcPr>
            <w:tcW w:w="960" w:type="dxa"/>
            <w:tcBorders>
              <w:top w:val="nil"/>
              <w:left w:val="nil"/>
              <w:bottom w:val="single" w:sz="4" w:space="0" w:color="auto"/>
              <w:right w:val="nil"/>
            </w:tcBorders>
            <w:shd w:val="clear" w:color="auto" w:fill="auto"/>
            <w:noWrap/>
            <w:vAlign w:val="bottom"/>
            <w:hideMark/>
          </w:tcPr>
          <w:p w14:paraId="69008D8D" w14:textId="77777777" w:rsidR="00B96BAA" w:rsidRPr="00B96BAA" w:rsidRDefault="00B96BAA" w:rsidP="00B96BAA">
            <w:pPr>
              <w:spacing w:before="0" w:after="0" w:line="240" w:lineRule="auto"/>
              <w:jc w:val="right"/>
              <w:rPr>
                <w:rFonts w:ascii="Arial" w:hAnsi="Arial" w:cs="Arial"/>
                <w:b/>
                <w:bCs/>
                <w:sz w:val="16"/>
                <w:szCs w:val="16"/>
              </w:rPr>
            </w:pPr>
            <w:r w:rsidRPr="00B96BAA">
              <w:rPr>
                <w:rFonts w:ascii="Arial" w:hAnsi="Arial" w:cs="Arial"/>
                <w:b/>
                <w:bCs/>
                <w:sz w:val="16"/>
                <w:szCs w:val="16"/>
              </w:rPr>
              <w:t>296</w:t>
            </w:r>
          </w:p>
        </w:tc>
      </w:tr>
    </w:tbl>
    <w:p w14:paraId="108D606D" w14:textId="71836960" w:rsidR="00B96BAA" w:rsidRDefault="00B96BAA" w:rsidP="00B96BAA">
      <w:pPr>
        <w:pStyle w:val="FootnoteText"/>
        <w:spacing w:before="120"/>
      </w:pPr>
      <w:r>
        <w:t>DCB = Departmental Capital Budget</w:t>
      </w:r>
    </w:p>
    <w:p w14:paraId="1AB8FF41" w14:textId="7F088084" w:rsidR="00B96BAA" w:rsidRDefault="00B96BAA" w:rsidP="00B96BAA">
      <w:pPr>
        <w:pStyle w:val="FootnoteText"/>
      </w:pPr>
      <w:r w:rsidRPr="00B96BAA">
        <w:rPr>
          <w:vertAlign w:val="superscript"/>
        </w:rPr>
        <w:t>(a)</w:t>
      </w:r>
      <w:r>
        <w:tab/>
        <w:t>Includes both current Appropriation Bill (No. 2), prior Act 2/4/6 appropriations and special capital appropriations.</w:t>
      </w:r>
    </w:p>
    <w:p w14:paraId="3F374B80" w14:textId="1C214BAB" w:rsidR="00B96BAA" w:rsidRDefault="00B96BAA" w:rsidP="00B96BAA">
      <w:pPr>
        <w:pStyle w:val="FootnoteText"/>
      </w:pPr>
      <w:r w:rsidRPr="00B96BAA">
        <w:rPr>
          <w:vertAlign w:val="superscript"/>
        </w:rPr>
        <w:t>(b)</w:t>
      </w:r>
      <w:r>
        <w:tab/>
        <w:t>Does not include annual finance lease costs. Includes purchases from current and previous years' DCB.</w:t>
      </w:r>
    </w:p>
    <w:p w14:paraId="69FFF576" w14:textId="77777777" w:rsidR="00B96BAA" w:rsidRPr="00B96BAA" w:rsidRDefault="00B96BAA" w:rsidP="00B96BAA"/>
    <w:p w14:paraId="0B7ADD3A" w14:textId="77777777" w:rsidR="00303B77" w:rsidRDefault="00303B77">
      <w:pPr>
        <w:spacing w:before="0" w:after="0" w:line="240" w:lineRule="auto"/>
        <w:rPr>
          <w:rFonts w:ascii="Arial" w:hAnsi="Arial"/>
          <w:b/>
          <w:snapToGrid w:val="0"/>
          <w:sz w:val="20"/>
        </w:rPr>
      </w:pPr>
      <w:r>
        <w:rPr>
          <w:snapToGrid w:val="0"/>
        </w:rPr>
        <w:br w:type="page"/>
      </w:r>
    </w:p>
    <w:p w14:paraId="2F4F7793" w14:textId="48EEC7FC" w:rsidR="00526CE6" w:rsidRPr="00AC132E" w:rsidRDefault="00526CE6" w:rsidP="00D4611E">
      <w:pPr>
        <w:pStyle w:val="TableHeading"/>
        <w:spacing w:before="0"/>
        <w:rPr>
          <w:snapToGrid w:val="0"/>
        </w:rPr>
      </w:pPr>
      <w:r w:rsidRPr="00AC132E">
        <w:rPr>
          <w:snapToGrid w:val="0"/>
        </w:rPr>
        <w:t>Table 3.7: Statement of departmental asset movements (Budget year 2023–24)</w:t>
      </w:r>
    </w:p>
    <w:tbl>
      <w:tblPr>
        <w:tblW w:w="7880" w:type="dxa"/>
        <w:jc w:val="center"/>
        <w:tblLayout w:type="fixed"/>
        <w:tblLook w:val="04A0" w:firstRow="1" w:lastRow="0" w:firstColumn="1" w:lastColumn="0" w:noHBand="0" w:noVBand="1"/>
      </w:tblPr>
      <w:tblGrid>
        <w:gridCol w:w="3281"/>
        <w:gridCol w:w="1150"/>
        <w:gridCol w:w="1152"/>
        <w:gridCol w:w="1153"/>
        <w:gridCol w:w="1144"/>
      </w:tblGrid>
      <w:tr w:rsidR="00B96BAA" w:rsidRPr="00B96BAA" w14:paraId="49C0EEFE" w14:textId="77777777" w:rsidTr="00A850E1">
        <w:trPr>
          <w:trHeight w:val="765"/>
          <w:jc w:val="center"/>
        </w:trPr>
        <w:tc>
          <w:tcPr>
            <w:tcW w:w="3281" w:type="dxa"/>
            <w:tcBorders>
              <w:top w:val="single" w:sz="4" w:space="0" w:color="auto"/>
              <w:left w:val="nil"/>
              <w:bottom w:val="nil"/>
              <w:right w:val="nil"/>
            </w:tcBorders>
            <w:shd w:val="clear" w:color="auto" w:fill="auto"/>
            <w:hideMark/>
          </w:tcPr>
          <w:p w14:paraId="03BF5C14" w14:textId="77777777" w:rsidR="00B96BAA" w:rsidRPr="00B96BAA" w:rsidRDefault="00B96BAA" w:rsidP="00A850E1">
            <w:pPr>
              <w:spacing w:before="24" w:after="0" w:line="240" w:lineRule="auto"/>
              <w:jc w:val="right"/>
              <w:rPr>
                <w:rFonts w:ascii="Times New Roman" w:hAnsi="Times New Roman"/>
                <w:sz w:val="20"/>
                <w:szCs w:val="24"/>
              </w:rPr>
            </w:pPr>
          </w:p>
        </w:tc>
        <w:tc>
          <w:tcPr>
            <w:tcW w:w="1150" w:type="dxa"/>
            <w:tcBorders>
              <w:top w:val="single" w:sz="4" w:space="0" w:color="auto"/>
              <w:left w:val="nil"/>
              <w:bottom w:val="single" w:sz="4" w:space="0" w:color="auto"/>
              <w:right w:val="nil"/>
            </w:tcBorders>
            <w:shd w:val="clear" w:color="auto" w:fill="auto"/>
            <w:hideMark/>
          </w:tcPr>
          <w:p w14:paraId="5F3C2F39" w14:textId="77777777" w:rsidR="00B96BAA" w:rsidRPr="00B96BAA" w:rsidRDefault="00B96BAA" w:rsidP="00A850E1">
            <w:pPr>
              <w:spacing w:before="24" w:after="0" w:line="240" w:lineRule="auto"/>
              <w:jc w:val="right"/>
              <w:rPr>
                <w:rFonts w:ascii="Arial" w:hAnsi="Arial" w:cs="Arial"/>
                <w:b/>
                <w:bCs/>
                <w:sz w:val="16"/>
                <w:szCs w:val="16"/>
              </w:rPr>
            </w:pPr>
            <w:r w:rsidRPr="00B96BAA">
              <w:rPr>
                <w:rFonts w:ascii="Arial" w:hAnsi="Arial" w:cs="Arial"/>
                <w:b/>
                <w:bCs/>
                <w:sz w:val="16"/>
                <w:szCs w:val="16"/>
              </w:rPr>
              <w:t>Buildings</w:t>
            </w:r>
            <w:r w:rsidRPr="00B96BAA">
              <w:rPr>
                <w:rFonts w:ascii="Arial" w:hAnsi="Arial" w:cs="Arial"/>
                <w:sz w:val="16"/>
                <w:szCs w:val="16"/>
              </w:rPr>
              <w:t xml:space="preserve"> </w:t>
            </w:r>
            <w:r w:rsidRPr="00B96BAA">
              <w:rPr>
                <w:rFonts w:ascii="Arial" w:hAnsi="Arial" w:cs="Arial"/>
                <w:sz w:val="16"/>
                <w:szCs w:val="16"/>
              </w:rPr>
              <w:br/>
            </w:r>
            <w:r w:rsidRPr="00B96BAA">
              <w:rPr>
                <w:rFonts w:ascii="Arial" w:hAnsi="Arial" w:cs="Arial"/>
                <w:sz w:val="16"/>
                <w:szCs w:val="16"/>
              </w:rPr>
              <w:br/>
            </w:r>
            <w:r w:rsidRPr="00B96BAA">
              <w:rPr>
                <w:rFonts w:ascii="Arial" w:hAnsi="Arial" w:cs="Arial"/>
                <w:sz w:val="16"/>
                <w:szCs w:val="16"/>
              </w:rPr>
              <w:br/>
              <w:t>$'000</w:t>
            </w:r>
          </w:p>
        </w:tc>
        <w:tc>
          <w:tcPr>
            <w:tcW w:w="1152" w:type="dxa"/>
            <w:tcBorders>
              <w:top w:val="single" w:sz="4" w:space="0" w:color="auto"/>
              <w:left w:val="nil"/>
              <w:bottom w:val="single" w:sz="4" w:space="0" w:color="auto"/>
              <w:right w:val="nil"/>
            </w:tcBorders>
            <w:shd w:val="clear" w:color="auto" w:fill="auto"/>
            <w:hideMark/>
          </w:tcPr>
          <w:p w14:paraId="22EC943F" w14:textId="77777777" w:rsidR="00B96BAA" w:rsidRPr="00B96BAA" w:rsidRDefault="00B96BAA" w:rsidP="00A850E1">
            <w:pPr>
              <w:spacing w:before="24" w:after="0" w:line="240" w:lineRule="auto"/>
              <w:jc w:val="right"/>
              <w:rPr>
                <w:rFonts w:ascii="Arial" w:hAnsi="Arial" w:cs="Arial"/>
                <w:b/>
                <w:bCs/>
                <w:sz w:val="16"/>
                <w:szCs w:val="16"/>
              </w:rPr>
            </w:pPr>
            <w:r w:rsidRPr="00B96BAA">
              <w:rPr>
                <w:rFonts w:ascii="Arial" w:hAnsi="Arial" w:cs="Arial"/>
                <w:b/>
                <w:bCs/>
                <w:sz w:val="16"/>
                <w:szCs w:val="16"/>
              </w:rPr>
              <w:t xml:space="preserve">Property, </w:t>
            </w:r>
            <w:proofErr w:type="gramStart"/>
            <w:r w:rsidRPr="00B96BAA">
              <w:rPr>
                <w:rFonts w:ascii="Arial" w:hAnsi="Arial" w:cs="Arial"/>
                <w:b/>
                <w:bCs/>
                <w:sz w:val="16"/>
                <w:szCs w:val="16"/>
              </w:rPr>
              <w:t>plant</w:t>
            </w:r>
            <w:proofErr w:type="gramEnd"/>
            <w:r w:rsidRPr="00B96BAA">
              <w:rPr>
                <w:rFonts w:ascii="Arial" w:hAnsi="Arial" w:cs="Arial"/>
                <w:b/>
                <w:bCs/>
                <w:sz w:val="16"/>
                <w:szCs w:val="16"/>
              </w:rPr>
              <w:t xml:space="preserve"> and equipment </w:t>
            </w:r>
            <w:r w:rsidRPr="00B96BAA">
              <w:rPr>
                <w:rFonts w:ascii="Arial" w:hAnsi="Arial" w:cs="Arial"/>
                <w:b/>
                <w:bCs/>
                <w:sz w:val="16"/>
                <w:szCs w:val="16"/>
              </w:rPr>
              <w:br/>
            </w:r>
            <w:r w:rsidRPr="00B96BAA">
              <w:rPr>
                <w:rFonts w:ascii="Arial" w:hAnsi="Arial" w:cs="Arial"/>
                <w:sz w:val="16"/>
                <w:szCs w:val="16"/>
              </w:rPr>
              <w:t>$'000</w:t>
            </w:r>
          </w:p>
        </w:tc>
        <w:tc>
          <w:tcPr>
            <w:tcW w:w="1153" w:type="dxa"/>
            <w:tcBorders>
              <w:top w:val="single" w:sz="4" w:space="0" w:color="auto"/>
              <w:left w:val="nil"/>
              <w:bottom w:val="single" w:sz="4" w:space="0" w:color="auto"/>
              <w:right w:val="nil"/>
            </w:tcBorders>
            <w:shd w:val="clear" w:color="auto" w:fill="auto"/>
            <w:hideMark/>
          </w:tcPr>
          <w:p w14:paraId="68FFF5FF" w14:textId="77777777" w:rsidR="00B96BAA" w:rsidRPr="00B96BAA" w:rsidRDefault="00B96BAA" w:rsidP="00A850E1">
            <w:pPr>
              <w:spacing w:before="24" w:after="0" w:line="240" w:lineRule="auto"/>
              <w:jc w:val="right"/>
              <w:rPr>
                <w:rFonts w:ascii="Arial" w:hAnsi="Arial" w:cs="Arial"/>
                <w:b/>
                <w:bCs/>
                <w:sz w:val="16"/>
                <w:szCs w:val="16"/>
              </w:rPr>
            </w:pPr>
            <w:r w:rsidRPr="00B96BAA">
              <w:rPr>
                <w:rFonts w:ascii="Arial" w:hAnsi="Arial" w:cs="Arial"/>
                <w:b/>
                <w:bCs/>
                <w:sz w:val="16"/>
                <w:szCs w:val="16"/>
              </w:rPr>
              <w:t xml:space="preserve">Intangibles </w:t>
            </w:r>
            <w:r w:rsidRPr="00B96BAA">
              <w:rPr>
                <w:rFonts w:ascii="Arial" w:hAnsi="Arial" w:cs="Arial"/>
                <w:b/>
                <w:bCs/>
                <w:sz w:val="16"/>
                <w:szCs w:val="16"/>
              </w:rPr>
              <w:br/>
            </w:r>
            <w:r w:rsidRPr="00B96BAA">
              <w:rPr>
                <w:rFonts w:ascii="Arial" w:hAnsi="Arial" w:cs="Arial"/>
                <w:b/>
                <w:bCs/>
                <w:sz w:val="16"/>
                <w:szCs w:val="16"/>
              </w:rPr>
              <w:br/>
            </w:r>
            <w:r w:rsidRPr="00B96BAA">
              <w:rPr>
                <w:rFonts w:ascii="Arial" w:hAnsi="Arial" w:cs="Arial"/>
                <w:b/>
                <w:bCs/>
                <w:sz w:val="16"/>
                <w:szCs w:val="16"/>
              </w:rPr>
              <w:br/>
            </w:r>
            <w:r w:rsidRPr="00B96BAA">
              <w:rPr>
                <w:rFonts w:ascii="Arial" w:hAnsi="Arial" w:cs="Arial"/>
                <w:sz w:val="16"/>
                <w:szCs w:val="16"/>
              </w:rPr>
              <w:t>$'000</w:t>
            </w:r>
          </w:p>
        </w:tc>
        <w:tc>
          <w:tcPr>
            <w:tcW w:w="1144" w:type="dxa"/>
            <w:tcBorders>
              <w:top w:val="single" w:sz="4" w:space="0" w:color="auto"/>
              <w:left w:val="nil"/>
              <w:bottom w:val="single" w:sz="4" w:space="0" w:color="auto"/>
              <w:right w:val="nil"/>
            </w:tcBorders>
            <w:shd w:val="clear" w:color="auto" w:fill="auto"/>
            <w:hideMark/>
          </w:tcPr>
          <w:p w14:paraId="3E8D31EC" w14:textId="77777777" w:rsidR="00B96BAA" w:rsidRPr="00B96BAA" w:rsidRDefault="00B96BAA" w:rsidP="00A850E1">
            <w:pPr>
              <w:spacing w:before="24" w:after="0" w:line="240" w:lineRule="auto"/>
              <w:jc w:val="right"/>
              <w:rPr>
                <w:rFonts w:ascii="Arial" w:hAnsi="Arial" w:cs="Arial"/>
                <w:b/>
                <w:bCs/>
                <w:sz w:val="16"/>
                <w:szCs w:val="16"/>
              </w:rPr>
            </w:pPr>
            <w:r w:rsidRPr="00B96BAA">
              <w:rPr>
                <w:rFonts w:ascii="Arial" w:hAnsi="Arial" w:cs="Arial"/>
                <w:b/>
                <w:bCs/>
                <w:sz w:val="16"/>
                <w:szCs w:val="16"/>
              </w:rPr>
              <w:t xml:space="preserve">Total </w:t>
            </w:r>
            <w:r w:rsidRPr="00B96BAA">
              <w:rPr>
                <w:rFonts w:ascii="Arial" w:hAnsi="Arial" w:cs="Arial"/>
                <w:b/>
                <w:bCs/>
                <w:sz w:val="16"/>
                <w:szCs w:val="16"/>
              </w:rPr>
              <w:br/>
            </w:r>
            <w:r w:rsidRPr="00B96BAA">
              <w:rPr>
                <w:rFonts w:ascii="Arial" w:hAnsi="Arial" w:cs="Arial"/>
                <w:b/>
                <w:bCs/>
                <w:sz w:val="16"/>
                <w:szCs w:val="16"/>
              </w:rPr>
              <w:br/>
            </w:r>
            <w:r w:rsidRPr="00B96BAA">
              <w:rPr>
                <w:rFonts w:ascii="Arial" w:hAnsi="Arial" w:cs="Arial"/>
                <w:b/>
                <w:bCs/>
                <w:sz w:val="16"/>
                <w:szCs w:val="16"/>
              </w:rPr>
              <w:br/>
            </w:r>
            <w:r w:rsidRPr="00B96BAA">
              <w:rPr>
                <w:rFonts w:ascii="Arial" w:hAnsi="Arial" w:cs="Arial"/>
                <w:sz w:val="16"/>
                <w:szCs w:val="16"/>
              </w:rPr>
              <w:t>$'000</w:t>
            </w:r>
          </w:p>
        </w:tc>
      </w:tr>
      <w:tr w:rsidR="00B96BAA" w:rsidRPr="00B96BAA" w14:paraId="406ABE1E"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099D7253"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 xml:space="preserve">As </w:t>
            </w:r>
            <w:proofErr w:type="gramStart"/>
            <w:r w:rsidRPr="00B96BAA">
              <w:rPr>
                <w:rFonts w:ascii="Arial" w:hAnsi="Arial" w:cs="Arial"/>
                <w:b/>
                <w:bCs/>
                <w:sz w:val="16"/>
                <w:szCs w:val="16"/>
              </w:rPr>
              <w:t>at</w:t>
            </w:r>
            <w:proofErr w:type="gramEnd"/>
            <w:r w:rsidRPr="00B96BAA">
              <w:rPr>
                <w:rFonts w:ascii="Arial" w:hAnsi="Arial" w:cs="Arial"/>
                <w:b/>
                <w:bCs/>
                <w:sz w:val="16"/>
                <w:szCs w:val="16"/>
              </w:rPr>
              <w:t xml:space="preserve"> 1 July 2023</w:t>
            </w:r>
          </w:p>
        </w:tc>
        <w:tc>
          <w:tcPr>
            <w:tcW w:w="1150" w:type="dxa"/>
            <w:tcBorders>
              <w:top w:val="nil"/>
              <w:left w:val="nil"/>
              <w:bottom w:val="nil"/>
              <w:right w:val="nil"/>
            </w:tcBorders>
            <w:shd w:val="clear" w:color="auto" w:fill="auto"/>
            <w:noWrap/>
            <w:vAlign w:val="bottom"/>
            <w:hideMark/>
          </w:tcPr>
          <w:p w14:paraId="78378AC7" w14:textId="77777777" w:rsidR="00B96BAA" w:rsidRPr="00B96BAA" w:rsidRDefault="00B96BAA" w:rsidP="00B96BAA">
            <w:pPr>
              <w:spacing w:before="0" w:after="0" w:line="240" w:lineRule="auto"/>
              <w:rPr>
                <w:rFonts w:ascii="Arial" w:hAnsi="Arial" w:cs="Arial"/>
                <w:b/>
                <w:bCs/>
                <w:sz w:val="16"/>
                <w:szCs w:val="16"/>
              </w:rPr>
            </w:pPr>
          </w:p>
        </w:tc>
        <w:tc>
          <w:tcPr>
            <w:tcW w:w="1152" w:type="dxa"/>
            <w:tcBorders>
              <w:top w:val="nil"/>
              <w:left w:val="nil"/>
              <w:bottom w:val="nil"/>
              <w:right w:val="nil"/>
            </w:tcBorders>
            <w:shd w:val="clear" w:color="auto" w:fill="auto"/>
            <w:noWrap/>
            <w:vAlign w:val="bottom"/>
            <w:hideMark/>
          </w:tcPr>
          <w:p w14:paraId="05D3F014" w14:textId="77777777" w:rsidR="00B96BAA" w:rsidRPr="00B96BAA" w:rsidRDefault="00B96BAA" w:rsidP="00B96BAA">
            <w:pPr>
              <w:spacing w:before="0" w:after="0" w:line="240" w:lineRule="auto"/>
              <w:jc w:val="right"/>
              <w:rPr>
                <w:rFonts w:ascii="Times New Roman" w:hAnsi="Times New Roman"/>
                <w:sz w:val="20"/>
              </w:rPr>
            </w:pPr>
          </w:p>
        </w:tc>
        <w:tc>
          <w:tcPr>
            <w:tcW w:w="1153" w:type="dxa"/>
            <w:tcBorders>
              <w:top w:val="nil"/>
              <w:left w:val="nil"/>
              <w:bottom w:val="nil"/>
              <w:right w:val="nil"/>
            </w:tcBorders>
            <w:shd w:val="clear" w:color="auto" w:fill="auto"/>
            <w:noWrap/>
            <w:vAlign w:val="bottom"/>
            <w:hideMark/>
          </w:tcPr>
          <w:p w14:paraId="2EADE571" w14:textId="77777777" w:rsidR="00B96BAA" w:rsidRPr="00B96BAA" w:rsidRDefault="00B96BAA" w:rsidP="00B96BAA">
            <w:pPr>
              <w:spacing w:before="0" w:after="0" w:line="240" w:lineRule="auto"/>
              <w:jc w:val="right"/>
              <w:rPr>
                <w:rFonts w:ascii="Times New Roman" w:hAnsi="Times New Roman"/>
                <w:sz w:val="20"/>
              </w:rPr>
            </w:pPr>
          </w:p>
        </w:tc>
        <w:tc>
          <w:tcPr>
            <w:tcW w:w="1144" w:type="dxa"/>
            <w:tcBorders>
              <w:top w:val="nil"/>
              <w:left w:val="nil"/>
              <w:bottom w:val="nil"/>
              <w:right w:val="nil"/>
            </w:tcBorders>
            <w:shd w:val="clear" w:color="auto" w:fill="auto"/>
            <w:noWrap/>
            <w:vAlign w:val="bottom"/>
            <w:hideMark/>
          </w:tcPr>
          <w:p w14:paraId="6047E00A"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43D4FEA3"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5A0C609C"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Gross book value </w:t>
            </w:r>
          </w:p>
        </w:tc>
        <w:tc>
          <w:tcPr>
            <w:tcW w:w="1150" w:type="dxa"/>
            <w:tcBorders>
              <w:top w:val="nil"/>
              <w:left w:val="nil"/>
              <w:bottom w:val="nil"/>
              <w:right w:val="nil"/>
            </w:tcBorders>
            <w:shd w:val="clear" w:color="auto" w:fill="auto"/>
            <w:noWrap/>
            <w:vAlign w:val="bottom"/>
            <w:hideMark/>
          </w:tcPr>
          <w:p w14:paraId="27E3271A"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5,881</w:t>
            </w:r>
          </w:p>
        </w:tc>
        <w:tc>
          <w:tcPr>
            <w:tcW w:w="1152" w:type="dxa"/>
            <w:tcBorders>
              <w:top w:val="nil"/>
              <w:left w:val="nil"/>
              <w:bottom w:val="nil"/>
              <w:right w:val="nil"/>
            </w:tcBorders>
            <w:shd w:val="clear" w:color="auto" w:fill="auto"/>
            <w:noWrap/>
            <w:vAlign w:val="bottom"/>
            <w:hideMark/>
          </w:tcPr>
          <w:p w14:paraId="505FCF89"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487</w:t>
            </w:r>
          </w:p>
        </w:tc>
        <w:tc>
          <w:tcPr>
            <w:tcW w:w="1153" w:type="dxa"/>
            <w:tcBorders>
              <w:top w:val="nil"/>
              <w:left w:val="nil"/>
              <w:bottom w:val="nil"/>
              <w:right w:val="nil"/>
            </w:tcBorders>
            <w:shd w:val="clear" w:color="auto" w:fill="auto"/>
            <w:noWrap/>
            <w:vAlign w:val="bottom"/>
            <w:hideMark/>
          </w:tcPr>
          <w:p w14:paraId="06A9925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3,306</w:t>
            </w:r>
          </w:p>
        </w:tc>
        <w:tc>
          <w:tcPr>
            <w:tcW w:w="1144" w:type="dxa"/>
            <w:tcBorders>
              <w:top w:val="nil"/>
              <w:left w:val="nil"/>
              <w:bottom w:val="nil"/>
              <w:right w:val="nil"/>
            </w:tcBorders>
            <w:shd w:val="clear" w:color="auto" w:fill="auto"/>
            <w:noWrap/>
            <w:vAlign w:val="bottom"/>
            <w:hideMark/>
          </w:tcPr>
          <w:p w14:paraId="3260BA3A"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9,674</w:t>
            </w:r>
          </w:p>
        </w:tc>
      </w:tr>
      <w:tr w:rsidR="00B96BAA" w:rsidRPr="00B96BAA" w14:paraId="676DEC99"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5D399C90"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Gross book value - </w:t>
            </w:r>
            <w:proofErr w:type="spellStart"/>
            <w:r w:rsidRPr="00B96BAA">
              <w:rPr>
                <w:rFonts w:ascii="Arial" w:hAnsi="Arial" w:cs="Arial"/>
                <w:sz w:val="16"/>
                <w:szCs w:val="16"/>
              </w:rPr>
              <w:t>RoU</w:t>
            </w:r>
            <w:proofErr w:type="spellEnd"/>
          </w:p>
        </w:tc>
        <w:tc>
          <w:tcPr>
            <w:tcW w:w="1150" w:type="dxa"/>
            <w:tcBorders>
              <w:top w:val="nil"/>
              <w:left w:val="nil"/>
              <w:bottom w:val="nil"/>
              <w:right w:val="nil"/>
            </w:tcBorders>
            <w:shd w:val="clear" w:color="auto" w:fill="auto"/>
            <w:noWrap/>
            <w:vAlign w:val="bottom"/>
            <w:hideMark/>
          </w:tcPr>
          <w:p w14:paraId="063828F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9,726</w:t>
            </w:r>
          </w:p>
        </w:tc>
        <w:tc>
          <w:tcPr>
            <w:tcW w:w="1152" w:type="dxa"/>
            <w:tcBorders>
              <w:top w:val="nil"/>
              <w:left w:val="nil"/>
              <w:bottom w:val="nil"/>
              <w:right w:val="nil"/>
            </w:tcBorders>
            <w:shd w:val="clear" w:color="auto" w:fill="auto"/>
            <w:noWrap/>
            <w:vAlign w:val="bottom"/>
            <w:hideMark/>
          </w:tcPr>
          <w:p w14:paraId="3389423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33BEC6D9"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38DF3E8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9,726</w:t>
            </w:r>
          </w:p>
        </w:tc>
      </w:tr>
      <w:tr w:rsidR="00B96BAA" w:rsidRPr="00B96BAA" w14:paraId="67A43140" w14:textId="77777777" w:rsidTr="00A850E1">
        <w:trPr>
          <w:trHeight w:val="425"/>
          <w:jc w:val="center"/>
        </w:trPr>
        <w:tc>
          <w:tcPr>
            <w:tcW w:w="3281" w:type="dxa"/>
            <w:tcBorders>
              <w:top w:val="nil"/>
              <w:left w:val="nil"/>
              <w:bottom w:val="nil"/>
              <w:right w:val="nil"/>
            </w:tcBorders>
            <w:shd w:val="clear" w:color="auto" w:fill="auto"/>
            <w:vAlign w:val="bottom"/>
            <w:hideMark/>
          </w:tcPr>
          <w:p w14:paraId="7F1A8E95"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Accumulated depreciation/amortisation and impairment</w:t>
            </w:r>
          </w:p>
        </w:tc>
        <w:tc>
          <w:tcPr>
            <w:tcW w:w="1150" w:type="dxa"/>
            <w:tcBorders>
              <w:top w:val="nil"/>
              <w:left w:val="nil"/>
              <w:bottom w:val="nil"/>
              <w:right w:val="nil"/>
            </w:tcBorders>
            <w:shd w:val="clear" w:color="auto" w:fill="auto"/>
            <w:noWrap/>
            <w:vAlign w:val="bottom"/>
            <w:hideMark/>
          </w:tcPr>
          <w:p w14:paraId="38DCE4A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(162)</w:t>
            </w:r>
          </w:p>
        </w:tc>
        <w:tc>
          <w:tcPr>
            <w:tcW w:w="1152" w:type="dxa"/>
            <w:tcBorders>
              <w:top w:val="nil"/>
              <w:left w:val="nil"/>
              <w:bottom w:val="nil"/>
              <w:right w:val="nil"/>
            </w:tcBorders>
            <w:shd w:val="clear" w:color="auto" w:fill="auto"/>
            <w:noWrap/>
            <w:vAlign w:val="bottom"/>
            <w:hideMark/>
          </w:tcPr>
          <w:p w14:paraId="0D3C1A7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(38)</w:t>
            </w:r>
          </w:p>
        </w:tc>
        <w:tc>
          <w:tcPr>
            <w:tcW w:w="1153" w:type="dxa"/>
            <w:tcBorders>
              <w:top w:val="nil"/>
              <w:left w:val="nil"/>
              <w:bottom w:val="nil"/>
              <w:right w:val="nil"/>
            </w:tcBorders>
            <w:shd w:val="clear" w:color="auto" w:fill="auto"/>
            <w:noWrap/>
            <w:vAlign w:val="bottom"/>
            <w:hideMark/>
          </w:tcPr>
          <w:p w14:paraId="55CFBAC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(1,888)</w:t>
            </w:r>
          </w:p>
        </w:tc>
        <w:tc>
          <w:tcPr>
            <w:tcW w:w="1144" w:type="dxa"/>
            <w:tcBorders>
              <w:top w:val="nil"/>
              <w:left w:val="nil"/>
              <w:bottom w:val="nil"/>
              <w:right w:val="nil"/>
            </w:tcBorders>
            <w:shd w:val="clear" w:color="auto" w:fill="auto"/>
            <w:noWrap/>
            <w:vAlign w:val="bottom"/>
            <w:hideMark/>
          </w:tcPr>
          <w:p w14:paraId="1D3DD1B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(2,088)</w:t>
            </w:r>
          </w:p>
        </w:tc>
      </w:tr>
      <w:tr w:rsidR="00B96BAA" w:rsidRPr="00B96BAA" w14:paraId="3609E09A" w14:textId="77777777" w:rsidTr="00A850E1">
        <w:trPr>
          <w:trHeight w:val="425"/>
          <w:jc w:val="center"/>
        </w:trPr>
        <w:tc>
          <w:tcPr>
            <w:tcW w:w="3281" w:type="dxa"/>
            <w:tcBorders>
              <w:top w:val="nil"/>
              <w:left w:val="nil"/>
              <w:bottom w:val="nil"/>
              <w:right w:val="nil"/>
            </w:tcBorders>
            <w:shd w:val="clear" w:color="auto" w:fill="auto"/>
            <w:vAlign w:val="bottom"/>
            <w:hideMark/>
          </w:tcPr>
          <w:p w14:paraId="21024C2E"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Accumulated depreciation/amortisation and impairment - </w:t>
            </w:r>
            <w:proofErr w:type="spellStart"/>
            <w:r w:rsidRPr="00B96BAA">
              <w:rPr>
                <w:rFonts w:ascii="Arial" w:hAnsi="Arial" w:cs="Arial"/>
                <w:sz w:val="16"/>
                <w:szCs w:val="16"/>
              </w:rPr>
              <w:t>RoU</w:t>
            </w:r>
            <w:proofErr w:type="spellEnd"/>
          </w:p>
        </w:tc>
        <w:tc>
          <w:tcPr>
            <w:tcW w:w="1150" w:type="dxa"/>
            <w:tcBorders>
              <w:top w:val="nil"/>
              <w:left w:val="nil"/>
              <w:bottom w:val="nil"/>
              <w:right w:val="nil"/>
            </w:tcBorders>
            <w:shd w:val="clear" w:color="auto" w:fill="auto"/>
            <w:noWrap/>
            <w:vAlign w:val="bottom"/>
            <w:hideMark/>
          </w:tcPr>
          <w:p w14:paraId="703131B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(2,515)</w:t>
            </w:r>
          </w:p>
        </w:tc>
        <w:tc>
          <w:tcPr>
            <w:tcW w:w="1152" w:type="dxa"/>
            <w:tcBorders>
              <w:top w:val="nil"/>
              <w:left w:val="nil"/>
              <w:bottom w:val="nil"/>
              <w:right w:val="nil"/>
            </w:tcBorders>
            <w:shd w:val="clear" w:color="auto" w:fill="auto"/>
            <w:noWrap/>
            <w:vAlign w:val="bottom"/>
            <w:hideMark/>
          </w:tcPr>
          <w:p w14:paraId="2A4D0B61"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68BA503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4EA549B7"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(2,515)</w:t>
            </w:r>
          </w:p>
        </w:tc>
      </w:tr>
      <w:tr w:rsidR="00B96BAA" w:rsidRPr="00B96BAA" w14:paraId="6C99AF1E"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33FA35BC"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Opening net book balance</w:t>
            </w:r>
          </w:p>
        </w:tc>
        <w:tc>
          <w:tcPr>
            <w:tcW w:w="1150" w:type="dxa"/>
            <w:tcBorders>
              <w:top w:val="nil"/>
              <w:left w:val="nil"/>
              <w:bottom w:val="single" w:sz="4" w:space="0" w:color="auto"/>
              <w:right w:val="nil"/>
            </w:tcBorders>
            <w:shd w:val="clear" w:color="auto" w:fill="auto"/>
            <w:noWrap/>
            <w:vAlign w:val="bottom"/>
            <w:hideMark/>
          </w:tcPr>
          <w:p w14:paraId="20EC3335"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12,930</w:t>
            </w:r>
          </w:p>
        </w:tc>
        <w:tc>
          <w:tcPr>
            <w:tcW w:w="1152" w:type="dxa"/>
            <w:tcBorders>
              <w:top w:val="nil"/>
              <w:left w:val="nil"/>
              <w:bottom w:val="single" w:sz="4" w:space="0" w:color="auto"/>
              <w:right w:val="nil"/>
            </w:tcBorders>
            <w:shd w:val="clear" w:color="auto" w:fill="auto"/>
            <w:noWrap/>
            <w:vAlign w:val="bottom"/>
            <w:hideMark/>
          </w:tcPr>
          <w:p w14:paraId="20753DCA"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449</w:t>
            </w:r>
          </w:p>
        </w:tc>
        <w:tc>
          <w:tcPr>
            <w:tcW w:w="1153" w:type="dxa"/>
            <w:tcBorders>
              <w:top w:val="nil"/>
              <w:left w:val="nil"/>
              <w:bottom w:val="single" w:sz="4" w:space="0" w:color="auto"/>
              <w:right w:val="nil"/>
            </w:tcBorders>
            <w:shd w:val="clear" w:color="auto" w:fill="auto"/>
            <w:noWrap/>
            <w:vAlign w:val="bottom"/>
            <w:hideMark/>
          </w:tcPr>
          <w:p w14:paraId="4CD0377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1,418</w:t>
            </w:r>
          </w:p>
        </w:tc>
        <w:tc>
          <w:tcPr>
            <w:tcW w:w="1144" w:type="dxa"/>
            <w:tcBorders>
              <w:top w:val="nil"/>
              <w:left w:val="nil"/>
              <w:bottom w:val="single" w:sz="4" w:space="0" w:color="auto"/>
              <w:right w:val="nil"/>
            </w:tcBorders>
            <w:shd w:val="clear" w:color="auto" w:fill="auto"/>
            <w:noWrap/>
            <w:vAlign w:val="bottom"/>
            <w:hideMark/>
          </w:tcPr>
          <w:p w14:paraId="6AEBA15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14,797</w:t>
            </w:r>
          </w:p>
        </w:tc>
      </w:tr>
      <w:tr w:rsidR="00B96BAA" w:rsidRPr="00B96BAA" w14:paraId="7A874FD5" w14:textId="77777777" w:rsidTr="00A850E1">
        <w:trPr>
          <w:trHeight w:val="283"/>
          <w:jc w:val="center"/>
        </w:trPr>
        <w:tc>
          <w:tcPr>
            <w:tcW w:w="3281" w:type="dxa"/>
            <w:tcBorders>
              <w:top w:val="nil"/>
              <w:left w:val="nil"/>
              <w:bottom w:val="nil"/>
              <w:right w:val="nil"/>
            </w:tcBorders>
            <w:shd w:val="clear" w:color="auto" w:fill="auto"/>
            <w:noWrap/>
            <w:vAlign w:val="bottom"/>
            <w:hideMark/>
          </w:tcPr>
          <w:p w14:paraId="5EDFFF5E"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CAPITAL ASSET ADDITIONS</w:t>
            </w:r>
          </w:p>
        </w:tc>
        <w:tc>
          <w:tcPr>
            <w:tcW w:w="1150" w:type="dxa"/>
            <w:tcBorders>
              <w:top w:val="nil"/>
              <w:left w:val="nil"/>
              <w:bottom w:val="nil"/>
              <w:right w:val="nil"/>
            </w:tcBorders>
            <w:shd w:val="clear" w:color="auto" w:fill="auto"/>
            <w:noWrap/>
            <w:vAlign w:val="bottom"/>
            <w:hideMark/>
          </w:tcPr>
          <w:p w14:paraId="5254A186" w14:textId="77777777" w:rsidR="00B96BAA" w:rsidRPr="00B96BAA" w:rsidRDefault="00B96BAA" w:rsidP="00B96BAA">
            <w:pPr>
              <w:spacing w:before="0" w:after="0" w:line="240" w:lineRule="auto"/>
              <w:rPr>
                <w:rFonts w:ascii="Arial" w:hAnsi="Arial" w:cs="Arial"/>
                <w:b/>
                <w:bCs/>
                <w:sz w:val="16"/>
                <w:szCs w:val="16"/>
              </w:rPr>
            </w:pPr>
          </w:p>
        </w:tc>
        <w:tc>
          <w:tcPr>
            <w:tcW w:w="1152" w:type="dxa"/>
            <w:tcBorders>
              <w:top w:val="nil"/>
              <w:left w:val="nil"/>
              <w:bottom w:val="nil"/>
              <w:right w:val="nil"/>
            </w:tcBorders>
            <w:shd w:val="clear" w:color="auto" w:fill="auto"/>
            <w:noWrap/>
            <w:vAlign w:val="bottom"/>
            <w:hideMark/>
          </w:tcPr>
          <w:p w14:paraId="13C56C7F" w14:textId="77777777" w:rsidR="00B96BAA" w:rsidRPr="00B96BAA" w:rsidRDefault="00B96BAA" w:rsidP="00B96BAA">
            <w:pPr>
              <w:spacing w:before="0" w:after="0" w:line="240" w:lineRule="auto"/>
              <w:jc w:val="right"/>
              <w:rPr>
                <w:rFonts w:ascii="Times New Roman" w:hAnsi="Times New Roman"/>
                <w:sz w:val="20"/>
              </w:rPr>
            </w:pPr>
          </w:p>
        </w:tc>
        <w:tc>
          <w:tcPr>
            <w:tcW w:w="1153" w:type="dxa"/>
            <w:tcBorders>
              <w:top w:val="nil"/>
              <w:left w:val="nil"/>
              <w:bottom w:val="nil"/>
              <w:right w:val="nil"/>
            </w:tcBorders>
            <w:shd w:val="clear" w:color="auto" w:fill="auto"/>
            <w:noWrap/>
            <w:vAlign w:val="bottom"/>
            <w:hideMark/>
          </w:tcPr>
          <w:p w14:paraId="17DFFD4F" w14:textId="77777777" w:rsidR="00B96BAA" w:rsidRPr="00B96BAA" w:rsidRDefault="00B96BAA" w:rsidP="00B96BAA">
            <w:pPr>
              <w:spacing w:before="0" w:after="0" w:line="240" w:lineRule="auto"/>
              <w:jc w:val="right"/>
              <w:rPr>
                <w:rFonts w:ascii="Times New Roman" w:hAnsi="Times New Roman"/>
                <w:sz w:val="20"/>
              </w:rPr>
            </w:pPr>
          </w:p>
        </w:tc>
        <w:tc>
          <w:tcPr>
            <w:tcW w:w="1144" w:type="dxa"/>
            <w:tcBorders>
              <w:top w:val="nil"/>
              <w:left w:val="nil"/>
              <w:bottom w:val="nil"/>
              <w:right w:val="nil"/>
            </w:tcBorders>
            <w:shd w:val="clear" w:color="auto" w:fill="auto"/>
            <w:noWrap/>
            <w:vAlign w:val="bottom"/>
            <w:hideMark/>
          </w:tcPr>
          <w:p w14:paraId="070589E2"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3EFB2ECC" w14:textId="77777777" w:rsidTr="00A850E1">
        <w:trPr>
          <w:trHeight w:val="425"/>
          <w:jc w:val="center"/>
        </w:trPr>
        <w:tc>
          <w:tcPr>
            <w:tcW w:w="3281" w:type="dxa"/>
            <w:tcBorders>
              <w:top w:val="nil"/>
              <w:left w:val="nil"/>
              <w:bottom w:val="nil"/>
              <w:right w:val="nil"/>
            </w:tcBorders>
            <w:shd w:val="clear" w:color="auto" w:fill="auto"/>
            <w:vAlign w:val="bottom"/>
            <w:hideMark/>
          </w:tcPr>
          <w:p w14:paraId="340E8914"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Estimated expenditure on new or replacement assets</w:t>
            </w:r>
          </w:p>
        </w:tc>
        <w:tc>
          <w:tcPr>
            <w:tcW w:w="1150" w:type="dxa"/>
            <w:tcBorders>
              <w:top w:val="nil"/>
              <w:left w:val="nil"/>
              <w:bottom w:val="nil"/>
              <w:right w:val="nil"/>
            </w:tcBorders>
            <w:shd w:val="clear" w:color="auto" w:fill="auto"/>
            <w:noWrap/>
            <w:vAlign w:val="bottom"/>
            <w:hideMark/>
          </w:tcPr>
          <w:p w14:paraId="2CAD90EB" w14:textId="77777777" w:rsidR="00B96BAA" w:rsidRPr="00B96BAA" w:rsidRDefault="00B96BAA" w:rsidP="00B96BAA">
            <w:pPr>
              <w:spacing w:before="0" w:after="0" w:line="240" w:lineRule="auto"/>
              <w:ind w:firstLineChars="100" w:firstLine="161"/>
              <w:rPr>
                <w:rFonts w:ascii="Arial" w:hAnsi="Arial" w:cs="Arial"/>
                <w:b/>
                <w:bCs/>
                <w:sz w:val="16"/>
                <w:szCs w:val="16"/>
              </w:rPr>
            </w:pPr>
          </w:p>
        </w:tc>
        <w:tc>
          <w:tcPr>
            <w:tcW w:w="1152" w:type="dxa"/>
            <w:tcBorders>
              <w:top w:val="nil"/>
              <w:left w:val="nil"/>
              <w:bottom w:val="nil"/>
              <w:right w:val="nil"/>
            </w:tcBorders>
            <w:shd w:val="clear" w:color="auto" w:fill="auto"/>
            <w:noWrap/>
            <w:vAlign w:val="bottom"/>
            <w:hideMark/>
          </w:tcPr>
          <w:p w14:paraId="199D5A3F" w14:textId="77777777" w:rsidR="00B96BAA" w:rsidRPr="00B96BAA" w:rsidRDefault="00B96BAA" w:rsidP="00B96BAA">
            <w:pPr>
              <w:spacing w:before="0" w:after="0" w:line="240" w:lineRule="auto"/>
              <w:jc w:val="right"/>
              <w:rPr>
                <w:rFonts w:ascii="Times New Roman" w:hAnsi="Times New Roman"/>
                <w:sz w:val="20"/>
              </w:rPr>
            </w:pPr>
          </w:p>
        </w:tc>
        <w:tc>
          <w:tcPr>
            <w:tcW w:w="1153" w:type="dxa"/>
            <w:tcBorders>
              <w:top w:val="nil"/>
              <w:left w:val="nil"/>
              <w:bottom w:val="nil"/>
              <w:right w:val="nil"/>
            </w:tcBorders>
            <w:shd w:val="clear" w:color="auto" w:fill="auto"/>
            <w:noWrap/>
            <w:vAlign w:val="bottom"/>
            <w:hideMark/>
          </w:tcPr>
          <w:p w14:paraId="449BD251" w14:textId="77777777" w:rsidR="00B96BAA" w:rsidRPr="00B96BAA" w:rsidRDefault="00B96BAA" w:rsidP="00B96BAA">
            <w:pPr>
              <w:spacing w:before="0" w:after="0" w:line="240" w:lineRule="auto"/>
              <w:jc w:val="right"/>
              <w:rPr>
                <w:rFonts w:ascii="Times New Roman" w:hAnsi="Times New Roman"/>
                <w:sz w:val="20"/>
              </w:rPr>
            </w:pPr>
          </w:p>
        </w:tc>
        <w:tc>
          <w:tcPr>
            <w:tcW w:w="1144" w:type="dxa"/>
            <w:tcBorders>
              <w:top w:val="nil"/>
              <w:left w:val="nil"/>
              <w:bottom w:val="nil"/>
              <w:right w:val="nil"/>
            </w:tcBorders>
            <w:shd w:val="clear" w:color="auto" w:fill="auto"/>
            <w:noWrap/>
            <w:vAlign w:val="bottom"/>
            <w:hideMark/>
          </w:tcPr>
          <w:p w14:paraId="28E04671"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36A793D5"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453F2878"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By purchase - appropriation equity</w:t>
            </w:r>
          </w:p>
        </w:tc>
        <w:tc>
          <w:tcPr>
            <w:tcW w:w="1150" w:type="dxa"/>
            <w:tcBorders>
              <w:top w:val="nil"/>
              <w:left w:val="nil"/>
              <w:bottom w:val="nil"/>
              <w:right w:val="nil"/>
            </w:tcBorders>
            <w:shd w:val="clear" w:color="auto" w:fill="auto"/>
            <w:noWrap/>
            <w:vAlign w:val="bottom"/>
            <w:hideMark/>
          </w:tcPr>
          <w:p w14:paraId="23004DB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300</w:t>
            </w:r>
          </w:p>
        </w:tc>
        <w:tc>
          <w:tcPr>
            <w:tcW w:w="1152" w:type="dxa"/>
            <w:tcBorders>
              <w:top w:val="nil"/>
              <w:left w:val="nil"/>
              <w:bottom w:val="nil"/>
              <w:right w:val="nil"/>
            </w:tcBorders>
            <w:shd w:val="clear" w:color="auto" w:fill="auto"/>
            <w:noWrap/>
            <w:vAlign w:val="bottom"/>
            <w:hideMark/>
          </w:tcPr>
          <w:p w14:paraId="5DB1982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225</w:t>
            </w:r>
          </w:p>
        </w:tc>
        <w:tc>
          <w:tcPr>
            <w:tcW w:w="1153" w:type="dxa"/>
            <w:tcBorders>
              <w:top w:val="nil"/>
              <w:left w:val="nil"/>
              <w:bottom w:val="nil"/>
              <w:right w:val="nil"/>
            </w:tcBorders>
            <w:shd w:val="clear" w:color="auto" w:fill="auto"/>
            <w:noWrap/>
            <w:vAlign w:val="bottom"/>
            <w:hideMark/>
          </w:tcPr>
          <w:p w14:paraId="0126FEFE"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853</w:t>
            </w:r>
          </w:p>
        </w:tc>
        <w:tc>
          <w:tcPr>
            <w:tcW w:w="1144" w:type="dxa"/>
            <w:tcBorders>
              <w:top w:val="nil"/>
              <w:left w:val="nil"/>
              <w:bottom w:val="nil"/>
              <w:right w:val="nil"/>
            </w:tcBorders>
            <w:shd w:val="clear" w:color="auto" w:fill="auto"/>
            <w:noWrap/>
            <w:vAlign w:val="bottom"/>
            <w:hideMark/>
          </w:tcPr>
          <w:p w14:paraId="5010FC3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1,378</w:t>
            </w:r>
          </w:p>
        </w:tc>
      </w:tr>
      <w:tr w:rsidR="00B96BAA" w:rsidRPr="00B96BAA" w14:paraId="6EA75DA6" w14:textId="77777777" w:rsidTr="00A850E1">
        <w:trPr>
          <w:trHeight w:val="425"/>
          <w:jc w:val="center"/>
        </w:trPr>
        <w:tc>
          <w:tcPr>
            <w:tcW w:w="3281" w:type="dxa"/>
            <w:tcBorders>
              <w:top w:val="nil"/>
              <w:left w:val="nil"/>
              <w:bottom w:val="nil"/>
              <w:right w:val="nil"/>
            </w:tcBorders>
            <w:shd w:val="clear" w:color="auto" w:fill="auto"/>
            <w:vAlign w:val="bottom"/>
            <w:hideMark/>
          </w:tcPr>
          <w:p w14:paraId="55DF21E0"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By purchase - appropriation ordinary annual services</w:t>
            </w:r>
          </w:p>
        </w:tc>
        <w:tc>
          <w:tcPr>
            <w:tcW w:w="1150" w:type="dxa"/>
            <w:tcBorders>
              <w:top w:val="nil"/>
              <w:left w:val="nil"/>
              <w:bottom w:val="nil"/>
              <w:right w:val="nil"/>
            </w:tcBorders>
            <w:shd w:val="clear" w:color="auto" w:fill="auto"/>
            <w:noWrap/>
            <w:vAlign w:val="bottom"/>
            <w:hideMark/>
          </w:tcPr>
          <w:p w14:paraId="6C2383D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2" w:type="dxa"/>
            <w:tcBorders>
              <w:top w:val="nil"/>
              <w:left w:val="nil"/>
              <w:bottom w:val="nil"/>
              <w:right w:val="nil"/>
            </w:tcBorders>
            <w:shd w:val="clear" w:color="auto" w:fill="auto"/>
            <w:noWrap/>
            <w:vAlign w:val="bottom"/>
            <w:hideMark/>
          </w:tcPr>
          <w:p w14:paraId="298687E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29199CCA"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56A0B75D"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r>
      <w:tr w:rsidR="00B96BAA" w:rsidRPr="00B96BAA" w14:paraId="1E1D6F76"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25C0949B"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By purchase - internal resources</w:t>
            </w:r>
          </w:p>
        </w:tc>
        <w:tc>
          <w:tcPr>
            <w:tcW w:w="1150" w:type="dxa"/>
            <w:tcBorders>
              <w:top w:val="nil"/>
              <w:left w:val="nil"/>
              <w:bottom w:val="nil"/>
              <w:right w:val="nil"/>
            </w:tcBorders>
            <w:shd w:val="clear" w:color="auto" w:fill="auto"/>
            <w:noWrap/>
            <w:vAlign w:val="bottom"/>
            <w:hideMark/>
          </w:tcPr>
          <w:p w14:paraId="6811B5FA"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2" w:type="dxa"/>
            <w:tcBorders>
              <w:top w:val="nil"/>
              <w:left w:val="nil"/>
              <w:bottom w:val="nil"/>
              <w:right w:val="nil"/>
            </w:tcBorders>
            <w:shd w:val="clear" w:color="auto" w:fill="auto"/>
            <w:noWrap/>
            <w:vAlign w:val="bottom"/>
            <w:hideMark/>
          </w:tcPr>
          <w:p w14:paraId="0A7F367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4D58B291"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5EC747E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r>
      <w:tr w:rsidR="00B96BAA" w:rsidRPr="00B96BAA" w14:paraId="293A79A0"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6A49CAD8"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By purchase - </w:t>
            </w:r>
            <w:proofErr w:type="spellStart"/>
            <w:r w:rsidRPr="00B96BAA">
              <w:rPr>
                <w:rFonts w:ascii="Arial" w:hAnsi="Arial" w:cs="Arial"/>
                <w:sz w:val="16"/>
                <w:szCs w:val="16"/>
              </w:rPr>
              <w:t>RoU</w:t>
            </w:r>
            <w:proofErr w:type="spellEnd"/>
          </w:p>
        </w:tc>
        <w:tc>
          <w:tcPr>
            <w:tcW w:w="1150" w:type="dxa"/>
            <w:tcBorders>
              <w:top w:val="nil"/>
              <w:left w:val="nil"/>
              <w:bottom w:val="nil"/>
              <w:right w:val="nil"/>
            </w:tcBorders>
            <w:shd w:val="clear" w:color="auto" w:fill="auto"/>
            <w:noWrap/>
            <w:vAlign w:val="bottom"/>
            <w:hideMark/>
          </w:tcPr>
          <w:p w14:paraId="2BF7BD8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452</w:t>
            </w:r>
          </w:p>
        </w:tc>
        <w:tc>
          <w:tcPr>
            <w:tcW w:w="1152" w:type="dxa"/>
            <w:tcBorders>
              <w:top w:val="nil"/>
              <w:left w:val="nil"/>
              <w:bottom w:val="nil"/>
              <w:right w:val="nil"/>
            </w:tcBorders>
            <w:shd w:val="clear" w:color="auto" w:fill="auto"/>
            <w:noWrap/>
            <w:vAlign w:val="bottom"/>
            <w:hideMark/>
          </w:tcPr>
          <w:p w14:paraId="5A2E9D9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49607083"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13C93672"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452</w:t>
            </w:r>
          </w:p>
        </w:tc>
      </w:tr>
      <w:tr w:rsidR="00B96BAA" w:rsidRPr="00B96BAA" w14:paraId="7CDADB11"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4358AA2B"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Total additions</w:t>
            </w:r>
          </w:p>
        </w:tc>
        <w:tc>
          <w:tcPr>
            <w:tcW w:w="1150" w:type="dxa"/>
            <w:tcBorders>
              <w:top w:val="nil"/>
              <w:left w:val="nil"/>
              <w:bottom w:val="single" w:sz="4" w:space="0" w:color="auto"/>
              <w:right w:val="nil"/>
            </w:tcBorders>
            <w:shd w:val="clear" w:color="auto" w:fill="auto"/>
            <w:noWrap/>
            <w:vAlign w:val="bottom"/>
            <w:hideMark/>
          </w:tcPr>
          <w:p w14:paraId="3B85128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752</w:t>
            </w:r>
          </w:p>
        </w:tc>
        <w:tc>
          <w:tcPr>
            <w:tcW w:w="1152" w:type="dxa"/>
            <w:tcBorders>
              <w:top w:val="nil"/>
              <w:left w:val="nil"/>
              <w:bottom w:val="single" w:sz="4" w:space="0" w:color="auto"/>
              <w:right w:val="nil"/>
            </w:tcBorders>
            <w:shd w:val="clear" w:color="auto" w:fill="auto"/>
            <w:noWrap/>
            <w:vAlign w:val="bottom"/>
            <w:hideMark/>
          </w:tcPr>
          <w:p w14:paraId="7B25B0B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225</w:t>
            </w:r>
          </w:p>
        </w:tc>
        <w:tc>
          <w:tcPr>
            <w:tcW w:w="1153" w:type="dxa"/>
            <w:tcBorders>
              <w:top w:val="nil"/>
              <w:left w:val="nil"/>
              <w:bottom w:val="single" w:sz="4" w:space="0" w:color="auto"/>
              <w:right w:val="nil"/>
            </w:tcBorders>
            <w:shd w:val="clear" w:color="auto" w:fill="auto"/>
            <w:noWrap/>
            <w:vAlign w:val="bottom"/>
            <w:hideMark/>
          </w:tcPr>
          <w:p w14:paraId="6FFA5D16"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853</w:t>
            </w:r>
          </w:p>
        </w:tc>
        <w:tc>
          <w:tcPr>
            <w:tcW w:w="1144" w:type="dxa"/>
            <w:tcBorders>
              <w:top w:val="nil"/>
              <w:left w:val="nil"/>
              <w:bottom w:val="single" w:sz="4" w:space="0" w:color="auto"/>
              <w:right w:val="nil"/>
            </w:tcBorders>
            <w:shd w:val="clear" w:color="auto" w:fill="auto"/>
            <w:noWrap/>
            <w:vAlign w:val="bottom"/>
            <w:hideMark/>
          </w:tcPr>
          <w:p w14:paraId="72D1FCC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1,830</w:t>
            </w:r>
          </w:p>
        </w:tc>
      </w:tr>
      <w:tr w:rsidR="00B96BAA" w:rsidRPr="00B96BAA" w14:paraId="6C284E35" w14:textId="77777777" w:rsidTr="00A850E1">
        <w:trPr>
          <w:trHeight w:val="283"/>
          <w:jc w:val="center"/>
        </w:trPr>
        <w:tc>
          <w:tcPr>
            <w:tcW w:w="3281" w:type="dxa"/>
            <w:tcBorders>
              <w:top w:val="nil"/>
              <w:left w:val="nil"/>
              <w:bottom w:val="nil"/>
              <w:right w:val="nil"/>
            </w:tcBorders>
            <w:shd w:val="clear" w:color="auto" w:fill="auto"/>
            <w:noWrap/>
            <w:vAlign w:val="bottom"/>
            <w:hideMark/>
          </w:tcPr>
          <w:p w14:paraId="731322B8"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Other movements</w:t>
            </w:r>
          </w:p>
        </w:tc>
        <w:tc>
          <w:tcPr>
            <w:tcW w:w="1150" w:type="dxa"/>
            <w:tcBorders>
              <w:top w:val="nil"/>
              <w:left w:val="nil"/>
              <w:bottom w:val="nil"/>
              <w:right w:val="nil"/>
            </w:tcBorders>
            <w:shd w:val="clear" w:color="auto" w:fill="auto"/>
            <w:noWrap/>
            <w:vAlign w:val="bottom"/>
            <w:hideMark/>
          </w:tcPr>
          <w:p w14:paraId="4027DD50" w14:textId="77777777" w:rsidR="00B96BAA" w:rsidRPr="00B96BAA" w:rsidRDefault="00B96BAA" w:rsidP="00B96BAA">
            <w:pPr>
              <w:spacing w:before="0" w:after="0" w:line="240" w:lineRule="auto"/>
              <w:rPr>
                <w:rFonts w:ascii="Arial" w:hAnsi="Arial" w:cs="Arial"/>
                <w:b/>
                <w:bCs/>
                <w:sz w:val="16"/>
                <w:szCs w:val="16"/>
              </w:rPr>
            </w:pPr>
          </w:p>
        </w:tc>
        <w:tc>
          <w:tcPr>
            <w:tcW w:w="1152" w:type="dxa"/>
            <w:tcBorders>
              <w:top w:val="nil"/>
              <w:left w:val="nil"/>
              <w:bottom w:val="nil"/>
              <w:right w:val="nil"/>
            </w:tcBorders>
            <w:shd w:val="clear" w:color="auto" w:fill="auto"/>
            <w:noWrap/>
            <w:vAlign w:val="bottom"/>
            <w:hideMark/>
          </w:tcPr>
          <w:p w14:paraId="54621243" w14:textId="77777777" w:rsidR="00B96BAA" w:rsidRPr="00B96BAA" w:rsidRDefault="00B96BAA" w:rsidP="00B96BAA">
            <w:pPr>
              <w:spacing w:before="0" w:after="0" w:line="240" w:lineRule="auto"/>
              <w:jc w:val="right"/>
              <w:rPr>
                <w:rFonts w:ascii="Times New Roman" w:hAnsi="Times New Roman"/>
                <w:sz w:val="20"/>
              </w:rPr>
            </w:pPr>
          </w:p>
        </w:tc>
        <w:tc>
          <w:tcPr>
            <w:tcW w:w="1153" w:type="dxa"/>
            <w:tcBorders>
              <w:top w:val="nil"/>
              <w:left w:val="nil"/>
              <w:bottom w:val="nil"/>
              <w:right w:val="nil"/>
            </w:tcBorders>
            <w:shd w:val="clear" w:color="auto" w:fill="auto"/>
            <w:noWrap/>
            <w:vAlign w:val="bottom"/>
            <w:hideMark/>
          </w:tcPr>
          <w:p w14:paraId="51638A20" w14:textId="77777777" w:rsidR="00B96BAA" w:rsidRPr="00B96BAA" w:rsidRDefault="00B96BAA" w:rsidP="00B96BAA">
            <w:pPr>
              <w:spacing w:before="0" w:after="0" w:line="240" w:lineRule="auto"/>
              <w:jc w:val="right"/>
              <w:rPr>
                <w:rFonts w:ascii="Times New Roman" w:hAnsi="Times New Roman"/>
                <w:sz w:val="20"/>
              </w:rPr>
            </w:pPr>
          </w:p>
        </w:tc>
        <w:tc>
          <w:tcPr>
            <w:tcW w:w="1144" w:type="dxa"/>
            <w:tcBorders>
              <w:top w:val="nil"/>
              <w:left w:val="nil"/>
              <w:bottom w:val="nil"/>
              <w:right w:val="nil"/>
            </w:tcBorders>
            <w:shd w:val="clear" w:color="auto" w:fill="auto"/>
            <w:noWrap/>
            <w:vAlign w:val="bottom"/>
            <w:hideMark/>
          </w:tcPr>
          <w:p w14:paraId="72B6DC24"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79500F1F"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614D2E47"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Depreciation/amortisation expense</w:t>
            </w:r>
          </w:p>
        </w:tc>
        <w:tc>
          <w:tcPr>
            <w:tcW w:w="1150" w:type="dxa"/>
            <w:tcBorders>
              <w:top w:val="nil"/>
              <w:left w:val="nil"/>
              <w:bottom w:val="nil"/>
              <w:right w:val="nil"/>
            </w:tcBorders>
            <w:shd w:val="clear" w:color="auto" w:fill="auto"/>
            <w:noWrap/>
            <w:vAlign w:val="bottom"/>
            <w:hideMark/>
          </w:tcPr>
          <w:p w14:paraId="68F550B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(666)</w:t>
            </w:r>
          </w:p>
        </w:tc>
        <w:tc>
          <w:tcPr>
            <w:tcW w:w="1152" w:type="dxa"/>
            <w:tcBorders>
              <w:top w:val="nil"/>
              <w:left w:val="nil"/>
              <w:bottom w:val="nil"/>
              <w:right w:val="nil"/>
            </w:tcBorders>
            <w:shd w:val="clear" w:color="auto" w:fill="auto"/>
            <w:noWrap/>
            <w:vAlign w:val="bottom"/>
            <w:hideMark/>
          </w:tcPr>
          <w:p w14:paraId="2625ED59"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(129)</w:t>
            </w:r>
          </w:p>
        </w:tc>
        <w:tc>
          <w:tcPr>
            <w:tcW w:w="1153" w:type="dxa"/>
            <w:tcBorders>
              <w:top w:val="nil"/>
              <w:left w:val="nil"/>
              <w:bottom w:val="nil"/>
              <w:right w:val="nil"/>
            </w:tcBorders>
            <w:shd w:val="clear" w:color="auto" w:fill="auto"/>
            <w:noWrap/>
            <w:vAlign w:val="bottom"/>
            <w:hideMark/>
          </w:tcPr>
          <w:p w14:paraId="180F2EA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(174)</w:t>
            </w:r>
          </w:p>
        </w:tc>
        <w:tc>
          <w:tcPr>
            <w:tcW w:w="1144" w:type="dxa"/>
            <w:tcBorders>
              <w:top w:val="nil"/>
              <w:left w:val="nil"/>
              <w:bottom w:val="nil"/>
              <w:right w:val="nil"/>
            </w:tcBorders>
            <w:shd w:val="clear" w:color="auto" w:fill="auto"/>
            <w:noWrap/>
            <w:vAlign w:val="bottom"/>
            <w:hideMark/>
          </w:tcPr>
          <w:p w14:paraId="197D5C7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(969)</w:t>
            </w:r>
          </w:p>
        </w:tc>
      </w:tr>
      <w:tr w:rsidR="00B96BAA" w:rsidRPr="00B96BAA" w14:paraId="167CD368"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0F6121AF"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Depreciation/amortisation expense - </w:t>
            </w:r>
            <w:proofErr w:type="spellStart"/>
            <w:r w:rsidRPr="00B96BAA">
              <w:rPr>
                <w:rFonts w:ascii="Arial" w:hAnsi="Arial" w:cs="Arial"/>
                <w:sz w:val="16"/>
                <w:szCs w:val="16"/>
              </w:rPr>
              <w:t>RoU</w:t>
            </w:r>
            <w:proofErr w:type="spellEnd"/>
          </w:p>
        </w:tc>
        <w:tc>
          <w:tcPr>
            <w:tcW w:w="1150" w:type="dxa"/>
            <w:tcBorders>
              <w:top w:val="nil"/>
              <w:left w:val="nil"/>
              <w:bottom w:val="nil"/>
              <w:right w:val="nil"/>
            </w:tcBorders>
            <w:shd w:val="clear" w:color="auto" w:fill="auto"/>
            <w:noWrap/>
            <w:vAlign w:val="bottom"/>
            <w:hideMark/>
          </w:tcPr>
          <w:p w14:paraId="1C55EF2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(783)</w:t>
            </w:r>
          </w:p>
        </w:tc>
        <w:tc>
          <w:tcPr>
            <w:tcW w:w="1152" w:type="dxa"/>
            <w:tcBorders>
              <w:top w:val="nil"/>
              <w:left w:val="nil"/>
              <w:bottom w:val="nil"/>
              <w:right w:val="nil"/>
            </w:tcBorders>
            <w:shd w:val="clear" w:color="auto" w:fill="auto"/>
            <w:noWrap/>
            <w:vAlign w:val="bottom"/>
            <w:hideMark/>
          </w:tcPr>
          <w:p w14:paraId="27C43D9A"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2E7C0AA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67B143A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(783)</w:t>
            </w:r>
          </w:p>
        </w:tc>
      </w:tr>
      <w:tr w:rsidR="00B96BAA" w:rsidRPr="00B96BAA" w14:paraId="35664596"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4DC6F4AD"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Total other movements</w:t>
            </w:r>
          </w:p>
        </w:tc>
        <w:tc>
          <w:tcPr>
            <w:tcW w:w="1150" w:type="dxa"/>
            <w:tcBorders>
              <w:top w:val="nil"/>
              <w:left w:val="nil"/>
              <w:bottom w:val="single" w:sz="4" w:space="0" w:color="auto"/>
              <w:right w:val="nil"/>
            </w:tcBorders>
            <w:shd w:val="clear" w:color="auto" w:fill="auto"/>
            <w:noWrap/>
            <w:vAlign w:val="bottom"/>
            <w:hideMark/>
          </w:tcPr>
          <w:p w14:paraId="64A57E0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(1,449)</w:t>
            </w:r>
          </w:p>
        </w:tc>
        <w:tc>
          <w:tcPr>
            <w:tcW w:w="1152" w:type="dxa"/>
            <w:tcBorders>
              <w:top w:val="nil"/>
              <w:left w:val="nil"/>
              <w:bottom w:val="single" w:sz="4" w:space="0" w:color="auto"/>
              <w:right w:val="nil"/>
            </w:tcBorders>
            <w:shd w:val="clear" w:color="auto" w:fill="auto"/>
            <w:noWrap/>
            <w:vAlign w:val="bottom"/>
            <w:hideMark/>
          </w:tcPr>
          <w:p w14:paraId="3BE0523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(129)</w:t>
            </w:r>
          </w:p>
        </w:tc>
        <w:tc>
          <w:tcPr>
            <w:tcW w:w="1153" w:type="dxa"/>
            <w:tcBorders>
              <w:top w:val="nil"/>
              <w:left w:val="nil"/>
              <w:bottom w:val="single" w:sz="4" w:space="0" w:color="auto"/>
              <w:right w:val="nil"/>
            </w:tcBorders>
            <w:shd w:val="clear" w:color="auto" w:fill="auto"/>
            <w:noWrap/>
            <w:vAlign w:val="bottom"/>
            <w:hideMark/>
          </w:tcPr>
          <w:p w14:paraId="27BFF8D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(174)</w:t>
            </w:r>
          </w:p>
        </w:tc>
        <w:tc>
          <w:tcPr>
            <w:tcW w:w="1144" w:type="dxa"/>
            <w:tcBorders>
              <w:top w:val="nil"/>
              <w:left w:val="nil"/>
              <w:bottom w:val="single" w:sz="4" w:space="0" w:color="auto"/>
              <w:right w:val="nil"/>
            </w:tcBorders>
            <w:shd w:val="clear" w:color="auto" w:fill="auto"/>
            <w:noWrap/>
            <w:vAlign w:val="bottom"/>
            <w:hideMark/>
          </w:tcPr>
          <w:p w14:paraId="0ABAA55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(1,752)</w:t>
            </w:r>
          </w:p>
        </w:tc>
      </w:tr>
      <w:tr w:rsidR="00B96BAA" w:rsidRPr="00B96BAA" w14:paraId="5300D09C" w14:textId="77777777" w:rsidTr="00A850E1">
        <w:trPr>
          <w:trHeight w:val="283"/>
          <w:jc w:val="center"/>
        </w:trPr>
        <w:tc>
          <w:tcPr>
            <w:tcW w:w="3281" w:type="dxa"/>
            <w:tcBorders>
              <w:top w:val="nil"/>
              <w:left w:val="nil"/>
              <w:bottom w:val="nil"/>
              <w:right w:val="nil"/>
            </w:tcBorders>
            <w:shd w:val="clear" w:color="auto" w:fill="auto"/>
            <w:noWrap/>
            <w:vAlign w:val="bottom"/>
            <w:hideMark/>
          </w:tcPr>
          <w:p w14:paraId="2F8867CE"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 xml:space="preserve">As </w:t>
            </w:r>
            <w:proofErr w:type="gramStart"/>
            <w:r w:rsidRPr="00B96BAA">
              <w:rPr>
                <w:rFonts w:ascii="Arial" w:hAnsi="Arial" w:cs="Arial"/>
                <w:b/>
                <w:bCs/>
                <w:sz w:val="16"/>
                <w:szCs w:val="16"/>
              </w:rPr>
              <w:t>at</w:t>
            </w:r>
            <w:proofErr w:type="gramEnd"/>
            <w:r w:rsidRPr="00B96BAA">
              <w:rPr>
                <w:rFonts w:ascii="Arial" w:hAnsi="Arial" w:cs="Arial"/>
                <w:b/>
                <w:bCs/>
                <w:sz w:val="16"/>
                <w:szCs w:val="16"/>
              </w:rPr>
              <w:t xml:space="preserve"> 30 June 2024</w:t>
            </w:r>
          </w:p>
        </w:tc>
        <w:tc>
          <w:tcPr>
            <w:tcW w:w="1150" w:type="dxa"/>
            <w:tcBorders>
              <w:top w:val="nil"/>
              <w:left w:val="nil"/>
              <w:bottom w:val="nil"/>
              <w:right w:val="nil"/>
            </w:tcBorders>
            <w:shd w:val="clear" w:color="auto" w:fill="auto"/>
            <w:noWrap/>
            <w:vAlign w:val="bottom"/>
            <w:hideMark/>
          </w:tcPr>
          <w:p w14:paraId="1F031B49" w14:textId="77777777" w:rsidR="00B96BAA" w:rsidRPr="00B96BAA" w:rsidRDefault="00B96BAA" w:rsidP="00B96BAA">
            <w:pPr>
              <w:spacing w:before="0" w:after="0" w:line="240" w:lineRule="auto"/>
              <w:rPr>
                <w:rFonts w:ascii="Arial" w:hAnsi="Arial" w:cs="Arial"/>
                <w:b/>
                <w:bCs/>
                <w:sz w:val="16"/>
                <w:szCs w:val="16"/>
              </w:rPr>
            </w:pPr>
          </w:p>
        </w:tc>
        <w:tc>
          <w:tcPr>
            <w:tcW w:w="1152" w:type="dxa"/>
            <w:tcBorders>
              <w:top w:val="nil"/>
              <w:left w:val="nil"/>
              <w:bottom w:val="nil"/>
              <w:right w:val="nil"/>
            </w:tcBorders>
            <w:shd w:val="clear" w:color="auto" w:fill="auto"/>
            <w:noWrap/>
            <w:vAlign w:val="bottom"/>
            <w:hideMark/>
          </w:tcPr>
          <w:p w14:paraId="553A8401" w14:textId="77777777" w:rsidR="00B96BAA" w:rsidRPr="00B96BAA" w:rsidRDefault="00B96BAA" w:rsidP="00B96BAA">
            <w:pPr>
              <w:spacing w:before="0" w:after="0" w:line="240" w:lineRule="auto"/>
              <w:jc w:val="right"/>
              <w:rPr>
                <w:rFonts w:ascii="Times New Roman" w:hAnsi="Times New Roman"/>
                <w:sz w:val="20"/>
              </w:rPr>
            </w:pPr>
          </w:p>
        </w:tc>
        <w:tc>
          <w:tcPr>
            <w:tcW w:w="1153" w:type="dxa"/>
            <w:tcBorders>
              <w:top w:val="nil"/>
              <w:left w:val="nil"/>
              <w:bottom w:val="nil"/>
              <w:right w:val="nil"/>
            </w:tcBorders>
            <w:shd w:val="clear" w:color="auto" w:fill="auto"/>
            <w:noWrap/>
            <w:vAlign w:val="bottom"/>
            <w:hideMark/>
          </w:tcPr>
          <w:p w14:paraId="40E6F4F4" w14:textId="77777777" w:rsidR="00B96BAA" w:rsidRPr="00B96BAA" w:rsidRDefault="00B96BAA" w:rsidP="00B96BAA">
            <w:pPr>
              <w:spacing w:before="0" w:after="0" w:line="240" w:lineRule="auto"/>
              <w:jc w:val="right"/>
              <w:rPr>
                <w:rFonts w:ascii="Times New Roman" w:hAnsi="Times New Roman"/>
                <w:sz w:val="20"/>
              </w:rPr>
            </w:pPr>
          </w:p>
        </w:tc>
        <w:tc>
          <w:tcPr>
            <w:tcW w:w="1144" w:type="dxa"/>
            <w:tcBorders>
              <w:top w:val="nil"/>
              <w:left w:val="nil"/>
              <w:bottom w:val="nil"/>
              <w:right w:val="nil"/>
            </w:tcBorders>
            <w:shd w:val="clear" w:color="auto" w:fill="auto"/>
            <w:noWrap/>
            <w:vAlign w:val="bottom"/>
            <w:hideMark/>
          </w:tcPr>
          <w:p w14:paraId="774FFF44"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0B718467"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614FC2B7"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Gross book value</w:t>
            </w:r>
          </w:p>
        </w:tc>
        <w:tc>
          <w:tcPr>
            <w:tcW w:w="1150" w:type="dxa"/>
            <w:tcBorders>
              <w:top w:val="nil"/>
              <w:left w:val="nil"/>
              <w:bottom w:val="nil"/>
              <w:right w:val="nil"/>
            </w:tcBorders>
            <w:shd w:val="clear" w:color="auto" w:fill="auto"/>
            <w:noWrap/>
            <w:vAlign w:val="bottom"/>
            <w:hideMark/>
          </w:tcPr>
          <w:p w14:paraId="4BEDE2B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6,181</w:t>
            </w:r>
          </w:p>
        </w:tc>
        <w:tc>
          <w:tcPr>
            <w:tcW w:w="1152" w:type="dxa"/>
            <w:tcBorders>
              <w:top w:val="nil"/>
              <w:left w:val="nil"/>
              <w:bottom w:val="nil"/>
              <w:right w:val="nil"/>
            </w:tcBorders>
            <w:shd w:val="clear" w:color="auto" w:fill="auto"/>
            <w:noWrap/>
            <w:vAlign w:val="bottom"/>
            <w:hideMark/>
          </w:tcPr>
          <w:p w14:paraId="001F401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712</w:t>
            </w:r>
          </w:p>
        </w:tc>
        <w:tc>
          <w:tcPr>
            <w:tcW w:w="1153" w:type="dxa"/>
            <w:tcBorders>
              <w:top w:val="nil"/>
              <w:left w:val="nil"/>
              <w:bottom w:val="nil"/>
              <w:right w:val="nil"/>
            </w:tcBorders>
            <w:shd w:val="clear" w:color="auto" w:fill="auto"/>
            <w:noWrap/>
            <w:vAlign w:val="bottom"/>
            <w:hideMark/>
          </w:tcPr>
          <w:p w14:paraId="49EAF312"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4,159</w:t>
            </w:r>
          </w:p>
        </w:tc>
        <w:tc>
          <w:tcPr>
            <w:tcW w:w="1144" w:type="dxa"/>
            <w:tcBorders>
              <w:top w:val="nil"/>
              <w:left w:val="nil"/>
              <w:bottom w:val="nil"/>
              <w:right w:val="nil"/>
            </w:tcBorders>
            <w:shd w:val="clear" w:color="auto" w:fill="auto"/>
            <w:noWrap/>
            <w:vAlign w:val="bottom"/>
            <w:hideMark/>
          </w:tcPr>
          <w:p w14:paraId="557BDA46"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11,052</w:t>
            </w:r>
          </w:p>
        </w:tc>
      </w:tr>
      <w:tr w:rsidR="00B96BAA" w:rsidRPr="00B96BAA" w14:paraId="1605B5F2" w14:textId="77777777" w:rsidTr="00B96BAA">
        <w:trPr>
          <w:trHeight w:val="225"/>
          <w:jc w:val="center"/>
        </w:trPr>
        <w:tc>
          <w:tcPr>
            <w:tcW w:w="3281" w:type="dxa"/>
            <w:tcBorders>
              <w:top w:val="nil"/>
              <w:left w:val="nil"/>
              <w:bottom w:val="nil"/>
              <w:right w:val="nil"/>
            </w:tcBorders>
            <w:shd w:val="clear" w:color="auto" w:fill="auto"/>
            <w:noWrap/>
            <w:vAlign w:val="bottom"/>
            <w:hideMark/>
          </w:tcPr>
          <w:p w14:paraId="1CF11626"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Gross book value - </w:t>
            </w:r>
            <w:proofErr w:type="spellStart"/>
            <w:r w:rsidRPr="00B96BAA">
              <w:rPr>
                <w:rFonts w:ascii="Arial" w:hAnsi="Arial" w:cs="Arial"/>
                <w:sz w:val="16"/>
                <w:szCs w:val="16"/>
              </w:rPr>
              <w:t>RoU</w:t>
            </w:r>
            <w:proofErr w:type="spellEnd"/>
          </w:p>
        </w:tc>
        <w:tc>
          <w:tcPr>
            <w:tcW w:w="1150" w:type="dxa"/>
            <w:tcBorders>
              <w:top w:val="nil"/>
              <w:left w:val="nil"/>
              <w:bottom w:val="nil"/>
              <w:right w:val="nil"/>
            </w:tcBorders>
            <w:shd w:val="clear" w:color="auto" w:fill="auto"/>
            <w:noWrap/>
            <w:vAlign w:val="bottom"/>
            <w:hideMark/>
          </w:tcPr>
          <w:p w14:paraId="67EB6228"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10,178</w:t>
            </w:r>
          </w:p>
        </w:tc>
        <w:tc>
          <w:tcPr>
            <w:tcW w:w="1152" w:type="dxa"/>
            <w:tcBorders>
              <w:top w:val="nil"/>
              <w:left w:val="nil"/>
              <w:bottom w:val="nil"/>
              <w:right w:val="nil"/>
            </w:tcBorders>
            <w:shd w:val="clear" w:color="auto" w:fill="auto"/>
            <w:noWrap/>
            <w:vAlign w:val="bottom"/>
            <w:hideMark/>
          </w:tcPr>
          <w:p w14:paraId="4C2174C4"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nil"/>
              <w:right w:val="nil"/>
            </w:tcBorders>
            <w:shd w:val="clear" w:color="auto" w:fill="auto"/>
            <w:noWrap/>
            <w:vAlign w:val="bottom"/>
            <w:hideMark/>
          </w:tcPr>
          <w:p w14:paraId="3A89740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nil"/>
              <w:right w:val="nil"/>
            </w:tcBorders>
            <w:shd w:val="clear" w:color="auto" w:fill="auto"/>
            <w:noWrap/>
            <w:vAlign w:val="bottom"/>
            <w:hideMark/>
          </w:tcPr>
          <w:p w14:paraId="4635B8F7"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10,178</w:t>
            </w:r>
          </w:p>
        </w:tc>
      </w:tr>
      <w:tr w:rsidR="00B96BAA" w:rsidRPr="00B96BAA" w14:paraId="10C2C4AF" w14:textId="77777777" w:rsidTr="00A850E1">
        <w:trPr>
          <w:trHeight w:val="425"/>
          <w:jc w:val="center"/>
        </w:trPr>
        <w:tc>
          <w:tcPr>
            <w:tcW w:w="3281" w:type="dxa"/>
            <w:tcBorders>
              <w:top w:val="nil"/>
              <w:left w:val="nil"/>
              <w:bottom w:val="nil"/>
              <w:right w:val="nil"/>
            </w:tcBorders>
            <w:shd w:val="clear" w:color="auto" w:fill="auto"/>
            <w:vAlign w:val="bottom"/>
            <w:hideMark/>
          </w:tcPr>
          <w:p w14:paraId="7421D310"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Accumulated depreciation/amortisation and impairment</w:t>
            </w:r>
          </w:p>
        </w:tc>
        <w:tc>
          <w:tcPr>
            <w:tcW w:w="1150" w:type="dxa"/>
            <w:tcBorders>
              <w:top w:val="nil"/>
              <w:left w:val="nil"/>
              <w:bottom w:val="nil"/>
              <w:right w:val="nil"/>
            </w:tcBorders>
            <w:shd w:val="clear" w:color="auto" w:fill="auto"/>
            <w:noWrap/>
            <w:vAlign w:val="bottom"/>
            <w:hideMark/>
          </w:tcPr>
          <w:p w14:paraId="50AAF7F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(828)</w:t>
            </w:r>
          </w:p>
        </w:tc>
        <w:tc>
          <w:tcPr>
            <w:tcW w:w="1152" w:type="dxa"/>
            <w:tcBorders>
              <w:top w:val="nil"/>
              <w:left w:val="nil"/>
              <w:bottom w:val="nil"/>
              <w:right w:val="nil"/>
            </w:tcBorders>
            <w:shd w:val="clear" w:color="auto" w:fill="auto"/>
            <w:noWrap/>
            <w:vAlign w:val="bottom"/>
            <w:hideMark/>
          </w:tcPr>
          <w:p w14:paraId="49F7689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(167)</w:t>
            </w:r>
          </w:p>
        </w:tc>
        <w:tc>
          <w:tcPr>
            <w:tcW w:w="1153" w:type="dxa"/>
            <w:tcBorders>
              <w:top w:val="nil"/>
              <w:left w:val="nil"/>
              <w:bottom w:val="nil"/>
              <w:right w:val="nil"/>
            </w:tcBorders>
            <w:shd w:val="clear" w:color="auto" w:fill="auto"/>
            <w:noWrap/>
            <w:vAlign w:val="bottom"/>
            <w:hideMark/>
          </w:tcPr>
          <w:p w14:paraId="33753D7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(2,062)</w:t>
            </w:r>
          </w:p>
        </w:tc>
        <w:tc>
          <w:tcPr>
            <w:tcW w:w="1144" w:type="dxa"/>
            <w:tcBorders>
              <w:top w:val="nil"/>
              <w:left w:val="nil"/>
              <w:bottom w:val="nil"/>
              <w:right w:val="nil"/>
            </w:tcBorders>
            <w:shd w:val="clear" w:color="auto" w:fill="auto"/>
            <w:noWrap/>
            <w:vAlign w:val="bottom"/>
            <w:hideMark/>
          </w:tcPr>
          <w:p w14:paraId="33C4677C"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(3,057)</w:t>
            </w:r>
          </w:p>
        </w:tc>
      </w:tr>
      <w:tr w:rsidR="00B96BAA" w:rsidRPr="00B96BAA" w14:paraId="152A9D77" w14:textId="77777777" w:rsidTr="00A850E1">
        <w:trPr>
          <w:trHeight w:val="425"/>
          <w:jc w:val="center"/>
        </w:trPr>
        <w:tc>
          <w:tcPr>
            <w:tcW w:w="3281" w:type="dxa"/>
            <w:tcBorders>
              <w:top w:val="nil"/>
              <w:left w:val="nil"/>
              <w:bottom w:val="nil"/>
              <w:right w:val="nil"/>
            </w:tcBorders>
            <w:shd w:val="clear" w:color="auto" w:fill="auto"/>
            <w:vAlign w:val="bottom"/>
            <w:hideMark/>
          </w:tcPr>
          <w:p w14:paraId="1B002FBD"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 xml:space="preserve">Accumulated depreciation/amortisation and impairment - </w:t>
            </w:r>
            <w:proofErr w:type="spellStart"/>
            <w:r w:rsidRPr="00B96BAA">
              <w:rPr>
                <w:rFonts w:ascii="Arial" w:hAnsi="Arial" w:cs="Arial"/>
                <w:sz w:val="16"/>
                <w:szCs w:val="16"/>
              </w:rPr>
              <w:t>RoU</w:t>
            </w:r>
            <w:proofErr w:type="spellEnd"/>
          </w:p>
        </w:tc>
        <w:tc>
          <w:tcPr>
            <w:tcW w:w="1150" w:type="dxa"/>
            <w:tcBorders>
              <w:top w:val="nil"/>
              <w:left w:val="nil"/>
              <w:bottom w:val="single" w:sz="4" w:space="0" w:color="auto"/>
              <w:right w:val="nil"/>
            </w:tcBorders>
            <w:shd w:val="clear" w:color="auto" w:fill="auto"/>
            <w:noWrap/>
            <w:vAlign w:val="bottom"/>
            <w:hideMark/>
          </w:tcPr>
          <w:p w14:paraId="7134280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(3,298)</w:t>
            </w:r>
          </w:p>
        </w:tc>
        <w:tc>
          <w:tcPr>
            <w:tcW w:w="1152" w:type="dxa"/>
            <w:tcBorders>
              <w:top w:val="nil"/>
              <w:left w:val="nil"/>
              <w:bottom w:val="single" w:sz="4" w:space="0" w:color="auto"/>
              <w:right w:val="nil"/>
            </w:tcBorders>
            <w:shd w:val="clear" w:color="auto" w:fill="auto"/>
            <w:noWrap/>
            <w:vAlign w:val="bottom"/>
            <w:hideMark/>
          </w:tcPr>
          <w:p w14:paraId="78F12BA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53" w:type="dxa"/>
            <w:tcBorders>
              <w:top w:val="nil"/>
              <w:left w:val="nil"/>
              <w:bottom w:val="single" w:sz="4" w:space="0" w:color="auto"/>
              <w:right w:val="nil"/>
            </w:tcBorders>
            <w:shd w:val="clear" w:color="auto" w:fill="auto"/>
            <w:noWrap/>
            <w:vAlign w:val="bottom"/>
            <w:hideMark/>
          </w:tcPr>
          <w:p w14:paraId="572470A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1144" w:type="dxa"/>
            <w:tcBorders>
              <w:top w:val="nil"/>
              <w:left w:val="nil"/>
              <w:bottom w:val="single" w:sz="4" w:space="0" w:color="auto"/>
              <w:right w:val="nil"/>
            </w:tcBorders>
            <w:shd w:val="clear" w:color="auto" w:fill="auto"/>
            <w:noWrap/>
            <w:vAlign w:val="bottom"/>
            <w:hideMark/>
          </w:tcPr>
          <w:p w14:paraId="2C034995"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(3,298)</w:t>
            </w:r>
          </w:p>
        </w:tc>
      </w:tr>
      <w:tr w:rsidR="00B96BAA" w:rsidRPr="00B96BAA" w14:paraId="0CFC9623" w14:textId="77777777" w:rsidTr="00B96BAA">
        <w:trPr>
          <w:trHeight w:val="225"/>
          <w:jc w:val="center"/>
        </w:trPr>
        <w:tc>
          <w:tcPr>
            <w:tcW w:w="3281" w:type="dxa"/>
            <w:tcBorders>
              <w:top w:val="nil"/>
              <w:left w:val="nil"/>
              <w:bottom w:val="single" w:sz="4" w:space="0" w:color="auto"/>
              <w:right w:val="nil"/>
            </w:tcBorders>
            <w:shd w:val="clear" w:color="auto" w:fill="auto"/>
            <w:noWrap/>
            <w:vAlign w:val="bottom"/>
            <w:hideMark/>
          </w:tcPr>
          <w:p w14:paraId="1EE7AAE2"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Closing net book balance</w:t>
            </w:r>
          </w:p>
        </w:tc>
        <w:tc>
          <w:tcPr>
            <w:tcW w:w="1150" w:type="dxa"/>
            <w:tcBorders>
              <w:top w:val="nil"/>
              <w:left w:val="nil"/>
              <w:bottom w:val="single" w:sz="4" w:space="0" w:color="auto"/>
              <w:right w:val="nil"/>
            </w:tcBorders>
            <w:shd w:val="clear" w:color="auto" w:fill="auto"/>
            <w:noWrap/>
            <w:vAlign w:val="bottom"/>
            <w:hideMark/>
          </w:tcPr>
          <w:p w14:paraId="389372F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12,233</w:t>
            </w:r>
          </w:p>
        </w:tc>
        <w:tc>
          <w:tcPr>
            <w:tcW w:w="1152" w:type="dxa"/>
            <w:tcBorders>
              <w:top w:val="nil"/>
              <w:left w:val="nil"/>
              <w:bottom w:val="single" w:sz="4" w:space="0" w:color="auto"/>
              <w:right w:val="nil"/>
            </w:tcBorders>
            <w:shd w:val="clear" w:color="auto" w:fill="auto"/>
            <w:noWrap/>
            <w:vAlign w:val="bottom"/>
            <w:hideMark/>
          </w:tcPr>
          <w:p w14:paraId="0BAE904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545</w:t>
            </w:r>
          </w:p>
        </w:tc>
        <w:tc>
          <w:tcPr>
            <w:tcW w:w="1153" w:type="dxa"/>
            <w:tcBorders>
              <w:top w:val="nil"/>
              <w:left w:val="nil"/>
              <w:bottom w:val="single" w:sz="4" w:space="0" w:color="auto"/>
              <w:right w:val="nil"/>
            </w:tcBorders>
            <w:shd w:val="clear" w:color="auto" w:fill="auto"/>
            <w:noWrap/>
            <w:vAlign w:val="bottom"/>
            <w:hideMark/>
          </w:tcPr>
          <w:p w14:paraId="42E0C04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2,097</w:t>
            </w:r>
          </w:p>
        </w:tc>
        <w:tc>
          <w:tcPr>
            <w:tcW w:w="1144" w:type="dxa"/>
            <w:tcBorders>
              <w:top w:val="nil"/>
              <w:left w:val="nil"/>
              <w:bottom w:val="single" w:sz="4" w:space="0" w:color="auto"/>
              <w:right w:val="nil"/>
            </w:tcBorders>
            <w:shd w:val="clear" w:color="auto" w:fill="auto"/>
            <w:noWrap/>
            <w:vAlign w:val="bottom"/>
            <w:hideMark/>
          </w:tcPr>
          <w:p w14:paraId="433CC27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14,875</w:t>
            </w:r>
          </w:p>
        </w:tc>
      </w:tr>
    </w:tbl>
    <w:p w14:paraId="1B5AEA76" w14:textId="6DF90855" w:rsidR="00526CE6" w:rsidRPr="00F94AEA" w:rsidRDefault="00526CE6" w:rsidP="00B96BAA">
      <w:pPr>
        <w:pStyle w:val="FootnoteText"/>
        <w:spacing w:before="120"/>
      </w:pPr>
      <w:proofErr w:type="spellStart"/>
      <w:r w:rsidRPr="00B37FAA">
        <w:t>RoU</w:t>
      </w:r>
      <w:proofErr w:type="spellEnd"/>
      <w:r w:rsidRPr="00B37FAA">
        <w:t xml:space="preserve"> = Right-of-Use asset</w:t>
      </w:r>
    </w:p>
    <w:p w14:paraId="09E15E81" w14:textId="77777777" w:rsidR="00526CE6" w:rsidRDefault="00526CE6" w:rsidP="00526CE6">
      <w:pPr>
        <w:spacing w:before="0" w:after="0" w:line="240" w:lineRule="auto"/>
        <w:rPr>
          <w:rFonts w:ascii="Arial" w:hAnsi="Arial"/>
          <w:b/>
          <w:snapToGrid w:val="0"/>
          <w:sz w:val="20"/>
        </w:rPr>
      </w:pPr>
      <w:r>
        <w:rPr>
          <w:snapToGrid w:val="0"/>
        </w:rPr>
        <w:br w:type="page"/>
      </w:r>
    </w:p>
    <w:p w14:paraId="25F31FBB" w14:textId="77777777" w:rsidR="00526CE6" w:rsidRDefault="00526CE6" w:rsidP="00526CE6">
      <w:pPr>
        <w:pStyle w:val="TableHeading"/>
        <w:spacing w:before="0"/>
        <w:rPr>
          <w:b w:val="0"/>
          <w:snapToGrid w:val="0"/>
        </w:rPr>
      </w:pPr>
      <w:r>
        <w:rPr>
          <w:snapToGrid w:val="0"/>
        </w:rPr>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B96BAA" w:rsidRPr="00B96BAA" w14:paraId="6CA3B174" w14:textId="77777777" w:rsidTr="00095948">
        <w:trPr>
          <w:trHeight w:val="765"/>
          <w:jc w:val="center"/>
        </w:trPr>
        <w:tc>
          <w:tcPr>
            <w:tcW w:w="3080" w:type="dxa"/>
            <w:tcBorders>
              <w:top w:val="single" w:sz="4" w:space="0" w:color="auto"/>
              <w:left w:val="nil"/>
              <w:bottom w:val="nil"/>
              <w:right w:val="nil"/>
            </w:tcBorders>
            <w:shd w:val="clear" w:color="auto" w:fill="auto"/>
            <w:hideMark/>
          </w:tcPr>
          <w:p w14:paraId="0D1B0B09" w14:textId="77777777" w:rsidR="00B96BAA" w:rsidRPr="00B96BAA" w:rsidRDefault="00B96BAA" w:rsidP="00095948">
            <w:pPr>
              <w:spacing w:before="24"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hideMark/>
          </w:tcPr>
          <w:p w14:paraId="61830659" w14:textId="42BDCC59" w:rsidR="00B96BAA" w:rsidRPr="00B96BAA" w:rsidRDefault="00B96BAA" w:rsidP="00095948">
            <w:pPr>
              <w:spacing w:before="24" w:after="0" w:line="240" w:lineRule="auto"/>
              <w:jc w:val="right"/>
              <w:rPr>
                <w:rFonts w:ascii="Arial" w:hAnsi="Arial" w:cs="Arial"/>
                <w:b/>
                <w:bCs/>
                <w:sz w:val="16"/>
                <w:szCs w:val="16"/>
              </w:rPr>
            </w:pPr>
            <w:r>
              <w:rPr>
                <w:rFonts w:ascii="Arial" w:hAnsi="Arial" w:cs="Arial"/>
                <w:b/>
                <w:bCs/>
                <w:sz w:val="16"/>
                <w:szCs w:val="16"/>
              </w:rPr>
              <w:t>2022–</w:t>
            </w:r>
            <w:r w:rsidRPr="00B96BAA">
              <w:rPr>
                <w:rFonts w:ascii="Arial" w:hAnsi="Arial" w:cs="Arial"/>
                <w:b/>
                <w:bCs/>
                <w:sz w:val="16"/>
                <w:szCs w:val="16"/>
              </w:rPr>
              <w:t>23</w:t>
            </w:r>
            <w:r w:rsidRPr="00B96BAA">
              <w:rPr>
                <w:rFonts w:ascii="Arial" w:hAnsi="Arial" w:cs="Arial"/>
                <w:b/>
                <w:bCs/>
                <w:sz w:val="16"/>
                <w:szCs w:val="16"/>
              </w:rPr>
              <w:br/>
              <w:t>Actual</w:t>
            </w:r>
            <w:r w:rsidRPr="00B96BAA">
              <w:rPr>
                <w:rFonts w:ascii="Arial" w:hAnsi="Arial" w:cs="Arial"/>
                <w:b/>
                <w:bCs/>
                <w:sz w:val="16"/>
                <w:szCs w:val="16"/>
              </w:rPr>
              <w:br/>
            </w:r>
            <w:r w:rsidRPr="00B96BAA">
              <w:rPr>
                <w:rFonts w:ascii="Arial" w:hAnsi="Arial" w:cs="Arial"/>
                <w:b/>
                <w:bCs/>
                <w:sz w:val="16"/>
                <w:szCs w:val="16"/>
              </w:rPr>
              <w:br/>
            </w:r>
            <w:r w:rsidRPr="00C92922">
              <w:rPr>
                <w:rFonts w:ascii="Arial" w:hAnsi="Arial" w:cs="Arial"/>
                <w:bCs/>
                <w:sz w:val="16"/>
                <w:szCs w:val="16"/>
              </w:rPr>
              <w:t>$'000</w:t>
            </w:r>
          </w:p>
        </w:tc>
        <w:tc>
          <w:tcPr>
            <w:tcW w:w="960" w:type="dxa"/>
            <w:tcBorders>
              <w:top w:val="single" w:sz="4" w:space="0" w:color="auto"/>
              <w:left w:val="nil"/>
              <w:bottom w:val="single" w:sz="4" w:space="0" w:color="auto"/>
              <w:right w:val="nil"/>
            </w:tcBorders>
            <w:shd w:val="clear" w:color="000000" w:fill="D9D9D9"/>
            <w:hideMark/>
          </w:tcPr>
          <w:p w14:paraId="7A97795E" w14:textId="081C03AE" w:rsidR="00B96BAA" w:rsidRPr="00B96BAA" w:rsidRDefault="00B96BAA" w:rsidP="00095948">
            <w:pPr>
              <w:spacing w:before="24" w:after="0" w:line="240" w:lineRule="auto"/>
              <w:jc w:val="right"/>
              <w:rPr>
                <w:rFonts w:ascii="Arial" w:hAnsi="Arial" w:cs="Arial"/>
                <w:b/>
                <w:bCs/>
                <w:sz w:val="16"/>
                <w:szCs w:val="16"/>
              </w:rPr>
            </w:pPr>
            <w:r>
              <w:rPr>
                <w:rFonts w:ascii="Arial" w:hAnsi="Arial" w:cs="Arial"/>
                <w:b/>
                <w:bCs/>
                <w:sz w:val="16"/>
                <w:szCs w:val="16"/>
              </w:rPr>
              <w:t>202</w:t>
            </w:r>
            <w:r w:rsidR="00CB41CF">
              <w:rPr>
                <w:rFonts w:ascii="Arial" w:hAnsi="Arial" w:cs="Arial"/>
                <w:b/>
                <w:bCs/>
                <w:sz w:val="16"/>
                <w:szCs w:val="16"/>
              </w:rPr>
              <w:t>3</w:t>
            </w:r>
            <w:r>
              <w:rPr>
                <w:rFonts w:ascii="Arial" w:hAnsi="Arial" w:cs="Arial"/>
                <w:b/>
                <w:bCs/>
                <w:sz w:val="16"/>
                <w:szCs w:val="16"/>
              </w:rPr>
              <w:t>–</w:t>
            </w:r>
            <w:r w:rsidRPr="00B96BAA">
              <w:rPr>
                <w:rFonts w:ascii="Arial" w:hAnsi="Arial" w:cs="Arial"/>
                <w:b/>
                <w:bCs/>
                <w:sz w:val="16"/>
                <w:szCs w:val="16"/>
              </w:rPr>
              <w:t>24</w:t>
            </w:r>
            <w:r w:rsidRPr="00B96BAA">
              <w:rPr>
                <w:rFonts w:ascii="Arial" w:hAnsi="Arial" w:cs="Arial"/>
                <w:b/>
                <w:bCs/>
                <w:sz w:val="16"/>
                <w:szCs w:val="16"/>
              </w:rPr>
              <w:br/>
              <w:t>Revised</w:t>
            </w:r>
            <w:r w:rsidRPr="00B96BAA">
              <w:rPr>
                <w:rFonts w:ascii="Arial" w:hAnsi="Arial" w:cs="Arial"/>
                <w:b/>
                <w:bCs/>
                <w:sz w:val="16"/>
                <w:szCs w:val="16"/>
              </w:rPr>
              <w:br/>
              <w:t>Budget</w:t>
            </w:r>
            <w:r w:rsidRPr="00B96BAA">
              <w:rPr>
                <w:rFonts w:ascii="Arial" w:hAnsi="Arial" w:cs="Arial"/>
                <w:b/>
                <w:bCs/>
                <w:sz w:val="16"/>
                <w:szCs w:val="16"/>
              </w:rPr>
              <w:br/>
            </w:r>
            <w:r w:rsidRPr="00C92922">
              <w:rPr>
                <w:rFonts w:ascii="Arial" w:hAnsi="Arial" w:cs="Arial"/>
                <w:bCs/>
                <w:sz w:val="16"/>
                <w:szCs w:val="16"/>
              </w:rPr>
              <w:t>$'000</w:t>
            </w:r>
          </w:p>
        </w:tc>
        <w:tc>
          <w:tcPr>
            <w:tcW w:w="960" w:type="dxa"/>
            <w:tcBorders>
              <w:top w:val="single" w:sz="4" w:space="0" w:color="auto"/>
              <w:left w:val="nil"/>
              <w:bottom w:val="single" w:sz="4" w:space="0" w:color="auto"/>
              <w:right w:val="nil"/>
            </w:tcBorders>
            <w:shd w:val="clear" w:color="auto" w:fill="auto"/>
            <w:hideMark/>
          </w:tcPr>
          <w:p w14:paraId="201800B7" w14:textId="096B375F" w:rsidR="00B96BAA" w:rsidRPr="00B96BAA" w:rsidRDefault="00B96BAA" w:rsidP="00095948">
            <w:pPr>
              <w:spacing w:before="24" w:after="0" w:line="240" w:lineRule="auto"/>
              <w:jc w:val="right"/>
              <w:rPr>
                <w:rFonts w:ascii="Arial" w:hAnsi="Arial" w:cs="Arial"/>
                <w:b/>
                <w:bCs/>
                <w:sz w:val="16"/>
                <w:szCs w:val="16"/>
              </w:rPr>
            </w:pPr>
            <w:r w:rsidRPr="00B96BAA">
              <w:rPr>
                <w:rFonts w:ascii="Arial" w:hAnsi="Arial" w:cs="Arial"/>
                <w:b/>
                <w:bCs/>
                <w:sz w:val="16"/>
                <w:szCs w:val="16"/>
              </w:rPr>
              <w:t>2024</w:t>
            </w:r>
            <w:r>
              <w:rPr>
                <w:rFonts w:ascii="Arial" w:hAnsi="Arial" w:cs="Arial"/>
                <w:b/>
                <w:bCs/>
                <w:sz w:val="16"/>
                <w:szCs w:val="16"/>
              </w:rPr>
              <w:t>–</w:t>
            </w:r>
            <w:r w:rsidRPr="00B96BAA">
              <w:rPr>
                <w:rFonts w:ascii="Arial" w:hAnsi="Arial" w:cs="Arial"/>
                <w:b/>
                <w:bCs/>
                <w:sz w:val="16"/>
                <w:szCs w:val="16"/>
              </w:rPr>
              <w:t>25 Forward estimate</w:t>
            </w:r>
            <w:r w:rsidRPr="00B96BAA">
              <w:rPr>
                <w:rFonts w:ascii="Arial" w:hAnsi="Arial" w:cs="Arial"/>
                <w:b/>
                <w:bCs/>
                <w:sz w:val="16"/>
                <w:szCs w:val="16"/>
              </w:rPr>
              <w:br/>
            </w:r>
            <w:r w:rsidRPr="00C92922">
              <w:rPr>
                <w:rFonts w:ascii="Arial" w:hAnsi="Arial" w:cs="Arial"/>
                <w:bCs/>
                <w:sz w:val="16"/>
                <w:szCs w:val="16"/>
              </w:rPr>
              <w:t>$'000</w:t>
            </w:r>
          </w:p>
        </w:tc>
        <w:tc>
          <w:tcPr>
            <w:tcW w:w="960" w:type="dxa"/>
            <w:tcBorders>
              <w:top w:val="single" w:sz="4" w:space="0" w:color="auto"/>
              <w:left w:val="nil"/>
              <w:bottom w:val="single" w:sz="4" w:space="0" w:color="auto"/>
              <w:right w:val="nil"/>
            </w:tcBorders>
            <w:shd w:val="clear" w:color="auto" w:fill="auto"/>
            <w:hideMark/>
          </w:tcPr>
          <w:p w14:paraId="53E01FCE" w14:textId="4C524ECF" w:rsidR="00B96BAA" w:rsidRPr="00B96BAA" w:rsidRDefault="00B96BAA" w:rsidP="00095948">
            <w:pPr>
              <w:spacing w:before="24" w:after="0" w:line="240" w:lineRule="auto"/>
              <w:jc w:val="right"/>
              <w:rPr>
                <w:rFonts w:ascii="Arial" w:hAnsi="Arial" w:cs="Arial"/>
                <w:b/>
                <w:bCs/>
                <w:sz w:val="16"/>
                <w:szCs w:val="16"/>
              </w:rPr>
            </w:pPr>
            <w:r>
              <w:rPr>
                <w:rFonts w:ascii="Arial" w:hAnsi="Arial" w:cs="Arial"/>
                <w:b/>
                <w:bCs/>
                <w:sz w:val="16"/>
                <w:szCs w:val="16"/>
              </w:rPr>
              <w:t>2025–</w:t>
            </w:r>
            <w:r w:rsidRPr="00B96BAA">
              <w:rPr>
                <w:rFonts w:ascii="Arial" w:hAnsi="Arial" w:cs="Arial"/>
                <w:b/>
                <w:bCs/>
                <w:sz w:val="16"/>
                <w:szCs w:val="16"/>
              </w:rPr>
              <w:t>26 Forward estimate</w:t>
            </w:r>
            <w:r w:rsidRPr="00B96BAA">
              <w:rPr>
                <w:rFonts w:ascii="Arial" w:hAnsi="Arial" w:cs="Arial"/>
                <w:b/>
                <w:bCs/>
                <w:sz w:val="16"/>
                <w:szCs w:val="16"/>
              </w:rPr>
              <w:br/>
            </w:r>
            <w:r w:rsidRPr="00C92922">
              <w:rPr>
                <w:rFonts w:ascii="Arial" w:hAnsi="Arial" w:cs="Arial"/>
                <w:bCs/>
                <w:sz w:val="16"/>
                <w:szCs w:val="16"/>
              </w:rPr>
              <w:t>$'000</w:t>
            </w:r>
          </w:p>
        </w:tc>
        <w:tc>
          <w:tcPr>
            <w:tcW w:w="960" w:type="dxa"/>
            <w:tcBorders>
              <w:top w:val="single" w:sz="4" w:space="0" w:color="auto"/>
              <w:left w:val="nil"/>
              <w:bottom w:val="single" w:sz="4" w:space="0" w:color="auto"/>
              <w:right w:val="nil"/>
            </w:tcBorders>
            <w:shd w:val="clear" w:color="auto" w:fill="auto"/>
            <w:hideMark/>
          </w:tcPr>
          <w:p w14:paraId="58310BEF" w14:textId="03DB017E" w:rsidR="00B96BAA" w:rsidRPr="00B96BAA" w:rsidRDefault="00B96BAA" w:rsidP="00095948">
            <w:pPr>
              <w:spacing w:before="24" w:after="0" w:line="240" w:lineRule="auto"/>
              <w:jc w:val="right"/>
              <w:rPr>
                <w:rFonts w:ascii="Arial" w:hAnsi="Arial" w:cs="Arial"/>
                <w:b/>
                <w:bCs/>
                <w:sz w:val="16"/>
                <w:szCs w:val="16"/>
              </w:rPr>
            </w:pPr>
            <w:r>
              <w:rPr>
                <w:rFonts w:ascii="Arial" w:hAnsi="Arial" w:cs="Arial"/>
                <w:b/>
                <w:bCs/>
                <w:sz w:val="16"/>
                <w:szCs w:val="16"/>
              </w:rPr>
              <w:t>2026–</w:t>
            </w:r>
            <w:r w:rsidRPr="00B96BAA">
              <w:rPr>
                <w:rFonts w:ascii="Arial" w:hAnsi="Arial" w:cs="Arial"/>
                <w:b/>
                <w:bCs/>
                <w:sz w:val="16"/>
                <w:szCs w:val="16"/>
              </w:rPr>
              <w:t>27 Forward estimate</w:t>
            </w:r>
            <w:r w:rsidRPr="00B96BAA">
              <w:rPr>
                <w:rFonts w:ascii="Arial" w:hAnsi="Arial" w:cs="Arial"/>
                <w:b/>
                <w:bCs/>
                <w:sz w:val="16"/>
                <w:szCs w:val="16"/>
              </w:rPr>
              <w:br/>
            </w:r>
            <w:r w:rsidRPr="00C92922">
              <w:rPr>
                <w:rFonts w:ascii="Arial" w:hAnsi="Arial" w:cs="Arial"/>
                <w:bCs/>
                <w:sz w:val="16"/>
                <w:szCs w:val="16"/>
              </w:rPr>
              <w:t>$'000</w:t>
            </w:r>
          </w:p>
        </w:tc>
      </w:tr>
      <w:tr w:rsidR="00B96BAA" w:rsidRPr="00B96BAA" w14:paraId="5129BE0F" w14:textId="77777777" w:rsidTr="00D25E6D">
        <w:trPr>
          <w:trHeight w:val="425"/>
          <w:jc w:val="center"/>
        </w:trPr>
        <w:tc>
          <w:tcPr>
            <w:tcW w:w="3080" w:type="dxa"/>
            <w:tcBorders>
              <w:top w:val="nil"/>
              <w:left w:val="nil"/>
              <w:bottom w:val="nil"/>
              <w:right w:val="nil"/>
            </w:tcBorders>
            <w:shd w:val="clear" w:color="auto" w:fill="auto"/>
            <w:vAlign w:val="bottom"/>
            <w:hideMark/>
          </w:tcPr>
          <w:p w14:paraId="5EDBA2FA"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EXPENSES ADMINISTERED ON BEHALF OF GOVERNMENT</w:t>
            </w:r>
          </w:p>
        </w:tc>
        <w:tc>
          <w:tcPr>
            <w:tcW w:w="960" w:type="dxa"/>
            <w:tcBorders>
              <w:top w:val="nil"/>
              <w:left w:val="nil"/>
              <w:bottom w:val="nil"/>
              <w:right w:val="nil"/>
            </w:tcBorders>
            <w:shd w:val="clear" w:color="auto" w:fill="auto"/>
            <w:noWrap/>
            <w:vAlign w:val="bottom"/>
            <w:hideMark/>
          </w:tcPr>
          <w:p w14:paraId="2B084A21" w14:textId="77777777" w:rsidR="00B96BAA" w:rsidRPr="00B96BAA" w:rsidRDefault="00B96BAA" w:rsidP="00B96BAA">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7810B0B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33598AA5"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D28AE24"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CAD5884"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29536F33"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496D13E6"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Suppliers</w:t>
            </w:r>
          </w:p>
        </w:tc>
        <w:tc>
          <w:tcPr>
            <w:tcW w:w="960" w:type="dxa"/>
            <w:tcBorders>
              <w:top w:val="nil"/>
              <w:left w:val="nil"/>
              <w:bottom w:val="nil"/>
              <w:right w:val="nil"/>
            </w:tcBorders>
            <w:shd w:val="clear" w:color="auto" w:fill="auto"/>
            <w:noWrap/>
            <w:vAlign w:val="bottom"/>
            <w:hideMark/>
          </w:tcPr>
          <w:p w14:paraId="78A13F3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2,284</w:t>
            </w:r>
          </w:p>
        </w:tc>
        <w:tc>
          <w:tcPr>
            <w:tcW w:w="960" w:type="dxa"/>
            <w:tcBorders>
              <w:top w:val="nil"/>
              <w:left w:val="nil"/>
              <w:bottom w:val="nil"/>
              <w:right w:val="nil"/>
            </w:tcBorders>
            <w:shd w:val="clear" w:color="000000" w:fill="D9D9D9"/>
            <w:noWrap/>
            <w:vAlign w:val="bottom"/>
            <w:hideMark/>
          </w:tcPr>
          <w:p w14:paraId="5D02E098"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6,752</w:t>
            </w:r>
          </w:p>
        </w:tc>
        <w:tc>
          <w:tcPr>
            <w:tcW w:w="960" w:type="dxa"/>
            <w:tcBorders>
              <w:top w:val="nil"/>
              <w:left w:val="nil"/>
              <w:bottom w:val="nil"/>
              <w:right w:val="nil"/>
            </w:tcBorders>
            <w:shd w:val="clear" w:color="auto" w:fill="auto"/>
            <w:noWrap/>
            <w:vAlign w:val="bottom"/>
            <w:hideMark/>
          </w:tcPr>
          <w:p w14:paraId="526F094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4,689</w:t>
            </w:r>
          </w:p>
        </w:tc>
        <w:tc>
          <w:tcPr>
            <w:tcW w:w="960" w:type="dxa"/>
            <w:tcBorders>
              <w:top w:val="nil"/>
              <w:left w:val="nil"/>
              <w:bottom w:val="nil"/>
              <w:right w:val="nil"/>
            </w:tcBorders>
            <w:shd w:val="clear" w:color="auto" w:fill="auto"/>
            <w:noWrap/>
            <w:vAlign w:val="bottom"/>
            <w:hideMark/>
          </w:tcPr>
          <w:p w14:paraId="08C49FE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4,774</w:t>
            </w:r>
          </w:p>
        </w:tc>
        <w:tc>
          <w:tcPr>
            <w:tcW w:w="960" w:type="dxa"/>
            <w:tcBorders>
              <w:top w:val="nil"/>
              <w:left w:val="nil"/>
              <w:bottom w:val="nil"/>
              <w:right w:val="nil"/>
            </w:tcBorders>
            <w:shd w:val="clear" w:color="auto" w:fill="auto"/>
            <w:noWrap/>
            <w:vAlign w:val="bottom"/>
            <w:hideMark/>
          </w:tcPr>
          <w:p w14:paraId="7A36F49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4,874</w:t>
            </w:r>
          </w:p>
        </w:tc>
      </w:tr>
      <w:tr w:rsidR="00B96BAA" w:rsidRPr="00B96BAA" w14:paraId="2AE9A500"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00DDBFB0" w14:textId="77777777" w:rsidR="00B96BAA" w:rsidRPr="00B96BAA" w:rsidRDefault="00B96BAA" w:rsidP="00B96BAA">
            <w:pPr>
              <w:spacing w:before="0" w:after="0" w:line="240" w:lineRule="auto"/>
              <w:ind w:leftChars="75" w:left="143"/>
              <w:rPr>
                <w:rFonts w:ascii="Arial" w:hAnsi="Arial" w:cs="Arial"/>
                <w:sz w:val="16"/>
                <w:szCs w:val="16"/>
              </w:rPr>
            </w:pPr>
            <w:r w:rsidRPr="00B96BAA">
              <w:rPr>
                <w:rFonts w:ascii="Arial" w:hAnsi="Arial" w:cs="Arial"/>
                <w:sz w:val="16"/>
                <w:szCs w:val="16"/>
              </w:rPr>
              <w:t>Employee benefits</w:t>
            </w:r>
          </w:p>
        </w:tc>
        <w:tc>
          <w:tcPr>
            <w:tcW w:w="960" w:type="dxa"/>
            <w:tcBorders>
              <w:top w:val="nil"/>
              <w:left w:val="nil"/>
              <w:bottom w:val="nil"/>
              <w:right w:val="nil"/>
            </w:tcBorders>
            <w:shd w:val="clear" w:color="auto" w:fill="auto"/>
            <w:noWrap/>
            <w:vAlign w:val="bottom"/>
            <w:hideMark/>
          </w:tcPr>
          <w:p w14:paraId="560F735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705</w:t>
            </w:r>
          </w:p>
        </w:tc>
        <w:tc>
          <w:tcPr>
            <w:tcW w:w="960" w:type="dxa"/>
            <w:tcBorders>
              <w:top w:val="nil"/>
              <w:left w:val="nil"/>
              <w:bottom w:val="nil"/>
              <w:right w:val="nil"/>
            </w:tcBorders>
            <w:shd w:val="clear" w:color="000000" w:fill="D9D9D9"/>
            <w:noWrap/>
            <w:vAlign w:val="bottom"/>
            <w:hideMark/>
          </w:tcPr>
          <w:p w14:paraId="29C8B77C"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1433DE0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24DA4F92"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62B6C61"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r>
      <w:tr w:rsidR="00B96BAA" w:rsidRPr="00B96BAA" w14:paraId="5F07D15B" w14:textId="77777777" w:rsidTr="00D25E6D">
        <w:trPr>
          <w:trHeight w:val="425"/>
          <w:jc w:val="center"/>
        </w:trPr>
        <w:tc>
          <w:tcPr>
            <w:tcW w:w="3080" w:type="dxa"/>
            <w:tcBorders>
              <w:top w:val="nil"/>
              <w:left w:val="nil"/>
              <w:bottom w:val="nil"/>
              <w:right w:val="nil"/>
            </w:tcBorders>
            <w:shd w:val="clear" w:color="auto" w:fill="auto"/>
            <w:vAlign w:val="bottom"/>
            <w:hideMark/>
          </w:tcPr>
          <w:p w14:paraId="606BA9B8"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expenses administered on behalf of Government</w:t>
            </w:r>
          </w:p>
        </w:tc>
        <w:tc>
          <w:tcPr>
            <w:tcW w:w="960" w:type="dxa"/>
            <w:tcBorders>
              <w:top w:val="single" w:sz="4" w:space="0" w:color="auto"/>
              <w:left w:val="nil"/>
              <w:bottom w:val="single" w:sz="4" w:space="0" w:color="auto"/>
              <w:right w:val="nil"/>
            </w:tcBorders>
            <w:shd w:val="clear" w:color="auto" w:fill="auto"/>
            <w:noWrap/>
            <w:vAlign w:val="bottom"/>
            <w:hideMark/>
          </w:tcPr>
          <w:p w14:paraId="1D5AE4F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2,989</w:t>
            </w:r>
          </w:p>
        </w:tc>
        <w:tc>
          <w:tcPr>
            <w:tcW w:w="960" w:type="dxa"/>
            <w:tcBorders>
              <w:top w:val="single" w:sz="4" w:space="0" w:color="auto"/>
              <w:left w:val="nil"/>
              <w:bottom w:val="single" w:sz="4" w:space="0" w:color="auto"/>
              <w:right w:val="nil"/>
            </w:tcBorders>
            <w:shd w:val="clear" w:color="000000" w:fill="D9D9D9"/>
            <w:noWrap/>
            <w:vAlign w:val="bottom"/>
            <w:hideMark/>
          </w:tcPr>
          <w:p w14:paraId="430DB702"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6,752</w:t>
            </w:r>
          </w:p>
        </w:tc>
        <w:tc>
          <w:tcPr>
            <w:tcW w:w="960" w:type="dxa"/>
            <w:tcBorders>
              <w:top w:val="single" w:sz="4" w:space="0" w:color="auto"/>
              <w:left w:val="nil"/>
              <w:bottom w:val="single" w:sz="4" w:space="0" w:color="auto"/>
              <w:right w:val="nil"/>
            </w:tcBorders>
            <w:shd w:val="clear" w:color="auto" w:fill="auto"/>
            <w:noWrap/>
            <w:vAlign w:val="bottom"/>
            <w:hideMark/>
          </w:tcPr>
          <w:p w14:paraId="0032B02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4,689</w:t>
            </w:r>
          </w:p>
        </w:tc>
        <w:tc>
          <w:tcPr>
            <w:tcW w:w="960" w:type="dxa"/>
            <w:tcBorders>
              <w:top w:val="single" w:sz="4" w:space="0" w:color="auto"/>
              <w:left w:val="nil"/>
              <w:bottom w:val="single" w:sz="4" w:space="0" w:color="auto"/>
              <w:right w:val="nil"/>
            </w:tcBorders>
            <w:shd w:val="clear" w:color="auto" w:fill="auto"/>
            <w:noWrap/>
            <w:vAlign w:val="bottom"/>
            <w:hideMark/>
          </w:tcPr>
          <w:p w14:paraId="339D902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4,774</w:t>
            </w:r>
          </w:p>
        </w:tc>
        <w:tc>
          <w:tcPr>
            <w:tcW w:w="960" w:type="dxa"/>
            <w:tcBorders>
              <w:top w:val="single" w:sz="4" w:space="0" w:color="auto"/>
              <w:left w:val="nil"/>
              <w:bottom w:val="single" w:sz="4" w:space="0" w:color="auto"/>
              <w:right w:val="nil"/>
            </w:tcBorders>
            <w:shd w:val="clear" w:color="auto" w:fill="auto"/>
            <w:noWrap/>
            <w:vAlign w:val="bottom"/>
            <w:hideMark/>
          </w:tcPr>
          <w:p w14:paraId="3EAF1D67"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4,874</w:t>
            </w:r>
          </w:p>
        </w:tc>
      </w:tr>
      <w:tr w:rsidR="00B96BAA" w:rsidRPr="00B96BAA" w14:paraId="3DBAAFBE" w14:textId="77777777" w:rsidTr="00C07FED">
        <w:trPr>
          <w:trHeight w:val="425"/>
          <w:jc w:val="center"/>
        </w:trPr>
        <w:tc>
          <w:tcPr>
            <w:tcW w:w="3080" w:type="dxa"/>
            <w:tcBorders>
              <w:top w:val="nil"/>
              <w:left w:val="nil"/>
              <w:bottom w:val="nil"/>
              <w:right w:val="nil"/>
            </w:tcBorders>
            <w:shd w:val="clear" w:color="auto" w:fill="auto"/>
            <w:vAlign w:val="bottom"/>
            <w:hideMark/>
          </w:tcPr>
          <w:p w14:paraId="49F78133" w14:textId="77777777" w:rsidR="00B96BAA" w:rsidRPr="00B96BAA" w:rsidRDefault="00B96BAA" w:rsidP="00B96BAA">
            <w:pPr>
              <w:spacing w:before="0" w:after="0" w:line="240" w:lineRule="auto"/>
              <w:rPr>
                <w:rFonts w:ascii="Arial" w:hAnsi="Arial" w:cs="Arial"/>
                <w:b/>
                <w:bCs/>
                <w:sz w:val="16"/>
                <w:szCs w:val="16"/>
              </w:rPr>
            </w:pPr>
            <w:r w:rsidRPr="00B96BAA">
              <w:rPr>
                <w:rFonts w:ascii="Arial" w:hAnsi="Arial" w:cs="Arial"/>
                <w:b/>
                <w:bCs/>
                <w:sz w:val="16"/>
                <w:szCs w:val="16"/>
              </w:rPr>
              <w:t>INCOME ADMINISTERED ON BEHALF OF GOVERNMENT</w:t>
            </w:r>
          </w:p>
        </w:tc>
        <w:tc>
          <w:tcPr>
            <w:tcW w:w="960" w:type="dxa"/>
            <w:tcBorders>
              <w:top w:val="nil"/>
              <w:left w:val="nil"/>
              <w:bottom w:val="nil"/>
              <w:right w:val="nil"/>
            </w:tcBorders>
            <w:shd w:val="clear" w:color="auto" w:fill="auto"/>
            <w:noWrap/>
            <w:vAlign w:val="bottom"/>
            <w:hideMark/>
          </w:tcPr>
          <w:p w14:paraId="37246602" w14:textId="77777777" w:rsidR="00B96BAA" w:rsidRPr="00B96BAA" w:rsidRDefault="00B96BAA" w:rsidP="00B96BAA">
            <w:pPr>
              <w:spacing w:before="0" w:after="0" w:line="240" w:lineRule="auto"/>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0A6A2476"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25056C28"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C12F13A"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DBD2ED6"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05C4AE10"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3DF4EA5C"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Revenue</w:t>
            </w:r>
          </w:p>
        </w:tc>
        <w:tc>
          <w:tcPr>
            <w:tcW w:w="960" w:type="dxa"/>
            <w:tcBorders>
              <w:top w:val="nil"/>
              <w:left w:val="nil"/>
              <w:bottom w:val="nil"/>
              <w:right w:val="nil"/>
            </w:tcBorders>
            <w:shd w:val="clear" w:color="auto" w:fill="auto"/>
            <w:noWrap/>
            <w:vAlign w:val="bottom"/>
            <w:hideMark/>
          </w:tcPr>
          <w:p w14:paraId="77CF9932" w14:textId="77777777" w:rsidR="00B96BAA" w:rsidRPr="00B96BAA" w:rsidRDefault="00B96BAA" w:rsidP="00B96BAA">
            <w:pPr>
              <w:spacing w:before="0" w:after="0" w:line="240" w:lineRule="auto"/>
              <w:ind w:firstLineChars="100" w:firstLine="16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723501D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6942D28"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2D953D36"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15A06D3"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0CA4D0D9"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65565462" w14:textId="77777777" w:rsidR="00B96BAA" w:rsidRPr="00B96BAA" w:rsidRDefault="00B96BAA" w:rsidP="00B96BAA">
            <w:pPr>
              <w:spacing w:before="0" w:after="0" w:line="240" w:lineRule="auto"/>
              <w:ind w:leftChars="150" w:left="285"/>
              <w:rPr>
                <w:rFonts w:ascii="Arial" w:hAnsi="Arial" w:cs="Arial"/>
                <w:b/>
                <w:bCs/>
                <w:sz w:val="16"/>
                <w:szCs w:val="16"/>
              </w:rPr>
            </w:pPr>
            <w:r w:rsidRPr="00B96BAA">
              <w:rPr>
                <w:rFonts w:ascii="Arial" w:hAnsi="Arial" w:cs="Arial"/>
                <w:b/>
                <w:bCs/>
                <w:sz w:val="16"/>
                <w:szCs w:val="16"/>
              </w:rPr>
              <w:t>Non-taxation</w:t>
            </w:r>
          </w:p>
        </w:tc>
        <w:tc>
          <w:tcPr>
            <w:tcW w:w="960" w:type="dxa"/>
            <w:tcBorders>
              <w:top w:val="nil"/>
              <w:left w:val="nil"/>
              <w:bottom w:val="nil"/>
              <w:right w:val="nil"/>
            </w:tcBorders>
            <w:shd w:val="clear" w:color="auto" w:fill="auto"/>
            <w:noWrap/>
            <w:vAlign w:val="bottom"/>
            <w:hideMark/>
          </w:tcPr>
          <w:p w14:paraId="3BF012C3" w14:textId="77777777" w:rsidR="00B96BAA" w:rsidRPr="00B96BAA" w:rsidRDefault="00B96BAA" w:rsidP="00B96BAA">
            <w:pPr>
              <w:spacing w:before="0" w:after="0" w:line="240" w:lineRule="auto"/>
              <w:ind w:firstLineChars="200" w:firstLine="321"/>
              <w:rPr>
                <w:rFonts w:ascii="Arial" w:hAnsi="Arial" w:cs="Arial"/>
                <w:b/>
                <w:bCs/>
                <w:sz w:val="16"/>
                <w:szCs w:val="16"/>
              </w:rPr>
            </w:pPr>
          </w:p>
        </w:tc>
        <w:tc>
          <w:tcPr>
            <w:tcW w:w="960" w:type="dxa"/>
            <w:tcBorders>
              <w:top w:val="nil"/>
              <w:left w:val="nil"/>
              <w:bottom w:val="nil"/>
              <w:right w:val="nil"/>
            </w:tcBorders>
            <w:shd w:val="clear" w:color="000000" w:fill="D9D9D9"/>
            <w:noWrap/>
            <w:vAlign w:val="bottom"/>
            <w:hideMark/>
          </w:tcPr>
          <w:p w14:paraId="040C908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7111E5D5"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6AB0534"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9F37A39"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4DBC437C" w14:textId="77777777" w:rsidTr="00095948">
        <w:trPr>
          <w:trHeight w:val="227"/>
          <w:jc w:val="center"/>
        </w:trPr>
        <w:tc>
          <w:tcPr>
            <w:tcW w:w="3080" w:type="dxa"/>
            <w:tcBorders>
              <w:top w:val="nil"/>
              <w:left w:val="nil"/>
              <w:bottom w:val="nil"/>
              <w:right w:val="nil"/>
            </w:tcBorders>
            <w:shd w:val="clear" w:color="auto" w:fill="auto"/>
            <w:vAlign w:val="bottom"/>
            <w:hideMark/>
          </w:tcPr>
          <w:p w14:paraId="29ECDD4A" w14:textId="77777777" w:rsidR="00B96BAA" w:rsidRPr="00B96BAA" w:rsidRDefault="00B96BAA" w:rsidP="00B96BAA">
            <w:pPr>
              <w:spacing w:before="0" w:after="0" w:line="240" w:lineRule="auto"/>
              <w:ind w:leftChars="225" w:left="428"/>
              <w:rPr>
                <w:rFonts w:ascii="Arial" w:hAnsi="Arial" w:cs="Arial"/>
                <w:sz w:val="16"/>
                <w:szCs w:val="16"/>
              </w:rPr>
            </w:pPr>
            <w:r w:rsidRPr="00B96BAA">
              <w:rPr>
                <w:rFonts w:ascii="Arial" w:hAnsi="Arial" w:cs="Arial"/>
                <w:sz w:val="16"/>
                <w:szCs w:val="16"/>
              </w:rPr>
              <w:t>Other revenue</w:t>
            </w:r>
          </w:p>
        </w:tc>
        <w:tc>
          <w:tcPr>
            <w:tcW w:w="960" w:type="dxa"/>
            <w:tcBorders>
              <w:top w:val="nil"/>
              <w:left w:val="nil"/>
              <w:bottom w:val="nil"/>
              <w:right w:val="nil"/>
            </w:tcBorders>
            <w:shd w:val="clear" w:color="auto" w:fill="auto"/>
            <w:noWrap/>
            <w:vAlign w:val="bottom"/>
            <w:hideMark/>
          </w:tcPr>
          <w:p w14:paraId="7EF22C28"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2B94F74A"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0CDF95FF"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788A0F61"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637D01D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w:t>
            </w:r>
          </w:p>
        </w:tc>
      </w:tr>
      <w:tr w:rsidR="00B96BAA" w:rsidRPr="00B96BAA" w14:paraId="0C1E2DDC"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4A75D698" w14:textId="77777777" w:rsidR="00B96BAA" w:rsidRPr="00B96BAA" w:rsidRDefault="00B96BAA" w:rsidP="00B96BAA">
            <w:pPr>
              <w:spacing w:before="0" w:after="0" w:line="240" w:lineRule="auto"/>
              <w:ind w:leftChars="225" w:left="428"/>
              <w:rPr>
                <w:rFonts w:ascii="Arial" w:hAnsi="Arial" w:cs="Arial"/>
                <w:b/>
                <w:bCs/>
                <w:sz w:val="16"/>
                <w:szCs w:val="16"/>
              </w:rPr>
            </w:pPr>
            <w:r w:rsidRPr="00B96BAA">
              <w:rPr>
                <w:rFonts w:ascii="Arial" w:hAnsi="Arial" w:cs="Arial"/>
                <w:b/>
                <w:bCs/>
                <w:sz w:val="16"/>
                <w:szCs w:val="16"/>
              </w:rPr>
              <w:t>Total non-taxation revenue</w:t>
            </w:r>
          </w:p>
        </w:tc>
        <w:tc>
          <w:tcPr>
            <w:tcW w:w="960" w:type="dxa"/>
            <w:tcBorders>
              <w:top w:val="nil"/>
              <w:left w:val="nil"/>
              <w:bottom w:val="single" w:sz="4" w:space="0" w:color="auto"/>
              <w:right w:val="nil"/>
            </w:tcBorders>
            <w:shd w:val="clear" w:color="auto" w:fill="auto"/>
            <w:noWrap/>
            <w:vAlign w:val="bottom"/>
            <w:hideMark/>
          </w:tcPr>
          <w:p w14:paraId="25B66A4D"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6218C0B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6AA64E4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0914CD5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7E15244A"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r>
      <w:tr w:rsidR="00B96BAA" w:rsidRPr="00B96BAA" w14:paraId="1F3B2D1B" w14:textId="77777777" w:rsidTr="00D25E6D">
        <w:trPr>
          <w:trHeight w:val="425"/>
          <w:jc w:val="center"/>
        </w:trPr>
        <w:tc>
          <w:tcPr>
            <w:tcW w:w="3080" w:type="dxa"/>
            <w:tcBorders>
              <w:top w:val="nil"/>
              <w:left w:val="nil"/>
              <w:bottom w:val="nil"/>
              <w:right w:val="nil"/>
            </w:tcBorders>
            <w:shd w:val="clear" w:color="auto" w:fill="auto"/>
            <w:vAlign w:val="bottom"/>
            <w:hideMark/>
          </w:tcPr>
          <w:p w14:paraId="7CD217E0" w14:textId="77777777" w:rsidR="00B96BAA" w:rsidRPr="00B96BAA" w:rsidRDefault="00B96BAA" w:rsidP="00B96BAA">
            <w:pPr>
              <w:spacing w:before="0" w:after="0" w:line="240" w:lineRule="auto"/>
              <w:ind w:leftChars="150" w:left="285"/>
              <w:rPr>
                <w:rFonts w:ascii="Arial" w:hAnsi="Arial" w:cs="Arial"/>
                <w:b/>
                <w:bCs/>
                <w:sz w:val="16"/>
                <w:szCs w:val="16"/>
              </w:rPr>
            </w:pPr>
            <w:r w:rsidRPr="00B96BAA">
              <w:rPr>
                <w:rFonts w:ascii="Arial" w:hAnsi="Arial" w:cs="Arial"/>
                <w:b/>
                <w:bCs/>
                <w:sz w:val="16"/>
                <w:szCs w:val="16"/>
              </w:rPr>
              <w:t>Total revenues administered on behalf of Government</w:t>
            </w:r>
          </w:p>
        </w:tc>
        <w:tc>
          <w:tcPr>
            <w:tcW w:w="960" w:type="dxa"/>
            <w:tcBorders>
              <w:top w:val="nil"/>
              <w:left w:val="nil"/>
              <w:bottom w:val="single" w:sz="4" w:space="0" w:color="auto"/>
              <w:right w:val="nil"/>
            </w:tcBorders>
            <w:shd w:val="clear" w:color="auto" w:fill="auto"/>
            <w:noWrap/>
            <w:vAlign w:val="bottom"/>
            <w:hideMark/>
          </w:tcPr>
          <w:p w14:paraId="22EAED1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2996DAAF"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1B50360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6F367FB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18CD838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r>
      <w:tr w:rsidR="00B96BAA" w:rsidRPr="00B96BAA" w14:paraId="5B4ADACB" w14:textId="77777777" w:rsidTr="00D25E6D">
        <w:trPr>
          <w:trHeight w:val="425"/>
          <w:jc w:val="center"/>
        </w:trPr>
        <w:tc>
          <w:tcPr>
            <w:tcW w:w="3080" w:type="dxa"/>
            <w:tcBorders>
              <w:top w:val="nil"/>
              <w:left w:val="nil"/>
              <w:bottom w:val="single" w:sz="4" w:space="0" w:color="auto"/>
              <w:right w:val="nil"/>
            </w:tcBorders>
            <w:shd w:val="clear" w:color="auto" w:fill="auto"/>
            <w:vAlign w:val="bottom"/>
            <w:hideMark/>
          </w:tcPr>
          <w:p w14:paraId="3C3E2998" w14:textId="77777777" w:rsidR="00B96BAA" w:rsidRPr="00B96BAA" w:rsidRDefault="00B96BAA" w:rsidP="00B96BAA">
            <w:pPr>
              <w:spacing w:before="0" w:after="0" w:line="240" w:lineRule="auto"/>
              <w:ind w:leftChars="75" w:left="143"/>
              <w:rPr>
                <w:rFonts w:ascii="Arial" w:hAnsi="Arial" w:cs="Arial"/>
                <w:b/>
                <w:bCs/>
                <w:sz w:val="16"/>
                <w:szCs w:val="16"/>
              </w:rPr>
            </w:pPr>
            <w:r w:rsidRPr="00B96BAA">
              <w:rPr>
                <w:rFonts w:ascii="Arial" w:hAnsi="Arial" w:cs="Arial"/>
                <w:b/>
                <w:bCs/>
                <w:sz w:val="16"/>
                <w:szCs w:val="16"/>
              </w:rPr>
              <w:t>Total income administered on behalf of Government</w:t>
            </w:r>
          </w:p>
        </w:tc>
        <w:tc>
          <w:tcPr>
            <w:tcW w:w="960" w:type="dxa"/>
            <w:tcBorders>
              <w:top w:val="nil"/>
              <w:left w:val="nil"/>
              <w:bottom w:val="single" w:sz="4" w:space="0" w:color="auto"/>
              <w:right w:val="nil"/>
            </w:tcBorders>
            <w:shd w:val="clear" w:color="auto" w:fill="auto"/>
            <w:noWrap/>
            <w:vAlign w:val="bottom"/>
            <w:hideMark/>
          </w:tcPr>
          <w:p w14:paraId="37CE7C51"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000000" w:fill="D9D9D9"/>
            <w:noWrap/>
            <w:vAlign w:val="bottom"/>
            <w:hideMark/>
          </w:tcPr>
          <w:p w14:paraId="07840FF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70641BDD"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4B8DD788"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c>
          <w:tcPr>
            <w:tcW w:w="960" w:type="dxa"/>
            <w:tcBorders>
              <w:top w:val="nil"/>
              <w:left w:val="nil"/>
              <w:bottom w:val="single" w:sz="4" w:space="0" w:color="auto"/>
              <w:right w:val="nil"/>
            </w:tcBorders>
            <w:shd w:val="clear" w:color="auto" w:fill="auto"/>
            <w:noWrap/>
            <w:vAlign w:val="bottom"/>
            <w:hideMark/>
          </w:tcPr>
          <w:p w14:paraId="1B926C2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w:t>
            </w:r>
          </w:p>
        </w:tc>
      </w:tr>
    </w:tbl>
    <w:p w14:paraId="1D5EE26A" w14:textId="77777777" w:rsidR="00526CE6" w:rsidRDefault="00526CE6" w:rsidP="00526CE6">
      <w:pPr>
        <w:pStyle w:val="TableHeadingcontinued"/>
      </w:pPr>
    </w:p>
    <w:p w14:paraId="5C20C783" w14:textId="77777777" w:rsidR="00526CE6" w:rsidRPr="006B10A2" w:rsidRDefault="00526CE6" w:rsidP="00526CE6">
      <w:pPr>
        <w:pStyle w:val="TableHeading"/>
        <w:spacing w:before="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 xml:space="preserve">overnment (as </w:t>
      </w:r>
      <w:proofErr w:type="gramStart"/>
      <w:r w:rsidRPr="00014438">
        <w:rPr>
          <w:snapToGrid w:val="0"/>
        </w:rPr>
        <w:t>at</w:t>
      </w:r>
      <w:proofErr w:type="gramEnd"/>
      <w:r w:rsidRPr="00014438">
        <w:rPr>
          <w:snapToGrid w:val="0"/>
        </w:rPr>
        <w:t xml:space="preserve">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B96BAA" w:rsidRPr="00B96BAA" w14:paraId="0FFCB1C6" w14:textId="77777777" w:rsidTr="0079412F">
        <w:trPr>
          <w:trHeight w:val="765"/>
          <w:jc w:val="center"/>
        </w:trPr>
        <w:tc>
          <w:tcPr>
            <w:tcW w:w="3080" w:type="dxa"/>
            <w:tcBorders>
              <w:top w:val="single" w:sz="4" w:space="0" w:color="auto"/>
              <w:left w:val="nil"/>
              <w:bottom w:val="nil"/>
              <w:right w:val="nil"/>
            </w:tcBorders>
            <w:shd w:val="clear" w:color="auto" w:fill="auto"/>
            <w:hideMark/>
          </w:tcPr>
          <w:p w14:paraId="6171A111" w14:textId="77777777" w:rsidR="00B96BAA" w:rsidRPr="00B96BAA" w:rsidRDefault="00B96BAA" w:rsidP="0079412F">
            <w:pPr>
              <w:spacing w:before="24" w:after="0" w:line="240" w:lineRule="auto"/>
              <w:jc w:val="right"/>
              <w:rPr>
                <w:rFonts w:ascii="Arial" w:hAnsi="Arial" w:cs="Arial"/>
                <w:b/>
                <w:bCs/>
                <w:sz w:val="16"/>
                <w:szCs w:val="16"/>
              </w:rPr>
            </w:pPr>
            <w:r w:rsidRPr="00B96BAA">
              <w:rPr>
                <w:rFonts w:ascii="Arial" w:hAnsi="Arial" w:cs="Arial"/>
                <w:b/>
                <w:bCs/>
                <w:sz w:val="16"/>
                <w:szCs w:val="16"/>
              </w:rPr>
              <w:t> </w:t>
            </w:r>
          </w:p>
        </w:tc>
        <w:tc>
          <w:tcPr>
            <w:tcW w:w="960" w:type="dxa"/>
            <w:tcBorders>
              <w:top w:val="single" w:sz="4" w:space="0" w:color="auto"/>
              <w:left w:val="nil"/>
              <w:bottom w:val="single" w:sz="4" w:space="0" w:color="auto"/>
              <w:right w:val="nil"/>
            </w:tcBorders>
            <w:shd w:val="clear" w:color="auto" w:fill="auto"/>
            <w:hideMark/>
          </w:tcPr>
          <w:p w14:paraId="5F3CFAFE" w14:textId="3B40FEF9" w:rsidR="00B96BAA" w:rsidRPr="00B96BAA" w:rsidRDefault="00B96BAA" w:rsidP="0079412F">
            <w:pPr>
              <w:spacing w:before="24" w:after="0" w:line="240" w:lineRule="auto"/>
              <w:jc w:val="right"/>
              <w:rPr>
                <w:rFonts w:ascii="Arial" w:hAnsi="Arial" w:cs="Arial"/>
                <w:b/>
                <w:bCs/>
                <w:sz w:val="16"/>
                <w:szCs w:val="16"/>
              </w:rPr>
            </w:pPr>
            <w:r w:rsidRPr="00B96BAA">
              <w:rPr>
                <w:rFonts w:ascii="Arial" w:hAnsi="Arial" w:cs="Arial"/>
                <w:b/>
                <w:bCs/>
                <w:sz w:val="16"/>
                <w:szCs w:val="16"/>
              </w:rPr>
              <w:t>2022</w:t>
            </w:r>
            <w:r>
              <w:rPr>
                <w:rFonts w:ascii="Arial" w:hAnsi="Arial" w:cs="Arial"/>
                <w:b/>
                <w:bCs/>
                <w:sz w:val="16"/>
                <w:szCs w:val="16"/>
              </w:rPr>
              <w:t>–</w:t>
            </w:r>
            <w:r w:rsidRPr="00B96BAA">
              <w:rPr>
                <w:rFonts w:ascii="Arial" w:hAnsi="Arial" w:cs="Arial"/>
                <w:b/>
                <w:bCs/>
                <w:sz w:val="16"/>
                <w:szCs w:val="16"/>
              </w:rPr>
              <w:t>23</w:t>
            </w:r>
            <w:r w:rsidRPr="00B96BAA">
              <w:rPr>
                <w:rFonts w:ascii="Arial" w:hAnsi="Arial" w:cs="Arial"/>
                <w:b/>
                <w:bCs/>
                <w:sz w:val="16"/>
                <w:szCs w:val="16"/>
              </w:rPr>
              <w:br/>
              <w:t>Actual</w:t>
            </w:r>
            <w:r w:rsidRPr="00B96BAA">
              <w:rPr>
                <w:rFonts w:ascii="Arial" w:hAnsi="Arial" w:cs="Arial"/>
                <w:b/>
                <w:bCs/>
                <w:sz w:val="16"/>
                <w:szCs w:val="16"/>
              </w:rPr>
              <w:br/>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D9D9D9"/>
            <w:hideMark/>
          </w:tcPr>
          <w:p w14:paraId="4175B8BE" w14:textId="425E9BA8" w:rsidR="00B96BAA" w:rsidRPr="00B96BAA" w:rsidRDefault="00B96BAA" w:rsidP="0079412F">
            <w:pPr>
              <w:spacing w:before="24" w:after="0" w:line="240" w:lineRule="auto"/>
              <w:jc w:val="right"/>
              <w:rPr>
                <w:rFonts w:ascii="Arial" w:hAnsi="Arial" w:cs="Arial"/>
                <w:b/>
                <w:bCs/>
                <w:sz w:val="16"/>
                <w:szCs w:val="16"/>
              </w:rPr>
            </w:pPr>
            <w:r>
              <w:rPr>
                <w:rFonts w:ascii="Arial" w:hAnsi="Arial" w:cs="Arial"/>
                <w:b/>
                <w:bCs/>
                <w:sz w:val="16"/>
                <w:szCs w:val="16"/>
              </w:rPr>
              <w:t>2023–</w:t>
            </w:r>
            <w:r w:rsidRPr="00B96BAA">
              <w:rPr>
                <w:rFonts w:ascii="Arial" w:hAnsi="Arial" w:cs="Arial"/>
                <w:b/>
                <w:bCs/>
                <w:sz w:val="16"/>
                <w:szCs w:val="16"/>
              </w:rPr>
              <w:t>24</w:t>
            </w:r>
            <w:r w:rsidRPr="00B96BAA">
              <w:rPr>
                <w:rFonts w:ascii="Arial" w:hAnsi="Arial" w:cs="Arial"/>
                <w:b/>
                <w:bCs/>
                <w:sz w:val="16"/>
                <w:szCs w:val="16"/>
              </w:rPr>
              <w:br/>
              <w:t>Revised</w:t>
            </w:r>
            <w:r w:rsidRPr="00B96BAA">
              <w:rPr>
                <w:rFonts w:ascii="Arial" w:hAnsi="Arial" w:cs="Arial"/>
                <w:b/>
                <w:bCs/>
                <w:sz w:val="16"/>
                <w:szCs w:val="16"/>
              </w:rPr>
              <w:br/>
              <w:t>Budget</w:t>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C3D1C06" w14:textId="766CB932" w:rsidR="00B96BAA" w:rsidRPr="00B96BAA" w:rsidRDefault="00B96BAA" w:rsidP="0079412F">
            <w:pPr>
              <w:spacing w:before="24" w:after="0" w:line="240" w:lineRule="auto"/>
              <w:jc w:val="right"/>
              <w:rPr>
                <w:rFonts w:ascii="Arial" w:hAnsi="Arial" w:cs="Arial"/>
                <w:b/>
                <w:bCs/>
                <w:sz w:val="16"/>
                <w:szCs w:val="16"/>
              </w:rPr>
            </w:pPr>
            <w:r>
              <w:rPr>
                <w:rFonts w:ascii="Arial" w:hAnsi="Arial" w:cs="Arial"/>
                <w:b/>
                <w:bCs/>
                <w:sz w:val="16"/>
                <w:szCs w:val="16"/>
              </w:rPr>
              <w:t>2024–</w:t>
            </w:r>
            <w:r w:rsidRPr="00B96BAA">
              <w:rPr>
                <w:rFonts w:ascii="Arial" w:hAnsi="Arial" w:cs="Arial"/>
                <w:b/>
                <w:bCs/>
                <w:sz w:val="16"/>
                <w:szCs w:val="16"/>
              </w:rPr>
              <w:t>25 Forward estimate</w:t>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2F690B91" w14:textId="2EFBF199" w:rsidR="00B96BAA" w:rsidRPr="00B96BAA" w:rsidRDefault="00B96BAA" w:rsidP="0079412F">
            <w:pPr>
              <w:spacing w:before="24" w:after="0" w:line="240" w:lineRule="auto"/>
              <w:jc w:val="right"/>
              <w:rPr>
                <w:rFonts w:ascii="Arial" w:hAnsi="Arial" w:cs="Arial"/>
                <w:b/>
                <w:bCs/>
                <w:sz w:val="16"/>
                <w:szCs w:val="16"/>
              </w:rPr>
            </w:pPr>
            <w:r w:rsidRPr="00B96BAA">
              <w:rPr>
                <w:rFonts w:ascii="Arial" w:hAnsi="Arial" w:cs="Arial"/>
                <w:b/>
                <w:bCs/>
                <w:sz w:val="16"/>
                <w:szCs w:val="16"/>
              </w:rPr>
              <w:t>2025</w:t>
            </w:r>
            <w:r>
              <w:rPr>
                <w:rFonts w:ascii="Arial" w:hAnsi="Arial" w:cs="Arial"/>
                <w:b/>
                <w:bCs/>
                <w:sz w:val="16"/>
                <w:szCs w:val="16"/>
              </w:rPr>
              <w:t>–</w:t>
            </w:r>
            <w:r w:rsidRPr="00B96BAA">
              <w:rPr>
                <w:rFonts w:ascii="Arial" w:hAnsi="Arial" w:cs="Arial"/>
                <w:b/>
                <w:bCs/>
                <w:sz w:val="16"/>
                <w:szCs w:val="16"/>
              </w:rPr>
              <w:t>26 Forward estimate</w:t>
            </w:r>
            <w:r w:rsidRPr="00B96BAA">
              <w:rPr>
                <w:rFonts w:ascii="Arial" w:hAnsi="Arial" w:cs="Arial"/>
                <w:b/>
                <w:bCs/>
                <w:sz w:val="16"/>
                <w:szCs w:val="16"/>
              </w:rPr>
              <w:br/>
            </w:r>
            <w:r w:rsidRPr="00B96BAA">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6BED770A" w14:textId="7EA5CADD" w:rsidR="00B96BAA" w:rsidRPr="00B96BAA" w:rsidRDefault="00B96BAA" w:rsidP="0079412F">
            <w:pPr>
              <w:spacing w:before="24" w:after="0" w:line="240" w:lineRule="auto"/>
              <w:jc w:val="right"/>
              <w:rPr>
                <w:rFonts w:ascii="Arial" w:hAnsi="Arial" w:cs="Arial"/>
                <w:b/>
                <w:bCs/>
                <w:sz w:val="16"/>
                <w:szCs w:val="16"/>
              </w:rPr>
            </w:pPr>
            <w:r>
              <w:rPr>
                <w:rFonts w:ascii="Arial" w:hAnsi="Arial" w:cs="Arial"/>
                <w:b/>
                <w:bCs/>
                <w:sz w:val="16"/>
                <w:szCs w:val="16"/>
              </w:rPr>
              <w:t>2026–</w:t>
            </w:r>
            <w:r w:rsidRPr="00B96BAA">
              <w:rPr>
                <w:rFonts w:ascii="Arial" w:hAnsi="Arial" w:cs="Arial"/>
                <w:b/>
                <w:bCs/>
                <w:sz w:val="16"/>
                <w:szCs w:val="16"/>
              </w:rPr>
              <w:t>27 Forward estimate</w:t>
            </w:r>
            <w:r w:rsidRPr="00B96BAA">
              <w:rPr>
                <w:rFonts w:ascii="Arial" w:hAnsi="Arial" w:cs="Arial"/>
                <w:b/>
                <w:bCs/>
                <w:sz w:val="16"/>
                <w:szCs w:val="16"/>
              </w:rPr>
              <w:br/>
            </w:r>
            <w:r w:rsidRPr="00B96BAA">
              <w:rPr>
                <w:rFonts w:ascii="Arial" w:hAnsi="Arial" w:cs="Arial"/>
                <w:sz w:val="16"/>
                <w:szCs w:val="16"/>
              </w:rPr>
              <w:t>$'000</w:t>
            </w:r>
          </w:p>
        </w:tc>
      </w:tr>
      <w:tr w:rsidR="00B96BAA" w:rsidRPr="00B96BAA" w14:paraId="52E8B868" w14:textId="77777777" w:rsidTr="0079412F">
        <w:trPr>
          <w:trHeight w:val="425"/>
          <w:jc w:val="center"/>
        </w:trPr>
        <w:tc>
          <w:tcPr>
            <w:tcW w:w="3080" w:type="dxa"/>
            <w:tcBorders>
              <w:top w:val="nil"/>
              <w:left w:val="nil"/>
              <w:bottom w:val="nil"/>
              <w:right w:val="nil"/>
            </w:tcBorders>
            <w:shd w:val="clear" w:color="auto" w:fill="auto"/>
            <w:vAlign w:val="bottom"/>
            <w:hideMark/>
          </w:tcPr>
          <w:p w14:paraId="6C3CA536" w14:textId="77777777" w:rsidR="00B96BAA" w:rsidRPr="00B96BAA" w:rsidRDefault="00B96BAA" w:rsidP="00B96BAA">
            <w:pPr>
              <w:spacing w:before="0" w:after="0" w:line="240" w:lineRule="auto"/>
              <w:rPr>
                <w:rFonts w:ascii="Arial" w:hAnsi="Arial" w:cs="Arial"/>
                <w:b/>
                <w:bCs/>
                <w:color w:val="000000"/>
                <w:sz w:val="16"/>
                <w:szCs w:val="16"/>
              </w:rPr>
            </w:pPr>
            <w:r w:rsidRPr="00B96BAA">
              <w:rPr>
                <w:rFonts w:ascii="Arial" w:hAnsi="Arial" w:cs="Arial"/>
                <w:b/>
                <w:bCs/>
                <w:color w:val="000000"/>
                <w:sz w:val="16"/>
                <w:szCs w:val="16"/>
              </w:rPr>
              <w:t>ASSETS ADMINISTERED ON BEHALF OF GOVERNMENT</w:t>
            </w:r>
          </w:p>
        </w:tc>
        <w:tc>
          <w:tcPr>
            <w:tcW w:w="960" w:type="dxa"/>
            <w:tcBorders>
              <w:top w:val="nil"/>
              <w:left w:val="nil"/>
              <w:bottom w:val="nil"/>
              <w:right w:val="nil"/>
            </w:tcBorders>
            <w:shd w:val="clear" w:color="auto" w:fill="auto"/>
            <w:noWrap/>
            <w:vAlign w:val="bottom"/>
            <w:hideMark/>
          </w:tcPr>
          <w:p w14:paraId="6D9AEFDE" w14:textId="77777777" w:rsidR="00B96BAA" w:rsidRPr="00B96BAA" w:rsidRDefault="00B96BAA" w:rsidP="00B96BAA">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6BF0FD2D"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72D85FC"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4879D7E8"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55CC470"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051FE466" w14:textId="77777777" w:rsidTr="0079412F">
        <w:trPr>
          <w:trHeight w:val="283"/>
          <w:jc w:val="center"/>
        </w:trPr>
        <w:tc>
          <w:tcPr>
            <w:tcW w:w="3080" w:type="dxa"/>
            <w:tcBorders>
              <w:top w:val="nil"/>
              <w:left w:val="nil"/>
              <w:bottom w:val="nil"/>
              <w:right w:val="nil"/>
            </w:tcBorders>
            <w:shd w:val="clear" w:color="auto" w:fill="auto"/>
            <w:noWrap/>
            <w:vAlign w:val="bottom"/>
            <w:hideMark/>
          </w:tcPr>
          <w:p w14:paraId="44F73EB4"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14:paraId="5C2D5FD2" w14:textId="77777777" w:rsidR="00B96BAA" w:rsidRPr="00B96BAA" w:rsidRDefault="00B96BAA" w:rsidP="00B96BAA">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3C1F2B9"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52899193"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02A2A39A"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346AED57"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08F815C1"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3389D39B" w14:textId="77777777" w:rsidR="00B96BAA" w:rsidRPr="00B96BAA" w:rsidRDefault="00B96BAA" w:rsidP="00B96BAA">
            <w:pPr>
              <w:spacing w:before="0" w:after="0" w:line="240" w:lineRule="auto"/>
              <w:ind w:leftChars="150" w:left="285"/>
              <w:rPr>
                <w:rFonts w:ascii="Arial" w:hAnsi="Arial" w:cs="Arial"/>
                <w:sz w:val="16"/>
                <w:szCs w:val="16"/>
              </w:rPr>
            </w:pPr>
            <w:r w:rsidRPr="00B96BAA">
              <w:rPr>
                <w:rFonts w:ascii="Arial" w:hAnsi="Arial" w:cs="Arial"/>
                <w:sz w:val="16"/>
                <w:szCs w:val="16"/>
              </w:rPr>
              <w:t>Cash and cash equivalents</w:t>
            </w:r>
          </w:p>
        </w:tc>
        <w:tc>
          <w:tcPr>
            <w:tcW w:w="960" w:type="dxa"/>
            <w:tcBorders>
              <w:top w:val="nil"/>
              <w:left w:val="nil"/>
              <w:bottom w:val="nil"/>
              <w:right w:val="nil"/>
            </w:tcBorders>
            <w:shd w:val="clear" w:color="auto" w:fill="auto"/>
            <w:noWrap/>
            <w:vAlign w:val="bottom"/>
            <w:hideMark/>
          </w:tcPr>
          <w:p w14:paraId="49879DC7"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808</w:t>
            </w:r>
          </w:p>
        </w:tc>
        <w:tc>
          <w:tcPr>
            <w:tcW w:w="960" w:type="dxa"/>
            <w:tcBorders>
              <w:top w:val="nil"/>
              <w:left w:val="nil"/>
              <w:bottom w:val="nil"/>
              <w:right w:val="nil"/>
            </w:tcBorders>
            <w:shd w:val="clear" w:color="000000" w:fill="D9D9D9"/>
            <w:noWrap/>
            <w:vAlign w:val="bottom"/>
            <w:hideMark/>
          </w:tcPr>
          <w:p w14:paraId="72BCA52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808</w:t>
            </w:r>
          </w:p>
        </w:tc>
        <w:tc>
          <w:tcPr>
            <w:tcW w:w="960" w:type="dxa"/>
            <w:tcBorders>
              <w:top w:val="nil"/>
              <w:left w:val="nil"/>
              <w:bottom w:val="nil"/>
              <w:right w:val="nil"/>
            </w:tcBorders>
            <w:shd w:val="clear" w:color="auto" w:fill="auto"/>
            <w:noWrap/>
            <w:vAlign w:val="bottom"/>
            <w:hideMark/>
          </w:tcPr>
          <w:p w14:paraId="4A196692"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808</w:t>
            </w:r>
          </w:p>
        </w:tc>
        <w:tc>
          <w:tcPr>
            <w:tcW w:w="960" w:type="dxa"/>
            <w:tcBorders>
              <w:top w:val="nil"/>
              <w:left w:val="nil"/>
              <w:bottom w:val="nil"/>
              <w:right w:val="nil"/>
            </w:tcBorders>
            <w:shd w:val="clear" w:color="auto" w:fill="auto"/>
            <w:noWrap/>
            <w:vAlign w:val="bottom"/>
            <w:hideMark/>
          </w:tcPr>
          <w:p w14:paraId="4B80C3EF"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808</w:t>
            </w:r>
          </w:p>
        </w:tc>
        <w:tc>
          <w:tcPr>
            <w:tcW w:w="960" w:type="dxa"/>
            <w:tcBorders>
              <w:top w:val="nil"/>
              <w:left w:val="nil"/>
              <w:bottom w:val="nil"/>
              <w:right w:val="nil"/>
            </w:tcBorders>
            <w:shd w:val="clear" w:color="auto" w:fill="auto"/>
            <w:noWrap/>
            <w:vAlign w:val="bottom"/>
            <w:hideMark/>
          </w:tcPr>
          <w:p w14:paraId="25E979F3"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808</w:t>
            </w:r>
          </w:p>
        </w:tc>
      </w:tr>
      <w:tr w:rsidR="00B96BAA" w:rsidRPr="00B96BAA" w14:paraId="28064B2A"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3067429D" w14:textId="77777777" w:rsidR="00B96BAA" w:rsidRPr="00B96BAA" w:rsidRDefault="00B96BAA" w:rsidP="00B96BAA">
            <w:pPr>
              <w:spacing w:before="0" w:after="0" w:line="240" w:lineRule="auto"/>
              <w:ind w:leftChars="150" w:left="285"/>
              <w:rPr>
                <w:rFonts w:ascii="Arial" w:hAnsi="Arial" w:cs="Arial"/>
                <w:color w:val="000000"/>
                <w:sz w:val="16"/>
                <w:szCs w:val="16"/>
              </w:rPr>
            </w:pPr>
            <w:r w:rsidRPr="00B96BAA">
              <w:rPr>
                <w:rFonts w:ascii="Arial" w:hAnsi="Arial" w:cs="Arial"/>
                <w:color w:val="000000"/>
                <w:sz w:val="16"/>
                <w:szCs w:val="16"/>
              </w:rPr>
              <w:t>Receivables</w:t>
            </w:r>
          </w:p>
        </w:tc>
        <w:tc>
          <w:tcPr>
            <w:tcW w:w="960" w:type="dxa"/>
            <w:tcBorders>
              <w:top w:val="nil"/>
              <w:left w:val="nil"/>
              <w:bottom w:val="nil"/>
              <w:right w:val="nil"/>
            </w:tcBorders>
            <w:shd w:val="clear" w:color="auto" w:fill="auto"/>
            <w:noWrap/>
            <w:vAlign w:val="bottom"/>
            <w:hideMark/>
          </w:tcPr>
          <w:p w14:paraId="04734F0A"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280</w:t>
            </w:r>
          </w:p>
        </w:tc>
        <w:tc>
          <w:tcPr>
            <w:tcW w:w="960" w:type="dxa"/>
            <w:tcBorders>
              <w:top w:val="nil"/>
              <w:left w:val="nil"/>
              <w:bottom w:val="nil"/>
              <w:right w:val="nil"/>
            </w:tcBorders>
            <w:shd w:val="clear" w:color="000000" w:fill="D9D9D9"/>
            <w:noWrap/>
            <w:vAlign w:val="bottom"/>
            <w:hideMark/>
          </w:tcPr>
          <w:p w14:paraId="56ABE97B"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280</w:t>
            </w:r>
          </w:p>
        </w:tc>
        <w:tc>
          <w:tcPr>
            <w:tcW w:w="960" w:type="dxa"/>
            <w:tcBorders>
              <w:top w:val="nil"/>
              <w:left w:val="nil"/>
              <w:bottom w:val="nil"/>
              <w:right w:val="nil"/>
            </w:tcBorders>
            <w:shd w:val="clear" w:color="auto" w:fill="auto"/>
            <w:noWrap/>
            <w:vAlign w:val="bottom"/>
            <w:hideMark/>
          </w:tcPr>
          <w:p w14:paraId="1C28EC07"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280</w:t>
            </w:r>
          </w:p>
        </w:tc>
        <w:tc>
          <w:tcPr>
            <w:tcW w:w="960" w:type="dxa"/>
            <w:tcBorders>
              <w:top w:val="nil"/>
              <w:left w:val="nil"/>
              <w:bottom w:val="nil"/>
              <w:right w:val="nil"/>
            </w:tcBorders>
            <w:shd w:val="clear" w:color="auto" w:fill="auto"/>
            <w:noWrap/>
            <w:vAlign w:val="bottom"/>
            <w:hideMark/>
          </w:tcPr>
          <w:p w14:paraId="68F381F0"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280</w:t>
            </w:r>
          </w:p>
        </w:tc>
        <w:tc>
          <w:tcPr>
            <w:tcW w:w="960" w:type="dxa"/>
            <w:tcBorders>
              <w:top w:val="nil"/>
              <w:left w:val="nil"/>
              <w:bottom w:val="nil"/>
              <w:right w:val="nil"/>
            </w:tcBorders>
            <w:shd w:val="clear" w:color="auto" w:fill="auto"/>
            <w:noWrap/>
            <w:vAlign w:val="bottom"/>
            <w:hideMark/>
          </w:tcPr>
          <w:p w14:paraId="60CCB345"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280</w:t>
            </w:r>
          </w:p>
        </w:tc>
      </w:tr>
      <w:tr w:rsidR="00B96BAA" w:rsidRPr="00B96BAA" w14:paraId="046FF4AE"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147E4FB8" w14:textId="77777777" w:rsidR="00B96BAA" w:rsidRPr="00B96BAA" w:rsidRDefault="00B96BAA" w:rsidP="00B96BAA">
            <w:pPr>
              <w:spacing w:before="0" w:after="0" w:line="240" w:lineRule="auto"/>
              <w:ind w:leftChars="150" w:left="285"/>
              <w:rPr>
                <w:rFonts w:ascii="Arial" w:hAnsi="Arial" w:cs="Arial"/>
                <w:b/>
                <w:bCs/>
                <w:color w:val="000000"/>
                <w:sz w:val="16"/>
                <w:szCs w:val="16"/>
              </w:rPr>
            </w:pPr>
            <w:r w:rsidRPr="00B96BAA">
              <w:rPr>
                <w:rFonts w:ascii="Arial" w:hAnsi="Arial"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14:paraId="4CC507E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000000" w:fill="D9D9D9"/>
            <w:noWrap/>
            <w:vAlign w:val="bottom"/>
            <w:hideMark/>
          </w:tcPr>
          <w:p w14:paraId="3DCE173E"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265E80F0"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128541BF"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1D37E59A"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r>
      <w:tr w:rsidR="00B96BAA" w:rsidRPr="00B96BAA" w14:paraId="1DB91C1D" w14:textId="77777777" w:rsidTr="0079412F">
        <w:trPr>
          <w:trHeight w:val="425"/>
          <w:jc w:val="center"/>
        </w:trPr>
        <w:tc>
          <w:tcPr>
            <w:tcW w:w="3080" w:type="dxa"/>
            <w:tcBorders>
              <w:top w:val="nil"/>
              <w:left w:val="nil"/>
              <w:bottom w:val="nil"/>
              <w:right w:val="nil"/>
            </w:tcBorders>
            <w:shd w:val="clear" w:color="auto" w:fill="auto"/>
            <w:vAlign w:val="bottom"/>
            <w:hideMark/>
          </w:tcPr>
          <w:p w14:paraId="560A5F5F"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Total assets administered on behalf of Government</w:t>
            </w:r>
          </w:p>
        </w:tc>
        <w:tc>
          <w:tcPr>
            <w:tcW w:w="960" w:type="dxa"/>
            <w:tcBorders>
              <w:top w:val="nil"/>
              <w:left w:val="nil"/>
              <w:bottom w:val="single" w:sz="4" w:space="0" w:color="auto"/>
              <w:right w:val="nil"/>
            </w:tcBorders>
            <w:shd w:val="clear" w:color="auto" w:fill="auto"/>
            <w:noWrap/>
            <w:vAlign w:val="bottom"/>
            <w:hideMark/>
          </w:tcPr>
          <w:p w14:paraId="66F9A72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000000" w:fill="D9D9D9"/>
            <w:noWrap/>
            <w:vAlign w:val="bottom"/>
            <w:hideMark/>
          </w:tcPr>
          <w:p w14:paraId="128DCB9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64C7826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54E32FA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c>
          <w:tcPr>
            <w:tcW w:w="960" w:type="dxa"/>
            <w:tcBorders>
              <w:top w:val="nil"/>
              <w:left w:val="nil"/>
              <w:bottom w:val="single" w:sz="4" w:space="0" w:color="auto"/>
              <w:right w:val="nil"/>
            </w:tcBorders>
            <w:shd w:val="clear" w:color="auto" w:fill="auto"/>
            <w:noWrap/>
            <w:vAlign w:val="bottom"/>
            <w:hideMark/>
          </w:tcPr>
          <w:p w14:paraId="2AA88312"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1,088</w:t>
            </w:r>
          </w:p>
        </w:tc>
      </w:tr>
      <w:tr w:rsidR="00B96BAA" w:rsidRPr="00B96BAA" w14:paraId="349A7DD3" w14:textId="77777777" w:rsidTr="0079412F">
        <w:trPr>
          <w:trHeight w:val="425"/>
          <w:jc w:val="center"/>
        </w:trPr>
        <w:tc>
          <w:tcPr>
            <w:tcW w:w="3080" w:type="dxa"/>
            <w:tcBorders>
              <w:top w:val="nil"/>
              <w:left w:val="nil"/>
              <w:bottom w:val="nil"/>
              <w:right w:val="nil"/>
            </w:tcBorders>
            <w:shd w:val="clear" w:color="auto" w:fill="auto"/>
            <w:vAlign w:val="bottom"/>
            <w:hideMark/>
          </w:tcPr>
          <w:p w14:paraId="61783E74" w14:textId="77777777" w:rsidR="00B96BAA" w:rsidRPr="00B96BAA" w:rsidRDefault="00B96BAA" w:rsidP="00B96BAA">
            <w:pPr>
              <w:spacing w:before="0" w:after="0" w:line="240" w:lineRule="auto"/>
              <w:rPr>
                <w:rFonts w:ascii="Arial" w:hAnsi="Arial" w:cs="Arial"/>
                <w:b/>
                <w:bCs/>
                <w:color w:val="000000"/>
                <w:sz w:val="16"/>
                <w:szCs w:val="16"/>
              </w:rPr>
            </w:pPr>
            <w:r w:rsidRPr="00B96BAA">
              <w:rPr>
                <w:rFonts w:ascii="Arial" w:hAnsi="Arial" w:cs="Arial"/>
                <w:b/>
                <w:bCs/>
                <w:color w:val="000000"/>
                <w:sz w:val="16"/>
                <w:szCs w:val="16"/>
              </w:rPr>
              <w:t>LIABILITIES ADMINISTERED ON BEHALF OF GOVERNMENT</w:t>
            </w:r>
          </w:p>
        </w:tc>
        <w:tc>
          <w:tcPr>
            <w:tcW w:w="960" w:type="dxa"/>
            <w:tcBorders>
              <w:top w:val="nil"/>
              <w:left w:val="nil"/>
              <w:bottom w:val="nil"/>
              <w:right w:val="nil"/>
            </w:tcBorders>
            <w:shd w:val="clear" w:color="auto" w:fill="auto"/>
            <w:noWrap/>
            <w:vAlign w:val="bottom"/>
            <w:hideMark/>
          </w:tcPr>
          <w:p w14:paraId="5D00D1A3" w14:textId="77777777" w:rsidR="00B96BAA" w:rsidRPr="00B96BAA" w:rsidRDefault="00B96BAA" w:rsidP="00B96BAA">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037750D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13649D1A"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15EB97E2"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0A2E7DBD"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77677D34" w14:textId="77777777" w:rsidTr="0079412F">
        <w:trPr>
          <w:trHeight w:val="283"/>
          <w:jc w:val="center"/>
        </w:trPr>
        <w:tc>
          <w:tcPr>
            <w:tcW w:w="3080" w:type="dxa"/>
            <w:tcBorders>
              <w:top w:val="nil"/>
              <w:left w:val="nil"/>
              <w:bottom w:val="nil"/>
              <w:right w:val="nil"/>
            </w:tcBorders>
            <w:shd w:val="clear" w:color="auto" w:fill="auto"/>
            <w:noWrap/>
            <w:vAlign w:val="bottom"/>
            <w:hideMark/>
          </w:tcPr>
          <w:p w14:paraId="25D9CA0A"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14:paraId="2F28B8ED" w14:textId="77777777" w:rsidR="00B96BAA" w:rsidRPr="00B96BAA" w:rsidRDefault="00B96BAA" w:rsidP="00B96BAA">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484B2707"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06250399" w14:textId="77777777" w:rsidR="00B96BAA" w:rsidRPr="00B96BAA" w:rsidRDefault="00B96BAA" w:rsidP="00B96BAA">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5507C612" w14:textId="77777777" w:rsidR="00B96BAA" w:rsidRPr="00B96BAA" w:rsidRDefault="00B96BAA" w:rsidP="00B96BAA">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64670F0" w14:textId="77777777" w:rsidR="00B96BAA" w:rsidRPr="00B96BAA" w:rsidRDefault="00B96BAA" w:rsidP="00B96BAA">
            <w:pPr>
              <w:spacing w:before="0" w:after="0" w:line="240" w:lineRule="auto"/>
              <w:jc w:val="right"/>
              <w:rPr>
                <w:rFonts w:ascii="Times New Roman" w:hAnsi="Times New Roman"/>
                <w:sz w:val="20"/>
              </w:rPr>
            </w:pPr>
          </w:p>
        </w:tc>
      </w:tr>
      <w:tr w:rsidR="00B96BAA" w:rsidRPr="00B96BAA" w14:paraId="139E5C4B"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583B21CF" w14:textId="77777777" w:rsidR="00B96BAA" w:rsidRPr="00B96BAA" w:rsidRDefault="00B96BAA" w:rsidP="00B96BAA">
            <w:pPr>
              <w:spacing w:before="0" w:after="0" w:line="240" w:lineRule="auto"/>
              <w:ind w:leftChars="150" w:left="285"/>
              <w:rPr>
                <w:rFonts w:ascii="Arial" w:hAnsi="Arial" w:cs="Arial"/>
                <w:color w:val="000000"/>
                <w:sz w:val="16"/>
                <w:szCs w:val="16"/>
              </w:rPr>
            </w:pPr>
            <w:r w:rsidRPr="00B96BAA">
              <w:rPr>
                <w:rFonts w:ascii="Arial" w:hAnsi="Arial" w:cs="Arial"/>
                <w:color w:val="000000"/>
                <w:sz w:val="16"/>
                <w:szCs w:val="16"/>
              </w:rPr>
              <w:t>Suppliers</w:t>
            </w:r>
          </w:p>
        </w:tc>
        <w:tc>
          <w:tcPr>
            <w:tcW w:w="960" w:type="dxa"/>
            <w:tcBorders>
              <w:top w:val="nil"/>
              <w:left w:val="nil"/>
              <w:bottom w:val="nil"/>
              <w:right w:val="nil"/>
            </w:tcBorders>
            <w:shd w:val="clear" w:color="auto" w:fill="auto"/>
            <w:noWrap/>
            <w:vAlign w:val="bottom"/>
            <w:hideMark/>
          </w:tcPr>
          <w:p w14:paraId="6F8CEE05"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636</w:t>
            </w:r>
          </w:p>
        </w:tc>
        <w:tc>
          <w:tcPr>
            <w:tcW w:w="960" w:type="dxa"/>
            <w:tcBorders>
              <w:top w:val="nil"/>
              <w:left w:val="nil"/>
              <w:bottom w:val="nil"/>
              <w:right w:val="nil"/>
            </w:tcBorders>
            <w:shd w:val="clear" w:color="000000" w:fill="D9D9D9"/>
            <w:noWrap/>
            <w:vAlign w:val="bottom"/>
            <w:hideMark/>
          </w:tcPr>
          <w:p w14:paraId="0C941E45" w14:textId="77777777" w:rsidR="00B96BAA" w:rsidRPr="00B96BAA" w:rsidRDefault="00B96BAA" w:rsidP="00B96BAA">
            <w:pPr>
              <w:spacing w:before="0" w:after="0" w:line="240" w:lineRule="auto"/>
              <w:jc w:val="right"/>
              <w:rPr>
                <w:rFonts w:ascii="Arial" w:hAnsi="Arial" w:cs="Arial"/>
                <w:color w:val="000000"/>
                <w:sz w:val="16"/>
                <w:szCs w:val="16"/>
              </w:rPr>
            </w:pPr>
            <w:r w:rsidRPr="00B96BAA">
              <w:rPr>
                <w:rFonts w:ascii="Arial" w:hAnsi="Arial" w:cs="Arial"/>
                <w:color w:val="000000"/>
                <w:sz w:val="16"/>
                <w:szCs w:val="16"/>
              </w:rPr>
              <w:t>636</w:t>
            </w:r>
          </w:p>
        </w:tc>
        <w:tc>
          <w:tcPr>
            <w:tcW w:w="960" w:type="dxa"/>
            <w:tcBorders>
              <w:top w:val="nil"/>
              <w:left w:val="nil"/>
              <w:bottom w:val="nil"/>
              <w:right w:val="nil"/>
            </w:tcBorders>
            <w:shd w:val="clear" w:color="auto" w:fill="auto"/>
            <w:noWrap/>
            <w:vAlign w:val="bottom"/>
            <w:hideMark/>
          </w:tcPr>
          <w:p w14:paraId="2959F8A3"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636</w:t>
            </w:r>
          </w:p>
        </w:tc>
        <w:tc>
          <w:tcPr>
            <w:tcW w:w="960" w:type="dxa"/>
            <w:tcBorders>
              <w:top w:val="nil"/>
              <w:left w:val="nil"/>
              <w:bottom w:val="nil"/>
              <w:right w:val="nil"/>
            </w:tcBorders>
            <w:shd w:val="clear" w:color="auto" w:fill="auto"/>
            <w:noWrap/>
            <w:vAlign w:val="bottom"/>
            <w:hideMark/>
          </w:tcPr>
          <w:p w14:paraId="7BA44833"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636</w:t>
            </w:r>
          </w:p>
        </w:tc>
        <w:tc>
          <w:tcPr>
            <w:tcW w:w="960" w:type="dxa"/>
            <w:tcBorders>
              <w:top w:val="nil"/>
              <w:left w:val="nil"/>
              <w:bottom w:val="nil"/>
              <w:right w:val="nil"/>
            </w:tcBorders>
            <w:shd w:val="clear" w:color="auto" w:fill="auto"/>
            <w:noWrap/>
            <w:vAlign w:val="bottom"/>
            <w:hideMark/>
          </w:tcPr>
          <w:p w14:paraId="6872B533" w14:textId="77777777" w:rsidR="00B96BAA" w:rsidRPr="00B96BAA" w:rsidRDefault="00B96BAA" w:rsidP="00B96BAA">
            <w:pPr>
              <w:spacing w:before="0" w:after="0" w:line="240" w:lineRule="auto"/>
              <w:jc w:val="right"/>
              <w:rPr>
                <w:rFonts w:ascii="Arial" w:hAnsi="Arial" w:cs="Arial"/>
                <w:sz w:val="16"/>
                <w:szCs w:val="16"/>
              </w:rPr>
            </w:pPr>
            <w:r w:rsidRPr="00B96BAA">
              <w:rPr>
                <w:rFonts w:ascii="Arial" w:hAnsi="Arial" w:cs="Arial"/>
                <w:sz w:val="16"/>
                <w:szCs w:val="16"/>
              </w:rPr>
              <w:t>636</w:t>
            </w:r>
          </w:p>
        </w:tc>
      </w:tr>
      <w:tr w:rsidR="00B96BAA" w:rsidRPr="00B96BAA" w14:paraId="2AFB28BC" w14:textId="77777777" w:rsidTr="00B96BAA">
        <w:trPr>
          <w:trHeight w:val="225"/>
          <w:jc w:val="center"/>
        </w:trPr>
        <w:tc>
          <w:tcPr>
            <w:tcW w:w="3080" w:type="dxa"/>
            <w:tcBorders>
              <w:top w:val="nil"/>
              <w:left w:val="nil"/>
              <w:bottom w:val="nil"/>
              <w:right w:val="nil"/>
            </w:tcBorders>
            <w:shd w:val="clear" w:color="auto" w:fill="auto"/>
            <w:noWrap/>
            <w:vAlign w:val="bottom"/>
            <w:hideMark/>
          </w:tcPr>
          <w:p w14:paraId="3D4758E7" w14:textId="77777777" w:rsidR="00B96BAA" w:rsidRPr="00B96BAA" w:rsidRDefault="00B96BAA" w:rsidP="00B96BAA">
            <w:pPr>
              <w:spacing w:before="0" w:after="0" w:line="240" w:lineRule="auto"/>
              <w:ind w:leftChars="150" w:left="285"/>
              <w:rPr>
                <w:rFonts w:ascii="Arial" w:hAnsi="Arial" w:cs="Arial"/>
                <w:b/>
                <w:bCs/>
                <w:color w:val="000000"/>
                <w:sz w:val="16"/>
                <w:szCs w:val="16"/>
              </w:rPr>
            </w:pPr>
            <w:r w:rsidRPr="00B96BAA">
              <w:rPr>
                <w:rFonts w:ascii="Arial" w:hAnsi="Arial"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14:paraId="752A5D7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000000" w:fill="D9D9D9"/>
            <w:noWrap/>
            <w:vAlign w:val="bottom"/>
            <w:hideMark/>
          </w:tcPr>
          <w:p w14:paraId="7550D6B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39499906"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578048BB"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6F7307B2"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r>
      <w:tr w:rsidR="00B96BAA" w:rsidRPr="00B96BAA" w14:paraId="187A3FA9" w14:textId="77777777" w:rsidTr="0079412F">
        <w:trPr>
          <w:trHeight w:val="425"/>
          <w:jc w:val="center"/>
        </w:trPr>
        <w:tc>
          <w:tcPr>
            <w:tcW w:w="3080" w:type="dxa"/>
            <w:tcBorders>
              <w:top w:val="nil"/>
              <w:left w:val="nil"/>
              <w:bottom w:val="single" w:sz="4" w:space="0" w:color="auto"/>
              <w:right w:val="nil"/>
            </w:tcBorders>
            <w:shd w:val="clear" w:color="auto" w:fill="auto"/>
            <w:vAlign w:val="bottom"/>
            <w:hideMark/>
          </w:tcPr>
          <w:p w14:paraId="00566B86" w14:textId="77777777" w:rsidR="00B96BAA" w:rsidRPr="00B96BAA" w:rsidRDefault="00B96BAA" w:rsidP="00B96BAA">
            <w:pPr>
              <w:spacing w:before="0" w:after="0" w:line="240" w:lineRule="auto"/>
              <w:ind w:leftChars="75" w:left="143"/>
              <w:rPr>
                <w:rFonts w:ascii="Arial" w:hAnsi="Arial" w:cs="Arial"/>
                <w:b/>
                <w:bCs/>
                <w:color w:val="000000"/>
                <w:sz w:val="16"/>
                <w:szCs w:val="16"/>
              </w:rPr>
            </w:pPr>
            <w:r w:rsidRPr="00B96BAA">
              <w:rPr>
                <w:rFonts w:ascii="Arial" w:hAnsi="Arial" w:cs="Arial"/>
                <w:b/>
                <w:bCs/>
                <w:color w:val="000000"/>
                <w:sz w:val="16"/>
                <w:szCs w:val="16"/>
              </w:rPr>
              <w:t>Total liabilities administered on behalf of Government</w:t>
            </w:r>
          </w:p>
        </w:tc>
        <w:tc>
          <w:tcPr>
            <w:tcW w:w="960" w:type="dxa"/>
            <w:tcBorders>
              <w:top w:val="nil"/>
              <w:left w:val="nil"/>
              <w:bottom w:val="single" w:sz="4" w:space="0" w:color="auto"/>
              <w:right w:val="nil"/>
            </w:tcBorders>
            <w:shd w:val="clear" w:color="auto" w:fill="auto"/>
            <w:noWrap/>
            <w:vAlign w:val="bottom"/>
            <w:hideMark/>
          </w:tcPr>
          <w:p w14:paraId="0E67A22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000000" w:fill="D9D9D9"/>
            <w:noWrap/>
            <w:vAlign w:val="bottom"/>
            <w:hideMark/>
          </w:tcPr>
          <w:p w14:paraId="38C3E3DF"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4E09AAF9"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63F0F104"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c>
          <w:tcPr>
            <w:tcW w:w="960" w:type="dxa"/>
            <w:tcBorders>
              <w:top w:val="nil"/>
              <w:left w:val="nil"/>
              <w:bottom w:val="single" w:sz="4" w:space="0" w:color="auto"/>
              <w:right w:val="nil"/>
            </w:tcBorders>
            <w:shd w:val="clear" w:color="auto" w:fill="auto"/>
            <w:noWrap/>
            <w:vAlign w:val="bottom"/>
            <w:hideMark/>
          </w:tcPr>
          <w:p w14:paraId="2D5B0923" w14:textId="77777777" w:rsidR="00B96BAA" w:rsidRPr="00B96BAA" w:rsidRDefault="00B96BAA" w:rsidP="00B96BAA">
            <w:pPr>
              <w:spacing w:before="0" w:after="0" w:line="240" w:lineRule="auto"/>
              <w:jc w:val="right"/>
              <w:rPr>
                <w:rFonts w:ascii="Arial" w:hAnsi="Arial" w:cs="Arial"/>
                <w:b/>
                <w:bCs/>
                <w:color w:val="000000"/>
                <w:sz w:val="16"/>
                <w:szCs w:val="16"/>
              </w:rPr>
            </w:pPr>
            <w:r w:rsidRPr="00B96BAA">
              <w:rPr>
                <w:rFonts w:ascii="Arial" w:hAnsi="Arial" w:cs="Arial"/>
                <w:b/>
                <w:bCs/>
                <w:color w:val="000000"/>
                <w:sz w:val="16"/>
                <w:szCs w:val="16"/>
              </w:rPr>
              <w:t>636</w:t>
            </w:r>
          </w:p>
        </w:tc>
      </w:tr>
    </w:tbl>
    <w:p w14:paraId="23C8ACA2" w14:textId="77777777" w:rsidR="00526CE6" w:rsidRPr="00D344FB" w:rsidRDefault="00526CE6" w:rsidP="00B96BAA">
      <w:pPr>
        <w:pStyle w:val="FootnoteText"/>
        <w:spacing w:before="120"/>
        <w:rPr>
          <w:szCs w:val="16"/>
        </w:rPr>
      </w:pPr>
      <w:r w:rsidRPr="00D344FB">
        <w:t>Prepared on Australian Accounting Standards basis</w:t>
      </w:r>
      <w:r w:rsidRPr="00D344FB">
        <w:rPr>
          <w:szCs w:val="16"/>
        </w:rPr>
        <w:t xml:space="preserve">. </w:t>
      </w:r>
    </w:p>
    <w:p w14:paraId="64938563" w14:textId="77777777" w:rsidR="00526CE6" w:rsidRDefault="00526CE6" w:rsidP="00526CE6">
      <w:pPr>
        <w:spacing w:before="0" w:after="0" w:line="240" w:lineRule="auto"/>
        <w:rPr>
          <w:snapToGrid w:val="0"/>
        </w:rPr>
      </w:pPr>
      <w:r>
        <w:rPr>
          <w:b/>
          <w:snapToGrid w:val="0"/>
        </w:rPr>
        <w:br w:type="page"/>
      </w:r>
    </w:p>
    <w:p w14:paraId="0A710C32" w14:textId="77777777" w:rsidR="00526CE6" w:rsidRDefault="00526CE6" w:rsidP="00526CE6">
      <w:pPr>
        <w:pStyle w:val="TableHeading"/>
        <w:spacing w:before="0"/>
        <w:rPr>
          <w:snapToGrid w:val="0"/>
        </w:rPr>
      </w:pPr>
      <w:r>
        <w:rPr>
          <w:snapToGrid w:val="0"/>
        </w:rPr>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7880" w:type="dxa"/>
        <w:jc w:val="center"/>
        <w:tblLayout w:type="fixed"/>
        <w:tblLook w:val="04A0" w:firstRow="1" w:lastRow="0" w:firstColumn="1" w:lastColumn="0" w:noHBand="0" w:noVBand="1"/>
      </w:tblPr>
      <w:tblGrid>
        <w:gridCol w:w="3080"/>
        <w:gridCol w:w="960"/>
        <w:gridCol w:w="960"/>
        <w:gridCol w:w="960"/>
        <w:gridCol w:w="960"/>
        <w:gridCol w:w="960"/>
      </w:tblGrid>
      <w:tr w:rsidR="00246ED2" w:rsidRPr="00246ED2" w14:paraId="7BA0EDF3" w14:textId="77777777" w:rsidTr="00294422">
        <w:trPr>
          <w:trHeight w:val="765"/>
          <w:jc w:val="center"/>
        </w:trPr>
        <w:tc>
          <w:tcPr>
            <w:tcW w:w="3080" w:type="dxa"/>
            <w:tcBorders>
              <w:top w:val="single" w:sz="4" w:space="0" w:color="auto"/>
              <w:left w:val="nil"/>
              <w:bottom w:val="nil"/>
              <w:right w:val="nil"/>
            </w:tcBorders>
            <w:shd w:val="clear" w:color="auto" w:fill="auto"/>
            <w:hideMark/>
          </w:tcPr>
          <w:p w14:paraId="17326C0C" w14:textId="77777777" w:rsidR="00246ED2" w:rsidRPr="00246ED2" w:rsidRDefault="00246ED2" w:rsidP="00294422">
            <w:pPr>
              <w:spacing w:before="24" w:after="0" w:line="240" w:lineRule="auto"/>
              <w:jc w:val="right"/>
              <w:rPr>
                <w:rFonts w:ascii="Arial" w:hAnsi="Arial" w:cs="Arial"/>
                <w:color w:val="000000"/>
                <w:sz w:val="16"/>
                <w:szCs w:val="16"/>
              </w:rPr>
            </w:pPr>
            <w:r w:rsidRPr="00246ED2">
              <w:rPr>
                <w:rFonts w:ascii="Arial" w:hAnsi="Arial" w:cs="Arial"/>
                <w:color w:val="000000"/>
                <w:sz w:val="16"/>
                <w:szCs w:val="16"/>
              </w:rPr>
              <w:t> </w:t>
            </w:r>
          </w:p>
        </w:tc>
        <w:tc>
          <w:tcPr>
            <w:tcW w:w="960" w:type="dxa"/>
            <w:tcBorders>
              <w:top w:val="single" w:sz="4" w:space="0" w:color="auto"/>
              <w:left w:val="nil"/>
              <w:bottom w:val="single" w:sz="4" w:space="0" w:color="auto"/>
              <w:right w:val="nil"/>
            </w:tcBorders>
            <w:shd w:val="clear" w:color="auto" w:fill="auto"/>
            <w:hideMark/>
          </w:tcPr>
          <w:p w14:paraId="0467B65F" w14:textId="1884145E" w:rsidR="00246ED2" w:rsidRPr="00246ED2" w:rsidRDefault="00246ED2" w:rsidP="00294422">
            <w:pPr>
              <w:spacing w:before="24" w:after="0" w:line="240" w:lineRule="auto"/>
              <w:jc w:val="right"/>
              <w:rPr>
                <w:rFonts w:ascii="Arial" w:hAnsi="Arial" w:cs="Arial"/>
                <w:b/>
                <w:bCs/>
                <w:sz w:val="16"/>
                <w:szCs w:val="16"/>
              </w:rPr>
            </w:pPr>
            <w:r>
              <w:rPr>
                <w:rFonts w:ascii="Arial" w:hAnsi="Arial" w:cs="Arial"/>
                <w:b/>
                <w:bCs/>
                <w:sz w:val="16"/>
                <w:szCs w:val="16"/>
              </w:rPr>
              <w:t>2022–</w:t>
            </w:r>
            <w:r w:rsidRPr="00246ED2">
              <w:rPr>
                <w:rFonts w:ascii="Arial" w:hAnsi="Arial" w:cs="Arial"/>
                <w:b/>
                <w:bCs/>
                <w:sz w:val="16"/>
                <w:szCs w:val="16"/>
              </w:rPr>
              <w:t>23</w:t>
            </w:r>
            <w:r w:rsidRPr="00246ED2">
              <w:rPr>
                <w:rFonts w:ascii="Arial" w:hAnsi="Arial" w:cs="Arial"/>
                <w:b/>
                <w:bCs/>
                <w:sz w:val="16"/>
                <w:szCs w:val="16"/>
              </w:rPr>
              <w:br/>
              <w:t>Actual</w:t>
            </w:r>
            <w:r w:rsidRPr="00246ED2">
              <w:rPr>
                <w:rFonts w:ascii="Arial" w:hAnsi="Arial" w:cs="Arial"/>
                <w:b/>
                <w:bCs/>
                <w:sz w:val="16"/>
                <w:szCs w:val="16"/>
              </w:rPr>
              <w:br/>
            </w:r>
            <w:r w:rsidRPr="00246ED2">
              <w:rPr>
                <w:rFonts w:ascii="Arial" w:hAnsi="Arial" w:cs="Arial"/>
                <w:b/>
                <w:bCs/>
                <w:sz w:val="16"/>
                <w:szCs w:val="16"/>
              </w:rPr>
              <w:br/>
            </w:r>
            <w:r w:rsidRPr="00246ED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D9D9D9"/>
            <w:hideMark/>
          </w:tcPr>
          <w:p w14:paraId="19CBFBDC" w14:textId="24E673B2" w:rsidR="00246ED2" w:rsidRPr="00246ED2" w:rsidRDefault="00246ED2" w:rsidP="00294422">
            <w:pPr>
              <w:spacing w:before="24" w:after="0" w:line="240" w:lineRule="auto"/>
              <w:jc w:val="right"/>
              <w:rPr>
                <w:rFonts w:ascii="Arial" w:hAnsi="Arial" w:cs="Arial"/>
                <w:b/>
                <w:bCs/>
                <w:sz w:val="16"/>
                <w:szCs w:val="16"/>
              </w:rPr>
            </w:pPr>
            <w:r>
              <w:rPr>
                <w:rFonts w:ascii="Arial" w:hAnsi="Arial" w:cs="Arial"/>
                <w:b/>
                <w:bCs/>
                <w:sz w:val="16"/>
                <w:szCs w:val="16"/>
              </w:rPr>
              <w:t>2023–</w:t>
            </w:r>
            <w:r w:rsidRPr="00246ED2">
              <w:rPr>
                <w:rFonts w:ascii="Arial" w:hAnsi="Arial" w:cs="Arial"/>
                <w:b/>
                <w:bCs/>
                <w:sz w:val="16"/>
                <w:szCs w:val="16"/>
              </w:rPr>
              <w:t>24</w:t>
            </w:r>
            <w:r w:rsidRPr="00246ED2">
              <w:rPr>
                <w:rFonts w:ascii="Arial" w:hAnsi="Arial" w:cs="Arial"/>
                <w:b/>
                <w:bCs/>
                <w:sz w:val="16"/>
                <w:szCs w:val="16"/>
              </w:rPr>
              <w:br/>
              <w:t>Revised</w:t>
            </w:r>
            <w:r w:rsidRPr="00246ED2">
              <w:rPr>
                <w:rFonts w:ascii="Arial" w:hAnsi="Arial" w:cs="Arial"/>
                <w:b/>
                <w:bCs/>
                <w:sz w:val="16"/>
                <w:szCs w:val="16"/>
              </w:rPr>
              <w:br/>
              <w:t>Budget</w:t>
            </w:r>
            <w:r w:rsidRPr="00246ED2">
              <w:rPr>
                <w:rFonts w:ascii="Arial" w:hAnsi="Arial" w:cs="Arial"/>
                <w:b/>
                <w:bCs/>
                <w:sz w:val="16"/>
                <w:szCs w:val="16"/>
              </w:rPr>
              <w:br/>
            </w:r>
            <w:r w:rsidRPr="00246ED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4189D3E1" w14:textId="2B614483" w:rsidR="00246ED2" w:rsidRPr="00246ED2" w:rsidRDefault="00246ED2" w:rsidP="00294422">
            <w:pPr>
              <w:spacing w:before="24" w:after="0" w:line="240" w:lineRule="auto"/>
              <w:jc w:val="right"/>
              <w:rPr>
                <w:rFonts w:ascii="Arial" w:hAnsi="Arial" w:cs="Arial"/>
                <w:b/>
                <w:bCs/>
                <w:sz w:val="16"/>
                <w:szCs w:val="16"/>
              </w:rPr>
            </w:pPr>
            <w:r w:rsidRPr="00246ED2">
              <w:rPr>
                <w:rFonts w:ascii="Arial" w:hAnsi="Arial" w:cs="Arial"/>
                <w:b/>
                <w:bCs/>
                <w:sz w:val="16"/>
                <w:szCs w:val="16"/>
              </w:rPr>
              <w:t>2024</w:t>
            </w:r>
            <w:r>
              <w:rPr>
                <w:rFonts w:ascii="Arial" w:hAnsi="Arial" w:cs="Arial"/>
                <w:b/>
                <w:bCs/>
                <w:sz w:val="16"/>
                <w:szCs w:val="16"/>
              </w:rPr>
              <w:t>–</w:t>
            </w:r>
            <w:r w:rsidRPr="00246ED2">
              <w:rPr>
                <w:rFonts w:ascii="Arial" w:hAnsi="Arial" w:cs="Arial"/>
                <w:b/>
                <w:bCs/>
                <w:sz w:val="16"/>
                <w:szCs w:val="16"/>
              </w:rPr>
              <w:t>25 Forward estimate</w:t>
            </w:r>
            <w:r w:rsidRPr="00246ED2">
              <w:rPr>
                <w:rFonts w:ascii="Arial" w:hAnsi="Arial" w:cs="Arial"/>
                <w:b/>
                <w:bCs/>
                <w:sz w:val="16"/>
                <w:szCs w:val="16"/>
              </w:rPr>
              <w:br/>
            </w:r>
            <w:r w:rsidRPr="00246ED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5F9237FA" w14:textId="604C49C6" w:rsidR="00246ED2" w:rsidRPr="00246ED2" w:rsidRDefault="00246ED2" w:rsidP="00294422">
            <w:pPr>
              <w:spacing w:before="24" w:after="0" w:line="240" w:lineRule="auto"/>
              <w:jc w:val="right"/>
              <w:rPr>
                <w:rFonts w:ascii="Arial" w:hAnsi="Arial" w:cs="Arial"/>
                <w:b/>
                <w:bCs/>
                <w:sz w:val="16"/>
                <w:szCs w:val="16"/>
              </w:rPr>
            </w:pPr>
            <w:r>
              <w:rPr>
                <w:rFonts w:ascii="Arial" w:hAnsi="Arial" w:cs="Arial"/>
                <w:b/>
                <w:bCs/>
                <w:sz w:val="16"/>
                <w:szCs w:val="16"/>
              </w:rPr>
              <w:t>2025–</w:t>
            </w:r>
            <w:r w:rsidRPr="00246ED2">
              <w:rPr>
                <w:rFonts w:ascii="Arial" w:hAnsi="Arial" w:cs="Arial"/>
                <w:b/>
                <w:bCs/>
                <w:sz w:val="16"/>
                <w:szCs w:val="16"/>
              </w:rPr>
              <w:t>26 Forward estimate</w:t>
            </w:r>
            <w:r w:rsidRPr="00246ED2">
              <w:rPr>
                <w:rFonts w:ascii="Arial" w:hAnsi="Arial" w:cs="Arial"/>
                <w:b/>
                <w:bCs/>
                <w:sz w:val="16"/>
                <w:szCs w:val="16"/>
              </w:rPr>
              <w:br/>
            </w:r>
            <w:r w:rsidRPr="00246ED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14:paraId="077A587A" w14:textId="4A8C3AFD" w:rsidR="00246ED2" w:rsidRPr="00246ED2" w:rsidRDefault="00246ED2" w:rsidP="00294422">
            <w:pPr>
              <w:spacing w:before="24" w:after="0" w:line="240" w:lineRule="auto"/>
              <w:jc w:val="right"/>
              <w:rPr>
                <w:rFonts w:ascii="Arial" w:hAnsi="Arial" w:cs="Arial"/>
                <w:b/>
                <w:bCs/>
                <w:sz w:val="16"/>
                <w:szCs w:val="16"/>
              </w:rPr>
            </w:pPr>
            <w:r w:rsidRPr="00246ED2">
              <w:rPr>
                <w:rFonts w:ascii="Arial" w:hAnsi="Arial" w:cs="Arial"/>
                <w:b/>
                <w:bCs/>
                <w:sz w:val="16"/>
                <w:szCs w:val="16"/>
              </w:rPr>
              <w:t>2026</w:t>
            </w:r>
            <w:r>
              <w:rPr>
                <w:rFonts w:ascii="Arial" w:hAnsi="Arial" w:cs="Arial"/>
                <w:b/>
                <w:bCs/>
                <w:sz w:val="16"/>
                <w:szCs w:val="16"/>
              </w:rPr>
              <w:t>–</w:t>
            </w:r>
            <w:r w:rsidRPr="00246ED2">
              <w:rPr>
                <w:rFonts w:ascii="Arial" w:hAnsi="Arial" w:cs="Arial"/>
                <w:b/>
                <w:bCs/>
                <w:sz w:val="16"/>
                <w:szCs w:val="16"/>
              </w:rPr>
              <w:t>27 Forward estimate</w:t>
            </w:r>
            <w:r w:rsidRPr="00246ED2">
              <w:rPr>
                <w:rFonts w:ascii="Arial" w:hAnsi="Arial" w:cs="Arial"/>
                <w:b/>
                <w:bCs/>
                <w:sz w:val="16"/>
                <w:szCs w:val="16"/>
              </w:rPr>
              <w:br/>
            </w:r>
            <w:r w:rsidRPr="00246ED2">
              <w:rPr>
                <w:rFonts w:ascii="Arial" w:hAnsi="Arial" w:cs="Arial"/>
                <w:sz w:val="16"/>
                <w:szCs w:val="16"/>
              </w:rPr>
              <w:t>$'000</w:t>
            </w:r>
          </w:p>
        </w:tc>
      </w:tr>
      <w:tr w:rsidR="00246ED2" w:rsidRPr="00246ED2" w14:paraId="1B0A6DB9"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67D574DE" w14:textId="77777777" w:rsidR="00246ED2" w:rsidRPr="00246ED2" w:rsidRDefault="00246ED2" w:rsidP="00246ED2">
            <w:pPr>
              <w:spacing w:before="0" w:after="0" w:line="240" w:lineRule="auto"/>
              <w:rPr>
                <w:rFonts w:ascii="Arial" w:hAnsi="Arial" w:cs="Arial"/>
                <w:b/>
                <w:bCs/>
                <w:color w:val="000000"/>
                <w:sz w:val="16"/>
                <w:szCs w:val="16"/>
              </w:rPr>
            </w:pPr>
            <w:r w:rsidRPr="00246ED2">
              <w:rPr>
                <w:rFonts w:ascii="Arial" w:hAnsi="Arial" w:cs="Arial"/>
                <w:b/>
                <w:bCs/>
                <w:color w:val="000000"/>
                <w:sz w:val="16"/>
                <w:szCs w:val="16"/>
              </w:rPr>
              <w:t>OPERATING ACTIVITIES</w:t>
            </w:r>
          </w:p>
        </w:tc>
        <w:tc>
          <w:tcPr>
            <w:tcW w:w="960" w:type="dxa"/>
            <w:tcBorders>
              <w:top w:val="nil"/>
              <w:left w:val="nil"/>
              <w:bottom w:val="nil"/>
              <w:right w:val="nil"/>
            </w:tcBorders>
            <w:shd w:val="clear" w:color="auto" w:fill="auto"/>
            <w:noWrap/>
            <w:vAlign w:val="bottom"/>
            <w:hideMark/>
          </w:tcPr>
          <w:p w14:paraId="02F15094" w14:textId="77777777" w:rsidR="00246ED2" w:rsidRPr="00246ED2" w:rsidRDefault="00246ED2" w:rsidP="00246ED2">
            <w:pPr>
              <w:spacing w:before="0" w:after="0" w:line="240" w:lineRule="auto"/>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7EACEEC4"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14:paraId="4B50CD77" w14:textId="77777777" w:rsidR="00246ED2" w:rsidRPr="00246ED2" w:rsidRDefault="00246ED2" w:rsidP="00246ED2">
            <w:pPr>
              <w:spacing w:before="0" w:after="0" w:line="240" w:lineRule="auto"/>
              <w:jc w:val="right"/>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14:paraId="75E72D29" w14:textId="77777777" w:rsidR="00246ED2" w:rsidRPr="00246ED2" w:rsidRDefault="00246ED2" w:rsidP="00246ED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0BC836B" w14:textId="77777777" w:rsidR="00246ED2" w:rsidRPr="00246ED2" w:rsidRDefault="00246ED2" w:rsidP="00246ED2">
            <w:pPr>
              <w:spacing w:before="0" w:after="0" w:line="240" w:lineRule="auto"/>
              <w:jc w:val="right"/>
              <w:rPr>
                <w:rFonts w:ascii="Times New Roman" w:hAnsi="Times New Roman"/>
                <w:sz w:val="20"/>
              </w:rPr>
            </w:pPr>
          </w:p>
        </w:tc>
      </w:tr>
      <w:tr w:rsidR="00246ED2" w:rsidRPr="00246ED2" w14:paraId="6B301701" w14:textId="77777777" w:rsidTr="00294422">
        <w:trPr>
          <w:trHeight w:val="283"/>
          <w:jc w:val="center"/>
        </w:trPr>
        <w:tc>
          <w:tcPr>
            <w:tcW w:w="3080" w:type="dxa"/>
            <w:tcBorders>
              <w:top w:val="nil"/>
              <w:left w:val="nil"/>
              <w:bottom w:val="nil"/>
              <w:right w:val="nil"/>
            </w:tcBorders>
            <w:shd w:val="clear" w:color="auto" w:fill="auto"/>
            <w:noWrap/>
            <w:vAlign w:val="bottom"/>
            <w:hideMark/>
          </w:tcPr>
          <w:p w14:paraId="7A20217A" w14:textId="77777777" w:rsidR="00246ED2" w:rsidRPr="00246ED2" w:rsidRDefault="00246ED2" w:rsidP="00246ED2">
            <w:pPr>
              <w:spacing w:before="0" w:after="0" w:line="240" w:lineRule="auto"/>
              <w:ind w:leftChars="75" w:left="143"/>
              <w:rPr>
                <w:rFonts w:ascii="Arial" w:hAnsi="Arial" w:cs="Arial"/>
                <w:b/>
                <w:bCs/>
                <w:color w:val="000000"/>
                <w:sz w:val="16"/>
                <w:szCs w:val="16"/>
              </w:rPr>
            </w:pPr>
            <w:r w:rsidRPr="00246ED2">
              <w:rPr>
                <w:rFonts w:ascii="Arial" w:hAnsi="Arial"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14:paraId="3DB14C44" w14:textId="77777777" w:rsidR="00246ED2" w:rsidRPr="00246ED2" w:rsidRDefault="00246ED2" w:rsidP="00246ED2">
            <w:pPr>
              <w:spacing w:before="0" w:after="0" w:line="240" w:lineRule="auto"/>
              <w:ind w:firstLineChars="100" w:firstLine="161"/>
              <w:rPr>
                <w:rFonts w:ascii="Arial" w:hAnsi="Arial" w:cs="Arial"/>
                <w:b/>
                <w:bCs/>
                <w:color w:val="000000"/>
                <w:sz w:val="16"/>
                <w:szCs w:val="16"/>
              </w:rPr>
            </w:pPr>
          </w:p>
        </w:tc>
        <w:tc>
          <w:tcPr>
            <w:tcW w:w="960" w:type="dxa"/>
            <w:tcBorders>
              <w:top w:val="nil"/>
              <w:left w:val="nil"/>
              <w:bottom w:val="nil"/>
              <w:right w:val="nil"/>
            </w:tcBorders>
            <w:shd w:val="clear" w:color="000000" w:fill="D9D9D9"/>
            <w:noWrap/>
            <w:vAlign w:val="bottom"/>
            <w:hideMark/>
          </w:tcPr>
          <w:p w14:paraId="55C7ABC9"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68162B1D" w14:textId="77777777" w:rsidR="00246ED2" w:rsidRPr="00246ED2" w:rsidRDefault="00246ED2" w:rsidP="00246ED2">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580E35C" w14:textId="77777777" w:rsidR="00246ED2" w:rsidRPr="00246ED2" w:rsidRDefault="00246ED2" w:rsidP="00246ED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C9F0283" w14:textId="77777777" w:rsidR="00246ED2" w:rsidRPr="00246ED2" w:rsidRDefault="00246ED2" w:rsidP="00246ED2">
            <w:pPr>
              <w:spacing w:before="0" w:after="0" w:line="240" w:lineRule="auto"/>
              <w:jc w:val="right"/>
              <w:rPr>
                <w:rFonts w:ascii="Times New Roman" w:hAnsi="Times New Roman"/>
                <w:sz w:val="20"/>
              </w:rPr>
            </w:pPr>
          </w:p>
        </w:tc>
      </w:tr>
      <w:tr w:rsidR="00246ED2" w:rsidRPr="00246ED2" w14:paraId="4F8542B9"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2EEF8324" w14:textId="77777777" w:rsidR="00246ED2" w:rsidRPr="00246ED2" w:rsidRDefault="00246ED2" w:rsidP="00246ED2">
            <w:pPr>
              <w:spacing w:before="0" w:after="0" w:line="240" w:lineRule="auto"/>
              <w:ind w:leftChars="150" w:left="285"/>
              <w:rPr>
                <w:rFonts w:ascii="Arial" w:hAnsi="Arial" w:cs="Arial"/>
                <w:sz w:val="16"/>
                <w:szCs w:val="16"/>
              </w:rPr>
            </w:pPr>
            <w:r w:rsidRPr="00246ED2">
              <w:rPr>
                <w:rFonts w:ascii="Arial" w:hAnsi="Arial" w:cs="Arial"/>
                <w:sz w:val="16"/>
                <w:szCs w:val="16"/>
              </w:rPr>
              <w:t>Suppliers</w:t>
            </w:r>
          </w:p>
        </w:tc>
        <w:tc>
          <w:tcPr>
            <w:tcW w:w="960" w:type="dxa"/>
            <w:tcBorders>
              <w:top w:val="nil"/>
              <w:left w:val="nil"/>
              <w:bottom w:val="nil"/>
              <w:right w:val="nil"/>
            </w:tcBorders>
            <w:shd w:val="clear" w:color="auto" w:fill="auto"/>
            <w:noWrap/>
            <w:vAlign w:val="bottom"/>
            <w:hideMark/>
          </w:tcPr>
          <w:p w14:paraId="3586C6A2"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1,802</w:t>
            </w:r>
          </w:p>
        </w:tc>
        <w:tc>
          <w:tcPr>
            <w:tcW w:w="960" w:type="dxa"/>
            <w:tcBorders>
              <w:top w:val="nil"/>
              <w:left w:val="nil"/>
              <w:bottom w:val="nil"/>
              <w:right w:val="nil"/>
            </w:tcBorders>
            <w:shd w:val="clear" w:color="000000" w:fill="D9D9D9"/>
            <w:noWrap/>
            <w:vAlign w:val="bottom"/>
            <w:hideMark/>
          </w:tcPr>
          <w:p w14:paraId="0E7F046E"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6,752</w:t>
            </w:r>
          </w:p>
        </w:tc>
        <w:tc>
          <w:tcPr>
            <w:tcW w:w="960" w:type="dxa"/>
            <w:tcBorders>
              <w:top w:val="nil"/>
              <w:left w:val="nil"/>
              <w:bottom w:val="nil"/>
              <w:right w:val="nil"/>
            </w:tcBorders>
            <w:shd w:val="clear" w:color="auto" w:fill="auto"/>
            <w:noWrap/>
            <w:vAlign w:val="bottom"/>
            <w:hideMark/>
          </w:tcPr>
          <w:p w14:paraId="39D99FB1"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4,689</w:t>
            </w:r>
          </w:p>
        </w:tc>
        <w:tc>
          <w:tcPr>
            <w:tcW w:w="960" w:type="dxa"/>
            <w:tcBorders>
              <w:top w:val="nil"/>
              <w:left w:val="nil"/>
              <w:bottom w:val="nil"/>
              <w:right w:val="nil"/>
            </w:tcBorders>
            <w:shd w:val="clear" w:color="auto" w:fill="auto"/>
            <w:noWrap/>
            <w:vAlign w:val="bottom"/>
            <w:hideMark/>
          </w:tcPr>
          <w:p w14:paraId="6CD017D3"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4,774</w:t>
            </w:r>
          </w:p>
        </w:tc>
        <w:tc>
          <w:tcPr>
            <w:tcW w:w="960" w:type="dxa"/>
            <w:tcBorders>
              <w:top w:val="nil"/>
              <w:left w:val="nil"/>
              <w:bottom w:val="nil"/>
              <w:right w:val="nil"/>
            </w:tcBorders>
            <w:shd w:val="clear" w:color="auto" w:fill="auto"/>
            <w:noWrap/>
            <w:vAlign w:val="bottom"/>
            <w:hideMark/>
          </w:tcPr>
          <w:p w14:paraId="062EE148"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4,874</w:t>
            </w:r>
          </w:p>
        </w:tc>
      </w:tr>
      <w:tr w:rsidR="00246ED2" w:rsidRPr="00246ED2" w14:paraId="6A92EE63"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465D9C8E" w14:textId="77777777" w:rsidR="00246ED2" w:rsidRPr="00246ED2" w:rsidRDefault="00246ED2" w:rsidP="00246ED2">
            <w:pPr>
              <w:spacing w:before="0" w:after="0" w:line="240" w:lineRule="auto"/>
              <w:ind w:leftChars="150" w:left="285"/>
              <w:rPr>
                <w:rFonts w:ascii="Arial" w:hAnsi="Arial" w:cs="Arial"/>
                <w:sz w:val="16"/>
                <w:szCs w:val="16"/>
              </w:rPr>
            </w:pPr>
            <w:r w:rsidRPr="00246ED2">
              <w:rPr>
                <w:rFonts w:ascii="Arial" w:hAnsi="Arial" w:cs="Arial"/>
                <w:sz w:val="16"/>
                <w:szCs w:val="16"/>
              </w:rPr>
              <w:t>Employees</w:t>
            </w:r>
          </w:p>
        </w:tc>
        <w:tc>
          <w:tcPr>
            <w:tcW w:w="960" w:type="dxa"/>
            <w:tcBorders>
              <w:top w:val="nil"/>
              <w:left w:val="nil"/>
              <w:bottom w:val="nil"/>
              <w:right w:val="nil"/>
            </w:tcBorders>
            <w:shd w:val="clear" w:color="auto" w:fill="auto"/>
            <w:noWrap/>
            <w:vAlign w:val="bottom"/>
            <w:hideMark/>
          </w:tcPr>
          <w:p w14:paraId="104BDC44"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710</w:t>
            </w:r>
          </w:p>
        </w:tc>
        <w:tc>
          <w:tcPr>
            <w:tcW w:w="960" w:type="dxa"/>
            <w:tcBorders>
              <w:top w:val="nil"/>
              <w:left w:val="nil"/>
              <w:bottom w:val="nil"/>
              <w:right w:val="nil"/>
            </w:tcBorders>
            <w:shd w:val="clear" w:color="000000" w:fill="D9D9D9"/>
            <w:noWrap/>
            <w:vAlign w:val="bottom"/>
            <w:hideMark/>
          </w:tcPr>
          <w:p w14:paraId="494DC6AA"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47CB36CF"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5A026EE0"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14:paraId="2A6472C0"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w:t>
            </w:r>
          </w:p>
        </w:tc>
      </w:tr>
      <w:tr w:rsidR="00246ED2" w:rsidRPr="00246ED2" w14:paraId="033B5CB6"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21D0467A" w14:textId="77777777" w:rsidR="00246ED2" w:rsidRPr="00246ED2" w:rsidRDefault="00246ED2" w:rsidP="00246ED2">
            <w:pPr>
              <w:spacing w:before="0" w:after="0" w:line="240" w:lineRule="auto"/>
              <w:ind w:leftChars="150" w:left="285"/>
              <w:rPr>
                <w:rFonts w:ascii="Arial" w:hAnsi="Arial" w:cs="Arial"/>
                <w:b/>
                <w:bCs/>
                <w:color w:val="000000"/>
                <w:sz w:val="16"/>
                <w:szCs w:val="16"/>
              </w:rPr>
            </w:pPr>
            <w:r w:rsidRPr="00246ED2">
              <w:rPr>
                <w:rFonts w:ascii="Arial" w:hAnsi="Arial"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14:paraId="4E2C691F"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2,512</w:t>
            </w:r>
          </w:p>
        </w:tc>
        <w:tc>
          <w:tcPr>
            <w:tcW w:w="960" w:type="dxa"/>
            <w:tcBorders>
              <w:top w:val="nil"/>
              <w:left w:val="nil"/>
              <w:bottom w:val="single" w:sz="4" w:space="0" w:color="auto"/>
              <w:right w:val="nil"/>
            </w:tcBorders>
            <w:shd w:val="clear" w:color="000000" w:fill="D9D9D9"/>
            <w:noWrap/>
            <w:vAlign w:val="bottom"/>
            <w:hideMark/>
          </w:tcPr>
          <w:p w14:paraId="18C9A9F3"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6,752</w:t>
            </w:r>
          </w:p>
        </w:tc>
        <w:tc>
          <w:tcPr>
            <w:tcW w:w="960" w:type="dxa"/>
            <w:tcBorders>
              <w:top w:val="nil"/>
              <w:left w:val="nil"/>
              <w:bottom w:val="single" w:sz="4" w:space="0" w:color="auto"/>
              <w:right w:val="nil"/>
            </w:tcBorders>
            <w:shd w:val="clear" w:color="auto" w:fill="auto"/>
            <w:noWrap/>
            <w:vAlign w:val="bottom"/>
            <w:hideMark/>
          </w:tcPr>
          <w:p w14:paraId="0B898109"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4,689</w:t>
            </w:r>
          </w:p>
        </w:tc>
        <w:tc>
          <w:tcPr>
            <w:tcW w:w="960" w:type="dxa"/>
            <w:tcBorders>
              <w:top w:val="nil"/>
              <w:left w:val="nil"/>
              <w:bottom w:val="single" w:sz="4" w:space="0" w:color="auto"/>
              <w:right w:val="nil"/>
            </w:tcBorders>
            <w:shd w:val="clear" w:color="auto" w:fill="auto"/>
            <w:noWrap/>
            <w:vAlign w:val="bottom"/>
            <w:hideMark/>
          </w:tcPr>
          <w:p w14:paraId="3527DAC3"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4,774</w:t>
            </w:r>
          </w:p>
        </w:tc>
        <w:tc>
          <w:tcPr>
            <w:tcW w:w="960" w:type="dxa"/>
            <w:tcBorders>
              <w:top w:val="nil"/>
              <w:left w:val="nil"/>
              <w:bottom w:val="single" w:sz="4" w:space="0" w:color="auto"/>
              <w:right w:val="nil"/>
            </w:tcBorders>
            <w:shd w:val="clear" w:color="auto" w:fill="auto"/>
            <w:noWrap/>
            <w:vAlign w:val="bottom"/>
            <w:hideMark/>
          </w:tcPr>
          <w:p w14:paraId="55002FEC"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4,874</w:t>
            </w:r>
          </w:p>
        </w:tc>
      </w:tr>
      <w:tr w:rsidR="00246ED2" w:rsidRPr="00246ED2" w14:paraId="26046624" w14:textId="77777777" w:rsidTr="00294422">
        <w:trPr>
          <w:trHeight w:val="454"/>
          <w:jc w:val="center"/>
        </w:trPr>
        <w:tc>
          <w:tcPr>
            <w:tcW w:w="3080" w:type="dxa"/>
            <w:tcBorders>
              <w:top w:val="nil"/>
              <w:left w:val="nil"/>
              <w:bottom w:val="nil"/>
              <w:right w:val="nil"/>
            </w:tcBorders>
            <w:shd w:val="clear" w:color="auto" w:fill="auto"/>
            <w:vAlign w:val="bottom"/>
            <w:hideMark/>
          </w:tcPr>
          <w:p w14:paraId="17605BC8" w14:textId="77777777" w:rsidR="00246ED2" w:rsidRPr="00246ED2" w:rsidRDefault="00246ED2" w:rsidP="00246ED2">
            <w:pPr>
              <w:spacing w:before="0" w:after="0" w:line="240" w:lineRule="auto"/>
              <w:rPr>
                <w:rFonts w:ascii="Arial" w:hAnsi="Arial" w:cs="Arial"/>
                <w:b/>
                <w:bCs/>
                <w:color w:val="000000"/>
                <w:sz w:val="16"/>
                <w:szCs w:val="16"/>
              </w:rPr>
            </w:pPr>
            <w:r w:rsidRPr="00246ED2">
              <w:rPr>
                <w:rFonts w:ascii="Arial" w:hAnsi="Arial" w:cs="Arial"/>
                <w:b/>
                <w:bCs/>
                <w:color w:val="000000"/>
                <w:sz w:val="16"/>
                <w:szCs w:val="16"/>
              </w:rPr>
              <w:t>Net cash from (or used by) operating activities</w:t>
            </w:r>
          </w:p>
        </w:tc>
        <w:tc>
          <w:tcPr>
            <w:tcW w:w="960" w:type="dxa"/>
            <w:tcBorders>
              <w:top w:val="nil"/>
              <w:left w:val="nil"/>
              <w:bottom w:val="single" w:sz="4" w:space="0" w:color="auto"/>
              <w:right w:val="nil"/>
            </w:tcBorders>
            <w:shd w:val="clear" w:color="auto" w:fill="auto"/>
            <w:noWrap/>
            <w:vAlign w:val="bottom"/>
            <w:hideMark/>
          </w:tcPr>
          <w:p w14:paraId="66ADBAD5"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(2,512)</w:t>
            </w:r>
          </w:p>
        </w:tc>
        <w:tc>
          <w:tcPr>
            <w:tcW w:w="960" w:type="dxa"/>
            <w:tcBorders>
              <w:top w:val="nil"/>
              <w:left w:val="nil"/>
              <w:bottom w:val="single" w:sz="4" w:space="0" w:color="auto"/>
              <w:right w:val="nil"/>
            </w:tcBorders>
            <w:shd w:val="clear" w:color="000000" w:fill="D9D9D9"/>
            <w:noWrap/>
            <w:vAlign w:val="bottom"/>
            <w:hideMark/>
          </w:tcPr>
          <w:p w14:paraId="31E5708B"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(6,752)</w:t>
            </w:r>
          </w:p>
        </w:tc>
        <w:tc>
          <w:tcPr>
            <w:tcW w:w="960" w:type="dxa"/>
            <w:tcBorders>
              <w:top w:val="nil"/>
              <w:left w:val="nil"/>
              <w:bottom w:val="single" w:sz="4" w:space="0" w:color="auto"/>
              <w:right w:val="nil"/>
            </w:tcBorders>
            <w:shd w:val="clear" w:color="auto" w:fill="auto"/>
            <w:noWrap/>
            <w:vAlign w:val="bottom"/>
            <w:hideMark/>
          </w:tcPr>
          <w:p w14:paraId="4A1B654E"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(4,689)</w:t>
            </w:r>
          </w:p>
        </w:tc>
        <w:tc>
          <w:tcPr>
            <w:tcW w:w="960" w:type="dxa"/>
            <w:tcBorders>
              <w:top w:val="nil"/>
              <w:left w:val="nil"/>
              <w:bottom w:val="single" w:sz="4" w:space="0" w:color="auto"/>
              <w:right w:val="nil"/>
            </w:tcBorders>
            <w:shd w:val="clear" w:color="auto" w:fill="auto"/>
            <w:noWrap/>
            <w:vAlign w:val="bottom"/>
            <w:hideMark/>
          </w:tcPr>
          <w:p w14:paraId="180A2EE4"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(4,774)</w:t>
            </w:r>
          </w:p>
        </w:tc>
        <w:tc>
          <w:tcPr>
            <w:tcW w:w="960" w:type="dxa"/>
            <w:tcBorders>
              <w:top w:val="nil"/>
              <w:left w:val="nil"/>
              <w:bottom w:val="single" w:sz="4" w:space="0" w:color="auto"/>
              <w:right w:val="nil"/>
            </w:tcBorders>
            <w:shd w:val="clear" w:color="auto" w:fill="auto"/>
            <w:noWrap/>
            <w:vAlign w:val="bottom"/>
            <w:hideMark/>
          </w:tcPr>
          <w:p w14:paraId="59B5943A"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(4,874)</w:t>
            </w:r>
          </w:p>
        </w:tc>
      </w:tr>
      <w:tr w:rsidR="00246ED2" w:rsidRPr="00246ED2" w14:paraId="771FF3AE" w14:textId="77777777" w:rsidTr="00294422">
        <w:trPr>
          <w:trHeight w:val="454"/>
          <w:jc w:val="center"/>
        </w:trPr>
        <w:tc>
          <w:tcPr>
            <w:tcW w:w="3080" w:type="dxa"/>
            <w:tcBorders>
              <w:top w:val="nil"/>
              <w:left w:val="nil"/>
              <w:bottom w:val="nil"/>
              <w:right w:val="nil"/>
            </w:tcBorders>
            <w:shd w:val="clear" w:color="auto" w:fill="auto"/>
            <w:vAlign w:val="bottom"/>
            <w:hideMark/>
          </w:tcPr>
          <w:p w14:paraId="11CF2A3A" w14:textId="77777777" w:rsidR="00246ED2" w:rsidRPr="00246ED2" w:rsidRDefault="00246ED2" w:rsidP="00246ED2">
            <w:pPr>
              <w:spacing w:before="0" w:after="0" w:line="240" w:lineRule="auto"/>
              <w:rPr>
                <w:rFonts w:ascii="Arial" w:hAnsi="Arial" w:cs="Arial"/>
                <w:b/>
                <w:bCs/>
                <w:color w:val="000000"/>
                <w:sz w:val="16"/>
                <w:szCs w:val="16"/>
              </w:rPr>
            </w:pPr>
            <w:r w:rsidRPr="00246ED2">
              <w:rPr>
                <w:rFonts w:ascii="Arial" w:hAnsi="Arial" w:cs="Arial"/>
                <w:b/>
                <w:bCs/>
                <w:color w:val="000000"/>
                <w:sz w:val="16"/>
                <w:szCs w:val="16"/>
              </w:rPr>
              <w:t>Net increase (or decrease) in cash held</w:t>
            </w:r>
          </w:p>
        </w:tc>
        <w:tc>
          <w:tcPr>
            <w:tcW w:w="960" w:type="dxa"/>
            <w:tcBorders>
              <w:top w:val="nil"/>
              <w:left w:val="nil"/>
              <w:bottom w:val="single" w:sz="4" w:space="0" w:color="auto"/>
              <w:right w:val="nil"/>
            </w:tcBorders>
            <w:shd w:val="clear" w:color="auto" w:fill="auto"/>
            <w:noWrap/>
            <w:vAlign w:val="bottom"/>
            <w:hideMark/>
          </w:tcPr>
          <w:p w14:paraId="5393C0EC"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(2,512)</w:t>
            </w:r>
          </w:p>
        </w:tc>
        <w:tc>
          <w:tcPr>
            <w:tcW w:w="960" w:type="dxa"/>
            <w:tcBorders>
              <w:top w:val="nil"/>
              <w:left w:val="nil"/>
              <w:bottom w:val="single" w:sz="4" w:space="0" w:color="auto"/>
              <w:right w:val="nil"/>
            </w:tcBorders>
            <w:shd w:val="clear" w:color="000000" w:fill="D9D9D9"/>
            <w:noWrap/>
            <w:vAlign w:val="bottom"/>
            <w:hideMark/>
          </w:tcPr>
          <w:p w14:paraId="665CED02"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(6,752)</w:t>
            </w:r>
          </w:p>
        </w:tc>
        <w:tc>
          <w:tcPr>
            <w:tcW w:w="960" w:type="dxa"/>
            <w:tcBorders>
              <w:top w:val="nil"/>
              <w:left w:val="nil"/>
              <w:bottom w:val="single" w:sz="4" w:space="0" w:color="auto"/>
              <w:right w:val="nil"/>
            </w:tcBorders>
            <w:shd w:val="clear" w:color="auto" w:fill="auto"/>
            <w:noWrap/>
            <w:vAlign w:val="bottom"/>
            <w:hideMark/>
          </w:tcPr>
          <w:p w14:paraId="15FD4650"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(4,689)</w:t>
            </w:r>
          </w:p>
        </w:tc>
        <w:tc>
          <w:tcPr>
            <w:tcW w:w="960" w:type="dxa"/>
            <w:tcBorders>
              <w:top w:val="nil"/>
              <w:left w:val="nil"/>
              <w:bottom w:val="single" w:sz="4" w:space="0" w:color="auto"/>
              <w:right w:val="nil"/>
            </w:tcBorders>
            <w:shd w:val="clear" w:color="auto" w:fill="auto"/>
            <w:noWrap/>
            <w:vAlign w:val="bottom"/>
            <w:hideMark/>
          </w:tcPr>
          <w:p w14:paraId="307F23B6"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(4,774)</w:t>
            </w:r>
          </w:p>
        </w:tc>
        <w:tc>
          <w:tcPr>
            <w:tcW w:w="960" w:type="dxa"/>
            <w:tcBorders>
              <w:top w:val="nil"/>
              <w:left w:val="nil"/>
              <w:bottom w:val="single" w:sz="4" w:space="0" w:color="auto"/>
              <w:right w:val="nil"/>
            </w:tcBorders>
            <w:shd w:val="clear" w:color="auto" w:fill="auto"/>
            <w:noWrap/>
            <w:vAlign w:val="bottom"/>
            <w:hideMark/>
          </w:tcPr>
          <w:p w14:paraId="1889BCE2"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(4,874)</w:t>
            </w:r>
          </w:p>
        </w:tc>
      </w:tr>
      <w:tr w:rsidR="00246ED2" w:rsidRPr="00246ED2" w14:paraId="28AAF7A9" w14:textId="77777777" w:rsidTr="00294422">
        <w:trPr>
          <w:trHeight w:val="283"/>
          <w:jc w:val="center"/>
        </w:trPr>
        <w:tc>
          <w:tcPr>
            <w:tcW w:w="3080" w:type="dxa"/>
            <w:tcBorders>
              <w:top w:val="nil"/>
              <w:left w:val="nil"/>
              <w:bottom w:val="nil"/>
              <w:right w:val="nil"/>
            </w:tcBorders>
            <w:shd w:val="clear" w:color="auto" w:fill="auto"/>
            <w:vAlign w:val="bottom"/>
            <w:hideMark/>
          </w:tcPr>
          <w:p w14:paraId="1FD4424A" w14:textId="77777777" w:rsidR="00246ED2" w:rsidRPr="00246ED2" w:rsidRDefault="00246ED2" w:rsidP="00246ED2">
            <w:pPr>
              <w:spacing w:before="0" w:after="0" w:line="240" w:lineRule="auto"/>
              <w:ind w:leftChars="75" w:left="143"/>
              <w:rPr>
                <w:rFonts w:ascii="Arial" w:hAnsi="Arial" w:cs="Arial"/>
                <w:color w:val="000000"/>
                <w:sz w:val="16"/>
                <w:szCs w:val="16"/>
              </w:rPr>
            </w:pPr>
            <w:r w:rsidRPr="00246ED2">
              <w:rPr>
                <w:rFonts w:ascii="Arial" w:hAnsi="Arial" w:cs="Arial"/>
                <w:color w:val="000000"/>
                <w:sz w:val="16"/>
                <w:szCs w:val="16"/>
              </w:rPr>
              <w:t>Cash at beginning of reporting period</w:t>
            </w:r>
          </w:p>
        </w:tc>
        <w:tc>
          <w:tcPr>
            <w:tcW w:w="960" w:type="dxa"/>
            <w:tcBorders>
              <w:top w:val="nil"/>
              <w:left w:val="nil"/>
              <w:bottom w:val="nil"/>
              <w:right w:val="nil"/>
            </w:tcBorders>
            <w:shd w:val="clear" w:color="auto" w:fill="auto"/>
            <w:noWrap/>
            <w:vAlign w:val="bottom"/>
            <w:hideMark/>
          </w:tcPr>
          <w:p w14:paraId="2CFFCFE6"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w:t>
            </w:r>
          </w:p>
        </w:tc>
        <w:tc>
          <w:tcPr>
            <w:tcW w:w="960" w:type="dxa"/>
            <w:tcBorders>
              <w:top w:val="nil"/>
              <w:left w:val="nil"/>
              <w:bottom w:val="nil"/>
              <w:right w:val="nil"/>
            </w:tcBorders>
            <w:shd w:val="clear" w:color="000000" w:fill="D9D9D9"/>
            <w:noWrap/>
            <w:vAlign w:val="bottom"/>
            <w:hideMark/>
          </w:tcPr>
          <w:p w14:paraId="6CD77B2D"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808</w:t>
            </w:r>
          </w:p>
        </w:tc>
        <w:tc>
          <w:tcPr>
            <w:tcW w:w="960" w:type="dxa"/>
            <w:tcBorders>
              <w:top w:val="nil"/>
              <w:left w:val="nil"/>
              <w:bottom w:val="nil"/>
              <w:right w:val="nil"/>
            </w:tcBorders>
            <w:shd w:val="clear" w:color="auto" w:fill="auto"/>
            <w:noWrap/>
            <w:vAlign w:val="bottom"/>
            <w:hideMark/>
          </w:tcPr>
          <w:p w14:paraId="219D5846"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808</w:t>
            </w:r>
          </w:p>
        </w:tc>
        <w:tc>
          <w:tcPr>
            <w:tcW w:w="960" w:type="dxa"/>
            <w:tcBorders>
              <w:top w:val="nil"/>
              <w:left w:val="nil"/>
              <w:bottom w:val="nil"/>
              <w:right w:val="nil"/>
            </w:tcBorders>
            <w:shd w:val="clear" w:color="auto" w:fill="auto"/>
            <w:noWrap/>
            <w:vAlign w:val="bottom"/>
            <w:hideMark/>
          </w:tcPr>
          <w:p w14:paraId="2C5030B3"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808</w:t>
            </w:r>
          </w:p>
        </w:tc>
        <w:tc>
          <w:tcPr>
            <w:tcW w:w="960" w:type="dxa"/>
            <w:tcBorders>
              <w:top w:val="nil"/>
              <w:left w:val="nil"/>
              <w:bottom w:val="nil"/>
              <w:right w:val="nil"/>
            </w:tcBorders>
            <w:shd w:val="clear" w:color="auto" w:fill="auto"/>
            <w:noWrap/>
            <w:vAlign w:val="bottom"/>
            <w:hideMark/>
          </w:tcPr>
          <w:p w14:paraId="1B691081"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808</w:t>
            </w:r>
          </w:p>
        </w:tc>
      </w:tr>
      <w:tr w:rsidR="00246ED2" w:rsidRPr="00246ED2" w14:paraId="12CF1F67" w14:textId="77777777" w:rsidTr="00294422">
        <w:trPr>
          <w:trHeight w:val="283"/>
          <w:jc w:val="center"/>
        </w:trPr>
        <w:tc>
          <w:tcPr>
            <w:tcW w:w="3080" w:type="dxa"/>
            <w:tcBorders>
              <w:top w:val="nil"/>
              <w:left w:val="nil"/>
              <w:bottom w:val="nil"/>
              <w:right w:val="nil"/>
            </w:tcBorders>
            <w:shd w:val="clear" w:color="auto" w:fill="auto"/>
            <w:vAlign w:val="bottom"/>
            <w:hideMark/>
          </w:tcPr>
          <w:p w14:paraId="41EBDD38" w14:textId="77777777" w:rsidR="00246ED2" w:rsidRPr="00246ED2" w:rsidRDefault="00246ED2" w:rsidP="00246ED2">
            <w:pPr>
              <w:spacing w:before="0" w:after="0" w:line="240" w:lineRule="auto"/>
              <w:ind w:leftChars="75" w:left="143"/>
              <w:rPr>
                <w:rFonts w:ascii="Arial" w:hAnsi="Arial" w:cs="Arial"/>
                <w:color w:val="000000"/>
                <w:sz w:val="16"/>
                <w:szCs w:val="16"/>
              </w:rPr>
            </w:pPr>
            <w:r w:rsidRPr="00246ED2">
              <w:rPr>
                <w:rFonts w:ascii="Arial" w:hAnsi="Arial" w:cs="Arial"/>
                <w:color w:val="000000"/>
                <w:sz w:val="16"/>
                <w:szCs w:val="16"/>
              </w:rPr>
              <w:t>Cash from the OPA for:</w:t>
            </w:r>
          </w:p>
        </w:tc>
        <w:tc>
          <w:tcPr>
            <w:tcW w:w="960" w:type="dxa"/>
            <w:tcBorders>
              <w:top w:val="nil"/>
              <w:left w:val="nil"/>
              <w:bottom w:val="nil"/>
              <w:right w:val="nil"/>
            </w:tcBorders>
            <w:shd w:val="clear" w:color="auto" w:fill="auto"/>
            <w:noWrap/>
            <w:vAlign w:val="bottom"/>
            <w:hideMark/>
          </w:tcPr>
          <w:p w14:paraId="10928A7C" w14:textId="77777777" w:rsidR="00246ED2" w:rsidRPr="00246ED2" w:rsidRDefault="00246ED2" w:rsidP="00246ED2">
            <w:pPr>
              <w:spacing w:before="0" w:after="0" w:line="240" w:lineRule="auto"/>
              <w:ind w:firstLineChars="100" w:firstLine="160"/>
              <w:rPr>
                <w:rFonts w:ascii="Arial" w:hAnsi="Arial" w:cs="Arial"/>
                <w:color w:val="000000"/>
                <w:sz w:val="16"/>
                <w:szCs w:val="16"/>
              </w:rPr>
            </w:pPr>
          </w:p>
        </w:tc>
        <w:tc>
          <w:tcPr>
            <w:tcW w:w="960" w:type="dxa"/>
            <w:tcBorders>
              <w:top w:val="nil"/>
              <w:left w:val="nil"/>
              <w:bottom w:val="nil"/>
              <w:right w:val="nil"/>
            </w:tcBorders>
            <w:shd w:val="clear" w:color="000000" w:fill="D9D9D9"/>
            <w:noWrap/>
            <w:vAlign w:val="bottom"/>
            <w:hideMark/>
          </w:tcPr>
          <w:p w14:paraId="60D7620E"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41D996F7" w14:textId="77777777" w:rsidR="00246ED2" w:rsidRPr="00246ED2" w:rsidRDefault="00246ED2" w:rsidP="00246ED2">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3816070" w14:textId="77777777" w:rsidR="00246ED2" w:rsidRPr="00246ED2" w:rsidRDefault="00246ED2" w:rsidP="00246ED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255D994F" w14:textId="77777777" w:rsidR="00246ED2" w:rsidRPr="00246ED2" w:rsidRDefault="00246ED2" w:rsidP="00246ED2">
            <w:pPr>
              <w:spacing w:before="0" w:after="0" w:line="240" w:lineRule="auto"/>
              <w:jc w:val="right"/>
              <w:rPr>
                <w:rFonts w:ascii="Times New Roman" w:hAnsi="Times New Roman"/>
                <w:sz w:val="20"/>
              </w:rPr>
            </w:pPr>
          </w:p>
        </w:tc>
      </w:tr>
      <w:tr w:rsidR="00246ED2" w:rsidRPr="00246ED2" w14:paraId="7F87F611"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2EF472A2" w14:textId="77777777" w:rsidR="00246ED2" w:rsidRPr="00246ED2" w:rsidRDefault="00246ED2" w:rsidP="00246ED2">
            <w:pPr>
              <w:spacing w:before="0" w:after="0" w:line="240" w:lineRule="auto"/>
              <w:ind w:leftChars="150" w:left="285"/>
              <w:rPr>
                <w:rFonts w:ascii="Arial" w:hAnsi="Arial" w:cs="Arial"/>
                <w:color w:val="000000"/>
                <w:sz w:val="16"/>
                <w:szCs w:val="16"/>
              </w:rPr>
            </w:pPr>
            <w:r w:rsidRPr="00246ED2">
              <w:rPr>
                <w:rFonts w:ascii="Arial" w:hAnsi="Arial" w:cs="Arial"/>
                <w:color w:val="000000"/>
                <w:sz w:val="16"/>
                <w:szCs w:val="16"/>
              </w:rPr>
              <w:t>- appropriations</w:t>
            </w:r>
          </w:p>
        </w:tc>
        <w:tc>
          <w:tcPr>
            <w:tcW w:w="960" w:type="dxa"/>
            <w:tcBorders>
              <w:top w:val="nil"/>
              <w:left w:val="nil"/>
              <w:bottom w:val="nil"/>
              <w:right w:val="nil"/>
            </w:tcBorders>
            <w:shd w:val="clear" w:color="auto" w:fill="auto"/>
            <w:noWrap/>
            <w:vAlign w:val="bottom"/>
            <w:hideMark/>
          </w:tcPr>
          <w:p w14:paraId="72DE7DE0"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3,320</w:t>
            </w:r>
          </w:p>
        </w:tc>
        <w:tc>
          <w:tcPr>
            <w:tcW w:w="960" w:type="dxa"/>
            <w:tcBorders>
              <w:top w:val="nil"/>
              <w:left w:val="nil"/>
              <w:bottom w:val="nil"/>
              <w:right w:val="nil"/>
            </w:tcBorders>
            <w:shd w:val="clear" w:color="000000" w:fill="D9D9D9"/>
            <w:noWrap/>
            <w:vAlign w:val="bottom"/>
            <w:hideMark/>
          </w:tcPr>
          <w:p w14:paraId="5C8FF016"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6,752</w:t>
            </w:r>
          </w:p>
        </w:tc>
        <w:tc>
          <w:tcPr>
            <w:tcW w:w="960" w:type="dxa"/>
            <w:tcBorders>
              <w:top w:val="nil"/>
              <w:left w:val="nil"/>
              <w:bottom w:val="nil"/>
              <w:right w:val="nil"/>
            </w:tcBorders>
            <w:shd w:val="clear" w:color="auto" w:fill="auto"/>
            <w:noWrap/>
            <w:vAlign w:val="bottom"/>
            <w:hideMark/>
          </w:tcPr>
          <w:p w14:paraId="18FA639F"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4,689</w:t>
            </w:r>
          </w:p>
        </w:tc>
        <w:tc>
          <w:tcPr>
            <w:tcW w:w="960" w:type="dxa"/>
            <w:tcBorders>
              <w:top w:val="nil"/>
              <w:left w:val="nil"/>
              <w:bottom w:val="nil"/>
              <w:right w:val="nil"/>
            </w:tcBorders>
            <w:shd w:val="clear" w:color="auto" w:fill="auto"/>
            <w:noWrap/>
            <w:vAlign w:val="bottom"/>
            <w:hideMark/>
          </w:tcPr>
          <w:p w14:paraId="58CC8641"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4,774</w:t>
            </w:r>
          </w:p>
        </w:tc>
        <w:tc>
          <w:tcPr>
            <w:tcW w:w="960" w:type="dxa"/>
            <w:tcBorders>
              <w:top w:val="nil"/>
              <w:left w:val="nil"/>
              <w:bottom w:val="nil"/>
              <w:right w:val="nil"/>
            </w:tcBorders>
            <w:shd w:val="clear" w:color="auto" w:fill="auto"/>
            <w:noWrap/>
            <w:vAlign w:val="bottom"/>
            <w:hideMark/>
          </w:tcPr>
          <w:p w14:paraId="39474DFF" w14:textId="77777777" w:rsidR="00246ED2" w:rsidRPr="00246ED2" w:rsidRDefault="00246ED2" w:rsidP="00246ED2">
            <w:pPr>
              <w:spacing w:before="0" w:after="0" w:line="240" w:lineRule="auto"/>
              <w:jc w:val="right"/>
              <w:rPr>
                <w:rFonts w:ascii="Arial" w:hAnsi="Arial" w:cs="Arial"/>
                <w:color w:val="000000"/>
                <w:sz w:val="16"/>
                <w:szCs w:val="16"/>
              </w:rPr>
            </w:pPr>
            <w:r w:rsidRPr="00246ED2">
              <w:rPr>
                <w:rFonts w:ascii="Arial" w:hAnsi="Arial" w:cs="Arial"/>
                <w:color w:val="000000"/>
                <w:sz w:val="16"/>
                <w:szCs w:val="16"/>
              </w:rPr>
              <w:t>4,874</w:t>
            </w:r>
          </w:p>
        </w:tc>
      </w:tr>
      <w:tr w:rsidR="00246ED2" w:rsidRPr="00246ED2" w14:paraId="698FEA3C" w14:textId="77777777" w:rsidTr="00294422">
        <w:trPr>
          <w:trHeight w:val="227"/>
          <w:jc w:val="center"/>
        </w:trPr>
        <w:tc>
          <w:tcPr>
            <w:tcW w:w="3080" w:type="dxa"/>
            <w:tcBorders>
              <w:top w:val="nil"/>
              <w:left w:val="nil"/>
              <w:bottom w:val="nil"/>
              <w:right w:val="nil"/>
            </w:tcBorders>
            <w:shd w:val="clear" w:color="auto" w:fill="auto"/>
            <w:vAlign w:val="bottom"/>
            <w:hideMark/>
          </w:tcPr>
          <w:p w14:paraId="1DF7E07D" w14:textId="77777777" w:rsidR="00246ED2" w:rsidRPr="00246ED2" w:rsidRDefault="00246ED2" w:rsidP="00246ED2">
            <w:pPr>
              <w:spacing w:before="0" w:after="0" w:line="240" w:lineRule="auto"/>
              <w:ind w:leftChars="75" w:left="143"/>
              <w:rPr>
                <w:rFonts w:ascii="Arial" w:hAnsi="Arial" w:cs="Arial"/>
                <w:color w:val="000000"/>
                <w:sz w:val="16"/>
                <w:szCs w:val="16"/>
              </w:rPr>
            </w:pPr>
            <w:r w:rsidRPr="00246ED2">
              <w:rPr>
                <w:rFonts w:ascii="Arial" w:hAnsi="Arial" w:cs="Arial"/>
                <w:color w:val="000000"/>
                <w:sz w:val="16"/>
                <w:szCs w:val="16"/>
              </w:rPr>
              <w:t>Cash to the OPA for:</w:t>
            </w:r>
          </w:p>
        </w:tc>
        <w:tc>
          <w:tcPr>
            <w:tcW w:w="960" w:type="dxa"/>
            <w:tcBorders>
              <w:top w:val="nil"/>
              <w:left w:val="nil"/>
              <w:bottom w:val="nil"/>
              <w:right w:val="nil"/>
            </w:tcBorders>
            <w:shd w:val="clear" w:color="auto" w:fill="auto"/>
            <w:noWrap/>
            <w:vAlign w:val="bottom"/>
            <w:hideMark/>
          </w:tcPr>
          <w:p w14:paraId="496BEE0E" w14:textId="77777777" w:rsidR="00246ED2" w:rsidRPr="00246ED2" w:rsidRDefault="00246ED2" w:rsidP="00246ED2">
            <w:pPr>
              <w:spacing w:before="0" w:after="0" w:line="240" w:lineRule="auto"/>
              <w:ind w:firstLineChars="100" w:firstLine="160"/>
              <w:rPr>
                <w:rFonts w:ascii="Arial" w:hAnsi="Arial" w:cs="Arial"/>
                <w:color w:val="000000"/>
                <w:sz w:val="16"/>
                <w:szCs w:val="16"/>
              </w:rPr>
            </w:pPr>
          </w:p>
        </w:tc>
        <w:tc>
          <w:tcPr>
            <w:tcW w:w="960" w:type="dxa"/>
            <w:tcBorders>
              <w:top w:val="nil"/>
              <w:left w:val="nil"/>
              <w:bottom w:val="nil"/>
              <w:right w:val="nil"/>
            </w:tcBorders>
            <w:shd w:val="clear" w:color="000000" w:fill="D9D9D9"/>
            <w:noWrap/>
            <w:vAlign w:val="bottom"/>
            <w:hideMark/>
          </w:tcPr>
          <w:p w14:paraId="4C987656"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 </w:t>
            </w:r>
          </w:p>
        </w:tc>
        <w:tc>
          <w:tcPr>
            <w:tcW w:w="960" w:type="dxa"/>
            <w:tcBorders>
              <w:top w:val="nil"/>
              <w:left w:val="nil"/>
              <w:bottom w:val="nil"/>
              <w:right w:val="nil"/>
            </w:tcBorders>
            <w:shd w:val="clear" w:color="auto" w:fill="auto"/>
            <w:noWrap/>
            <w:vAlign w:val="bottom"/>
            <w:hideMark/>
          </w:tcPr>
          <w:p w14:paraId="1000A6A0" w14:textId="77777777" w:rsidR="00246ED2" w:rsidRPr="00246ED2" w:rsidRDefault="00246ED2" w:rsidP="00246ED2">
            <w:pPr>
              <w:spacing w:before="0" w:after="0" w:line="240" w:lineRule="auto"/>
              <w:jc w:val="right"/>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0404F263" w14:textId="77777777" w:rsidR="00246ED2" w:rsidRPr="00246ED2" w:rsidRDefault="00246ED2" w:rsidP="00246ED2">
            <w:pPr>
              <w:spacing w:before="0" w:after="0" w:line="240" w:lineRule="auto"/>
              <w:jc w:val="right"/>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4CD38486" w14:textId="77777777" w:rsidR="00246ED2" w:rsidRPr="00246ED2" w:rsidRDefault="00246ED2" w:rsidP="00246ED2">
            <w:pPr>
              <w:spacing w:before="0" w:after="0" w:line="240" w:lineRule="auto"/>
              <w:jc w:val="right"/>
              <w:rPr>
                <w:rFonts w:ascii="Times New Roman" w:hAnsi="Times New Roman"/>
                <w:sz w:val="20"/>
              </w:rPr>
            </w:pPr>
          </w:p>
        </w:tc>
      </w:tr>
      <w:tr w:rsidR="00246ED2" w:rsidRPr="00246ED2" w14:paraId="2C736066" w14:textId="77777777" w:rsidTr="00246ED2">
        <w:trPr>
          <w:trHeight w:val="225"/>
          <w:jc w:val="center"/>
        </w:trPr>
        <w:tc>
          <w:tcPr>
            <w:tcW w:w="3080" w:type="dxa"/>
            <w:tcBorders>
              <w:top w:val="nil"/>
              <w:left w:val="nil"/>
              <w:bottom w:val="nil"/>
              <w:right w:val="nil"/>
            </w:tcBorders>
            <w:shd w:val="clear" w:color="auto" w:fill="auto"/>
            <w:noWrap/>
            <w:vAlign w:val="bottom"/>
            <w:hideMark/>
          </w:tcPr>
          <w:p w14:paraId="5119ECAB" w14:textId="77777777" w:rsidR="00246ED2" w:rsidRPr="00246ED2" w:rsidRDefault="00246ED2" w:rsidP="00246ED2">
            <w:pPr>
              <w:spacing w:before="0" w:after="0" w:line="240" w:lineRule="auto"/>
              <w:ind w:leftChars="150" w:left="285"/>
              <w:rPr>
                <w:rFonts w:ascii="Arial" w:hAnsi="Arial" w:cs="Arial"/>
                <w:color w:val="000000"/>
                <w:sz w:val="16"/>
                <w:szCs w:val="16"/>
              </w:rPr>
            </w:pPr>
            <w:r w:rsidRPr="00246ED2">
              <w:rPr>
                <w:rFonts w:ascii="Arial" w:hAnsi="Arial" w:cs="Arial"/>
                <w:color w:val="000000"/>
                <w:sz w:val="16"/>
                <w:szCs w:val="16"/>
              </w:rPr>
              <w:t>- appropriations</w:t>
            </w:r>
          </w:p>
        </w:tc>
        <w:tc>
          <w:tcPr>
            <w:tcW w:w="960" w:type="dxa"/>
            <w:tcBorders>
              <w:top w:val="nil"/>
              <w:left w:val="nil"/>
              <w:bottom w:val="nil"/>
              <w:right w:val="nil"/>
            </w:tcBorders>
            <w:shd w:val="clear" w:color="auto" w:fill="auto"/>
            <w:noWrap/>
            <w:vAlign w:val="bottom"/>
            <w:hideMark/>
          </w:tcPr>
          <w:p w14:paraId="6A993309"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w:t>
            </w:r>
          </w:p>
        </w:tc>
        <w:tc>
          <w:tcPr>
            <w:tcW w:w="960" w:type="dxa"/>
            <w:tcBorders>
              <w:top w:val="nil"/>
              <w:left w:val="nil"/>
              <w:bottom w:val="nil"/>
              <w:right w:val="nil"/>
            </w:tcBorders>
            <w:shd w:val="clear" w:color="000000" w:fill="D9D9D9"/>
            <w:noWrap/>
            <w:vAlign w:val="bottom"/>
            <w:hideMark/>
          </w:tcPr>
          <w:p w14:paraId="1247D516"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68C66749"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E754180"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w:t>
            </w:r>
          </w:p>
        </w:tc>
        <w:tc>
          <w:tcPr>
            <w:tcW w:w="960" w:type="dxa"/>
            <w:tcBorders>
              <w:top w:val="nil"/>
              <w:left w:val="nil"/>
              <w:bottom w:val="nil"/>
              <w:right w:val="nil"/>
            </w:tcBorders>
            <w:shd w:val="clear" w:color="auto" w:fill="auto"/>
            <w:noWrap/>
            <w:vAlign w:val="bottom"/>
            <w:hideMark/>
          </w:tcPr>
          <w:p w14:paraId="135E8725" w14:textId="77777777" w:rsidR="00246ED2" w:rsidRPr="00246ED2" w:rsidRDefault="00246ED2" w:rsidP="00246ED2">
            <w:pPr>
              <w:spacing w:before="0" w:after="0" w:line="240" w:lineRule="auto"/>
              <w:jc w:val="right"/>
              <w:rPr>
                <w:rFonts w:ascii="Arial" w:hAnsi="Arial" w:cs="Arial"/>
                <w:sz w:val="16"/>
                <w:szCs w:val="16"/>
              </w:rPr>
            </w:pPr>
            <w:r w:rsidRPr="00246ED2">
              <w:rPr>
                <w:rFonts w:ascii="Arial" w:hAnsi="Arial" w:cs="Arial"/>
                <w:sz w:val="16"/>
                <w:szCs w:val="16"/>
              </w:rPr>
              <w:t>-</w:t>
            </w:r>
          </w:p>
        </w:tc>
      </w:tr>
      <w:tr w:rsidR="00246ED2" w:rsidRPr="00246ED2" w14:paraId="221367B1" w14:textId="77777777" w:rsidTr="00294422">
        <w:trPr>
          <w:trHeight w:val="283"/>
          <w:jc w:val="center"/>
        </w:trPr>
        <w:tc>
          <w:tcPr>
            <w:tcW w:w="3080" w:type="dxa"/>
            <w:tcBorders>
              <w:top w:val="nil"/>
              <w:left w:val="nil"/>
              <w:bottom w:val="single" w:sz="4" w:space="0" w:color="auto"/>
              <w:right w:val="nil"/>
            </w:tcBorders>
            <w:shd w:val="clear" w:color="auto" w:fill="auto"/>
            <w:noWrap/>
            <w:vAlign w:val="bottom"/>
            <w:hideMark/>
          </w:tcPr>
          <w:p w14:paraId="6145E73E" w14:textId="77777777" w:rsidR="00246ED2" w:rsidRPr="00246ED2" w:rsidRDefault="00246ED2" w:rsidP="00246ED2">
            <w:pPr>
              <w:spacing w:before="0" w:after="0" w:line="240" w:lineRule="auto"/>
              <w:rPr>
                <w:rFonts w:ascii="Arial" w:hAnsi="Arial" w:cs="Arial"/>
                <w:b/>
                <w:bCs/>
                <w:color w:val="000000"/>
                <w:sz w:val="16"/>
                <w:szCs w:val="16"/>
              </w:rPr>
            </w:pPr>
            <w:r w:rsidRPr="00246ED2">
              <w:rPr>
                <w:rFonts w:ascii="Arial" w:hAnsi="Arial" w:cs="Arial"/>
                <w:b/>
                <w:bCs/>
                <w:color w:val="000000"/>
                <w:sz w:val="16"/>
                <w:szCs w:val="16"/>
              </w:rPr>
              <w:t>Cash at end of reporting period</w:t>
            </w:r>
          </w:p>
        </w:tc>
        <w:tc>
          <w:tcPr>
            <w:tcW w:w="960" w:type="dxa"/>
            <w:tcBorders>
              <w:top w:val="nil"/>
              <w:left w:val="nil"/>
              <w:bottom w:val="single" w:sz="4" w:space="0" w:color="auto"/>
              <w:right w:val="nil"/>
            </w:tcBorders>
            <w:shd w:val="clear" w:color="auto" w:fill="auto"/>
            <w:noWrap/>
            <w:vAlign w:val="bottom"/>
            <w:hideMark/>
          </w:tcPr>
          <w:p w14:paraId="51C52C95"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808</w:t>
            </w:r>
          </w:p>
        </w:tc>
        <w:tc>
          <w:tcPr>
            <w:tcW w:w="960" w:type="dxa"/>
            <w:tcBorders>
              <w:top w:val="nil"/>
              <w:left w:val="nil"/>
              <w:bottom w:val="single" w:sz="4" w:space="0" w:color="auto"/>
              <w:right w:val="nil"/>
            </w:tcBorders>
            <w:shd w:val="clear" w:color="000000" w:fill="D9D9D9"/>
            <w:noWrap/>
            <w:vAlign w:val="bottom"/>
            <w:hideMark/>
          </w:tcPr>
          <w:p w14:paraId="144C4206"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808</w:t>
            </w:r>
          </w:p>
        </w:tc>
        <w:tc>
          <w:tcPr>
            <w:tcW w:w="960" w:type="dxa"/>
            <w:tcBorders>
              <w:top w:val="nil"/>
              <w:left w:val="nil"/>
              <w:bottom w:val="single" w:sz="4" w:space="0" w:color="auto"/>
              <w:right w:val="nil"/>
            </w:tcBorders>
            <w:shd w:val="clear" w:color="auto" w:fill="auto"/>
            <w:noWrap/>
            <w:vAlign w:val="bottom"/>
            <w:hideMark/>
          </w:tcPr>
          <w:p w14:paraId="4C8D9740"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808</w:t>
            </w:r>
          </w:p>
        </w:tc>
        <w:tc>
          <w:tcPr>
            <w:tcW w:w="960" w:type="dxa"/>
            <w:tcBorders>
              <w:top w:val="nil"/>
              <w:left w:val="nil"/>
              <w:bottom w:val="single" w:sz="4" w:space="0" w:color="auto"/>
              <w:right w:val="nil"/>
            </w:tcBorders>
            <w:shd w:val="clear" w:color="auto" w:fill="auto"/>
            <w:noWrap/>
            <w:vAlign w:val="bottom"/>
            <w:hideMark/>
          </w:tcPr>
          <w:p w14:paraId="6EF05F7E"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808</w:t>
            </w:r>
          </w:p>
        </w:tc>
        <w:tc>
          <w:tcPr>
            <w:tcW w:w="960" w:type="dxa"/>
            <w:tcBorders>
              <w:top w:val="nil"/>
              <w:left w:val="nil"/>
              <w:bottom w:val="single" w:sz="4" w:space="0" w:color="auto"/>
              <w:right w:val="nil"/>
            </w:tcBorders>
            <w:shd w:val="clear" w:color="auto" w:fill="auto"/>
            <w:noWrap/>
            <w:vAlign w:val="bottom"/>
            <w:hideMark/>
          </w:tcPr>
          <w:p w14:paraId="168C5E89" w14:textId="77777777" w:rsidR="00246ED2" w:rsidRPr="00246ED2" w:rsidRDefault="00246ED2" w:rsidP="00246ED2">
            <w:pPr>
              <w:spacing w:before="0" w:after="0" w:line="240" w:lineRule="auto"/>
              <w:jc w:val="right"/>
              <w:rPr>
                <w:rFonts w:ascii="Arial" w:hAnsi="Arial" w:cs="Arial"/>
                <w:b/>
                <w:bCs/>
                <w:sz w:val="16"/>
                <w:szCs w:val="16"/>
              </w:rPr>
            </w:pPr>
            <w:r w:rsidRPr="00246ED2">
              <w:rPr>
                <w:rFonts w:ascii="Arial" w:hAnsi="Arial" w:cs="Arial"/>
                <w:b/>
                <w:bCs/>
                <w:sz w:val="16"/>
                <w:szCs w:val="16"/>
              </w:rPr>
              <w:t>808</w:t>
            </w:r>
          </w:p>
        </w:tc>
      </w:tr>
    </w:tbl>
    <w:p w14:paraId="3E753604" w14:textId="6EC1EEB1" w:rsidR="00526CE6" w:rsidRDefault="00526CE6" w:rsidP="00246ED2">
      <w:pPr>
        <w:pStyle w:val="FootnoteText"/>
        <w:spacing w:before="120"/>
      </w:pPr>
      <w:r w:rsidRPr="00567B38">
        <w:t>OPA = Official Public Account</w:t>
      </w:r>
    </w:p>
    <w:p w14:paraId="20EEFEE7" w14:textId="77777777" w:rsidR="00A174F3" w:rsidRDefault="00A174F3" w:rsidP="00246ED2">
      <w:pPr>
        <w:pStyle w:val="FootnoteText"/>
        <w:spacing w:before="120"/>
      </w:pPr>
    </w:p>
    <w:p w14:paraId="5F162BEF" w14:textId="3933FB93" w:rsidR="00A174F3" w:rsidRDefault="00A174F3" w:rsidP="006A26E8"/>
    <w:p w14:paraId="105BB84C" w14:textId="77777777" w:rsidR="00A174F3" w:rsidRDefault="00A174F3" w:rsidP="00322A27">
      <w:pPr>
        <w:pStyle w:val="Heading1"/>
        <w:sectPr w:rsidR="00A174F3" w:rsidSect="00EA38F7">
          <w:footerReference w:type="even" r:id="rId75"/>
          <w:footerReference w:type="default" r:id="rId76"/>
          <w:footerReference w:type="first" r:id="rId77"/>
          <w:pgSz w:w="11907" w:h="16840" w:code="9"/>
          <w:pgMar w:top="2835" w:right="2098" w:bottom="2466" w:left="2098" w:header="1814" w:footer="1814" w:gutter="0"/>
          <w:cols w:space="708"/>
          <w:titlePg/>
          <w:docGrid w:linePitch="360"/>
        </w:sectPr>
      </w:pPr>
      <w:bookmarkStart w:id="598" w:name="_Toc155859226"/>
    </w:p>
    <w:p w14:paraId="40BEB4C2" w14:textId="5A9807E9" w:rsidR="006A26E8" w:rsidRDefault="009E7256" w:rsidP="00322A27">
      <w:pPr>
        <w:pStyle w:val="Heading1"/>
      </w:pPr>
      <w:r>
        <w:fldChar w:fldCharType="begin"/>
      </w:r>
      <w:r>
        <w:instrText xml:space="preserve"> </w:instrText>
      </w:r>
      <w:proofErr w:type="gramStart"/>
      <w:r>
        <w:instrText>TC  "</w:instrText>
      </w:r>
      <w:bookmarkStart w:id="599" w:name="_Toc157520024"/>
      <w:proofErr w:type="gramEnd"/>
      <w:r>
        <w:instrText>Portfolio Glossary</w:instrText>
      </w:r>
      <w:bookmarkEnd w:id="599"/>
      <w:r>
        <w:instrText xml:space="preserve">" \f m \l 1 </w:instrText>
      </w:r>
      <w:r>
        <w:fldChar w:fldCharType="end"/>
      </w:r>
      <w:r w:rsidR="006A26E8">
        <w:t>Portfolio glossary</w:t>
      </w:r>
      <w:bookmarkEnd w:id="598"/>
    </w:p>
    <w:tbl>
      <w:tblPr>
        <w:tblW w:w="5000" w:type="pct"/>
        <w:tblBorders>
          <w:top w:val="single" w:sz="4" w:space="0" w:color="auto"/>
          <w:insideH w:val="single" w:sz="4" w:space="0" w:color="auto"/>
        </w:tblBorders>
        <w:tblLook w:val="04A0" w:firstRow="1" w:lastRow="0" w:firstColumn="1" w:lastColumn="0" w:noHBand="0" w:noVBand="1"/>
        <w:tblCaption w:val="Glossary"/>
        <w:tblDescription w:val="Glossary detailing key words and terms for the entirety of these Portfolio Budget Statements"/>
      </w:tblPr>
      <w:tblGrid>
        <w:gridCol w:w="1701"/>
        <w:gridCol w:w="6010"/>
      </w:tblGrid>
      <w:tr w:rsidR="006A26E8" w:rsidRPr="00F30004" w14:paraId="0C8C2478" w14:textId="77777777" w:rsidTr="008369F5">
        <w:tc>
          <w:tcPr>
            <w:tcW w:w="1701" w:type="dxa"/>
          </w:tcPr>
          <w:p w14:paraId="45BEE5CF"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Accumulated depreciation</w:t>
            </w:r>
          </w:p>
        </w:tc>
        <w:tc>
          <w:tcPr>
            <w:tcW w:w="6010" w:type="dxa"/>
          </w:tcPr>
          <w:p w14:paraId="478320BF"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The aggregate depreciation recorded for a particular depreciating asset.</w:t>
            </w:r>
          </w:p>
        </w:tc>
      </w:tr>
      <w:tr w:rsidR="006A26E8" w:rsidRPr="00F30004" w14:paraId="7A240838" w14:textId="77777777" w:rsidTr="008369F5">
        <w:tc>
          <w:tcPr>
            <w:tcW w:w="1701" w:type="dxa"/>
          </w:tcPr>
          <w:p w14:paraId="775FC457"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Additional Estimates</w:t>
            </w:r>
          </w:p>
        </w:tc>
        <w:tc>
          <w:tcPr>
            <w:tcW w:w="6010" w:type="dxa"/>
          </w:tcPr>
          <w:p w14:paraId="2FFC3904"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The Additional Estimates process updates estimates from the previous Budget update.</w:t>
            </w:r>
          </w:p>
        </w:tc>
      </w:tr>
      <w:tr w:rsidR="006A26E8" w:rsidRPr="00F30004" w14:paraId="2E9D4606" w14:textId="77777777" w:rsidTr="008369F5">
        <w:tc>
          <w:tcPr>
            <w:tcW w:w="1701" w:type="dxa"/>
          </w:tcPr>
          <w:p w14:paraId="535C4E45"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Additional Estimates Bills or Acts</w:t>
            </w:r>
          </w:p>
        </w:tc>
        <w:tc>
          <w:tcPr>
            <w:tcW w:w="6010" w:type="dxa"/>
          </w:tcPr>
          <w:p w14:paraId="173385B6" w14:textId="4504AAE0" w:rsidR="006A26E8" w:rsidRPr="00F30004" w:rsidRDefault="006A26E8" w:rsidP="005D7C29">
            <w:pPr>
              <w:pStyle w:val="TableColumnHeadingLeft"/>
              <w:spacing w:before="74" w:after="74"/>
              <w:rPr>
                <w:rFonts w:ascii="Book Antiqua" w:hAnsi="Book Antiqua"/>
                <w:b w:val="0"/>
                <w:sz w:val="20"/>
              </w:rPr>
            </w:pPr>
            <w:r w:rsidRPr="00F30004">
              <w:rPr>
                <w:rFonts w:ascii="Book Antiqua" w:hAnsi="Book Antiqua"/>
                <w:b w:val="0"/>
                <w:sz w:val="20"/>
              </w:rPr>
              <w:t>Where amounts appropriated in the annual appropriation acts at Budget time are insufficient, Parliament may appropriate more funds to Portfolios through the Additional Estimates Acts. Thes</w:t>
            </w:r>
            <w:r w:rsidR="005D7C29">
              <w:rPr>
                <w:rFonts w:ascii="Book Antiqua" w:hAnsi="Book Antiqua"/>
                <w:b w:val="0"/>
                <w:sz w:val="20"/>
              </w:rPr>
              <w:t>e are Appropriation Bills (Nos. 3 and</w:t>
            </w:r>
            <w:r w:rsidRPr="00F30004">
              <w:rPr>
                <w:rFonts w:ascii="Book Antiqua" w:hAnsi="Book Antiqua"/>
                <w:b w:val="0"/>
                <w:sz w:val="20"/>
              </w:rPr>
              <w:t xml:space="preserve"> 4), and a separate Bill for Parliamentary Departments (Appropriations (Parliamentary Departments) Bill (No.2)). These Bills are introduced into the Parliament sometime after the Budget Bills.</w:t>
            </w:r>
          </w:p>
        </w:tc>
      </w:tr>
      <w:tr w:rsidR="006A26E8" w:rsidRPr="00F30004" w14:paraId="739F5433" w14:textId="77777777" w:rsidTr="008369F5">
        <w:tc>
          <w:tcPr>
            <w:tcW w:w="1701" w:type="dxa"/>
          </w:tcPr>
          <w:p w14:paraId="629422C7"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Administered items</w:t>
            </w:r>
          </w:p>
        </w:tc>
        <w:tc>
          <w:tcPr>
            <w:tcW w:w="6010" w:type="dxa"/>
          </w:tcPr>
          <w:p w14:paraId="68071AE3"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Expenses, revenues, </w:t>
            </w:r>
            <w:proofErr w:type="gramStart"/>
            <w:r w:rsidRPr="00F30004">
              <w:rPr>
                <w:rFonts w:ascii="Book Antiqua" w:hAnsi="Book Antiqua"/>
                <w:b w:val="0"/>
                <w:sz w:val="20"/>
              </w:rPr>
              <w:t>assets</w:t>
            </w:r>
            <w:proofErr w:type="gramEnd"/>
            <w:r w:rsidRPr="00F30004">
              <w:rPr>
                <w:rFonts w:ascii="Book Antiqua" w:hAnsi="Book Antiqua"/>
                <w:b w:val="0"/>
                <w:sz w:val="20"/>
              </w:rPr>
              <w:t xml:space="preserve"> or liabilities managed by entities on behalf of the Australian Government. Entities do not control administered items. Administered items include grants, </w:t>
            </w:r>
            <w:proofErr w:type="gramStart"/>
            <w:r w:rsidRPr="00F30004">
              <w:rPr>
                <w:rFonts w:ascii="Book Antiqua" w:hAnsi="Book Antiqua"/>
                <w:b w:val="0"/>
                <w:sz w:val="20"/>
              </w:rPr>
              <w:t>subsidies</w:t>
            </w:r>
            <w:proofErr w:type="gramEnd"/>
            <w:r w:rsidRPr="00F30004">
              <w:rPr>
                <w:rFonts w:ascii="Book Antiqua" w:hAnsi="Book Antiqua"/>
                <w:b w:val="0"/>
                <w:sz w:val="20"/>
              </w:rPr>
              <w:t xml:space="preserve"> and benefits (for example, funding for the Pharmaceutical Benefits Scheme). </w:t>
            </w:r>
          </w:p>
        </w:tc>
      </w:tr>
      <w:tr w:rsidR="006A26E8" w:rsidRPr="00F30004" w14:paraId="559FF6A2" w14:textId="77777777" w:rsidTr="008369F5">
        <w:tc>
          <w:tcPr>
            <w:tcW w:w="1701" w:type="dxa"/>
          </w:tcPr>
          <w:p w14:paraId="54ACD358"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Annual appropriation</w:t>
            </w:r>
          </w:p>
        </w:tc>
        <w:tc>
          <w:tcPr>
            <w:tcW w:w="6010" w:type="dxa"/>
          </w:tcPr>
          <w:p w14:paraId="0534CCC3"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Two Appropriation Bills are introduced into Parliament in May and comprise the Budget. Further Bills are introduced later in the financial year as part of the Additional Estimates process. Parliamentary Departments have their own appropriations.</w:t>
            </w:r>
          </w:p>
        </w:tc>
      </w:tr>
      <w:tr w:rsidR="006A26E8" w:rsidRPr="00F30004" w14:paraId="2535BD68" w14:textId="77777777" w:rsidTr="008369F5">
        <w:tc>
          <w:tcPr>
            <w:tcW w:w="1701" w:type="dxa"/>
          </w:tcPr>
          <w:p w14:paraId="74C57B9E"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Appropriation</w:t>
            </w:r>
          </w:p>
        </w:tc>
        <w:tc>
          <w:tcPr>
            <w:tcW w:w="6010" w:type="dxa"/>
          </w:tcPr>
          <w:p w14:paraId="57244346"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The </w:t>
            </w:r>
            <w:proofErr w:type="gramStart"/>
            <w:r w:rsidRPr="00F30004">
              <w:rPr>
                <w:rFonts w:ascii="Book Antiqua" w:hAnsi="Book Antiqua"/>
                <w:b w:val="0"/>
                <w:sz w:val="20"/>
              </w:rPr>
              <w:t>amount</w:t>
            </w:r>
            <w:proofErr w:type="gramEnd"/>
            <w:r w:rsidRPr="00F30004">
              <w:rPr>
                <w:rFonts w:ascii="Book Antiqua" w:hAnsi="Book Antiqua"/>
                <w:b w:val="0"/>
                <w:sz w:val="20"/>
              </w:rPr>
              <w:t xml:space="preserve"> of public moneys authorised by Parliament for expenditure from the Consolidated Revenue Fund. Appropriations authorise expenditure by the Australian Government for </w:t>
            </w:r>
            <w:proofErr w:type="gramStart"/>
            <w:r w:rsidRPr="00F30004">
              <w:rPr>
                <w:rFonts w:ascii="Book Antiqua" w:hAnsi="Book Antiqua"/>
                <w:b w:val="0"/>
                <w:sz w:val="20"/>
              </w:rPr>
              <w:t>particular purposes</w:t>
            </w:r>
            <w:proofErr w:type="gramEnd"/>
            <w:r w:rsidRPr="00F30004">
              <w:rPr>
                <w:rFonts w:ascii="Book Antiqua" w:hAnsi="Book Antiqua"/>
                <w:b w:val="0"/>
                <w:sz w:val="20"/>
              </w:rPr>
              <w:t>.</w:t>
            </w:r>
          </w:p>
        </w:tc>
      </w:tr>
      <w:tr w:rsidR="006A26E8" w:rsidRPr="00F30004" w14:paraId="0FE49C0F" w14:textId="77777777" w:rsidTr="007A0EED">
        <w:tc>
          <w:tcPr>
            <w:tcW w:w="1701" w:type="dxa"/>
            <w:tcBorders>
              <w:bottom w:val="single" w:sz="4" w:space="0" w:color="auto"/>
            </w:tcBorders>
          </w:tcPr>
          <w:p w14:paraId="384F4891"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Assets</w:t>
            </w:r>
          </w:p>
        </w:tc>
        <w:tc>
          <w:tcPr>
            <w:tcW w:w="6010" w:type="dxa"/>
            <w:tcBorders>
              <w:bottom w:val="single" w:sz="4" w:space="0" w:color="auto"/>
            </w:tcBorders>
          </w:tcPr>
          <w:p w14:paraId="549FC20F"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Future economic benefits controlled by an entity </w:t>
            </w:r>
            <w:proofErr w:type="gramStart"/>
            <w:r w:rsidRPr="00F30004">
              <w:rPr>
                <w:rFonts w:ascii="Book Antiqua" w:hAnsi="Book Antiqua"/>
                <w:b w:val="0"/>
                <w:sz w:val="20"/>
              </w:rPr>
              <w:t>as a result of</w:t>
            </w:r>
            <w:proofErr w:type="gramEnd"/>
            <w:r w:rsidRPr="00F30004">
              <w:rPr>
                <w:rFonts w:ascii="Book Antiqua" w:hAnsi="Book Antiqua"/>
                <w:b w:val="0"/>
                <w:sz w:val="20"/>
              </w:rPr>
              <w:t xml:space="preserve"> past transactions or past events.</w:t>
            </w:r>
          </w:p>
        </w:tc>
      </w:tr>
      <w:tr w:rsidR="006A26E8" w:rsidRPr="00F30004" w14:paraId="189493C6" w14:textId="77777777" w:rsidTr="007A0EED">
        <w:tc>
          <w:tcPr>
            <w:tcW w:w="1701" w:type="dxa"/>
            <w:tcBorders>
              <w:bottom w:val="single" w:sz="4" w:space="0" w:color="auto"/>
            </w:tcBorders>
          </w:tcPr>
          <w:p w14:paraId="5043A06C"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br w:type="page"/>
              <w:t>Available appropriation</w:t>
            </w:r>
          </w:p>
        </w:tc>
        <w:tc>
          <w:tcPr>
            <w:tcW w:w="6010" w:type="dxa"/>
            <w:tcBorders>
              <w:bottom w:val="single" w:sz="4" w:space="0" w:color="auto"/>
            </w:tcBorders>
          </w:tcPr>
          <w:p w14:paraId="4D6E392F"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Available appropriation is used to allow a comparison of the current year’s appropriation with what was made available for use in the previous year. Available appropriation is the amount available to be drawn </w:t>
            </w:r>
            <w:proofErr w:type="gramStart"/>
            <w:r w:rsidRPr="00F30004">
              <w:rPr>
                <w:rFonts w:ascii="Book Antiqua" w:hAnsi="Book Antiqua"/>
                <w:b w:val="0"/>
                <w:sz w:val="20"/>
              </w:rPr>
              <w:t>down, and</w:t>
            </w:r>
            <w:proofErr w:type="gramEnd"/>
            <w:r w:rsidRPr="00F30004">
              <w:rPr>
                <w:rFonts w:ascii="Book Antiqua" w:hAnsi="Book Antiqua"/>
                <w:b w:val="0"/>
                <w:sz w:val="20"/>
              </w:rPr>
              <w:t xml:space="preserve"> is equal to: Budget appropriation + Additional Estimates appropriation + Advance to the Finance Minister (AFM) -Savings - </w:t>
            </w:r>
            <w:proofErr w:type="spellStart"/>
            <w:r w:rsidRPr="00F30004">
              <w:rPr>
                <w:rFonts w:ascii="Book Antiqua" w:hAnsi="Book Antiqua"/>
                <w:b w:val="0"/>
                <w:sz w:val="20"/>
              </w:rPr>
              <w:t>Rephasings</w:t>
            </w:r>
            <w:proofErr w:type="spellEnd"/>
            <w:r w:rsidRPr="00F30004">
              <w:rPr>
                <w:rFonts w:ascii="Book Antiqua" w:hAnsi="Book Antiqua"/>
                <w:b w:val="0"/>
                <w:sz w:val="20"/>
              </w:rPr>
              <w:t xml:space="preserve"> - Other Reductions +/- receipts under section 74 of the PGPA Act.</w:t>
            </w:r>
          </w:p>
        </w:tc>
      </w:tr>
      <w:tr w:rsidR="006A26E8" w:rsidRPr="00F30004" w14:paraId="2EBF5C8C" w14:textId="77777777" w:rsidTr="007A0EED">
        <w:tc>
          <w:tcPr>
            <w:tcW w:w="1701" w:type="dxa"/>
            <w:tcBorders>
              <w:top w:val="single" w:sz="4" w:space="0" w:color="auto"/>
              <w:bottom w:val="single" w:sz="4" w:space="0" w:color="auto"/>
            </w:tcBorders>
          </w:tcPr>
          <w:p w14:paraId="16F5C24A"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Budget measure</w:t>
            </w:r>
          </w:p>
        </w:tc>
        <w:tc>
          <w:tcPr>
            <w:tcW w:w="6010" w:type="dxa"/>
            <w:tcBorders>
              <w:top w:val="single" w:sz="4" w:space="0" w:color="auto"/>
              <w:bottom w:val="single" w:sz="4" w:space="0" w:color="auto"/>
            </w:tcBorders>
          </w:tcPr>
          <w:p w14:paraId="6D2B3C90"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A decision by Cabinet or Ministers in the Budget process that has resulted in a change in expenditure in the current year and/or the forward years. See also cross-Portfolio Budget measure.</w:t>
            </w:r>
          </w:p>
        </w:tc>
      </w:tr>
      <w:tr w:rsidR="006A26E8" w:rsidRPr="00F30004" w14:paraId="49ECCBD6" w14:textId="77777777" w:rsidTr="007A0EED">
        <w:tc>
          <w:tcPr>
            <w:tcW w:w="1701" w:type="dxa"/>
            <w:tcBorders>
              <w:top w:val="single" w:sz="4" w:space="0" w:color="auto"/>
            </w:tcBorders>
          </w:tcPr>
          <w:p w14:paraId="1D98365C"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Budget Paper 3</w:t>
            </w:r>
          </w:p>
        </w:tc>
        <w:tc>
          <w:tcPr>
            <w:tcW w:w="6010" w:type="dxa"/>
            <w:tcBorders>
              <w:top w:val="single" w:sz="4" w:space="0" w:color="auto"/>
            </w:tcBorders>
          </w:tcPr>
          <w:p w14:paraId="736A23D0"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Australia’s Federal Relations. Provides information and analysis on federal funding provided to the states and territories.</w:t>
            </w:r>
          </w:p>
        </w:tc>
      </w:tr>
      <w:tr w:rsidR="006A26E8" w:rsidRPr="00F30004" w14:paraId="73EA4ADD" w14:textId="77777777" w:rsidTr="008369F5">
        <w:tc>
          <w:tcPr>
            <w:tcW w:w="1701" w:type="dxa"/>
          </w:tcPr>
          <w:p w14:paraId="7B812E13"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Capital Budget Statement</w:t>
            </w:r>
          </w:p>
        </w:tc>
        <w:tc>
          <w:tcPr>
            <w:tcW w:w="6010" w:type="dxa"/>
          </w:tcPr>
          <w:p w14:paraId="25D19267"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A statement of the entity’s estimated capital funding through </w:t>
            </w:r>
            <w:r w:rsidRPr="00A43CBF">
              <w:rPr>
                <w:rFonts w:ascii="Book Antiqua" w:hAnsi="Book Antiqua"/>
                <w:b w:val="0"/>
                <w:i/>
                <w:sz w:val="20"/>
              </w:rPr>
              <w:t>Appropriation Act (No. 1)</w:t>
            </w:r>
            <w:r w:rsidRPr="00F30004">
              <w:rPr>
                <w:rFonts w:ascii="Book Antiqua" w:hAnsi="Book Antiqua"/>
                <w:b w:val="0"/>
                <w:sz w:val="20"/>
              </w:rPr>
              <w:t xml:space="preserve"> Departmental Capital Budget funding or </w:t>
            </w:r>
            <w:r w:rsidRPr="00A43CBF">
              <w:rPr>
                <w:rFonts w:ascii="Book Antiqua" w:hAnsi="Book Antiqua"/>
                <w:b w:val="0"/>
                <w:i/>
                <w:sz w:val="20"/>
              </w:rPr>
              <w:t>Appropriation Act (No. 2)</w:t>
            </w:r>
            <w:r w:rsidRPr="00F30004">
              <w:rPr>
                <w:rFonts w:ascii="Book Antiqua" w:hAnsi="Book Antiqua"/>
                <w:b w:val="0"/>
                <w:sz w:val="20"/>
              </w:rPr>
              <w:t xml:space="preserve"> equity injection funding and the entity’s estimated expenditures on non-financial assets.</w:t>
            </w:r>
          </w:p>
        </w:tc>
      </w:tr>
      <w:tr w:rsidR="006A26E8" w:rsidRPr="00F30004" w14:paraId="75940F7F" w14:textId="77777777" w:rsidTr="008369F5">
        <w:tc>
          <w:tcPr>
            <w:tcW w:w="1701" w:type="dxa"/>
          </w:tcPr>
          <w:p w14:paraId="39934FE8"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COVID-19</w:t>
            </w:r>
          </w:p>
        </w:tc>
        <w:tc>
          <w:tcPr>
            <w:tcW w:w="6010" w:type="dxa"/>
          </w:tcPr>
          <w:p w14:paraId="636D5CF5"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Coronavirus disease 2019. An illness caused by the SARS-CoV-2 virus that was first identified in December 2019. Formerly known as 2019-nCoV.</w:t>
            </w:r>
          </w:p>
        </w:tc>
      </w:tr>
      <w:tr w:rsidR="006A26E8" w:rsidRPr="00F30004" w14:paraId="7ADECE2D" w14:textId="77777777" w:rsidTr="008369F5">
        <w:tc>
          <w:tcPr>
            <w:tcW w:w="1701" w:type="dxa"/>
          </w:tcPr>
          <w:p w14:paraId="4C237BF0"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Cross-Portfolio Budget measure</w:t>
            </w:r>
          </w:p>
        </w:tc>
        <w:tc>
          <w:tcPr>
            <w:tcW w:w="6010" w:type="dxa"/>
          </w:tcPr>
          <w:p w14:paraId="08568952"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This is a Budget measure which affects outcomes administered in </w:t>
            </w:r>
            <w:proofErr w:type="gramStart"/>
            <w:r w:rsidRPr="00F30004">
              <w:rPr>
                <w:rFonts w:ascii="Book Antiqua" w:hAnsi="Book Antiqua"/>
                <w:b w:val="0"/>
                <w:sz w:val="20"/>
              </w:rPr>
              <w:t>a number of</w:t>
            </w:r>
            <w:proofErr w:type="gramEnd"/>
            <w:r w:rsidRPr="00F30004">
              <w:rPr>
                <w:rFonts w:ascii="Book Antiqua" w:hAnsi="Book Antiqua"/>
                <w:b w:val="0"/>
                <w:sz w:val="20"/>
              </w:rPr>
              <w:t xml:space="preserve"> Portfolios.</w:t>
            </w:r>
          </w:p>
        </w:tc>
      </w:tr>
      <w:tr w:rsidR="006A26E8" w:rsidRPr="00F30004" w14:paraId="1EC0D70B" w14:textId="77777777" w:rsidTr="008369F5">
        <w:tc>
          <w:tcPr>
            <w:tcW w:w="1701" w:type="dxa"/>
          </w:tcPr>
          <w:p w14:paraId="509887D0"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Departmental Capital Budget (DCB)</w:t>
            </w:r>
          </w:p>
        </w:tc>
        <w:tc>
          <w:tcPr>
            <w:tcW w:w="6010" w:type="dxa"/>
          </w:tcPr>
          <w:p w14:paraId="069F0CF5"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Departmental Capital Budget funding appropriated to non</w:t>
            </w:r>
            <w:r w:rsidRPr="00F30004">
              <w:rPr>
                <w:rFonts w:ascii="Book Antiqua" w:hAnsi="Book Antiqua"/>
                <w:b w:val="0"/>
                <w:sz w:val="20"/>
              </w:rPr>
              <w:noBreakHyphen/>
              <w:t xml:space="preserve">corporate PGPA Act entities through their Appropriation Act (No. 1) departmental appropriation, for the ongoing replacement of departmental assets which cost less than $10 million. </w:t>
            </w:r>
          </w:p>
        </w:tc>
      </w:tr>
      <w:tr w:rsidR="006A26E8" w:rsidRPr="00F30004" w14:paraId="3F4370D0" w14:textId="77777777" w:rsidTr="008369F5">
        <w:tc>
          <w:tcPr>
            <w:tcW w:w="1701" w:type="dxa"/>
          </w:tcPr>
          <w:p w14:paraId="670671C6"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Departmental items</w:t>
            </w:r>
          </w:p>
        </w:tc>
        <w:tc>
          <w:tcPr>
            <w:tcW w:w="6010" w:type="dxa"/>
          </w:tcPr>
          <w:p w14:paraId="7D479C48"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Assets, liabilities, </w:t>
            </w:r>
            <w:proofErr w:type="gramStart"/>
            <w:r w:rsidRPr="00F30004">
              <w:rPr>
                <w:rFonts w:ascii="Book Antiqua" w:hAnsi="Book Antiqua"/>
                <w:b w:val="0"/>
                <w:sz w:val="20"/>
              </w:rPr>
              <w:t>revenues</w:t>
            </w:r>
            <w:proofErr w:type="gramEnd"/>
            <w:r w:rsidRPr="00F30004">
              <w:rPr>
                <w:rFonts w:ascii="Book Antiqua" w:hAnsi="Book Antiqua"/>
                <w:b w:val="0"/>
                <w:sz w:val="20"/>
              </w:rPr>
              <w:t xml:space="preserve"> and expenses that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6A26E8" w:rsidRPr="00F30004" w14:paraId="1F01A649" w14:textId="77777777" w:rsidTr="008369F5">
        <w:tc>
          <w:tcPr>
            <w:tcW w:w="1701" w:type="dxa"/>
          </w:tcPr>
          <w:p w14:paraId="194BC2BE"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Depreciation and Amortisation</w:t>
            </w:r>
          </w:p>
        </w:tc>
        <w:tc>
          <w:tcPr>
            <w:tcW w:w="6010" w:type="dxa"/>
          </w:tcPr>
          <w:p w14:paraId="0A7AAB13"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Apportionment of an asset’s capital value as an expense over its estimated useful life to take account of normal usage, obsolescence, or the passage of time.</w:t>
            </w:r>
          </w:p>
        </w:tc>
      </w:tr>
      <w:tr w:rsidR="006A26E8" w:rsidRPr="00F30004" w14:paraId="48394AB6" w14:textId="77777777" w:rsidTr="0012457D">
        <w:tc>
          <w:tcPr>
            <w:tcW w:w="1701" w:type="dxa"/>
            <w:tcBorders>
              <w:bottom w:val="single" w:sz="4" w:space="0" w:color="auto"/>
            </w:tcBorders>
          </w:tcPr>
          <w:p w14:paraId="324C3C98"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Expense</w:t>
            </w:r>
          </w:p>
        </w:tc>
        <w:tc>
          <w:tcPr>
            <w:tcW w:w="6010" w:type="dxa"/>
            <w:tcBorders>
              <w:bottom w:val="single" w:sz="4" w:space="0" w:color="auto"/>
            </w:tcBorders>
          </w:tcPr>
          <w:p w14:paraId="31BD5A2D"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The value of resources consumed or lost during the reporting period.</w:t>
            </w:r>
          </w:p>
        </w:tc>
      </w:tr>
      <w:tr w:rsidR="006A26E8" w:rsidRPr="00F30004" w14:paraId="7DE75FF4" w14:textId="77777777" w:rsidTr="0012457D">
        <w:tc>
          <w:tcPr>
            <w:tcW w:w="1701" w:type="dxa"/>
            <w:tcBorders>
              <w:bottom w:val="single" w:sz="4" w:space="0" w:color="auto"/>
            </w:tcBorders>
          </w:tcPr>
          <w:p w14:paraId="58F40434"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Fair value</w:t>
            </w:r>
          </w:p>
        </w:tc>
        <w:tc>
          <w:tcPr>
            <w:tcW w:w="6010" w:type="dxa"/>
            <w:tcBorders>
              <w:bottom w:val="single" w:sz="4" w:space="0" w:color="auto"/>
            </w:tcBorders>
          </w:tcPr>
          <w:p w14:paraId="245221CC" w14:textId="2A870018" w:rsidR="00CE48ED" w:rsidRPr="00CE48ED" w:rsidRDefault="006A26E8" w:rsidP="00CE48ED">
            <w:pPr>
              <w:pStyle w:val="TableColumnHeadingLeft"/>
              <w:spacing w:before="74" w:after="74"/>
              <w:rPr>
                <w:rFonts w:ascii="Book Antiqua" w:hAnsi="Book Antiqua"/>
                <w:b w:val="0"/>
                <w:sz w:val="20"/>
              </w:rPr>
            </w:pPr>
            <w:r w:rsidRPr="00F30004">
              <w:rPr>
                <w:rFonts w:ascii="Book Antiqua" w:hAnsi="Book Antiqua"/>
                <w:b w:val="0"/>
                <w:sz w:val="20"/>
              </w:rPr>
              <w:t>Fair values are prices in arm’s length transactions between willing buyers and sellers in an active market.</w:t>
            </w:r>
          </w:p>
        </w:tc>
      </w:tr>
    </w:tbl>
    <w:p w14:paraId="7429DC7B" w14:textId="77777777" w:rsidR="00CE48ED" w:rsidRDefault="00CE48ED">
      <w:r>
        <w:rPr>
          <w:b/>
        </w:rPr>
        <w:br w:type="page"/>
      </w:r>
    </w:p>
    <w:tbl>
      <w:tblPr>
        <w:tblW w:w="5000" w:type="pct"/>
        <w:tblBorders>
          <w:top w:val="single" w:sz="4" w:space="0" w:color="auto"/>
          <w:insideH w:val="single" w:sz="4" w:space="0" w:color="auto"/>
        </w:tblBorders>
        <w:tblLook w:val="04A0" w:firstRow="1" w:lastRow="0" w:firstColumn="1" w:lastColumn="0" w:noHBand="0" w:noVBand="1"/>
        <w:tblCaption w:val="Glossary"/>
        <w:tblDescription w:val="Glossary detailing key words and terms for the entirety of these Portfolio Budget Statements"/>
      </w:tblPr>
      <w:tblGrid>
        <w:gridCol w:w="1701"/>
        <w:gridCol w:w="6010"/>
      </w:tblGrid>
      <w:tr w:rsidR="006A26E8" w:rsidRPr="00F30004" w14:paraId="6E3947C1" w14:textId="77777777" w:rsidTr="007A0EED">
        <w:tc>
          <w:tcPr>
            <w:tcW w:w="1701" w:type="dxa"/>
            <w:tcBorders>
              <w:top w:val="single" w:sz="4" w:space="0" w:color="auto"/>
              <w:bottom w:val="single" w:sz="4" w:space="0" w:color="auto"/>
            </w:tcBorders>
          </w:tcPr>
          <w:p w14:paraId="30591378" w14:textId="658681AE"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Forward estimates</w:t>
            </w:r>
          </w:p>
        </w:tc>
        <w:tc>
          <w:tcPr>
            <w:tcW w:w="6010" w:type="dxa"/>
            <w:tcBorders>
              <w:top w:val="single" w:sz="4" w:space="0" w:color="auto"/>
              <w:bottom w:val="single" w:sz="4" w:space="0" w:color="auto"/>
            </w:tcBorders>
          </w:tcPr>
          <w:p w14:paraId="644CB7EF"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A system of rolling </w:t>
            </w:r>
            <w:proofErr w:type="gramStart"/>
            <w:r w:rsidRPr="00F30004">
              <w:rPr>
                <w:rFonts w:ascii="Book Antiqua" w:hAnsi="Book Antiqua"/>
                <w:b w:val="0"/>
                <w:sz w:val="20"/>
              </w:rPr>
              <w:t>3 year</w:t>
            </w:r>
            <w:proofErr w:type="gramEnd"/>
            <w:r w:rsidRPr="00F30004">
              <w:rPr>
                <w:rFonts w:ascii="Book Antiqua" w:hAnsi="Book Antiqua"/>
                <w:b w:val="0"/>
                <w:sz w:val="20"/>
              </w:rPr>
              <w:t xml:space="preserve"> financial estimates. After the Budget is passed, the first year of the forward estimates becomes the base for next year's Budget bid, and another out year is added to the forward estimates.</w:t>
            </w:r>
          </w:p>
        </w:tc>
      </w:tr>
      <w:tr w:rsidR="006A26E8" w:rsidRPr="00F30004" w14:paraId="2FD64A80" w14:textId="77777777" w:rsidTr="0012457D">
        <w:tc>
          <w:tcPr>
            <w:tcW w:w="1701" w:type="dxa"/>
            <w:tcBorders>
              <w:top w:val="single" w:sz="4" w:space="0" w:color="auto"/>
            </w:tcBorders>
          </w:tcPr>
          <w:p w14:paraId="4B88A745"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Liabilities</w:t>
            </w:r>
          </w:p>
        </w:tc>
        <w:tc>
          <w:tcPr>
            <w:tcW w:w="6010" w:type="dxa"/>
            <w:tcBorders>
              <w:top w:val="single" w:sz="4" w:space="0" w:color="auto"/>
            </w:tcBorders>
          </w:tcPr>
          <w:p w14:paraId="5485E606"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Future sacrifices of economic benefits that an entity is presently obliged to make to other entities </w:t>
            </w:r>
            <w:proofErr w:type="gramStart"/>
            <w:r w:rsidRPr="00F30004">
              <w:rPr>
                <w:rFonts w:ascii="Book Antiqua" w:hAnsi="Book Antiqua"/>
                <w:b w:val="0"/>
                <w:sz w:val="20"/>
              </w:rPr>
              <w:t>as a result of</w:t>
            </w:r>
            <w:proofErr w:type="gramEnd"/>
            <w:r w:rsidRPr="00F30004">
              <w:rPr>
                <w:rFonts w:ascii="Book Antiqua" w:hAnsi="Book Antiqua"/>
                <w:b w:val="0"/>
                <w:sz w:val="20"/>
              </w:rPr>
              <w:t xml:space="preserve"> past transactions or other past events.</w:t>
            </w:r>
          </w:p>
        </w:tc>
      </w:tr>
      <w:tr w:rsidR="006A26E8" w:rsidRPr="00F30004" w14:paraId="30FE2B0D" w14:textId="77777777" w:rsidTr="008369F5">
        <w:tc>
          <w:tcPr>
            <w:tcW w:w="1701" w:type="dxa"/>
          </w:tcPr>
          <w:p w14:paraId="703A3F4C"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br w:type="page"/>
            </w:r>
            <w:r w:rsidRPr="00362584">
              <w:rPr>
                <w:rFonts w:ascii="Arial" w:hAnsi="Arial" w:cs="Arial"/>
                <w:sz w:val="20"/>
              </w:rPr>
              <w:br w:type="page"/>
              <w:t>Outcomes</w:t>
            </w:r>
          </w:p>
        </w:tc>
        <w:tc>
          <w:tcPr>
            <w:tcW w:w="6010" w:type="dxa"/>
          </w:tcPr>
          <w:p w14:paraId="059B46F7"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Outcomes are the results of events, </w:t>
            </w:r>
            <w:proofErr w:type="gramStart"/>
            <w:r w:rsidRPr="00F30004">
              <w:rPr>
                <w:rFonts w:ascii="Book Antiqua" w:hAnsi="Book Antiqua"/>
                <w:b w:val="0"/>
                <w:sz w:val="20"/>
              </w:rPr>
              <w:t>actions</w:t>
            </w:r>
            <w:proofErr w:type="gramEnd"/>
            <w:r w:rsidRPr="00F30004">
              <w:rPr>
                <w:rFonts w:ascii="Book Antiqua" w:hAnsi="Book Antiqua"/>
                <w:b w:val="0"/>
                <w:sz w:val="20"/>
              </w:rPr>
              <w:t xml:space="preserve"> or circumstances, including the impact of the Australian Government on the Australian community. Outcomes may be linked with both the outputs of entities using the departmental expenses under their control, and with the administered expenses which entities manage on behalf of the Australian Government. Planned outcomes represent the changes desired by government. The achievement of actual outcomes is assessed and reported in the Annual Report.</w:t>
            </w:r>
          </w:p>
        </w:tc>
      </w:tr>
      <w:tr w:rsidR="006A26E8" w:rsidRPr="00F30004" w14:paraId="0024CD75" w14:textId="77777777" w:rsidTr="008369F5">
        <w:tc>
          <w:tcPr>
            <w:tcW w:w="1701" w:type="dxa"/>
          </w:tcPr>
          <w:p w14:paraId="21C669D7"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Performance measure</w:t>
            </w:r>
          </w:p>
        </w:tc>
        <w:tc>
          <w:tcPr>
            <w:tcW w:w="6010" w:type="dxa"/>
          </w:tcPr>
          <w:p w14:paraId="53D727F5"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Used to measure entity effectiveness in achieving the Government’s outcomes. Performance measures must be </w:t>
            </w:r>
            <w:proofErr w:type="gramStart"/>
            <w:r w:rsidRPr="00F30004">
              <w:rPr>
                <w:rFonts w:ascii="Book Antiqua" w:hAnsi="Book Antiqua"/>
                <w:b w:val="0"/>
                <w:sz w:val="20"/>
              </w:rPr>
              <w:t>measurable, and</w:t>
            </w:r>
            <w:proofErr w:type="gramEnd"/>
            <w:r w:rsidRPr="00F30004">
              <w:rPr>
                <w:rFonts w:ascii="Book Antiqua" w:hAnsi="Book Antiqua"/>
                <w:b w:val="0"/>
                <w:sz w:val="20"/>
              </w:rPr>
              <w:t xml:space="preserve"> may be qualitative or quantitative. Performance measures in the Portfolio Budget Statements are reported in the Annual Performance Statements, published in the Annual Report, for the same year. </w:t>
            </w:r>
          </w:p>
        </w:tc>
      </w:tr>
      <w:tr w:rsidR="006A26E8" w:rsidRPr="00F30004" w14:paraId="44B32CED" w14:textId="77777777" w:rsidTr="008369F5">
        <w:tc>
          <w:tcPr>
            <w:tcW w:w="1701" w:type="dxa"/>
          </w:tcPr>
          <w:p w14:paraId="1EEAA0C0"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PGPA Act</w:t>
            </w:r>
          </w:p>
        </w:tc>
        <w:tc>
          <w:tcPr>
            <w:tcW w:w="6010" w:type="dxa"/>
          </w:tcPr>
          <w:p w14:paraId="2A25B5C7" w14:textId="77777777" w:rsidR="006A26E8" w:rsidRPr="007A0EED" w:rsidRDefault="006A26E8" w:rsidP="008369F5">
            <w:pPr>
              <w:pStyle w:val="TableColumnHeadingLeft"/>
              <w:spacing w:before="74" w:after="74"/>
              <w:rPr>
                <w:rFonts w:ascii="Book Antiqua" w:hAnsi="Book Antiqua"/>
                <w:b w:val="0"/>
                <w:i/>
                <w:sz w:val="20"/>
              </w:rPr>
            </w:pPr>
            <w:r w:rsidRPr="007A0EED">
              <w:rPr>
                <w:rFonts w:ascii="Book Antiqua" w:hAnsi="Book Antiqua"/>
                <w:b w:val="0"/>
                <w:i/>
                <w:sz w:val="20"/>
              </w:rPr>
              <w:t>Public Governance, Performance and Accountability Act 2013.</w:t>
            </w:r>
          </w:p>
          <w:p w14:paraId="03BB54DC"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An Act about the governance, </w:t>
            </w:r>
            <w:proofErr w:type="gramStart"/>
            <w:r w:rsidRPr="00F30004">
              <w:rPr>
                <w:rFonts w:ascii="Book Antiqua" w:hAnsi="Book Antiqua"/>
                <w:b w:val="0"/>
                <w:sz w:val="20"/>
              </w:rPr>
              <w:t>performance</w:t>
            </w:r>
            <w:proofErr w:type="gramEnd"/>
            <w:r w:rsidRPr="00F30004">
              <w:rPr>
                <w:rFonts w:ascii="Book Antiqua" w:hAnsi="Book Antiqua"/>
                <w:b w:val="0"/>
                <w:sz w:val="20"/>
              </w:rPr>
              <w:t xml:space="preserve"> and accountability of, and the use and management of, public resources by the Commonwealth, Commonwealth entities and Commonwealth companies, and for related purposes.</w:t>
            </w:r>
          </w:p>
        </w:tc>
      </w:tr>
      <w:tr w:rsidR="006A26E8" w:rsidRPr="00F30004" w14:paraId="16F081E7" w14:textId="77777777" w:rsidTr="0012457D">
        <w:tc>
          <w:tcPr>
            <w:tcW w:w="1701" w:type="dxa"/>
            <w:tcBorders>
              <w:bottom w:val="single" w:sz="4" w:space="0" w:color="auto"/>
            </w:tcBorders>
          </w:tcPr>
          <w:p w14:paraId="28CF51FF"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Portfolio Budget Statements</w:t>
            </w:r>
          </w:p>
        </w:tc>
        <w:tc>
          <w:tcPr>
            <w:tcW w:w="6010" w:type="dxa"/>
            <w:tcBorders>
              <w:bottom w:val="single" w:sz="4" w:space="0" w:color="auto"/>
            </w:tcBorders>
          </w:tcPr>
          <w:p w14:paraId="34896B92"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Budget Related Paper prepared by Portfolios detailing Budget initiatives and explanations of appropriations in terms of outcomes and programs.</w:t>
            </w:r>
          </w:p>
        </w:tc>
      </w:tr>
      <w:tr w:rsidR="006A26E8" w:rsidRPr="00F30004" w14:paraId="0226C41D" w14:textId="77777777" w:rsidTr="0012457D">
        <w:tc>
          <w:tcPr>
            <w:tcW w:w="1701" w:type="dxa"/>
            <w:tcBorders>
              <w:bottom w:val="single" w:sz="4" w:space="0" w:color="auto"/>
            </w:tcBorders>
          </w:tcPr>
          <w:p w14:paraId="23B447CC"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Price parameter adjustment</w:t>
            </w:r>
          </w:p>
        </w:tc>
        <w:tc>
          <w:tcPr>
            <w:tcW w:w="6010" w:type="dxa"/>
            <w:tcBorders>
              <w:bottom w:val="single" w:sz="4" w:space="0" w:color="auto"/>
            </w:tcBorders>
          </w:tcPr>
          <w:p w14:paraId="56331E85"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Expenses are indexed by a price parameter for anticipated increases in costs over the estimates period. Changes in indexation are annotated to each outcome as ‘Price parameter adjustment’ or ‘Application of indexation </w:t>
            </w:r>
            <w:proofErr w:type="gramStart"/>
            <w:r w:rsidRPr="00F30004">
              <w:rPr>
                <w:rFonts w:ascii="Book Antiqua" w:hAnsi="Book Antiqua"/>
                <w:b w:val="0"/>
                <w:sz w:val="20"/>
              </w:rPr>
              <w:t>parameters’</w:t>
            </w:r>
            <w:proofErr w:type="gramEnd"/>
            <w:r w:rsidRPr="00F30004">
              <w:rPr>
                <w:rFonts w:ascii="Book Antiqua" w:hAnsi="Book Antiqua"/>
                <w:b w:val="0"/>
                <w:sz w:val="20"/>
              </w:rPr>
              <w:t>.</w:t>
            </w:r>
          </w:p>
        </w:tc>
      </w:tr>
    </w:tbl>
    <w:p w14:paraId="5AA66BE4" w14:textId="77777777" w:rsidR="0012457D" w:rsidRDefault="0012457D">
      <w:r>
        <w:rPr>
          <w:b/>
        </w:rPr>
        <w:br w:type="page"/>
      </w:r>
    </w:p>
    <w:tbl>
      <w:tblPr>
        <w:tblW w:w="5000" w:type="pct"/>
        <w:tblBorders>
          <w:top w:val="single" w:sz="4" w:space="0" w:color="auto"/>
          <w:insideH w:val="single" w:sz="4" w:space="0" w:color="auto"/>
        </w:tblBorders>
        <w:tblLook w:val="04A0" w:firstRow="1" w:lastRow="0" w:firstColumn="1" w:lastColumn="0" w:noHBand="0" w:noVBand="1"/>
        <w:tblCaption w:val="Glossary"/>
        <w:tblDescription w:val="Glossary detailing key words and terms for the entirety of these Portfolio Budget Statements"/>
      </w:tblPr>
      <w:tblGrid>
        <w:gridCol w:w="1701"/>
        <w:gridCol w:w="6010"/>
      </w:tblGrid>
      <w:tr w:rsidR="006A26E8" w:rsidRPr="00F30004" w14:paraId="4A4DC4CB" w14:textId="77777777" w:rsidTr="007A0EED">
        <w:tc>
          <w:tcPr>
            <w:tcW w:w="1701" w:type="dxa"/>
            <w:tcBorders>
              <w:top w:val="single" w:sz="4" w:space="0" w:color="auto"/>
              <w:bottom w:val="single" w:sz="4" w:space="0" w:color="auto"/>
            </w:tcBorders>
          </w:tcPr>
          <w:p w14:paraId="243E4050" w14:textId="5DB3ED60"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Program/ Programme</w:t>
            </w:r>
          </w:p>
        </w:tc>
        <w:tc>
          <w:tcPr>
            <w:tcW w:w="6010" w:type="dxa"/>
            <w:tcBorders>
              <w:top w:val="single" w:sz="4" w:space="0" w:color="auto"/>
              <w:bottom w:val="single" w:sz="4" w:space="0" w:color="auto"/>
            </w:tcBorders>
          </w:tcPr>
          <w:p w14:paraId="03360440"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Commonwealth programs deliver benefits, services or transfer payments to individuals, industry/</w:t>
            </w:r>
            <w:proofErr w:type="gramStart"/>
            <w:r w:rsidRPr="00F30004">
              <w:rPr>
                <w:rFonts w:ascii="Book Antiqua" w:hAnsi="Book Antiqua"/>
                <w:b w:val="0"/>
                <w:sz w:val="20"/>
              </w:rPr>
              <w:t>business</w:t>
            </w:r>
            <w:proofErr w:type="gramEnd"/>
            <w:r w:rsidRPr="00F30004">
              <w:rPr>
                <w:rFonts w:ascii="Book Antiqua" w:hAnsi="Book Antiqua"/>
                <w:b w:val="0"/>
                <w:sz w:val="20"/>
              </w:rPr>
              <w:t xml:space="preserve"> or the community as a whole, and are the primary vehicles for government entities to achieve the intended results of their outcome statements. Commencing from the 2009–10 Budget, entities are required to report to Parliament by program.</w:t>
            </w:r>
          </w:p>
        </w:tc>
      </w:tr>
      <w:tr w:rsidR="006A26E8" w:rsidRPr="00F30004" w14:paraId="00991DF5" w14:textId="77777777" w:rsidTr="0012457D">
        <w:tc>
          <w:tcPr>
            <w:tcW w:w="1701" w:type="dxa"/>
            <w:tcBorders>
              <w:top w:val="single" w:sz="4" w:space="0" w:color="auto"/>
            </w:tcBorders>
          </w:tcPr>
          <w:p w14:paraId="24838CC5"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Revenue</w:t>
            </w:r>
          </w:p>
        </w:tc>
        <w:tc>
          <w:tcPr>
            <w:tcW w:w="6010" w:type="dxa"/>
            <w:tcBorders>
              <w:top w:val="single" w:sz="4" w:space="0" w:color="auto"/>
            </w:tcBorders>
          </w:tcPr>
          <w:p w14:paraId="65BC370F"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Total value of resources earned or received during the reporting period.</w:t>
            </w:r>
          </w:p>
        </w:tc>
      </w:tr>
      <w:tr w:rsidR="006A26E8" w:rsidRPr="00F30004" w14:paraId="4B76E6B4" w14:textId="77777777" w:rsidTr="008369F5">
        <w:tc>
          <w:tcPr>
            <w:tcW w:w="1701" w:type="dxa"/>
          </w:tcPr>
          <w:p w14:paraId="0D1EFBE0"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Right-of-Use Asset</w:t>
            </w:r>
          </w:p>
        </w:tc>
        <w:tc>
          <w:tcPr>
            <w:tcW w:w="6010" w:type="dxa"/>
          </w:tcPr>
          <w:p w14:paraId="78B178DE"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An asset that represents a lessee’s right to use an underlying asset for the lease term.</w:t>
            </w:r>
          </w:p>
        </w:tc>
      </w:tr>
      <w:tr w:rsidR="006A26E8" w:rsidRPr="00F30004" w14:paraId="02D4AD5D" w14:textId="77777777" w:rsidTr="008369F5">
        <w:tc>
          <w:tcPr>
            <w:tcW w:w="1701" w:type="dxa"/>
          </w:tcPr>
          <w:p w14:paraId="2B7D67FA"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Special account</w:t>
            </w:r>
          </w:p>
        </w:tc>
        <w:tc>
          <w:tcPr>
            <w:tcW w:w="6010" w:type="dxa"/>
          </w:tcPr>
          <w:p w14:paraId="050A9A78"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 or by an outsider authorised in a manner consistent with the PGPA Act.</w:t>
            </w:r>
          </w:p>
        </w:tc>
      </w:tr>
      <w:tr w:rsidR="006A26E8" w:rsidRPr="00F30004" w14:paraId="38E3E936" w14:textId="77777777" w:rsidTr="0012457D">
        <w:tc>
          <w:tcPr>
            <w:tcW w:w="1701" w:type="dxa"/>
            <w:tcBorders>
              <w:bottom w:val="single" w:sz="4" w:space="0" w:color="auto"/>
            </w:tcBorders>
          </w:tcPr>
          <w:p w14:paraId="340B6C01" w14:textId="77777777" w:rsidR="006A26E8" w:rsidRPr="00362584" w:rsidRDefault="006A26E8" w:rsidP="008369F5">
            <w:pPr>
              <w:pStyle w:val="TableColumnHeadingLeft"/>
              <w:spacing w:before="24" w:after="74"/>
              <w:rPr>
                <w:rFonts w:ascii="Arial" w:hAnsi="Arial" w:cs="Arial"/>
                <w:sz w:val="20"/>
              </w:rPr>
            </w:pPr>
            <w:r w:rsidRPr="00362584">
              <w:rPr>
                <w:rFonts w:ascii="Arial" w:hAnsi="Arial" w:cs="Arial"/>
                <w:sz w:val="20"/>
              </w:rPr>
              <w:t>Special appropriation</w:t>
            </w:r>
          </w:p>
        </w:tc>
        <w:tc>
          <w:tcPr>
            <w:tcW w:w="6010" w:type="dxa"/>
            <w:tcBorders>
              <w:bottom w:val="single" w:sz="4" w:space="0" w:color="auto"/>
            </w:tcBorders>
          </w:tcPr>
          <w:p w14:paraId="353B2414" w14:textId="77777777" w:rsidR="006A26E8" w:rsidRPr="00F30004" w:rsidRDefault="006A26E8" w:rsidP="008369F5">
            <w:pPr>
              <w:pStyle w:val="TableColumnHeadingLeft"/>
              <w:spacing w:before="74" w:after="74"/>
              <w:rPr>
                <w:rFonts w:ascii="Book Antiqua" w:hAnsi="Book Antiqua"/>
                <w:b w:val="0"/>
                <w:sz w:val="20"/>
              </w:rPr>
            </w:pPr>
            <w:r w:rsidRPr="00F30004">
              <w:rPr>
                <w:rFonts w:ascii="Book Antiqua" w:hAnsi="Book Antiqua"/>
                <w:b w:val="0"/>
                <w:sz w:val="20"/>
              </w:rPr>
              <w:t xml:space="preserve">Special appropriations are provisions within an Act, other than the annual appropriation Acts, which authorise expenditure for </w:t>
            </w:r>
            <w:proofErr w:type="gramStart"/>
            <w:r w:rsidRPr="00F30004">
              <w:rPr>
                <w:rFonts w:ascii="Book Antiqua" w:hAnsi="Book Antiqua"/>
                <w:b w:val="0"/>
                <w:sz w:val="20"/>
              </w:rPr>
              <w:t>particular purposes</w:t>
            </w:r>
            <w:proofErr w:type="gramEnd"/>
            <w:r w:rsidRPr="00F30004">
              <w:rPr>
                <w:rFonts w:ascii="Book Antiqua" w:hAnsi="Book Antiqua"/>
                <w:b w:val="0"/>
                <w:sz w:val="20"/>
              </w:rPr>
              <w:t xml:space="preserve">. Special appropriations may state a maximum amount that is appropriated for the particular </w:t>
            </w:r>
            <w:proofErr w:type="gramStart"/>
            <w:r w:rsidRPr="00F30004">
              <w:rPr>
                <w:rFonts w:ascii="Book Antiqua" w:hAnsi="Book Antiqua"/>
                <w:b w:val="0"/>
                <w:sz w:val="20"/>
              </w:rPr>
              <w:t>purpose, or</w:t>
            </w:r>
            <w:proofErr w:type="gramEnd"/>
            <w:r w:rsidRPr="00F30004">
              <w:rPr>
                <w:rFonts w:ascii="Book Antiqua" w:hAnsi="Book Antiqua"/>
                <w:b w:val="0"/>
                <w:sz w:val="20"/>
              </w:rPr>
              <w:t xml:space="preserve"> may specify the legislative criteria that will determine the amount to be paid.</w:t>
            </w:r>
          </w:p>
        </w:tc>
      </w:tr>
      <w:tr w:rsidR="006A26E8" w:rsidRPr="00F30004" w14:paraId="099EAA96" w14:textId="77777777" w:rsidTr="0012457D">
        <w:tc>
          <w:tcPr>
            <w:tcW w:w="1701" w:type="dxa"/>
            <w:tcBorders>
              <w:bottom w:val="single" w:sz="4" w:space="0" w:color="auto"/>
            </w:tcBorders>
          </w:tcPr>
          <w:p w14:paraId="1A767D35" w14:textId="0CA9823F" w:rsidR="006A26E8" w:rsidRPr="00362584" w:rsidRDefault="004A3473" w:rsidP="008369F5">
            <w:pPr>
              <w:pStyle w:val="TableColumnHeadingLeft"/>
              <w:spacing w:before="24" w:after="74"/>
              <w:rPr>
                <w:rFonts w:ascii="Arial" w:hAnsi="Arial" w:cs="Arial"/>
                <w:sz w:val="20"/>
              </w:rPr>
            </w:pPr>
            <w:r>
              <w:rPr>
                <w:rFonts w:ascii="Arial" w:hAnsi="Arial" w:cs="Arial"/>
                <w:sz w:val="20"/>
              </w:rPr>
              <w:t>Strategic direction s</w:t>
            </w:r>
            <w:r w:rsidR="006A26E8" w:rsidRPr="00362584">
              <w:rPr>
                <w:rFonts w:ascii="Arial" w:hAnsi="Arial" w:cs="Arial"/>
                <w:sz w:val="20"/>
              </w:rPr>
              <w:t>tatement</w:t>
            </w:r>
          </w:p>
        </w:tc>
        <w:tc>
          <w:tcPr>
            <w:tcW w:w="6010" w:type="dxa"/>
            <w:tcBorders>
              <w:bottom w:val="single" w:sz="4" w:space="0" w:color="auto"/>
            </w:tcBorders>
          </w:tcPr>
          <w:p w14:paraId="4EAE23C2" w14:textId="47495C61" w:rsidR="006A26E8" w:rsidRPr="00F30004" w:rsidRDefault="004A3473" w:rsidP="008369F5">
            <w:pPr>
              <w:pStyle w:val="TableColumnHeadingLeft"/>
              <w:spacing w:before="74" w:after="74"/>
              <w:rPr>
                <w:rFonts w:ascii="Book Antiqua" w:hAnsi="Book Antiqua"/>
                <w:b w:val="0"/>
                <w:sz w:val="20"/>
              </w:rPr>
            </w:pPr>
            <w:r>
              <w:rPr>
                <w:rFonts w:ascii="Book Antiqua" w:hAnsi="Book Antiqua"/>
                <w:b w:val="0"/>
                <w:sz w:val="20"/>
              </w:rPr>
              <w:t>The strategic direction s</w:t>
            </w:r>
            <w:r w:rsidR="006A26E8" w:rsidRPr="00F30004">
              <w:rPr>
                <w:rFonts w:ascii="Book Antiqua" w:hAnsi="Book Antiqua"/>
                <w:b w:val="0"/>
                <w:sz w:val="20"/>
              </w:rPr>
              <w:t xml:space="preserve">tatement explains the year ahead for the entity, focusing on the items of most importance, recognising the major Budget decisions affecting the entity, the major ongoing functions, new </w:t>
            </w:r>
            <w:proofErr w:type="gramStart"/>
            <w:r w:rsidR="006A26E8" w:rsidRPr="00F30004">
              <w:rPr>
                <w:rFonts w:ascii="Book Antiqua" w:hAnsi="Book Antiqua"/>
                <w:b w:val="0"/>
                <w:sz w:val="20"/>
              </w:rPr>
              <w:t>functions</w:t>
            </w:r>
            <w:proofErr w:type="gramEnd"/>
            <w:r w:rsidR="006A26E8" w:rsidRPr="00F30004">
              <w:rPr>
                <w:rFonts w:ascii="Book Antiqua" w:hAnsi="Book Antiqua"/>
                <w:b w:val="0"/>
                <w:sz w:val="20"/>
              </w:rPr>
              <w:t xml:space="preserve"> and significant partnership arrangements, as well as upcoming challenges in the years ahead.</w:t>
            </w:r>
          </w:p>
        </w:tc>
      </w:tr>
    </w:tbl>
    <w:p w14:paraId="65F27F4A" w14:textId="77777777" w:rsidR="00376E4F" w:rsidRPr="00DB42D8" w:rsidRDefault="00376E4F" w:rsidP="00CE48ED"/>
    <w:sectPr w:rsidR="00376E4F" w:rsidRPr="00DB42D8" w:rsidSect="00A174F3">
      <w:footerReference w:type="even" r:id="rId78"/>
      <w:footerReference w:type="default" r:id="rId79"/>
      <w:footerReference w:type="first" r:id="rId80"/>
      <w:pgSz w:w="11907" w:h="16840" w:code="9"/>
      <w:pgMar w:top="2835" w:right="2098" w:bottom="2466" w:left="2098" w:header="1814" w:footer="181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08C1" w14:textId="77777777" w:rsidR="002D117B" w:rsidRDefault="002D117B" w:rsidP="00F51DAC">
      <w:pPr>
        <w:spacing w:after="0" w:line="240" w:lineRule="auto"/>
      </w:pPr>
      <w:r>
        <w:separator/>
      </w:r>
    </w:p>
  </w:endnote>
  <w:endnote w:type="continuationSeparator" w:id="0">
    <w:p w14:paraId="7B6865E6" w14:textId="77777777" w:rsidR="002D117B" w:rsidRDefault="002D117B" w:rsidP="00F51DAC">
      <w:pPr>
        <w:spacing w:after="0" w:line="240" w:lineRule="auto"/>
      </w:pPr>
      <w:r>
        <w:continuationSeparator/>
      </w:r>
    </w:p>
  </w:endnote>
  <w:endnote w:type="continuationNotice" w:id="1">
    <w:p w14:paraId="5772850E" w14:textId="77777777" w:rsidR="002D117B" w:rsidRDefault="002D11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0A9D" w14:textId="42603D68" w:rsidR="00CB72A5" w:rsidRDefault="00CB72A5">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620FDF">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34AF" w14:textId="598DE71B" w:rsidR="00CB72A5" w:rsidRPr="00BA6C8E" w:rsidRDefault="00CB72A5" w:rsidP="00BA6C8E">
    <w:pPr>
      <w:pStyle w:val="FooterOdd"/>
      <w:jc w:val="left"/>
      <w:rPr>
        <w:b/>
      </w:rPr>
    </w:pPr>
    <w:r w:rsidRPr="00BA6C8E">
      <w:rPr>
        <w:b/>
      </w:rPr>
      <w:t xml:space="preserve">Page </w:t>
    </w:r>
    <w:r w:rsidRPr="00BA6C8E">
      <w:rPr>
        <w:b/>
        <w:bCs/>
      </w:rPr>
      <w:fldChar w:fldCharType="begin"/>
    </w:r>
    <w:r w:rsidRPr="00BA6C8E">
      <w:rPr>
        <w:b/>
        <w:bCs/>
      </w:rPr>
      <w:instrText xml:space="preserve"> PAGE  \* roman  \* MERGEFORMAT </w:instrText>
    </w:r>
    <w:r w:rsidRPr="00BA6C8E">
      <w:rPr>
        <w:b/>
        <w:bCs/>
      </w:rPr>
      <w:fldChar w:fldCharType="separate"/>
    </w:r>
    <w:r w:rsidR="00620FDF">
      <w:rPr>
        <w:b/>
        <w:bCs/>
        <w:noProof/>
      </w:rPr>
      <w:t>vi</w:t>
    </w:r>
    <w:r w:rsidRPr="00BA6C8E">
      <w:rPr>
        <w:b/>
        <w:bCs/>
      </w:rPr>
      <w:fldChar w:fldCharType="end"/>
    </w:r>
    <w:r>
      <w:rPr>
        <w:b/>
        <w:bCs/>
      </w:rPr>
      <w:t xml:space="preserve"> </w:t>
    </w:r>
    <w:r w:rsidRPr="00BA6C8E">
      <w:rPr>
        <w:bCs/>
      </w:rPr>
      <w:t xml:space="preserve"> |  </w:t>
    </w:r>
    <w:r>
      <w:rPr>
        <w:bCs/>
      </w:rPr>
      <w:t>User Guide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0508" w14:textId="4D57D624"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10</w:t>
    </w:r>
    <w:r w:rsidRPr="006E442F">
      <w:rPr>
        <w:b/>
        <w:bCs/>
        <w:noProof/>
      </w:rPr>
      <w:fldChar w:fldCharType="end"/>
    </w:r>
    <w:r>
      <w:rPr>
        <w:noProof/>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3F01" w14:textId="10E2F5EF" w:rsidR="00CB72A5" w:rsidRDefault="00CB72A5" w:rsidP="006C3946">
    <w:pPr>
      <w:pStyle w:val="FooterOdd"/>
    </w:pPr>
    <w:r w:rsidRPr="00ED6CC1">
      <w:rPr>
        <w:b/>
        <w:bCs/>
      </w:rPr>
      <w:t xml:space="preserve">Page </w:t>
    </w:r>
    <w:r>
      <w:rPr>
        <w:b/>
        <w:bCs/>
      </w:rPr>
      <w:fldChar w:fldCharType="begin"/>
    </w:r>
    <w:r>
      <w:rPr>
        <w:b/>
        <w:bCs/>
      </w:rPr>
      <w:instrText xml:space="preserve"> PAGE  \* Arabic  \* MERGEFORMAT </w:instrText>
    </w:r>
    <w:r>
      <w:rPr>
        <w:b/>
        <w:bCs/>
      </w:rPr>
      <w:fldChar w:fldCharType="separate"/>
    </w:r>
    <w:r w:rsidR="00620FDF">
      <w:rPr>
        <w:b/>
        <w:bCs/>
        <w:noProof/>
      </w:rPr>
      <w:t>9</w:t>
    </w:r>
    <w:r>
      <w:rP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8A4" w14:textId="071E80BA" w:rsidR="00CB72A5" w:rsidRPr="00BA6C8E" w:rsidRDefault="00CB72A5" w:rsidP="00BA6C8E">
    <w:pPr>
      <w:pStyle w:val="FooterOdd"/>
      <w:jc w:val="left"/>
      <w:rPr>
        <w:b/>
      </w:rPr>
    </w:pPr>
    <w:r w:rsidRPr="00BA6C8E">
      <w:rPr>
        <w:b/>
      </w:rPr>
      <w:t xml:space="preserve">Page </w:t>
    </w:r>
    <w:r>
      <w:rPr>
        <w:b/>
        <w:bCs/>
      </w:rPr>
      <w:fldChar w:fldCharType="begin"/>
    </w:r>
    <w:r>
      <w:rPr>
        <w:b/>
        <w:bCs/>
      </w:rPr>
      <w:instrText xml:space="preserve"> PAGE  \* roman  \* MERGEFORMAT </w:instrText>
    </w:r>
    <w:r>
      <w:rPr>
        <w:b/>
        <w:bCs/>
      </w:rPr>
      <w:fldChar w:fldCharType="separate"/>
    </w:r>
    <w:r w:rsidR="00620FDF">
      <w:rPr>
        <w:b/>
        <w:bCs/>
        <w:noProof/>
      </w:rPr>
      <w:t>viii</w:t>
    </w:r>
    <w:r>
      <w:rPr>
        <w:b/>
        <w:bCs/>
      </w:rPr>
      <w:fldChar w:fldCharType="end"/>
    </w:r>
    <w:r>
      <w:rPr>
        <w:b/>
        <w:bCs/>
      </w:rPr>
      <w:t xml:space="preserve"> </w:t>
    </w:r>
    <w:r w:rsidRPr="00BA6C8E">
      <w:rPr>
        <w:bCs/>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DF61" w14:textId="1E8C4619"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16</w:t>
    </w:r>
    <w:r w:rsidRPr="006E442F">
      <w:rPr>
        <w:b/>
        <w:bCs/>
        <w:noProof/>
      </w:rPr>
      <w:fldChar w:fldCharType="end"/>
    </w:r>
    <w:r>
      <w:rPr>
        <w:noProof/>
      </w:rPr>
      <w:t xml:space="preserve">  |  Portfolio Overview</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E026" w14:textId="60BEEB8E" w:rsidR="00CB72A5" w:rsidRDefault="00CB72A5" w:rsidP="006C3946">
    <w:pPr>
      <w:pStyle w:val="FooterOdd"/>
    </w:pPr>
    <w:r w:rsidRPr="000D0E78">
      <w:rPr>
        <w:bCs/>
      </w:rPr>
      <w:t xml:space="preserve">Portfolio </w:t>
    </w:r>
    <w:proofErr w:type="gramStart"/>
    <w:r w:rsidRPr="000D0E78">
      <w:rPr>
        <w:bCs/>
      </w:rPr>
      <w:t>Overview  |</w:t>
    </w:r>
    <w:proofErr w:type="gramEnd"/>
    <w:r w:rsidRPr="000D0E78">
      <w:rPr>
        <w:bCs/>
      </w:rPr>
      <w:t xml:space="preserve">  </w:t>
    </w:r>
    <w:r w:rsidRPr="00ED6CC1">
      <w:rPr>
        <w:b/>
        <w:bCs/>
      </w:rPr>
      <w:t xml:space="preserve">Page </w:t>
    </w:r>
    <w:r>
      <w:rPr>
        <w:b/>
        <w:bCs/>
      </w:rPr>
      <w:fldChar w:fldCharType="begin"/>
    </w:r>
    <w:r>
      <w:rPr>
        <w:b/>
        <w:bCs/>
      </w:rPr>
      <w:instrText xml:space="preserve"> PAGE  \* Arabic  \* MERGEFORMAT </w:instrText>
    </w:r>
    <w:r>
      <w:rPr>
        <w:b/>
        <w:bCs/>
      </w:rPr>
      <w:fldChar w:fldCharType="separate"/>
    </w:r>
    <w:r w:rsidR="00620FDF">
      <w:rPr>
        <w:b/>
        <w:bCs/>
        <w:noProof/>
      </w:rPr>
      <w:t>17</w:t>
    </w:r>
    <w:r>
      <w:rPr>
        <w:b/>
        <w:bCs/>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32A" w14:textId="2F806303" w:rsidR="00CB72A5" w:rsidRPr="00BA6C8E" w:rsidRDefault="00CB72A5" w:rsidP="00AC7C2A">
    <w:pPr>
      <w:pStyle w:val="FooterOdd"/>
      <w:rPr>
        <w:b/>
      </w:rPr>
    </w:pPr>
    <w:r w:rsidRPr="00BA6C8E">
      <w:rPr>
        <w:b/>
      </w:rPr>
      <w:t xml:space="preserve">Page </w:t>
    </w:r>
    <w:r>
      <w:rPr>
        <w:b/>
        <w:bCs/>
      </w:rPr>
      <w:fldChar w:fldCharType="begin"/>
    </w:r>
    <w:r>
      <w:rPr>
        <w:b/>
        <w:bCs/>
      </w:rPr>
      <w:instrText xml:space="preserve"> PAGE  \* Arabic  \* MERGEFORMAT </w:instrText>
    </w:r>
    <w:r>
      <w:rPr>
        <w:b/>
        <w:bCs/>
      </w:rPr>
      <w:fldChar w:fldCharType="separate"/>
    </w:r>
    <w:r w:rsidR="00620FDF">
      <w:rPr>
        <w:b/>
        <w:bCs/>
        <w:noProof/>
      </w:rPr>
      <w:t>11</w:t>
    </w:r>
    <w:r>
      <w:rPr>
        <w:b/>
        <w:bC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E1A4" w14:textId="3F440CA5" w:rsidR="00CB72A5" w:rsidRPr="00BA6C8E" w:rsidRDefault="00CB72A5" w:rsidP="008D163C">
    <w:pPr>
      <w:pStyle w:val="FooterOdd"/>
      <w:jc w:val="left"/>
      <w:rPr>
        <w:b/>
      </w:rPr>
    </w:pPr>
    <w:r w:rsidRPr="00BA6C8E">
      <w:rPr>
        <w:b/>
      </w:rPr>
      <w:t xml:space="preserve">Page </w:t>
    </w:r>
    <w:r>
      <w:rPr>
        <w:b/>
        <w:bCs/>
      </w:rPr>
      <w:fldChar w:fldCharType="begin"/>
    </w:r>
    <w:r>
      <w:rPr>
        <w:b/>
        <w:bCs/>
      </w:rPr>
      <w:instrText xml:space="preserve"> PAGE  \* Arabic  \* MERGEFORMAT </w:instrText>
    </w:r>
    <w:r>
      <w:rPr>
        <w:b/>
        <w:bCs/>
      </w:rPr>
      <w:fldChar w:fldCharType="separate"/>
    </w:r>
    <w:r w:rsidR="00620FDF">
      <w:rPr>
        <w:b/>
        <w:bCs/>
        <w:noProof/>
      </w:rPr>
      <w:t>18</w:t>
    </w:r>
    <w:r>
      <w:rPr>
        <w:b/>
        <w:bCs/>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B9E3" w14:textId="168A3990" w:rsidR="00CB72A5" w:rsidRDefault="00CB72A5" w:rsidP="006C3946">
    <w:pPr>
      <w:pStyle w:val="FooterEven"/>
    </w:pPr>
    <w:r>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20</w:t>
    </w:r>
    <w:r w:rsidRPr="006E442F">
      <w:rPr>
        <w:b/>
        <w:bCs/>
        <w:noProof/>
      </w:rPr>
      <w:fldChar w:fldCharType="end"/>
    </w:r>
    <w:r>
      <w:rPr>
        <w:noProof/>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D2D2" w14:textId="0B587972" w:rsidR="00CB72A5" w:rsidRDefault="00CB72A5" w:rsidP="006C3946">
    <w:pPr>
      <w:pStyle w:val="FooterOdd"/>
    </w:pPr>
    <w:r w:rsidRPr="000D0E78">
      <w:rPr>
        <w:bCs/>
      </w:rPr>
      <w:t xml:space="preserve">Department of Health and Aged </w:t>
    </w:r>
    <w:proofErr w:type="gramStart"/>
    <w:r w:rsidRPr="000D0E78">
      <w:rPr>
        <w:bCs/>
      </w:rPr>
      <w:t>Care  |</w:t>
    </w:r>
    <w:proofErr w:type="gramEnd"/>
    <w:r w:rsidRPr="000D0E78">
      <w:rPr>
        <w:bCs/>
      </w:rP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23</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C701" w14:textId="6506C009" w:rsidR="00CB72A5" w:rsidRPr="006E442F" w:rsidRDefault="00CB72A5" w:rsidP="0059350C">
    <w:pPr>
      <w:pStyle w:val="FooterOdd"/>
      <w:rPr>
        <w:b/>
        <w:bCs/>
      </w:rPr>
    </w:pPr>
    <w:r w:rsidRPr="006E442F">
      <w:rPr>
        <w:b/>
        <w:bCs/>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sidR="00620FDF">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B532" w14:textId="078E03A7" w:rsidR="00CB72A5" w:rsidRPr="00BA6C8E" w:rsidRDefault="00CB72A5" w:rsidP="000D0E78">
    <w:pPr>
      <w:pStyle w:val="FooterOdd"/>
      <w:rPr>
        <w:b/>
      </w:rPr>
    </w:pPr>
    <w:r w:rsidRPr="00BA6C8E">
      <w:rPr>
        <w:b/>
      </w:rPr>
      <w:t>Page</w:t>
    </w:r>
    <w:r>
      <w:rPr>
        <w:b/>
      </w:rPr>
      <w:t xml:space="preserve"> </w:t>
    </w:r>
    <w:r>
      <w:rPr>
        <w:b/>
        <w:bCs/>
      </w:rPr>
      <w:fldChar w:fldCharType="begin"/>
    </w:r>
    <w:r>
      <w:rPr>
        <w:b/>
        <w:bCs/>
      </w:rPr>
      <w:instrText xml:space="preserve"> PAGE  \* Arabic  \* MERGEFORMAT </w:instrText>
    </w:r>
    <w:r>
      <w:rPr>
        <w:b/>
        <w:bCs/>
      </w:rPr>
      <w:fldChar w:fldCharType="separate"/>
    </w:r>
    <w:r w:rsidR="00620FDF">
      <w:rPr>
        <w:b/>
        <w:bCs/>
        <w:noProof/>
      </w:rPr>
      <w:t>19</w:t>
    </w:r>
    <w:r>
      <w:rPr>
        <w:b/>
        <w:bC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47B3" w14:textId="062AD4B1" w:rsidR="00CB72A5" w:rsidRDefault="00CB72A5" w:rsidP="006C3946">
    <w:pPr>
      <w:pStyle w:val="FooterEven"/>
    </w:pPr>
    <w:r>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22</w:t>
    </w:r>
    <w:r w:rsidRPr="006E442F">
      <w:rPr>
        <w:b/>
        <w:bCs/>
        <w:noProof/>
      </w:rPr>
      <w:fldChar w:fldCharType="end"/>
    </w:r>
    <w:r>
      <w:rPr>
        <w:noProof/>
      </w:rPr>
      <w:t xml:space="preserve">  |  Department of Health and Aged Care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E14E" w14:textId="4641A219" w:rsidR="00CB72A5" w:rsidRDefault="00CB72A5" w:rsidP="006621FC">
    <w:pPr>
      <w:pStyle w:val="FooterEven"/>
      <w:jc w:val="right"/>
    </w:pPr>
    <w:r>
      <w:t xml:space="preserve"> </w:t>
    </w:r>
    <w:r w:rsidRPr="00952696">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21</w:t>
    </w:r>
    <w:r w:rsidRPr="006E442F">
      <w:rPr>
        <w:b/>
        <w:bCs/>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825E" w14:textId="16FF2A29"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98</w:t>
    </w:r>
    <w:r w:rsidRPr="006E442F">
      <w:rPr>
        <w:b/>
        <w:bCs/>
        <w:noProof/>
      </w:rPr>
      <w:fldChar w:fldCharType="end"/>
    </w:r>
    <w:r>
      <w:rPr>
        <w:noProof/>
      </w:rPr>
      <w:t xml:space="preserve">  |  </w:t>
    </w:r>
    <w:r>
      <w:t>Aged Care Quality and Safety Commission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257D" w14:textId="6EA8B670" w:rsidR="00CB72A5" w:rsidRDefault="00CB72A5" w:rsidP="006C3946">
    <w:pPr>
      <w:pStyle w:val="FooterOdd"/>
    </w:pPr>
    <w:r>
      <w:t xml:space="preserve">Aged Care Quality and Safety </w:t>
    </w:r>
    <w:proofErr w:type="gramStart"/>
    <w:r>
      <w:t>Commission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97</w:t>
    </w:r>
    <w:r w:rsidRPr="00ED6CC1">
      <w:rPr>
        <w:b/>
        <w:bCs/>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2EB3" w14:textId="72ECD00B" w:rsidR="00CB72A5" w:rsidRDefault="00CB72A5" w:rsidP="00B62180">
    <w:pPr>
      <w:pStyle w:val="FooterEven"/>
      <w:jc w:val="right"/>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85</w:t>
    </w:r>
    <w:r w:rsidRPr="006E442F">
      <w:rPr>
        <w:b/>
        <w:bCs/>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FE82" w14:textId="01820D8E"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114</w:t>
    </w:r>
    <w:r w:rsidRPr="006E442F">
      <w:rPr>
        <w:b/>
        <w:bCs/>
        <w:noProof/>
      </w:rPr>
      <w:fldChar w:fldCharType="end"/>
    </w:r>
    <w:r>
      <w:rPr>
        <w:noProof/>
      </w:rPr>
      <w:t xml:space="preserve">  |  </w:t>
    </w:r>
    <w:r>
      <w:t>Australian Institute of Health and Welfare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7EE3" w14:textId="0D2495E7" w:rsidR="00CB72A5" w:rsidRDefault="00CB72A5" w:rsidP="006C3946">
    <w:pPr>
      <w:pStyle w:val="FooterOdd"/>
    </w:pPr>
    <w:r>
      <w:t xml:space="preserve">Australian Institute of Health and </w:t>
    </w:r>
    <w:proofErr w:type="gramStart"/>
    <w:r>
      <w:t>Welfare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113</w:t>
    </w:r>
    <w:r w:rsidRPr="00ED6CC1">
      <w:rPr>
        <w:b/>
        <w:bCs/>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1B2" w14:textId="04D04F81" w:rsidR="00CB72A5" w:rsidRDefault="00CB72A5" w:rsidP="00905C56">
    <w:pPr>
      <w:pStyle w:val="FooterEven"/>
      <w:jc w:val="right"/>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99</w:t>
    </w:r>
    <w:r w:rsidRPr="006E442F">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D98E" w14:textId="008A9FFC"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132</w:t>
    </w:r>
    <w:r w:rsidRPr="006E442F">
      <w:rPr>
        <w:b/>
        <w:bCs/>
        <w:noProof/>
      </w:rPr>
      <w:fldChar w:fldCharType="end"/>
    </w:r>
    <w:r>
      <w:rPr>
        <w:noProof/>
      </w:rPr>
      <w:t xml:space="preserve">  |  </w:t>
    </w:r>
    <w:r>
      <w:t>Organ and Tissue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1B50" w14:textId="77777777" w:rsidR="00CB72A5" w:rsidRDefault="00CB72A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1899" w14:textId="5EDBC399" w:rsidR="00CB72A5" w:rsidRDefault="00CB72A5" w:rsidP="006C3946">
    <w:pPr>
      <w:pStyle w:val="FooterOdd"/>
    </w:pPr>
    <w:r>
      <w:t xml:space="preserve"> Organ and Tissue </w:t>
    </w:r>
    <w:proofErr w:type="gramStart"/>
    <w:r>
      <w:t>Authority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131</w:t>
    </w:r>
    <w:r w:rsidRPr="00ED6CC1">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39AB" w14:textId="678119EE" w:rsidR="00CB72A5" w:rsidRDefault="00CB72A5" w:rsidP="006621FC">
    <w:pPr>
      <w:pStyle w:val="FooterEven"/>
      <w:jc w:val="right"/>
    </w:pPr>
    <w:r>
      <w:t xml:space="preserve"> </w:t>
    </w:r>
    <w:r w:rsidRPr="00952696">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115</w:t>
    </w:r>
    <w:r w:rsidRPr="006E442F">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28FB" w14:textId="77B02398"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146</w:t>
    </w:r>
    <w:r w:rsidRPr="006E442F">
      <w:rPr>
        <w:b/>
        <w:bCs/>
        <w:noProof/>
      </w:rPr>
      <w:fldChar w:fldCharType="end"/>
    </w:r>
    <w:r>
      <w:rPr>
        <w:noProof/>
      </w:rPr>
      <w:t xml:space="preserve">  |  </w:t>
    </w:r>
    <w:r>
      <w:t>Professional Services Review</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D3EE" w14:textId="3EE3A1F8" w:rsidR="00CB72A5" w:rsidRDefault="00CB72A5" w:rsidP="006C3946">
    <w:pPr>
      <w:pStyle w:val="FooterOdd"/>
    </w:pPr>
    <w:r>
      <w:t xml:space="preserve">Professional Services </w:t>
    </w:r>
    <w:proofErr w:type="gramStart"/>
    <w:r>
      <w:t>Review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145</w:t>
    </w:r>
    <w:r w:rsidRPr="00ED6CC1">
      <w:rPr>
        <w:b/>
        <w:bCs/>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A587" w14:textId="5D4A00BE" w:rsidR="00CB72A5" w:rsidRDefault="00CB72A5" w:rsidP="006621FC">
    <w:pPr>
      <w:pStyle w:val="FooterEven"/>
      <w:jc w:val="right"/>
    </w:pPr>
    <w:r w:rsidRPr="00952696">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133</w:t>
    </w:r>
    <w:r w:rsidRPr="006E442F">
      <w:rPr>
        <w:b/>
        <w:bCs/>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AB96" w14:textId="31546F96"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164</w:t>
    </w:r>
    <w:r w:rsidRPr="006E442F">
      <w:rPr>
        <w:b/>
        <w:bCs/>
        <w:noProof/>
      </w:rPr>
      <w:fldChar w:fldCharType="end"/>
    </w:r>
    <w:r>
      <w:rPr>
        <w:noProof/>
      </w:rPr>
      <w:t xml:space="preserve">  |  </w:t>
    </w:r>
    <w:r>
      <w:t>Sport Integrity Australia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3BBD" w14:textId="3D7C182F" w:rsidR="00CB72A5" w:rsidRDefault="00CB72A5" w:rsidP="006C3946">
    <w:pPr>
      <w:pStyle w:val="FooterOdd"/>
    </w:pPr>
    <w:r>
      <w:t xml:space="preserve">Sport Integrity </w:t>
    </w:r>
    <w:proofErr w:type="gramStart"/>
    <w:r>
      <w:t>Australia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163</w:t>
    </w:r>
    <w:r w:rsidRPr="00ED6CC1">
      <w:rPr>
        <w:b/>
        <w:bCs/>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4032" w14:textId="64E5DCB5" w:rsidR="00CB72A5" w:rsidRDefault="00CB72A5" w:rsidP="006621FC">
    <w:pPr>
      <w:pStyle w:val="FooterEven"/>
      <w:jc w:val="right"/>
    </w:pPr>
    <w:r w:rsidRPr="00952696">
      <w:t xml:space="preserve">  </w:t>
    </w: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147</w:t>
    </w:r>
    <w:r w:rsidRPr="006E442F">
      <w:rPr>
        <w:b/>
        <w:bCs/>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39CE" w14:textId="250B88DC"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sidR="00620FDF">
      <w:rPr>
        <w:b/>
        <w:noProof/>
      </w:rPr>
      <w:t>168</w:t>
    </w:r>
    <w:r w:rsidRPr="006E442F">
      <w:rPr>
        <w:b/>
        <w:bCs/>
        <w:noProof/>
      </w:rPr>
      <w:fldChar w:fldCharType="end"/>
    </w:r>
    <w:r>
      <w:rPr>
        <w:b/>
        <w:bCs/>
        <w:noProof/>
      </w:rPr>
      <w:t xml:space="preserve"> </w:t>
    </w:r>
    <w:r>
      <w:rPr>
        <w:noProof/>
      </w:rPr>
      <w:t xml:space="preserve"> |  </w:t>
    </w:r>
    <w:r>
      <w:t>Portfolio Glossary</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1CA0" w14:textId="21459BD0" w:rsidR="00CB72A5" w:rsidRDefault="00CB72A5" w:rsidP="006C3946">
    <w:pPr>
      <w:pStyle w:val="FooterOdd"/>
    </w:pPr>
    <w:r>
      <w:t xml:space="preserve">Portfolio </w:t>
    </w:r>
    <w:proofErr w:type="gramStart"/>
    <w:r>
      <w:t>Glossary  |</w:t>
    </w:r>
    <w:proofErr w:type="gramEnd"/>
    <w:r>
      <w:t xml:space="preserve">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620FDF">
      <w:rPr>
        <w:b/>
        <w:bCs/>
        <w:noProof/>
      </w:rPr>
      <w:t>167</w:t>
    </w:r>
    <w:r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7B24" w14:textId="089B6548" w:rsidR="00CB72A5" w:rsidRDefault="00CB72A5" w:rsidP="006E442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viii</w:t>
    </w:r>
    <w:r w:rsidRPr="006E442F">
      <w:rPr>
        <w:b/>
        <w:bCs/>
        <w:noProof/>
      </w:rPr>
      <w:fldChar w:fldCharType="end"/>
    </w:r>
    <w:r>
      <w:rPr>
        <w:noProof/>
      </w:rPr>
      <w:t xml:space="preserve"> | </w:t>
    </w:r>
    <w:r>
      <w:t>Contents</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EC07" w14:textId="5DD2A5C1" w:rsidR="00CB72A5" w:rsidRPr="003A05DA" w:rsidRDefault="00DF3C0F" w:rsidP="00E97EF1">
    <w:pPr>
      <w:pStyle w:val="FooterOdd"/>
      <w:tabs>
        <w:tab w:val="left" w:pos="5040"/>
        <w:tab w:val="right" w:pos="7711"/>
      </w:tabs>
    </w:pPr>
    <w:fldSimple w:instr=" STYLEREF  &quot;Heading 1&quot;  \* MERGEFORMAT ">
      <w:r w:rsidR="00D91F05">
        <w:rPr>
          <w:noProof/>
        </w:rPr>
        <w:t>Portfolio glossary</w:t>
      </w:r>
    </w:fldSimple>
    <w:r w:rsidR="00CB72A5">
      <w:rPr>
        <w:noProof/>
      </w:rPr>
      <w:t xml:space="preserve">  |  </w:t>
    </w:r>
    <w:r w:rsidR="00CB72A5" w:rsidRPr="00ED6CC1">
      <w:rPr>
        <w:b/>
        <w:bCs/>
      </w:rPr>
      <w:t xml:space="preserve">Page </w:t>
    </w:r>
    <w:r w:rsidR="00CB72A5" w:rsidRPr="00ED6CC1">
      <w:rPr>
        <w:b/>
        <w:bCs/>
      </w:rPr>
      <w:fldChar w:fldCharType="begin"/>
    </w:r>
    <w:r w:rsidR="00CB72A5" w:rsidRPr="00ED6CC1">
      <w:rPr>
        <w:b/>
        <w:bCs/>
      </w:rPr>
      <w:instrText xml:space="preserve"> PAGE   \* MERGEFORMAT </w:instrText>
    </w:r>
    <w:r w:rsidR="00CB72A5" w:rsidRPr="00ED6CC1">
      <w:rPr>
        <w:b/>
        <w:bCs/>
      </w:rPr>
      <w:fldChar w:fldCharType="separate"/>
    </w:r>
    <w:r w:rsidR="00620FDF">
      <w:rPr>
        <w:b/>
        <w:bCs/>
        <w:noProof/>
      </w:rPr>
      <w:t>165</w:t>
    </w:r>
    <w:r w:rsidR="00CB72A5"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C7CF" w14:textId="12AE9748" w:rsidR="00CB72A5" w:rsidRDefault="00CB72A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7AF5" w14:textId="1D6F99F1" w:rsidR="00CB72A5" w:rsidRPr="00E401D5" w:rsidRDefault="00CB72A5" w:rsidP="006E442F">
    <w:pPr>
      <w:pStyle w:val="FooterEven"/>
      <w:rPr>
        <w:b/>
        <w:bCs/>
      </w:rPr>
    </w:pPr>
    <w:r w:rsidRPr="00E401D5">
      <w:rPr>
        <w:rStyle w:val="PageNumber"/>
        <w:b/>
        <w:bCs/>
      </w:rPr>
      <w:t xml:space="preserve">Page </w:t>
    </w:r>
    <w:r w:rsidRPr="00E401D5">
      <w:rPr>
        <w:rStyle w:val="PageNumber"/>
        <w:b/>
        <w:bCs/>
      </w:rPr>
      <w:fldChar w:fldCharType="begin"/>
    </w:r>
    <w:r w:rsidRPr="00E401D5">
      <w:rPr>
        <w:rStyle w:val="PageNumber"/>
        <w:b/>
        <w:bCs/>
      </w:rPr>
      <w:instrText xml:space="preserve"> PAGE </w:instrText>
    </w:r>
    <w:r w:rsidRPr="00E401D5">
      <w:rPr>
        <w:rStyle w:val="PageNumber"/>
        <w:b/>
        <w:bCs/>
      </w:rPr>
      <w:fldChar w:fldCharType="separate"/>
    </w:r>
    <w:r w:rsidR="00620FDF">
      <w:rPr>
        <w:rStyle w:val="PageNumber"/>
        <w:b/>
        <w:bCs/>
        <w:noProof/>
      </w:rPr>
      <w:t>iv</w:t>
    </w:r>
    <w:r w:rsidRPr="00E401D5">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068A" w14:textId="3220946D" w:rsidR="00CB72A5" w:rsidRDefault="00CB72A5" w:rsidP="006C3946">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10</w:t>
    </w:r>
    <w:r w:rsidRPr="006E442F">
      <w:rPr>
        <w:b/>
        <w:bCs/>
        <w:noProof/>
      </w:rPr>
      <w:fldChar w:fldCharType="end"/>
    </w:r>
    <w:r>
      <w:rPr>
        <w:noProof/>
      </w:rPr>
      <w:t xml:space="preserve">  |  </w:t>
    </w:r>
    <w:r>
      <w:t>Portfolio Overview</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1B0" w14:textId="1B9A7C78" w:rsidR="00CB72A5" w:rsidRDefault="00CB72A5" w:rsidP="006C3946">
    <w:pPr>
      <w:pStyle w:val="FooterOdd"/>
    </w:pPr>
    <w:r w:rsidRPr="00ED6CC1">
      <w:rPr>
        <w:b/>
        <w:bCs/>
      </w:rPr>
      <w:t xml:space="preserve">Page </w:t>
    </w:r>
    <w:r>
      <w:rPr>
        <w:b/>
        <w:bCs/>
      </w:rPr>
      <w:fldChar w:fldCharType="begin"/>
    </w:r>
    <w:r>
      <w:rPr>
        <w:b/>
        <w:bCs/>
      </w:rPr>
      <w:instrText xml:space="preserve"> PAGE  \* roman  \* MERGEFORMAT </w:instrText>
    </w:r>
    <w:r>
      <w:rPr>
        <w:b/>
        <w:bCs/>
      </w:rPr>
      <w:fldChar w:fldCharType="separate"/>
    </w:r>
    <w:r w:rsidR="00620FDF">
      <w:rPr>
        <w:b/>
        <w:bCs/>
        <w:noProof/>
      </w:rPr>
      <w:t>vii</w:t>
    </w:r>
    <w:r>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EB26" w14:textId="5E77B22E" w:rsidR="00CB72A5" w:rsidRPr="00BA6C8E" w:rsidRDefault="00CB72A5" w:rsidP="00ED6CC1">
    <w:pPr>
      <w:pStyle w:val="FooterOdd"/>
      <w:rPr>
        <w:b/>
      </w:rPr>
    </w:pPr>
    <w:r>
      <w:rPr>
        <w:b/>
      </w:rPr>
      <w:t>Page</w:t>
    </w:r>
    <w:r w:rsidRPr="00BA6C8E">
      <w:rPr>
        <w:b/>
      </w:rPr>
      <w:t xml:space="preserve"> </w:t>
    </w:r>
    <w:r w:rsidRPr="00BA6C8E">
      <w:rPr>
        <w:b/>
        <w:bCs/>
      </w:rPr>
      <w:fldChar w:fldCharType="begin"/>
    </w:r>
    <w:r w:rsidRPr="00BA6C8E">
      <w:rPr>
        <w:b/>
        <w:bCs/>
      </w:rPr>
      <w:instrText xml:space="preserve"> PAGE  \* roman  \* MERGEFORMAT </w:instrText>
    </w:r>
    <w:r w:rsidRPr="00BA6C8E">
      <w:rPr>
        <w:b/>
        <w:bCs/>
      </w:rPr>
      <w:fldChar w:fldCharType="separate"/>
    </w:r>
    <w:r w:rsidR="00620FDF">
      <w:rPr>
        <w:b/>
        <w:bCs/>
        <w:noProof/>
      </w:rPr>
      <w:t>v</w:t>
    </w:r>
    <w:r w:rsidRPr="00BA6C8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3950" w14:textId="77777777" w:rsidR="002D117B" w:rsidRDefault="002D117B" w:rsidP="00F51DAC">
      <w:pPr>
        <w:spacing w:after="0" w:line="240" w:lineRule="auto"/>
      </w:pPr>
      <w:r>
        <w:separator/>
      </w:r>
    </w:p>
  </w:footnote>
  <w:footnote w:type="continuationSeparator" w:id="0">
    <w:p w14:paraId="4F88EA82" w14:textId="77777777" w:rsidR="002D117B" w:rsidRDefault="002D117B" w:rsidP="00F51DAC">
      <w:pPr>
        <w:spacing w:after="0" w:line="240" w:lineRule="auto"/>
      </w:pPr>
      <w:r>
        <w:continuationSeparator/>
      </w:r>
    </w:p>
  </w:footnote>
  <w:footnote w:type="continuationNotice" w:id="1">
    <w:p w14:paraId="5FC7D7AF" w14:textId="77777777" w:rsidR="002D117B" w:rsidRDefault="002D117B">
      <w:pPr>
        <w:spacing w:before="0" w:after="0" w:line="240" w:lineRule="auto"/>
      </w:pPr>
    </w:p>
  </w:footnote>
  <w:footnote w:id="2">
    <w:p w14:paraId="705E1ECD" w14:textId="77777777" w:rsidR="00CB72A5" w:rsidRPr="008921C3" w:rsidRDefault="00CB72A5" w:rsidP="006D64FD">
      <w:pPr>
        <w:pStyle w:val="FootnoteText"/>
        <w:spacing w:after="120"/>
      </w:pPr>
      <w:r w:rsidRPr="008921C3">
        <w:rPr>
          <w:rStyle w:val="FootnoteReference"/>
          <w:rFonts w:cs="Arial"/>
          <w:sz w:val="15"/>
          <w:szCs w:val="15"/>
        </w:rPr>
        <w:footnoteRef/>
      </w:r>
      <w:r w:rsidRPr="008921C3">
        <w:tab/>
      </w:r>
      <w:r w:rsidRPr="00D96A1C">
        <w:rPr>
          <w:rFonts w:cs="Arial"/>
          <w:color w:val="000000"/>
          <w:szCs w:val="16"/>
        </w:rPr>
        <w:t>Australian Sports Foundation Limited is a Commonwealth company. Commonwealth companies are not directly funded by Australian Government appropriation and are not required to publish Portfolio Budget Statements.</w:t>
      </w:r>
    </w:p>
  </w:footnote>
  <w:footnote w:id="3">
    <w:p w14:paraId="100F67C4" w14:textId="68B70F02" w:rsidR="00CB72A5" w:rsidRDefault="00CB72A5">
      <w:pPr>
        <w:pStyle w:val="FootnoteText"/>
      </w:pPr>
      <w:r>
        <w:rPr>
          <w:rStyle w:val="FootnoteReference"/>
        </w:rPr>
        <w:footnoteRef/>
      </w:r>
      <w:r>
        <w:t xml:space="preserve"> </w:t>
      </w:r>
      <w:r>
        <w:tab/>
        <w:t xml:space="preserve">The corrections for the strategic direction statement relate to the version published in the </w:t>
      </w:r>
      <w:r w:rsidRPr="00F735F2">
        <w:rPr>
          <w:i/>
        </w:rPr>
        <w:t>Health and Aged Care Portfolio Budget Statements</w:t>
      </w:r>
      <w:r>
        <w:rPr>
          <w:i/>
        </w:rPr>
        <w:t xml:space="preserve"> </w:t>
      </w:r>
      <w:r w:rsidRPr="00F735F2">
        <w:rPr>
          <w:i/>
        </w:rPr>
        <w:t>2023–24</w:t>
      </w:r>
      <w:r>
        <w:t xml:space="preserve">, and is independent of the PAES process. </w:t>
      </w:r>
    </w:p>
  </w:footnote>
  <w:footnote w:id="4">
    <w:p w14:paraId="03BA1ED3" w14:textId="5A09A6D3" w:rsidR="00CB72A5" w:rsidRPr="002B3EDD" w:rsidRDefault="00CB72A5">
      <w:pPr>
        <w:pStyle w:val="FootnoteText"/>
        <w:rPr>
          <w:sz w:val="15"/>
          <w:szCs w:val="15"/>
        </w:rPr>
      </w:pPr>
      <w:r w:rsidRPr="002B3EDD">
        <w:rPr>
          <w:sz w:val="15"/>
          <w:szCs w:val="15"/>
          <w:vertAlign w:val="superscript"/>
        </w:rPr>
        <w:footnoteRef/>
      </w:r>
      <w:r w:rsidRPr="002B3EDD">
        <w:rPr>
          <w:sz w:val="15"/>
          <w:szCs w:val="15"/>
          <w:vertAlign w:val="superscript"/>
        </w:rPr>
        <w:t xml:space="preserve"> </w:t>
      </w:r>
      <w:r w:rsidRPr="002B3EDD">
        <w:rPr>
          <w:sz w:val="15"/>
          <w:szCs w:val="15"/>
        </w:rPr>
        <w:tab/>
        <w:t xml:space="preserve">The corrections to Table 1.2 relate to the version published in the </w:t>
      </w:r>
      <w:r w:rsidRPr="002B3EDD">
        <w:rPr>
          <w:i/>
          <w:sz w:val="15"/>
          <w:szCs w:val="15"/>
        </w:rPr>
        <w:t>Health and Aged Care Portfolio Budget Statements 2023–24</w:t>
      </w:r>
      <w:r w:rsidRPr="002B3EDD">
        <w:rPr>
          <w:sz w:val="15"/>
          <w:szCs w:val="15"/>
        </w:rPr>
        <w:t>, and is independent of the PAES process.</w:t>
      </w:r>
    </w:p>
  </w:footnote>
  <w:footnote w:id="5">
    <w:p w14:paraId="17C278D1" w14:textId="7F6BDD57" w:rsidR="00CB72A5" w:rsidRDefault="00CB72A5">
      <w:pPr>
        <w:pStyle w:val="FootnoteText"/>
      </w:pPr>
      <w:r>
        <w:rPr>
          <w:rStyle w:val="FootnoteReference"/>
        </w:rPr>
        <w:footnoteRef/>
      </w:r>
      <w:r>
        <w:t xml:space="preserve"> </w:t>
      </w:r>
      <w:r>
        <w:tab/>
        <w:t>New or modified linked program information is shown in italics.</w:t>
      </w:r>
    </w:p>
  </w:footnote>
  <w:footnote w:id="6">
    <w:p w14:paraId="22A2972A" w14:textId="77777777" w:rsidR="00CB72A5" w:rsidRDefault="00CB72A5" w:rsidP="007A6855">
      <w:pPr>
        <w:pStyle w:val="FootnoteText"/>
        <w:spacing w:after="120"/>
      </w:pPr>
      <w:r>
        <w:rPr>
          <w:rStyle w:val="FootnoteReference"/>
        </w:rPr>
        <w:footnoteRef/>
      </w:r>
      <w:r>
        <w:tab/>
      </w:r>
      <w:r w:rsidRPr="00163065">
        <w:t>For Budget estimates relating to the</w:t>
      </w:r>
      <w:r>
        <w:t>se</w:t>
      </w:r>
      <w:r w:rsidRPr="00163065">
        <w:t xml:space="preserve"> program</w:t>
      </w:r>
      <w:r>
        <w:t>s</w:t>
      </w:r>
      <w:r w:rsidRPr="00163065">
        <w:t>, refer to</w:t>
      </w:r>
      <w:r>
        <w:t xml:space="preserve"> </w:t>
      </w:r>
      <w:r w:rsidRPr="00284930">
        <w:t>Budget Paper No. 3</w:t>
      </w:r>
      <w:r>
        <w:t>.</w:t>
      </w:r>
    </w:p>
  </w:footnote>
  <w:footnote w:id="7">
    <w:p w14:paraId="3B002CF9" w14:textId="381620AF" w:rsidR="00CB72A5" w:rsidRPr="00C91F7B" w:rsidRDefault="00CB72A5" w:rsidP="00C91F7B">
      <w:pPr>
        <w:pStyle w:val="FootnoteText"/>
      </w:pPr>
      <w:r w:rsidRPr="00C91F7B">
        <w:rPr>
          <w:rStyle w:val="FootnoteReference"/>
        </w:rPr>
        <w:footnoteRef/>
      </w:r>
      <w:r>
        <w:tab/>
      </w:r>
      <w:r w:rsidRPr="00C91F7B">
        <w:t xml:space="preserve">The corrections to Table 2.1.1 relate to the version published in the </w:t>
      </w:r>
      <w:r w:rsidRPr="00C91F7B">
        <w:rPr>
          <w:i/>
        </w:rPr>
        <w:t>Health and Aged Care Portfolio Budget Statements 2023–24</w:t>
      </w:r>
      <w:r w:rsidRPr="00C91F7B">
        <w:t>, and is independent of the PAES process.</w:t>
      </w:r>
    </w:p>
    <w:p w14:paraId="0623C5BE" w14:textId="7DE0F8A5" w:rsidR="00CB72A5" w:rsidRDefault="00CB72A5">
      <w:pPr>
        <w:pStyle w:val="FootnoteText"/>
      </w:pPr>
    </w:p>
  </w:footnote>
  <w:footnote w:id="8">
    <w:p w14:paraId="19587BFD" w14:textId="0EE553F3" w:rsidR="00CB72A5" w:rsidRDefault="00CB72A5">
      <w:pPr>
        <w:pStyle w:val="FootnoteText"/>
      </w:pPr>
      <w:r>
        <w:rPr>
          <w:rStyle w:val="FootnoteReference"/>
        </w:rPr>
        <w:footnoteRef/>
      </w:r>
      <w:r>
        <w:t xml:space="preserve"> </w:t>
      </w:r>
      <w:r>
        <w:tab/>
        <w:t>New or modified linked program information is shown in italics.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74B3" w14:textId="77777777" w:rsidR="00CB72A5" w:rsidRDefault="00CB72A5">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7DA" w14:textId="0A2F690B" w:rsidR="00CB72A5" w:rsidRDefault="00DF3C0F" w:rsidP="004B6221">
    <w:pPr>
      <w:pStyle w:val="HeaderOdd"/>
    </w:pPr>
    <w:fldSimple w:instr=" TITLE  ">
      <w:r w:rsidR="00CB72A5">
        <w:t>Portfolio Additional Estimates Statement</w:t>
      </w:r>
    </w:fldSimple>
    <w:proofErr w:type="gramStart"/>
    <w:r w:rsidR="00CB72A5">
      <w:t>s  |</w:t>
    </w:r>
    <w:proofErr w:type="gramEnd"/>
    <w:r w:rsidR="00CB72A5">
      <w:t xml:space="preserve">  </w:t>
    </w:r>
    <w:r w:rsidR="00CB72A5">
      <w:rPr>
        <w:noProof/>
        <w:position w:val="-6"/>
      </w:rPr>
      <w:drawing>
        <wp:inline distT="0" distB="0" distL="0" distR="0" wp14:anchorId="1337A4EA" wp14:editId="67237B7B">
          <wp:extent cx="918000" cy="154800"/>
          <wp:effectExtent l="0" t="0" r="0" b="0"/>
          <wp:docPr id="11" name="Picture 11"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4722" w14:textId="669D4163" w:rsidR="00CB72A5" w:rsidRDefault="00CB72A5" w:rsidP="004B6221">
    <w:pPr>
      <w:pStyle w:val="HeaderOdd"/>
      <w:jc w:val="left"/>
    </w:pPr>
    <w:r>
      <w:rPr>
        <w:noProof/>
        <w:position w:val="-6"/>
      </w:rPr>
      <w:drawing>
        <wp:inline distT="0" distB="0" distL="0" distR="0" wp14:anchorId="2AD2E236" wp14:editId="0FFD51A2">
          <wp:extent cx="918000" cy="154800"/>
          <wp:effectExtent l="0" t="0" r="0" b="0"/>
          <wp:docPr id="7" name="Picture 7"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0ED6" w14:textId="77777777" w:rsidR="00CB72A5" w:rsidRDefault="00CB72A5" w:rsidP="00ED23AA">
    <w:pPr>
      <w:pStyle w:val="HeaderOdd"/>
      <w:jc w:val="left"/>
    </w:pPr>
    <w:r>
      <w:rPr>
        <w:noProof/>
        <w:position w:val="-6"/>
      </w:rPr>
      <w:drawing>
        <wp:inline distT="0" distB="0" distL="0" distR="0" wp14:anchorId="571B0208" wp14:editId="75DEDFAA">
          <wp:extent cx="918000" cy="154800"/>
          <wp:effectExtent l="0" t="0" r="0" b="0"/>
          <wp:docPr id="3" name="Picture 3"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3036" w14:textId="77777777" w:rsidR="00CB72A5" w:rsidRDefault="00DF3C0F" w:rsidP="004B6221">
    <w:pPr>
      <w:pStyle w:val="HeaderOdd"/>
    </w:pPr>
    <w:fldSimple w:instr=" TITLE  ">
      <w:r w:rsidR="00CB72A5">
        <w:t>Portfolio Additional Estimates Statement</w:t>
      </w:r>
    </w:fldSimple>
    <w:proofErr w:type="gramStart"/>
    <w:r w:rsidR="00CB72A5">
      <w:t>s  |</w:t>
    </w:r>
    <w:proofErr w:type="gramEnd"/>
    <w:r w:rsidR="00CB72A5">
      <w:t xml:space="preserve">  </w:t>
    </w:r>
    <w:r w:rsidR="00CB72A5">
      <w:rPr>
        <w:noProof/>
        <w:position w:val="-6"/>
      </w:rPr>
      <w:drawing>
        <wp:inline distT="0" distB="0" distL="0" distR="0" wp14:anchorId="62D5613B" wp14:editId="321B983F">
          <wp:extent cx="918000" cy="154800"/>
          <wp:effectExtent l="0" t="0" r="0" b="0"/>
          <wp:docPr id="5" name="Picture 5"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9704" w14:textId="77777777" w:rsidR="00CB72A5" w:rsidRDefault="00CB72A5" w:rsidP="008D163C">
    <w:pPr>
      <w:pStyle w:val="HeaderOdd"/>
      <w:jc w:val="left"/>
    </w:pPr>
    <w:r>
      <w:rPr>
        <w:noProof/>
        <w:position w:val="-6"/>
      </w:rPr>
      <w:drawing>
        <wp:inline distT="0" distB="0" distL="0" distR="0" wp14:anchorId="1F603C03" wp14:editId="594452CF">
          <wp:extent cx="918000" cy="154800"/>
          <wp:effectExtent l="0" t="0" r="0" b="0"/>
          <wp:docPr id="4" name="Picture 4"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2E84" w14:textId="77777777" w:rsidR="00CB72A5" w:rsidRDefault="00CB72A5" w:rsidP="00ED23AA">
    <w:pPr>
      <w:pStyle w:val="HeaderOdd"/>
      <w:jc w:val="left"/>
    </w:pPr>
    <w:r>
      <w:rPr>
        <w:noProof/>
        <w:position w:val="-6"/>
      </w:rPr>
      <w:drawing>
        <wp:inline distT="0" distB="0" distL="0" distR="0" wp14:anchorId="41BD3C25" wp14:editId="56C98E5B">
          <wp:extent cx="918000" cy="154800"/>
          <wp:effectExtent l="0" t="0" r="0" b="0"/>
          <wp:docPr id="8" name="Picture 8"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59A7" w14:textId="214777DD" w:rsidR="00CB72A5" w:rsidRPr="008D163C" w:rsidRDefault="00DF3C0F" w:rsidP="008D163C">
    <w:pPr>
      <w:pStyle w:val="HeaderOdd"/>
    </w:pPr>
    <w:fldSimple w:instr=" TITLE  ">
      <w:r w:rsidR="00CB72A5">
        <w:t>Portfolio Additional Estimates Statement</w:t>
      </w:r>
    </w:fldSimple>
    <w:proofErr w:type="gramStart"/>
    <w:r w:rsidR="00CB72A5">
      <w:t>s  |</w:t>
    </w:r>
    <w:proofErr w:type="gramEnd"/>
    <w:r w:rsidR="00CB72A5">
      <w:t xml:space="preserve">  </w:t>
    </w:r>
    <w:r w:rsidR="00CB72A5">
      <w:rPr>
        <w:noProof/>
        <w:position w:val="-6"/>
      </w:rPr>
      <w:drawing>
        <wp:inline distT="0" distB="0" distL="0" distR="0" wp14:anchorId="4AA2D8A9" wp14:editId="6FC5E001">
          <wp:extent cx="918000" cy="154800"/>
          <wp:effectExtent l="0" t="0" r="0" b="0"/>
          <wp:docPr id="6" name="Picture 6"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7C32" w14:textId="1ECD2D0F" w:rsidR="00CB72A5" w:rsidRPr="008D163C" w:rsidRDefault="00CB72A5" w:rsidP="008D163C">
    <w:pPr>
      <w:pStyle w:val="HeaderOdd"/>
      <w:jc w:val="left"/>
    </w:pPr>
    <w:r>
      <w:rPr>
        <w:noProof/>
        <w:position w:val="-6"/>
      </w:rPr>
      <w:drawing>
        <wp:inline distT="0" distB="0" distL="0" distR="0" wp14:anchorId="1D2A60B1" wp14:editId="2B7DB374">
          <wp:extent cx="918000" cy="154800"/>
          <wp:effectExtent l="0" t="0" r="0" b="0"/>
          <wp:docPr id="13" name="Picture 13"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687F" w14:textId="2A52B640" w:rsidR="00CB72A5" w:rsidRPr="008D163C" w:rsidRDefault="00DF3C0F" w:rsidP="008D163C">
    <w:pPr>
      <w:pStyle w:val="HeaderOdd"/>
    </w:pPr>
    <w:fldSimple w:instr=" TITLE  ">
      <w:r w:rsidR="00CB72A5">
        <w:t>Portfolio Additional Estimates Statement</w:t>
      </w:r>
    </w:fldSimple>
    <w:proofErr w:type="gramStart"/>
    <w:r w:rsidR="00CB72A5">
      <w:t>s  |</w:t>
    </w:r>
    <w:proofErr w:type="gramEnd"/>
    <w:r w:rsidR="00CB72A5">
      <w:t xml:space="preserve">  </w:t>
    </w:r>
    <w:r w:rsidR="00CB72A5">
      <w:rPr>
        <w:noProof/>
        <w:position w:val="-6"/>
      </w:rPr>
      <w:drawing>
        <wp:inline distT="0" distB="0" distL="0" distR="0" wp14:anchorId="327F0B1B" wp14:editId="1A3668DF">
          <wp:extent cx="918000" cy="154800"/>
          <wp:effectExtent l="0" t="0" r="0" b="0"/>
          <wp:docPr id="14" name="Picture 14"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FE8C" w14:textId="20C983E4" w:rsidR="00CB72A5" w:rsidRDefault="00DF3C0F" w:rsidP="00986E6F">
    <w:pPr>
      <w:pStyle w:val="HeaderOdd"/>
    </w:pPr>
    <w:fldSimple w:instr=" TITLE  ">
      <w:r w:rsidR="00CB72A5">
        <w:t>Portfolio Additional Estimates Statement</w:t>
      </w:r>
    </w:fldSimple>
    <w:proofErr w:type="gramStart"/>
    <w:r w:rsidR="00CB72A5">
      <w:t>s  |</w:t>
    </w:r>
    <w:proofErr w:type="gramEnd"/>
    <w:r w:rsidR="00CB72A5">
      <w:t xml:space="preserve">  </w:t>
    </w:r>
    <w:r w:rsidR="00CB72A5">
      <w:rPr>
        <w:noProof/>
        <w:position w:val="-6"/>
      </w:rPr>
      <w:drawing>
        <wp:inline distT="0" distB="0" distL="0" distR="0" wp14:anchorId="3C541DFF" wp14:editId="04928791">
          <wp:extent cx="918000" cy="154800"/>
          <wp:effectExtent l="0" t="0" r="0" b="0"/>
          <wp:docPr id="35" name="Picture 35" descr="Budget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udget 2023-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5391" w14:textId="59961F12" w:rsidR="00CB72A5" w:rsidRDefault="00DF3C0F">
    <w:pPr>
      <w:framePr w:wrap="around" w:vAnchor="page" w:hAnchor="margin" w:x="14460" w:y="7939" w:anchorLock="1"/>
    </w:pPr>
    <w:fldSimple w:instr=" TITLE  \* MERGEFORMAT ">
      <w:r w:rsidR="00CB72A5">
        <w:t>Portfolio Additional Estimates Statement</w:t>
      </w:r>
    </w:fldSimple>
  </w:p>
  <w:p w14:paraId="3462C45B" w14:textId="77777777" w:rsidR="00CB72A5" w:rsidRDefault="00CB72A5">
    <w:pPr>
      <w:pStyle w:val="HeaderOdd"/>
    </w:pPr>
    <w:r>
      <w:t>Part C:  Agency Additional Estimates Statements — Agency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24E1" w14:textId="77777777" w:rsidR="00CB72A5" w:rsidRPr="00680B54" w:rsidRDefault="00CB72A5" w:rsidP="000C45FD">
    <w:pPr>
      <w:widowControl w:val="0"/>
      <w:tabs>
        <w:tab w:val="center" w:pos="4153"/>
        <w:tab w:val="right" w:pos="8306"/>
      </w:tabs>
      <w:spacing w:before="0" w:after="0" w:line="240" w:lineRule="auto"/>
      <w:jc w:val="center"/>
      <w:rPr>
        <w:rFonts w:ascii="Times New Roman" w:hAnsi="Times New Roman"/>
        <w:noProof/>
        <w:snapToGrid w:val="0"/>
        <w:sz w:val="24"/>
        <w:lang w:eastAsia="en-US"/>
      </w:rPr>
    </w:pPr>
    <w:r w:rsidRPr="00680B54">
      <w:rPr>
        <w:rFonts w:ascii="Times New Roman" w:hAnsi="Times New Roman"/>
        <w:noProof/>
        <w:sz w:val="24"/>
      </w:rPr>
      <w:drawing>
        <wp:inline distT="0" distB="0" distL="0" distR="0" wp14:anchorId="7E0B81C7" wp14:editId="1A7EABE7">
          <wp:extent cx="876300" cy="657225"/>
          <wp:effectExtent l="0" t="0" r="0" b="9525"/>
          <wp:docPr id="16" name="Picture 16"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300" cy="657225"/>
                  </a:xfrm>
                  <a:prstGeom prst="rect">
                    <a:avLst/>
                  </a:prstGeom>
                  <a:noFill/>
                  <a:ln>
                    <a:noFill/>
                  </a:ln>
                </pic:spPr>
              </pic:pic>
            </a:graphicData>
          </a:graphic>
        </wp:inline>
      </w:drawing>
    </w:r>
  </w:p>
  <w:p w14:paraId="6424A726" w14:textId="77777777" w:rsidR="00CB72A5" w:rsidRPr="00680B54" w:rsidRDefault="00CB72A5" w:rsidP="000C45FD">
    <w:pPr>
      <w:autoSpaceDE w:val="0"/>
      <w:autoSpaceDN w:val="0"/>
      <w:adjustRightInd w:val="0"/>
      <w:spacing w:before="0" w:after="0" w:line="240" w:lineRule="auto"/>
      <w:jc w:val="center"/>
      <w:rPr>
        <w:rFonts w:ascii="Times New Roman" w:hAnsi="Times New Roman"/>
        <w:color w:val="000000"/>
        <w:sz w:val="32"/>
        <w:szCs w:val="32"/>
      </w:rPr>
    </w:pPr>
    <w:r w:rsidRPr="00680B54">
      <w:rPr>
        <w:rFonts w:ascii="Times New Roman" w:hAnsi="Times New Roman"/>
        <w:b/>
        <w:bCs/>
        <w:color w:val="000000"/>
        <w:sz w:val="32"/>
        <w:szCs w:val="32"/>
      </w:rPr>
      <w:t xml:space="preserve">The Hon Mark Butler MP </w:t>
    </w:r>
  </w:p>
  <w:p w14:paraId="6D2D4DB8" w14:textId="77777777" w:rsidR="00CB72A5" w:rsidRPr="00680B54" w:rsidRDefault="00CB72A5" w:rsidP="000C45FD">
    <w:pPr>
      <w:autoSpaceDE w:val="0"/>
      <w:autoSpaceDN w:val="0"/>
      <w:adjustRightInd w:val="0"/>
      <w:spacing w:before="0" w:after="0" w:line="240" w:lineRule="auto"/>
      <w:jc w:val="center"/>
      <w:rPr>
        <w:rFonts w:ascii="Times New Roman" w:hAnsi="Times New Roman"/>
        <w:b/>
        <w:color w:val="000000"/>
        <w:sz w:val="28"/>
        <w:szCs w:val="28"/>
      </w:rPr>
    </w:pPr>
    <w:r w:rsidRPr="00680B54">
      <w:rPr>
        <w:rFonts w:ascii="Times New Roman" w:hAnsi="Times New Roman"/>
        <w:b/>
        <w:color w:val="000000"/>
        <w:sz w:val="28"/>
        <w:szCs w:val="28"/>
      </w:rPr>
      <w:t>Minister for Health and Aged Care</w:t>
    </w:r>
  </w:p>
  <w:p w14:paraId="58F72A5C" w14:textId="77777777" w:rsidR="00CB72A5" w:rsidRDefault="00CB7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FE96" w14:textId="4E4B9BF4" w:rsidR="00CB72A5" w:rsidRPr="00F53464" w:rsidRDefault="00CB72A5" w:rsidP="00F5346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86B3" w14:textId="77777777" w:rsidR="00CB72A5" w:rsidRPr="00F53464" w:rsidRDefault="00CB72A5"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F81" w14:textId="111E46BB" w:rsidR="00CB72A5" w:rsidRDefault="00CB72A5" w:rsidP="00ED23AA">
    <w:pPr>
      <w:pStyle w:val="HeaderOdd"/>
      <w:jc w:val="left"/>
    </w:pPr>
    <w:r>
      <w:rPr>
        <w:noProof/>
        <w:position w:val="-6"/>
      </w:rPr>
      <w:drawing>
        <wp:inline distT="0" distB="0" distL="0" distR="0" wp14:anchorId="450482DF" wp14:editId="79EF8DA7">
          <wp:extent cx="918000" cy="154800"/>
          <wp:effectExtent l="0" t="0" r="0" b="0"/>
          <wp:docPr id="12" name="Picture 12"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t xml:space="preserve">  |  </w:t>
    </w:r>
    <w:fldSimple w:instr=" TITLE  ">
      <w:r>
        <w:t>Portfolio Additional Estimates Statement</w:t>
      </w:r>
    </w:fldSimple>
    <w:r>
      <w: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0C66" w14:textId="38F86721" w:rsidR="00CB72A5" w:rsidRDefault="00CB72A5">
    <w:pPr>
      <w:pStyle w:val="Header"/>
    </w:pPr>
    <w:r>
      <w:rPr>
        <w:noProof/>
        <w:position w:val="-6"/>
      </w:rPr>
      <w:drawing>
        <wp:inline distT="0" distB="0" distL="0" distR="0" wp14:anchorId="2C99358E" wp14:editId="0FD484A1">
          <wp:extent cx="918000" cy="154800"/>
          <wp:effectExtent l="0" t="0" r="0" b="0"/>
          <wp:docPr id="10" name="Picture 10" descr="A black background with a blac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a black squa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FDFB" w14:textId="77777777" w:rsidR="00CB72A5" w:rsidRDefault="00CB72A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B509" w14:textId="77777777" w:rsidR="00CB72A5" w:rsidRDefault="00CB7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8213A"/>
    <w:multiLevelType w:val="hybridMultilevel"/>
    <w:tmpl w:val="85C8E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B1175"/>
    <w:multiLevelType w:val="hybridMultilevel"/>
    <w:tmpl w:val="B42A4AEA"/>
    <w:lvl w:ilvl="0" w:tplc="62666E3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53649"/>
    <w:multiLevelType w:val="hybridMultilevel"/>
    <w:tmpl w:val="A1E66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81FF2"/>
    <w:multiLevelType w:val="hybridMultilevel"/>
    <w:tmpl w:val="256C2006"/>
    <w:lvl w:ilvl="0" w:tplc="D9A65412">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8" w15:restartNumberingAfterBreak="0">
    <w:nsid w:val="171F2B1D"/>
    <w:multiLevelType w:val="hybridMultilevel"/>
    <w:tmpl w:val="538C81A8"/>
    <w:lvl w:ilvl="0" w:tplc="0C090001">
      <w:start w:val="1"/>
      <w:numFmt w:val="bullet"/>
      <w:lvlText w:val=""/>
      <w:lvlJc w:val="left"/>
      <w:pPr>
        <w:ind w:left="360" w:hanging="360"/>
      </w:pPr>
      <w:rPr>
        <w:rFonts w:ascii="Symbol" w:hAnsi="Symbol" w:hint="default"/>
        <w:b w:val="0"/>
        <w:color w:val="auto"/>
      </w:rPr>
    </w:lvl>
    <w:lvl w:ilvl="1" w:tplc="F68AC632">
      <w:numFmt w:val="bullet"/>
      <w:lvlText w:val="•"/>
      <w:lvlJc w:val="left"/>
      <w:pPr>
        <w:ind w:left="1440" w:hanging="720"/>
      </w:pPr>
      <w:rPr>
        <w:rFonts w:ascii="Book Antiqua" w:eastAsia="Cambria"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185843"/>
    <w:multiLevelType w:val="multilevel"/>
    <w:tmpl w:val="71D0949A"/>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38337B"/>
    <w:multiLevelType w:val="hybridMultilevel"/>
    <w:tmpl w:val="D07CDF34"/>
    <w:lvl w:ilvl="0" w:tplc="711A817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92017B"/>
    <w:multiLevelType w:val="hybridMultilevel"/>
    <w:tmpl w:val="C13EE53C"/>
    <w:lvl w:ilvl="0" w:tplc="DDBAC224">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0B600A1"/>
    <w:multiLevelType w:val="hybridMultilevel"/>
    <w:tmpl w:val="34D4FBA0"/>
    <w:lvl w:ilvl="0" w:tplc="E4ECEA1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820E23"/>
    <w:multiLevelType w:val="hybridMultilevel"/>
    <w:tmpl w:val="F91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9046F4"/>
    <w:multiLevelType w:val="hybridMultilevel"/>
    <w:tmpl w:val="1456A630"/>
    <w:lvl w:ilvl="0" w:tplc="3E4A1D80">
      <w:start w:val="1"/>
      <w:numFmt w:val="bullet"/>
      <w:lvlText w:val="-"/>
      <w:lvlJc w:val="left"/>
      <w:pPr>
        <w:ind w:left="720" w:hanging="360"/>
      </w:pPr>
      <w:rPr>
        <w:rFonts w:ascii="Courier New" w:hAnsi="Courier New" w:hint="default"/>
        <w:b w:val="0"/>
        <w:color w:val="auto"/>
      </w:rPr>
    </w:lvl>
    <w:lvl w:ilvl="1" w:tplc="F68AC632">
      <w:numFmt w:val="bullet"/>
      <w:lvlText w:val="•"/>
      <w:lvlJc w:val="left"/>
      <w:pPr>
        <w:ind w:left="1800" w:hanging="720"/>
      </w:pPr>
      <w:rPr>
        <w:rFonts w:ascii="Book Antiqua" w:eastAsia="Cambria"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632DD8"/>
    <w:multiLevelType w:val="hybridMultilevel"/>
    <w:tmpl w:val="EF2CEE5E"/>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0" w15:restartNumberingAfterBreak="0">
    <w:nsid w:val="3B737003"/>
    <w:multiLevelType w:val="hybridMultilevel"/>
    <w:tmpl w:val="1E201EAE"/>
    <w:lvl w:ilvl="0" w:tplc="0C090001">
      <w:start w:val="1"/>
      <w:numFmt w:val="bullet"/>
      <w:lvlText w:val=""/>
      <w:lvlJc w:val="left"/>
      <w:pPr>
        <w:ind w:left="360" w:hanging="360"/>
      </w:pPr>
      <w:rPr>
        <w:rFonts w:ascii="Symbol" w:hAnsi="Symbol" w:hint="default"/>
      </w:rPr>
    </w:lvl>
    <w:lvl w:ilvl="1" w:tplc="612E8EA8">
      <w:numFmt w:val="bullet"/>
      <w:lvlText w:val="•"/>
      <w:lvlJc w:val="left"/>
      <w:pPr>
        <w:ind w:left="1080" w:hanging="360"/>
      </w:pPr>
      <w:rPr>
        <w:rFonts w:ascii="Times New Roman" w:eastAsiaTheme="minorHAnsi"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15:restartNumberingAfterBreak="0">
    <w:nsid w:val="45482618"/>
    <w:multiLevelType w:val="hybridMultilevel"/>
    <w:tmpl w:val="209EA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1305F8"/>
    <w:multiLevelType w:val="hybridMultilevel"/>
    <w:tmpl w:val="A4FE0FFA"/>
    <w:lvl w:ilvl="0" w:tplc="974A8C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3E5E0A"/>
    <w:multiLevelType w:val="hybridMultilevel"/>
    <w:tmpl w:val="21E0F3B0"/>
    <w:lvl w:ilvl="0" w:tplc="1B4A29A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40B6023"/>
    <w:multiLevelType w:val="hybridMultilevel"/>
    <w:tmpl w:val="BEAC7314"/>
    <w:lvl w:ilvl="0" w:tplc="557AB142">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54225610"/>
    <w:multiLevelType w:val="hybridMultilevel"/>
    <w:tmpl w:val="F40E5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6535A2"/>
    <w:multiLevelType w:val="hybridMultilevel"/>
    <w:tmpl w:val="4378A94A"/>
    <w:lvl w:ilvl="0" w:tplc="27E6240E">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325540"/>
    <w:multiLevelType w:val="hybridMultilevel"/>
    <w:tmpl w:val="083EAA90"/>
    <w:lvl w:ilvl="0" w:tplc="D29AD7D0">
      <w:start w:val="1"/>
      <w:numFmt w:val="bullet"/>
      <w:lvlText w:val="-"/>
      <w:lvlJc w:val="left"/>
      <w:pPr>
        <w:ind w:left="720" w:hanging="360"/>
      </w:pPr>
      <w:rPr>
        <w:rFonts w:ascii="Courier New" w:hAnsi="Courier New" w:hint="default"/>
        <w:strike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AA70528"/>
    <w:multiLevelType w:val="hybridMultilevel"/>
    <w:tmpl w:val="AE569452"/>
    <w:lvl w:ilvl="0" w:tplc="5BB6A8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4E466D"/>
    <w:multiLevelType w:val="hybridMultilevel"/>
    <w:tmpl w:val="020618C4"/>
    <w:lvl w:ilvl="0" w:tplc="3E4A1D80">
      <w:start w:val="1"/>
      <w:numFmt w:val="bullet"/>
      <w:lvlText w:val="-"/>
      <w:lvlJc w:val="left"/>
      <w:pPr>
        <w:ind w:left="360" w:hanging="360"/>
      </w:pPr>
      <w:rPr>
        <w:rFonts w:ascii="Courier New" w:hAnsi="Courier New"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C77A37"/>
    <w:multiLevelType w:val="hybridMultilevel"/>
    <w:tmpl w:val="815E8E84"/>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start w:val="1"/>
      <w:numFmt w:val="bullet"/>
      <w:lvlText w:val=""/>
      <w:lvlJc w:val="left"/>
      <w:pPr>
        <w:ind w:left="2874" w:hanging="360"/>
      </w:pPr>
      <w:rPr>
        <w:rFonts w:ascii="Wingdings" w:hAnsi="Wingdings" w:hint="default"/>
      </w:rPr>
    </w:lvl>
    <w:lvl w:ilvl="3" w:tplc="0C090001">
      <w:start w:val="1"/>
      <w:numFmt w:val="bullet"/>
      <w:lvlText w:val=""/>
      <w:lvlJc w:val="left"/>
      <w:pPr>
        <w:ind w:left="3594" w:hanging="360"/>
      </w:pPr>
      <w:rPr>
        <w:rFonts w:ascii="Symbol" w:hAnsi="Symbol" w:hint="default"/>
      </w:rPr>
    </w:lvl>
    <w:lvl w:ilvl="4" w:tplc="0C090003">
      <w:start w:val="1"/>
      <w:numFmt w:val="bullet"/>
      <w:lvlText w:val="o"/>
      <w:lvlJc w:val="left"/>
      <w:pPr>
        <w:ind w:left="4314" w:hanging="360"/>
      </w:pPr>
      <w:rPr>
        <w:rFonts w:ascii="Courier New" w:hAnsi="Courier New" w:cs="Courier New" w:hint="default"/>
      </w:rPr>
    </w:lvl>
    <w:lvl w:ilvl="5" w:tplc="0C090005">
      <w:start w:val="1"/>
      <w:numFmt w:val="bullet"/>
      <w:lvlText w:val=""/>
      <w:lvlJc w:val="left"/>
      <w:pPr>
        <w:ind w:left="5034" w:hanging="360"/>
      </w:pPr>
      <w:rPr>
        <w:rFonts w:ascii="Wingdings" w:hAnsi="Wingdings" w:hint="default"/>
      </w:rPr>
    </w:lvl>
    <w:lvl w:ilvl="6" w:tplc="0C090001">
      <w:start w:val="1"/>
      <w:numFmt w:val="bullet"/>
      <w:lvlText w:val=""/>
      <w:lvlJc w:val="left"/>
      <w:pPr>
        <w:ind w:left="5754" w:hanging="360"/>
      </w:pPr>
      <w:rPr>
        <w:rFonts w:ascii="Symbol" w:hAnsi="Symbol" w:hint="default"/>
      </w:rPr>
    </w:lvl>
    <w:lvl w:ilvl="7" w:tplc="0C090003">
      <w:start w:val="1"/>
      <w:numFmt w:val="bullet"/>
      <w:lvlText w:val="o"/>
      <w:lvlJc w:val="left"/>
      <w:pPr>
        <w:ind w:left="6474" w:hanging="360"/>
      </w:pPr>
      <w:rPr>
        <w:rFonts w:ascii="Courier New" w:hAnsi="Courier New" w:cs="Courier New" w:hint="default"/>
      </w:rPr>
    </w:lvl>
    <w:lvl w:ilvl="8" w:tplc="0C090005">
      <w:start w:val="1"/>
      <w:numFmt w:val="bullet"/>
      <w:lvlText w:val=""/>
      <w:lvlJc w:val="left"/>
      <w:pPr>
        <w:ind w:left="7194" w:hanging="360"/>
      </w:pPr>
      <w:rPr>
        <w:rFonts w:ascii="Wingdings" w:hAnsi="Wingdings" w:hint="default"/>
      </w:rPr>
    </w:lvl>
  </w:abstractNum>
  <w:abstractNum w:abstractNumId="34" w15:restartNumberingAfterBreak="0">
    <w:nsid w:val="7254680D"/>
    <w:multiLevelType w:val="hybridMultilevel"/>
    <w:tmpl w:val="AA18EF34"/>
    <w:lvl w:ilvl="0" w:tplc="08503592">
      <w:start w:val="1"/>
      <w:numFmt w:val="bullet"/>
      <w:lvlText w:val=""/>
      <w:lvlJc w:val="left"/>
      <w:pPr>
        <w:ind w:left="720" w:hanging="360"/>
      </w:pPr>
      <w:rPr>
        <w:rFonts w:ascii="Symbol" w:hAnsi="Symbol" w:hint="default"/>
        <w:color w:val="auto"/>
      </w:rPr>
    </w:lvl>
    <w:lvl w:ilvl="1" w:tplc="9E301458">
      <w:start w:val="1"/>
      <w:numFmt w:val="bullet"/>
      <w:lvlText w:val="o"/>
      <w:lvlJc w:val="left"/>
      <w:pPr>
        <w:ind w:left="1440" w:hanging="360"/>
      </w:pPr>
      <w:rPr>
        <w:rFonts w:ascii="Courier New" w:hAnsi="Courier New" w:cs="Courier New" w:hint="default"/>
      </w:rPr>
    </w:lvl>
    <w:lvl w:ilvl="2" w:tplc="B35A1682">
      <w:start w:val="1"/>
      <w:numFmt w:val="bullet"/>
      <w:lvlText w:val=""/>
      <w:lvlJc w:val="left"/>
      <w:pPr>
        <w:ind w:left="2160" w:hanging="360"/>
      </w:pPr>
      <w:rPr>
        <w:rFonts w:ascii="Wingdings" w:hAnsi="Wingdings" w:hint="default"/>
      </w:rPr>
    </w:lvl>
    <w:lvl w:ilvl="3" w:tplc="BC5A5994">
      <w:start w:val="1"/>
      <w:numFmt w:val="bullet"/>
      <w:lvlText w:val=""/>
      <w:lvlJc w:val="left"/>
      <w:pPr>
        <w:ind w:left="2880" w:hanging="360"/>
      </w:pPr>
      <w:rPr>
        <w:rFonts w:ascii="Symbol" w:hAnsi="Symbol" w:hint="default"/>
      </w:rPr>
    </w:lvl>
    <w:lvl w:ilvl="4" w:tplc="15CED8F6">
      <w:start w:val="1"/>
      <w:numFmt w:val="bullet"/>
      <w:lvlText w:val="o"/>
      <w:lvlJc w:val="left"/>
      <w:pPr>
        <w:ind w:left="3600" w:hanging="360"/>
      </w:pPr>
      <w:rPr>
        <w:rFonts w:ascii="Courier New" w:hAnsi="Courier New" w:cs="Courier New" w:hint="default"/>
      </w:rPr>
    </w:lvl>
    <w:lvl w:ilvl="5" w:tplc="D8EC5748">
      <w:start w:val="1"/>
      <w:numFmt w:val="bullet"/>
      <w:lvlText w:val=""/>
      <w:lvlJc w:val="left"/>
      <w:pPr>
        <w:ind w:left="4320" w:hanging="360"/>
      </w:pPr>
      <w:rPr>
        <w:rFonts w:ascii="Wingdings" w:hAnsi="Wingdings" w:hint="default"/>
      </w:rPr>
    </w:lvl>
    <w:lvl w:ilvl="6" w:tplc="D690C906">
      <w:start w:val="1"/>
      <w:numFmt w:val="bullet"/>
      <w:lvlText w:val=""/>
      <w:lvlJc w:val="left"/>
      <w:pPr>
        <w:ind w:left="5040" w:hanging="360"/>
      </w:pPr>
      <w:rPr>
        <w:rFonts w:ascii="Symbol" w:hAnsi="Symbol" w:hint="default"/>
      </w:rPr>
    </w:lvl>
    <w:lvl w:ilvl="7" w:tplc="77E2B39E">
      <w:start w:val="1"/>
      <w:numFmt w:val="bullet"/>
      <w:lvlText w:val="o"/>
      <w:lvlJc w:val="left"/>
      <w:pPr>
        <w:ind w:left="5760" w:hanging="360"/>
      </w:pPr>
      <w:rPr>
        <w:rFonts w:ascii="Courier New" w:hAnsi="Courier New" w:cs="Courier New" w:hint="default"/>
      </w:rPr>
    </w:lvl>
    <w:lvl w:ilvl="8" w:tplc="463E11A0">
      <w:start w:val="1"/>
      <w:numFmt w:val="bullet"/>
      <w:lvlText w:val=""/>
      <w:lvlJc w:val="left"/>
      <w:pPr>
        <w:ind w:left="6480" w:hanging="360"/>
      </w:pPr>
      <w:rPr>
        <w:rFonts w:ascii="Wingdings" w:hAnsi="Wingdings" w:hint="default"/>
      </w:rPr>
    </w:lvl>
  </w:abstractNum>
  <w:abstractNum w:abstractNumId="35" w15:restartNumberingAfterBreak="0">
    <w:nsid w:val="73067097"/>
    <w:multiLevelType w:val="hybridMultilevel"/>
    <w:tmpl w:val="2B18C490"/>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F3667D"/>
    <w:multiLevelType w:val="hybridMultilevel"/>
    <w:tmpl w:val="2658791A"/>
    <w:lvl w:ilvl="0" w:tplc="3CA606E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681772"/>
    <w:multiLevelType w:val="hybridMultilevel"/>
    <w:tmpl w:val="D07CDF34"/>
    <w:lvl w:ilvl="0" w:tplc="711A817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11918017">
    <w:abstractNumId w:val="19"/>
    <w:lvlOverride w:ilvl="0">
      <w:startOverride w:val="1"/>
    </w:lvlOverride>
  </w:num>
  <w:num w:numId="2" w16cid:durableId="1014840151">
    <w:abstractNumId w:val="5"/>
  </w:num>
  <w:num w:numId="3" w16cid:durableId="1007556570">
    <w:abstractNumId w:val="0"/>
  </w:num>
  <w:num w:numId="4" w16cid:durableId="1454977866">
    <w:abstractNumId w:val="32"/>
    <w:lvlOverride w:ilvl="0">
      <w:startOverride w:val="1"/>
    </w:lvlOverride>
  </w:num>
  <w:num w:numId="5" w16cid:durableId="1623077351">
    <w:abstractNumId w:val="32"/>
    <w:lvlOverride w:ilvl="0">
      <w:startOverride w:val="1"/>
    </w:lvlOverride>
  </w:num>
  <w:num w:numId="6" w16cid:durableId="905651586">
    <w:abstractNumId w:val="32"/>
    <w:lvlOverride w:ilvl="0">
      <w:startOverride w:val="1"/>
    </w:lvlOverride>
  </w:num>
  <w:num w:numId="7" w16cid:durableId="365328746">
    <w:abstractNumId w:val="32"/>
    <w:lvlOverride w:ilvl="0">
      <w:startOverride w:val="1"/>
    </w:lvlOverride>
  </w:num>
  <w:num w:numId="8" w16cid:durableId="1994749706">
    <w:abstractNumId w:val="32"/>
    <w:lvlOverride w:ilvl="0">
      <w:startOverride w:val="1"/>
    </w:lvlOverride>
  </w:num>
  <w:num w:numId="9" w16cid:durableId="2017419470">
    <w:abstractNumId w:val="32"/>
    <w:lvlOverride w:ilvl="0">
      <w:startOverride w:val="1"/>
    </w:lvlOverride>
  </w:num>
  <w:num w:numId="10" w16cid:durableId="1390811723">
    <w:abstractNumId w:val="32"/>
    <w:lvlOverride w:ilvl="0">
      <w:startOverride w:val="1"/>
    </w:lvlOverride>
  </w:num>
  <w:num w:numId="11" w16cid:durableId="292441553">
    <w:abstractNumId w:val="32"/>
    <w:lvlOverride w:ilvl="0">
      <w:startOverride w:val="1"/>
    </w:lvlOverride>
  </w:num>
  <w:num w:numId="12" w16cid:durableId="2034380833">
    <w:abstractNumId w:val="32"/>
    <w:lvlOverride w:ilvl="0">
      <w:startOverride w:val="1"/>
    </w:lvlOverride>
  </w:num>
  <w:num w:numId="13" w16cid:durableId="1470978819">
    <w:abstractNumId w:val="21"/>
  </w:num>
  <w:num w:numId="14" w16cid:durableId="523985790">
    <w:abstractNumId w:val="7"/>
  </w:num>
  <w:num w:numId="15" w16cid:durableId="624044638">
    <w:abstractNumId w:val="29"/>
  </w:num>
  <w:num w:numId="16" w16cid:durableId="1394740494">
    <w:abstractNumId w:val="9"/>
  </w:num>
  <w:num w:numId="17" w16cid:durableId="1831166079">
    <w:abstractNumId w:val="11"/>
  </w:num>
  <w:num w:numId="18" w16cid:durableId="802038005">
    <w:abstractNumId w:val="6"/>
  </w:num>
  <w:num w:numId="19" w16cid:durableId="1005746448">
    <w:abstractNumId w:val="12"/>
  </w:num>
  <w:num w:numId="20" w16cid:durableId="572203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2348582">
    <w:abstractNumId w:val="32"/>
  </w:num>
  <w:num w:numId="22" w16cid:durableId="334649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8319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5332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5078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3070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03679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26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6433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0232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350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7973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831823">
    <w:abstractNumId w:val="20"/>
  </w:num>
  <w:num w:numId="34" w16cid:durableId="1534422936">
    <w:abstractNumId w:val="33"/>
  </w:num>
  <w:num w:numId="35" w16cid:durableId="867107628">
    <w:abstractNumId w:val="33"/>
  </w:num>
  <w:num w:numId="36" w16cid:durableId="715664632">
    <w:abstractNumId w:val="18"/>
  </w:num>
  <w:num w:numId="37" w16cid:durableId="1140003497">
    <w:abstractNumId w:val="2"/>
  </w:num>
  <w:num w:numId="38" w16cid:durableId="810902073">
    <w:abstractNumId w:val="31"/>
  </w:num>
  <w:num w:numId="39" w16cid:durableId="1348629431">
    <w:abstractNumId w:val="3"/>
  </w:num>
  <w:num w:numId="40" w16cid:durableId="561185574">
    <w:abstractNumId w:val="27"/>
  </w:num>
  <w:num w:numId="41" w16cid:durableId="1000042488">
    <w:abstractNumId w:val="13"/>
  </w:num>
  <w:num w:numId="42" w16cid:durableId="1892186146">
    <w:abstractNumId w:val="24"/>
  </w:num>
  <w:num w:numId="43" w16cid:durableId="1674914192">
    <w:abstractNumId w:val="4"/>
  </w:num>
  <w:num w:numId="44" w16cid:durableId="1931308301">
    <w:abstractNumId w:val="23"/>
  </w:num>
  <w:num w:numId="45" w16cid:durableId="139738380">
    <w:abstractNumId w:val="36"/>
  </w:num>
  <w:num w:numId="46" w16cid:durableId="119686968">
    <w:abstractNumId w:val="34"/>
  </w:num>
  <w:num w:numId="47" w16cid:durableId="308247069">
    <w:abstractNumId w:val="35"/>
  </w:num>
  <w:num w:numId="48" w16cid:durableId="1043865191">
    <w:abstractNumId w:val="17"/>
  </w:num>
  <w:num w:numId="49" w16cid:durableId="1018701910">
    <w:abstractNumId w:val="28"/>
  </w:num>
  <w:num w:numId="50" w16cid:durableId="566302362">
    <w:abstractNumId w:val="8"/>
  </w:num>
  <w:num w:numId="51" w16cid:durableId="111942500">
    <w:abstractNumId w:val="26"/>
  </w:num>
  <w:num w:numId="52" w16cid:durableId="606348607">
    <w:abstractNumId w:val="1"/>
  </w:num>
  <w:num w:numId="53" w16cid:durableId="1783567844">
    <w:abstractNumId w:val="22"/>
  </w:num>
  <w:num w:numId="54" w16cid:durableId="459961678">
    <w:abstractNumId w:val="10"/>
  </w:num>
  <w:num w:numId="55" w16cid:durableId="870147214">
    <w:abstractNumId w:val="16"/>
  </w:num>
  <w:num w:numId="56" w16cid:durableId="995450096">
    <w:abstractNumId w:val="30"/>
  </w:num>
  <w:num w:numId="57" w16cid:durableId="1726247948">
    <w:abstractNumId w:val="25"/>
  </w:num>
  <w:num w:numId="58" w16cid:durableId="1403794383">
    <w:abstractNumId w:val="37"/>
  </w:num>
  <w:num w:numId="59" w16cid:durableId="1341467677">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88"/>
    <w:rsid w:val="000031C8"/>
    <w:rsid w:val="00004333"/>
    <w:rsid w:val="00004CE4"/>
    <w:rsid w:val="00005E29"/>
    <w:rsid w:val="00007854"/>
    <w:rsid w:val="00007B03"/>
    <w:rsid w:val="00012B44"/>
    <w:rsid w:val="00013672"/>
    <w:rsid w:val="00013E6F"/>
    <w:rsid w:val="0001438D"/>
    <w:rsid w:val="000156A0"/>
    <w:rsid w:val="000202BF"/>
    <w:rsid w:val="00021B82"/>
    <w:rsid w:val="000249BD"/>
    <w:rsid w:val="000267FC"/>
    <w:rsid w:val="00027E71"/>
    <w:rsid w:val="00030738"/>
    <w:rsid w:val="000319EF"/>
    <w:rsid w:val="00031F72"/>
    <w:rsid w:val="000333A4"/>
    <w:rsid w:val="00033D4F"/>
    <w:rsid w:val="00034F19"/>
    <w:rsid w:val="00035159"/>
    <w:rsid w:val="00036EEE"/>
    <w:rsid w:val="00037677"/>
    <w:rsid w:val="0004015F"/>
    <w:rsid w:val="00040579"/>
    <w:rsid w:val="00041A04"/>
    <w:rsid w:val="00043155"/>
    <w:rsid w:val="00043975"/>
    <w:rsid w:val="00045C8F"/>
    <w:rsid w:val="00046C46"/>
    <w:rsid w:val="00046FA2"/>
    <w:rsid w:val="00050FE6"/>
    <w:rsid w:val="000526B8"/>
    <w:rsid w:val="00052762"/>
    <w:rsid w:val="000529D2"/>
    <w:rsid w:val="00052CB7"/>
    <w:rsid w:val="00053A29"/>
    <w:rsid w:val="000541F6"/>
    <w:rsid w:val="00055279"/>
    <w:rsid w:val="00056158"/>
    <w:rsid w:val="000635C9"/>
    <w:rsid w:val="000637A7"/>
    <w:rsid w:val="00064E3C"/>
    <w:rsid w:val="00065897"/>
    <w:rsid w:val="000662DC"/>
    <w:rsid w:val="000663E4"/>
    <w:rsid w:val="00066C8B"/>
    <w:rsid w:val="00070E92"/>
    <w:rsid w:val="0007100E"/>
    <w:rsid w:val="00072EF6"/>
    <w:rsid w:val="00073C53"/>
    <w:rsid w:val="00075C2E"/>
    <w:rsid w:val="00076707"/>
    <w:rsid w:val="00077096"/>
    <w:rsid w:val="0007721A"/>
    <w:rsid w:val="00080E3E"/>
    <w:rsid w:val="00081A0B"/>
    <w:rsid w:val="00081E07"/>
    <w:rsid w:val="0008347E"/>
    <w:rsid w:val="0008489A"/>
    <w:rsid w:val="00084EF4"/>
    <w:rsid w:val="0009010F"/>
    <w:rsid w:val="000911F8"/>
    <w:rsid w:val="0009163A"/>
    <w:rsid w:val="00091B76"/>
    <w:rsid w:val="00093FC7"/>
    <w:rsid w:val="00094246"/>
    <w:rsid w:val="000951BE"/>
    <w:rsid w:val="00095948"/>
    <w:rsid w:val="00097C68"/>
    <w:rsid w:val="00097F41"/>
    <w:rsid w:val="000A3249"/>
    <w:rsid w:val="000A3424"/>
    <w:rsid w:val="000A3DD8"/>
    <w:rsid w:val="000A6549"/>
    <w:rsid w:val="000A6AAB"/>
    <w:rsid w:val="000A6F63"/>
    <w:rsid w:val="000B4F23"/>
    <w:rsid w:val="000B5080"/>
    <w:rsid w:val="000B5844"/>
    <w:rsid w:val="000B6397"/>
    <w:rsid w:val="000B6EBB"/>
    <w:rsid w:val="000B70F2"/>
    <w:rsid w:val="000C0433"/>
    <w:rsid w:val="000C1282"/>
    <w:rsid w:val="000C259A"/>
    <w:rsid w:val="000C3374"/>
    <w:rsid w:val="000C3730"/>
    <w:rsid w:val="000C45FD"/>
    <w:rsid w:val="000C519A"/>
    <w:rsid w:val="000C6641"/>
    <w:rsid w:val="000C6AD5"/>
    <w:rsid w:val="000C6C70"/>
    <w:rsid w:val="000C70BF"/>
    <w:rsid w:val="000C71E4"/>
    <w:rsid w:val="000D06B5"/>
    <w:rsid w:val="000D0A63"/>
    <w:rsid w:val="000D0E78"/>
    <w:rsid w:val="000D1EF7"/>
    <w:rsid w:val="000D2365"/>
    <w:rsid w:val="000D289E"/>
    <w:rsid w:val="000D3AD4"/>
    <w:rsid w:val="000D3EBD"/>
    <w:rsid w:val="000D6DEF"/>
    <w:rsid w:val="000D70EA"/>
    <w:rsid w:val="000D7280"/>
    <w:rsid w:val="000D784C"/>
    <w:rsid w:val="000E33CD"/>
    <w:rsid w:val="000E4453"/>
    <w:rsid w:val="000F123C"/>
    <w:rsid w:val="000F3302"/>
    <w:rsid w:val="000F37E6"/>
    <w:rsid w:val="000F3D5A"/>
    <w:rsid w:val="000F3D71"/>
    <w:rsid w:val="000F4972"/>
    <w:rsid w:val="000F4B10"/>
    <w:rsid w:val="000F5337"/>
    <w:rsid w:val="000F593B"/>
    <w:rsid w:val="000F6716"/>
    <w:rsid w:val="000F6D45"/>
    <w:rsid w:val="000F79BE"/>
    <w:rsid w:val="001000AA"/>
    <w:rsid w:val="00102212"/>
    <w:rsid w:val="0010221E"/>
    <w:rsid w:val="001034F3"/>
    <w:rsid w:val="0010438C"/>
    <w:rsid w:val="00106558"/>
    <w:rsid w:val="00107F3E"/>
    <w:rsid w:val="00111605"/>
    <w:rsid w:val="00112797"/>
    <w:rsid w:val="001130AC"/>
    <w:rsid w:val="00114E90"/>
    <w:rsid w:val="00117283"/>
    <w:rsid w:val="00123BFB"/>
    <w:rsid w:val="00123C54"/>
    <w:rsid w:val="0012457D"/>
    <w:rsid w:val="00124E31"/>
    <w:rsid w:val="001257A7"/>
    <w:rsid w:val="00126251"/>
    <w:rsid w:val="001262AB"/>
    <w:rsid w:val="001266B1"/>
    <w:rsid w:val="001268F7"/>
    <w:rsid w:val="0013086C"/>
    <w:rsid w:val="00130EEB"/>
    <w:rsid w:val="00132C07"/>
    <w:rsid w:val="001337BD"/>
    <w:rsid w:val="00133FBC"/>
    <w:rsid w:val="00134C11"/>
    <w:rsid w:val="00135C33"/>
    <w:rsid w:val="00136507"/>
    <w:rsid w:val="00136E15"/>
    <w:rsid w:val="001370B1"/>
    <w:rsid w:val="00137447"/>
    <w:rsid w:val="0013756B"/>
    <w:rsid w:val="00137600"/>
    <w:rsid w:val="00140F6E"/>
    <w:rsid w:val="00141D77"/>
    <w:rsid w:val="001436E5"/>
    <w:rsid w:val="0014549F"/>
    <w:rsid w:val="0014702B"/>
    <w:rsid w:val="00147274"/>
    <w:rsid w:val="00150DB4"/>
    <w:rsid w:val="0015177F"/>
    <w:rsid w:val="0015192D"/>
    <w:rsid w:val="00151BF2"/>
    <w:rsid w:val="001546BB"/>
    <w:rsid w:val="001560AB"/>
    <w:rsid w:val="00163534"/>
    <w:rsid w:val="0016489F"/>
    <w:rsid w:val="0016555F"/>
    <w:rsid w:val="00165D31"/>
    <w:rsid w:val="00166AB8"/>
    <w:rsid w:val="00170EFE"/>
    <w:rsid w:val="00171061"/>
    <w:rsid w:val="0017123F"/>
    <w:rsid w:val="00171A25"/>
    <w:rsid w:val="00172CCC"/>
    <w:rsid w:val="001744B6"/>
    <w:rsid w:val="0017513C"/>
    <w:rsid w:val="00175180"/>
    <w:rsid w:val="00176054"/>
    <w:rsid w:val="0017666A"/>
    <w:rsid w:val="0017718C"/>
    <w:rsid w:val="00177649"/>
    <w:rsid w:val="001779AF"/>
    <w:rsid w:val="00180E14"/>
    <w:rsid w:val="0018156C"/>
    <w:rsid w:val="00182681"/>
    <w:rsid w:val="00183126"/>
    <w:rsid w:val="00183429"/>
    <w:rsid w:val="0018469C"/>
    <w:rsid w:val="00185D7A"/>
    <w:rsid w:val="00186F6C"/>
    <w:rsid w:val="0018719D"/>
    <w:rsid w:val="00190894"/>
    <w:rsid w:val="00191ABE"/>
    <w:rsid w:val="00192802"/>
    <w:rsid w:val="00192B99"/>
    <w:rsid w:val="0019340E"/>
    <w:rsid w:val="001948E8"/>
    <w:rsid w:val="00194DFF"/>
    <w:rsid w:val="00195563"/>
    <w:rsid w:val="00196C7B"/>
    <w:rsid w:val="001A186D"/>
    <w:rsid w:val="001A1C55"/>
    <w:rsid w:val="001A21D7"/>
    <w:rsid w:val="001A687E"/>
    <w:rsid w:val="001A756D"/>
    <w:rsid w:val="001A7C8C"/>
    <w:rsid w:val="001B184D"/>
    <w:rsid w:val="001B18CE"/>
    <w:rsid w:val="001B1DE3"/>
    <w:rsid w:val="001B1E37"/>
    <w:rsid w:val="001B3BED"/>
    <w:rsid w:val="001B4CCE"/>
    <w:rsid w:val="001B5B34"/>
    <w:rsid w:val="001B6377"/>
    <w:rsid w:val="001B647E"/>
    <w:rsid w:val="001B7F96"/>
    <w:rsid w:val="001C01D0"/>
    <w:rsid w:val="001C0245"/>
    <w:rsid w:val="001C1852"/>
    <w:rsid w:val="001C228E"/>
    <w:rsid w:val="001C2722"/>
    <w:rsid w:val="001C2797"/>
    <w:rsid w:val="001C330E"/>
    <w:rsid w:val="001C5388"/>
    <w:rsid w:val="001C53F2"/>
    <w:rsid w:val="001C58D3"/>
    <w:rsid w:val="001C5D33"/>
    <w:rsid w:val="001C7715"/>
    <w:rsid w:val="001D1D26"/>
    <w:rsid w:val="001D24AA"/>
    <w:rsid w:val="001D4659"/>
    <w:rsid w:val="001D491D"/>
    <w:rsid w:val="001D4DC4"/>
    <w:rsid w:val="001E1BB6"/>
    <w:rsid w:val="001E2260"/>
    <w:rsid w:val="001E3B75"/>
    <w:rsid w:val="001E405D"/>
    <w:rsid w:val="001E4A2D"/>
    <w:rsid w:val="001E51EB"/>
    <w:rsid w:val="001E5518"/>
    <w:rsid w:val="001E6884"/>
    <w:rsid w:val="001E6ECD"/>
    <w:rsid w:val="001E7047"/>
    <w:rsid w:val="001F0092"/>
    <w:rsid w:val="001F07D1"/>
    <w:rsid w:val="001F09BA"/>
    <w:rsid w:val="001F1182"/>
    <w:rsid w:val="001F168D"/>
    <w:rsid w:val="001F1B9B"/>
    <w:rsid w:val="001F224B"/>
    <w:rsid w:val="001F37BD"/>
    <w:rsid w:val="001F46A6"/>
    <w:rsid w:val="001F766E"/>
    <w:rsid w:val="00200B41"/>
    <w:rsid w:val="00200DF1"/>
    <w:rsid w:val="00201802"/>
    <w:rsid w:val="00202CDF"/>
    <w:rsid w:val="00202F2A"/>
    <w:rsid w:val="00204B94"/>
    <w:rsid w:val="0020754F"/>
    <w:rsid w:val="0020791D"/>
    <w:rsid w:val="002126C6"/>
    <w:rsid w:val="00213063"/>
    <w:rsid w:val="002131C6"/>
    <w:rsid w:val="00213A28"/>
    <w:rsid w:val="00213BC5"/>
    <w:rsid w:val="00213BEB"/>
    <w:rsid w:val="002155B6"/>
    <w:rsid w:val="00221052"/>
    <w:rsid w:val="00221320"/>
    <w:rsid w:val="00221A4B"/>
    <w:rsid w:val="00221A5A"/>
    <w:rsid w:val="00221E2A"/>
    <w:rsid w:val="002226FB"/>
    <w:rsid w:val="00223058"/>
    <w:rsid w:val="0022327D"/>
    <w:rsid w:val="002243BF"/>
    <w:rsid w:val="0022646C"/>
    <w:rsid w:val="002265E8"/>
    <w:rsid w:val="00230083"/>
    <w:rsid w:val="002322E9"/>
    <w:rsid w:val="002326FA"/>
    <w:rsid w:val="00233AE8"/>
    <w:rsid w:val="00235276"/>
    <w:rsid w:val="002354AC"/>
    <w:rsid w:val="002367F5"/>
    <w:rsid w:val="0023699A"/>
    <w:rsid w:val="00237039"/>
    <w:rsid w:val="002376BC"/>
    <w:rsid w:val="00237790"/>
    <w:rsid w:val="002401F0"/>
    <w:rsid w:val="002406AD"/>
    <w:rsid w:val="002406B1"/>
    <w:rsid w:val="00240BAA"/>
    <w:rsid w:val="0024127D"/>
    <w:rsid w:val="0024247A"/>
    <w:rsid w:val="00242560"/>
    <w:rsid w:val="00242CA1"/>
    <w:rsid w:val="00243A1A"/>
    <w:rsid w:val="00244D00"/>
    <w:rsid w:val="00244E40"/>
    <w:rsid w:val="00246884"/>
    <w:rsid w:val="00246ED2"/>
    <w:rsid w:val="00247EE3"/>
    <w:rsid w:val="00250F15"/>
    <w:rsid w:val="00251908"/>
    <w:rsid w:val="00252DC2"/>
    <w:rsid w:val="00255841"/>
    <w:rsid w:val="00255C54"/>
    <w:rsid w:val="002567A6"/>
    <w:rsid w:val="00256C70"/>
    <w:rsid w:val="00257363"/>
    <w:rsid w:val="00257ACF"/>
    <w:rsid w:val="0026051F"/>
    <w:rsid w:val="002614F2"/>
    <w:rsid w:val="00261BDB"/>
    <w:rsid w:val="0026275A"/>
    <w:rsid w:val="0026429F"/>
    <w:rsid w:val="00270269"/>
    <w:rsid w:val="00270951"/>
    <w:rsid w:val="00272B20"/>
    <w:rsid w:val="0027380D"/>
    <w:rsid w:val="00273E70"/>
    <w:rsid w:val="00274EB3"/>
    <w:rsid w:val="00275000"/>
    <w:rsid w:val="00275707"/>
    <w:rsid w:val="0027652D"/>
    <w:rsid w:val="002766AF"/>
    <w:rsid w:val="00276F19"/>
    <w:rsid w:val="00277C5A"/>
    <w:rsid w:val="00280B5A"/>
    <w:rsid w:val="002819E6"/>
    <w:rsid w:val="00281A13"/>
    <w:rsid w:val="0028230B"/>
    <w:rsid w:val="0028272C"/>
    <w:rsid w:val="00286697"/>
    <w:rsid w:val="002916D2"/>
    <w:rsid w:val="00291970"/>
    <w:rsid w:val="0029232A"/>
    <w:rsid w:val="00294422"/>
    <w:rsid w:val="00294BCA"/>
    <w:rsid w:val="00296F61"/>
    <w:rsid w:val="002A03CD"/>
    <w:rsid w:val="002A14ED"/>
    <w:rsid w:val="002A21E7"/>
    <w:rsid w:val="002A2A2C"/>
    <w:rsid w:val="002A300D"/>
    <w:rsid w:val="002A48EA"/>
    <w:rsid w:val="002A4E01"/>
    <w:rsid w:val="002A70ED"/>
    <w:rsid w:val="002A7AF0"/>
    <w:rsid w:val="002B1603"/>
    <w:rsid w:val="002B3EDD"/>
    <w:rsid w:val="002B3F23"/>
    <w:rsid w:val="002B4DA9"/>
    <w:rsid w:val="002B5B49"/>
    <w:rsid w:val="002C1988"/>
    <w:rsid w:val="002C2651"/>
    <w:rsid w:val="002C48C5"/>
    <w:rsid w:val="002C505F"/>
    <w:rsid w:val="002C781F"/>
    <w:rsid w:val="002D0976"/>
    <w:rsid w:val="002D117B"/>
    <w:rsid w:val="002D1B14"/>
    <w:rsid w:val="002D394D"/>
    <w:rsid w:val="002D3CFC"/>
    <w:rsid w:val="002D5545"/>
    <w:rsid w:val="002D572C"/>
    <w:rsid w:val="002D5A20"/>
    <w:rsid w:val="002D602C"/>
    <w:rsid w:val="002D68E9"/>
    <w:rsid w:val="002D69C3"/>
    <w:rsid w:val="002D78B8"/>
    <w:rsid w:val="002E3ECE"/>
    <w:rsid w:val="002E474B"/>
    <w:rsid w:val="002E5E71"/>
    <w:rsid w:val="002E5F4A"/>
    <w:rsid w:val="002E692E"/>
    <w:rsid w:val="002F0A95"/>
    <w:rsid w:val="002F0ED5"/>
    <w:rsid w:val="002F104F"/>
    <w:rsid w:val="002F24D9"/>
    <w:rsid w:val="002F36D9"/>
    <w:rsid w:val="002F4441"/>
    <w:rsid w:val="002F4513"/>
    <w:rsid w:val="002F4BDE"/>
    <w:rsid w:val="002F613E"/>
    <w:rsid w:val="002F6406"/>
    <w:rsid w:val="00303B77"/>
    <w:rsid w:val="00304E76"/>
    <w:rsid w:val="003068EB"/>
    <w:rsid w:val="00306FF4"/>
    <w:rsid w:val="0030776B"/>
    <w:rsid w:val="00307A5C"/>
    <w:rsid w:val="00310CC6"/>
    <w:rsid w:val="00311C11"/>
    <w:rsid w:val="00311DD4"/>
    <w:rsid w:val="00313086"/>
    <w:rsid w:val="003131AD"/>
    <w:rsid w:val="00313E9C"/>
    <w:rsid w:val="00314333"/>
    <w:rsid w:val="003150EE"/>
    <w:rsid w:val="0031585F"/>
    <w:rsid w:val="003203F2"/>
    <w:rsid w:val="0032150A"/>
    <w:rsid w:val="003220BD"/>
    <w:rsid w:val="00322494"/>
    <w:rsid w:val="00322A27"/>
    <w:rsid w:val="00323672"/>
    <w:rsid w:val="00324C12"/>
    <w:rsid w:val="003250BB"/>
    <w:rsid w:val="00325A5A"/>
    <w:rsid w:val="00327424"/>
    <w:rsid w:val="00327DD2"/>
    <w:rsid w:val="00330BD7"/>
    <w:rsid w:val="003316C0"/>
    <w:rsid w:val="003336A6"/>
    <w:rsid w:val="00333EF1"/>
    <w:rsid w:val="003349A4"/>
    <w:rsid w:val="00336EAC"/>
    <w:rsid w:val="00337167"/>
    <w:rsid w:val="003406B8"/>
    <w:rsid w:val="00340932"/>
    <w:rsid w:val="0034347C"/>
    <w:rsid w:val="003439B6"/>
    <w:rsid w:val="00346ED7"/>
    <w:rsid w:val="00347783"/>
    <w:rsid w:val="00347F12"/>
    <w:rsid w:val="0035086F"/>
    <w:rsid w:val="003509D6"/>
    <w:rsid w:val="00350FC8"/>
    <w:rsid w:val="00351674"/>
    <w:rsid w:val="00352048"/>
    <w:rsid w:val="00352426"/>
    <w:rsid w:val="00352548"/>
    <w:rsid w:val="00353667"/>
    <w:rsid w:val="003547D3"/>
    <w:rsid w:val="003553EB"/>
    <w:rsid w:val="00355DD1"/>
    <w:rsid w:val="00356D02"/>
    <w:rsid w:val="00357FFE"/>
    <w:rsid w:val="00360D95"/>
    <w:rsid w:val="00360F76"/>
    <w:rsid w:val="00362584"/>
    <w:rsid w:val="0036285B"/>
    <w:rsid w:val="00364F0F"/>
    <w:rsid w:val="00365DE3"/>
    <w:rsid w:val="0036637F"/>
    <w:rsid w:val="00367BC8"/>
    <w:rsid w:val="00370629"/>
    <w:rsid w:val="00370905"/>
    <w:rsid w:val="003709E5"/>
    <w:rsid w:val="00371CA8"/>
    <w:rsid w:val="00374AD3"/>
    <w:rsid w:val="003756BD"/>
    <w:rsid w:val="00375F56"/>
    <w:rsid w:val="00376E4F"/>
    <w:rsid w:val="00381EF0"/>
    <w:rsid w:val="003824E0"/>
    <w:rsid w:val="003829CC"/>
    <w:rsid w:val="00386B53"/>
    <w:rsid w:val="00390354"/>
    <w:rsid w:val="0039195F"/>
    <w:rsid w:val="00391CDB"/>
    <w:rsid w:val="0039259E"/>
    <w:rsid w:val="00393289"/>
    <w:rsid w:val="00393CA8"/>
    <w:rsid w:val="00394461"/>
    <w:rsid w:val="003962BF"/>
    <w:rsid w:val="00396A36"/>
    <w:rsid w:val="00396EDD"/>
    <w:rsid w:val="00397AD9"/>
    <w:rsid w:val="003A05DA"/>
    <w:rsid w:val="003A0E4C"/>
    <w:rsid w:val="003A1C3B"/>
    <w:rsid w:val="003A453B"/>
    <w:rsid w:val="003B23C0"/>
    <w:rsid w:val="003B2651"/>
    <w:rsid w:val="003B48D4"/>
    <w:rsid w:val="003B6452"/>
    <w:rsid w:val="003B71E9"/>
    <w:rsid w:val="003B7884"/>
    <w:rsid w:val="003C0E26"/>
    <w:rsid w:val="003C1E30"/>
    <w:rsid w:val="003C2D5A"/>
    <w:rsid w:val="003C4535"/>
    <w:rsid w:val="003C5C6A"/>
    <w:rsid w:val="003C6968"/>
    <w:rsid w:val="003C6F87"/>
    <w:rsid w:val="003C79A6"/>
    <w:rsid w:val="003C7D75"/>
    <w:rsid w:val="003D2F50"/>
    <w:rsid w:val="003D407D"/>
    <w:rsid w:val="003D5790"/>
    <w:rsid w:val="003D57CC"/>
    <w:rsid w:val="003D6724"/>
    <w:rsid w:val="003E078A"/>
    <w:rsid w:val="003E364D"/>
    <w:rsid w:val="003E4BAB"/>
    <w:rsid w:val="003E5422"/>
    <w:rsid w:val="003E6876"/>
    <w:rsid w:val="003E7874"/>
    <w:rsid w:val="003E7AD6"/>
    <w:rsid w:val="003F00E0"/>
    <w:rsid w:val="003F03BF"/>
    <w:rsid w:val="003F1224"/>
    <w:rsid w:val="003F1CF7"/>
    <w:rsid w:val="003F25D1"/>
    <w:rsid w:val="003F4C37"/>
    <w:rsid w:val="003F550B"/>
    <w:rsid w:val="003F61C9"/>
    <w:rsid w:val="003F7969"/>
    <w:rsid w:val="00400827"/>
    <w:rsid w:val="004009AC"/>
    <w:rsid w:val="00401D29"/>
    <w:rsid w:val="004033E0"/>
    <w:rsid w:val="00403994"/>
    <w:rsid w:val="004042C1"/>
    <w:rsid w:val="00411D6F"/>
    <w:rsid w:val="00413220"/>
    <w:rsid w:val="00414E96"/>
    <w:rsid w:val="004153A4"/>
    <w:rsid w:val="00417601"/>
    <w:rsid w:val="00417671"/>
    <w:rsid w:val="00417F08"/>
    <w:rsid w:val="00420013"/>
    <w:rsid w:val="00421BEA"/>
    <w:rsid w:val="00422025"/>
    <w:rsid w:val="00422E0D"/>
    <w:rsid w:val="0042389B"/>
    <w:rsid w:val="004249BD"/>
    <w:rsid w:val="00425BC9"/>
    <w:rsid w:val="00426D9F"/>
    <w:rsid w:val="0042737D"/>
    <w:rsid w:val="00430179"/>
    <w:rsid w:val="0043029C"/>
    <w:rsid w:val="00431675"/>
    <w:rsid w:val="004344FF"/>
    <w:rsid w:val="004345E7"/>
    <w:rsid w:val="00435A9D"/>
    <w:rsid w:val="00436C35"/>
    <w:rsid w:val="004408CC"/>
    <w:rsid w:val="00440C2B"/>
    <w:rsid w:val="004412E5"/>
    <w:rsid w:val="004420A1"/>
    <w:rsid w:val="00442826"/>
    <w:rsid w:val="00443747"/>
    <w:rsid w:val="00445161"/>
    <w:rsid w:val="004458AF"/>
    <w:rsid w:val="004465BA"/>
    <w:rsid w:val="00447FEF"/>
    <w:rsid w:val="00450113"/>
    <w:rsid w:val="004503FA"/>
    <w:rsid w:val="00455218"/>
    <w:rsid w:val="00455C01"/>
    <w:rsid w:val="0045665C"/>
    <w:rsid w:val="00456A63"/>
    <w:rsid w:val="004600AE"/>
    <w:rsid w:val="00461016"/>
    <w:rsid w:val="0046109B"/>
    <w:rsid w:val="00464575"/>
    <w:rsid w:val="004665E9"/>
    <w:rsid w:val="00466FF6"/>
    <w:rsid w:val="00470D18"/>
    <w:rsid w:val="004712B7"/>
    <w:rsid w:val="004726ED"/>
    <w:rsid w:val="00474310"/>
    <w:rsid w:val="0047566D"/>
    <w:rsid w:val="0047613D"/>
    <w:rsid w:val="0047633F"/>
    <w:rsid w:val="004775B2"/>
    <w:rsid w:val="00477769"/>
    <w:rsid w:val="00480979"/>
    <w:rsid w:val="00481C7E"/>
    <w:rsid w:val="00482163"/>
    <w:rsid w:val="004825D1"/>
    <w:rsid w:val="004836FA"/>
    <w:rsid w:val="00484590"/>
    <w:rsid w:val="00484CB3"/>
    <w:rsid w:val="0048588C"/>
    <w:rsid w:val="0048620D"/>
    <w:rsid w:val="00491F2D"/>
    <w:rsid w:val="004927A7"/>
    <w:rsid w:val="00492AF1"/>
    <w:rsid w:val="00497120"/>
    <w:rsid w:val="004971C5"/>
    <w:rsid w:val="00497EA0"/>
    <w:rsid w:val="004A09A2"/>
    <w:rsid w:val="004A2942"/>
    <w:rsid w:val="004A2DC2"/>
    <w:rsid w:val="004A3473"/>
    <w:rsid w:val="004A4BD5"/>
    <w:rsid w:val="004A541E"/>
    <w:rsid w:val="004A5D4C"/>
    <w:rsid w:val="004A6255"/>
    <w:rsid w:val="004B049A"/>
    <w:rsid w:val="004B20B6"/>
    <w:rsid w:val="004B254C"/>
    <w:rsid w:val="004B2864"/>
    <w:rsid w:val="004B31C5"/>
    <w:rsid w:val="004B3DA6"/>
    <w:rsid w:val="004B4149"/>
    <w:rsid w:val="004B4E5C"/>
    <w:rsid w:val="004B54F0"/>
    <w:rsid w:val="004B5B8F"/>
    <w:rsid w:val="004B6221"/>
    <w:rsid w:val="004B644D"/>
    <w:rsid w:val="004C03D6"/>
    <w:rsid w:val="004C04CB"/>
    <w:rsid w:val="004C0644"/>
    <w:rsid w:val="004C0BD7"/>
    <w:rsid w:val="004C11AA"/>
    <w:rsid w:val="004C128D"/>
    <w:rsid w:val="004C24C6"/>
    <w:rsid w:val="004C2521"/>
    <w:rsid w:val="004C4F3E"/>
    <w:rsid w:val="004C5355"/>
    <w:rsid w:val="004C7038"/>
    <w:rsid w:val="004D0F4A"/>
    <w:rsid w:val="004D28BA"/>
    <w:rsid w:val="004D3886"/>
    <w:rsid w:val="004D3E2B"/>
    <w:rsid w:val="004D418D"/>
    <w:rsid w:val="004D46D7"/>
    <w:rsid w:val="004D538B"/>
    <w:rsid w:val="004D5EAA"/>
    <w:rsid w:val="004D66E4"/>
    <w:rsid w:val="004D70FE"/>
    <w:rsid w:val="004E017C"/>
    <w:rsid w:val="004E1872"/>
    <w:rsid w:val="004E3104"/>
    <w:rsid w:val="004E37C0"/>
    <w:rsid w:val="004E3C2E"/>
    <w:rsid w:val="004E4187"/>
    <w:rsid w:val="004E4629"/>
    <w:rsid w:val="004E4C2E"/>
    <w:rsid w:val="004E5A2D"/>
    <w:rsid w:val="004E6DF0"/>
    <w:rsid w:val="004F0C05"/>
    <w:rsid w:val="004F14E4"/>
    <w:rsid w:val="004F39A6"/>
    <w:rsid w:val="004F68EF"/>
    <w:rsid w:val="004F735C"/>
    <w:rsid w:val="004F7C65"/>
    <w:rsid w:val="00500554"/>
    <w:rsid w:val="005013B5"/>
    <w:rsid w:val="00502B76"/>
    <w:rsid w:val="00503717"/>
    <w:rsid w:val="00504264"/>
    <w:rsid w:val="005042A4"/>
    <w:rsid w:val="00507815"/>
    <w:rsid w:val="00510A1B"/>
    <w:rsid w:val="00510C20"/>
    <w:rsid w:val="005115D6"/>
    <w:rsid w:val="00512831"/>
    <w:rsid w:val="0051350D"/>
    <w:rsid w:val="005151B0"/>
    <w:rsid w:val="0051548B"/>
    <w:rsid w:val="0051627E"/>
    <w:rsid w:val="00520ECC"/>
    <w:rsid w:val="00521837"/>
    <w:rsid w:val="0052227C"/>
    <w:rsid w:val="00523531"/>
    <w:rsid w:val="005240AC"/>
    <w:rsid w:val="00524115"/>
    <w:rsid w:val="00525A81"/>
    <w:rsid w:val="00526388"/>
    <w:rsid w:val="00526635"/>
    <w:rsid w:val="005269F0"/>
    <w:rsid w:val="00526CE6"/>
    <w:rsid w:val="005306F2"/>
    <w:rsid w:val="005319F6"/>
    <w:rsid w:val="005338F3"/>
    <w:rsid w:val="005339EB"/>
    <w:rsid w:val="00533B16"/>
    <w:rsid w:val="00535790"/>
    <w:rsid w:val="00535A9A"/>
    <w:rsid w:val="0053679C"/>
    <w:rsid w:val="0053787C"/>
    <w:rsid w:val="00540ADC"/>
    <w:rsid w:val="00541613"/>
    <w:rsid w:val="0054179E"/>
    <w:rsid w:val="00541BE0"/>
    <w:rsid w:val="0054272C"/>
    <w:rsid w:val="00542A6D"/>
    <w:rsid w:val="005433AF"/>
    <w:rsid w:val="00543489"/>
    <w:rsid w:val="00543616"/>
    <w:rsid w:val="00543672"/>
    <w:rsid w:val="00544CC4"/>
    <w:rsid w:val="00545927"/>
    <w:rsid w:val="00546C1D"/>
    <w:rsid w:val="00547016"/>
    <w:rsid w:val="00547069"/>
    <w:rsid w:val="00550253"/>
    <w:rsid w:val="00552630"/>
    <w:rsid w:val="00552885"/>
    <w:rsid w:val="00553BC8"/>
    <w:rsid w:val="005554F9"/>
    <w:rsid w:val="00557137"/>
    <w:rsid w:val="005600B7"/>
    <w:rsid w:val="00560523"/>
    <w:rsid w:val="005607E0"/>
    <w:rsid w:val="005608F7"/>
    <w:rsid w:val="005615E7"/>
    <w:rsid w:val="0056239E"/>
    <w:rsid w:val="00563BF7"/>
    <w:rsid w:val="00564C0F"/>
    <w:rsid w:val="00565156"/>
    <w:rsid w:val="00565EE1"/>
    <w:rsid w:val="005660BB"/>
    <w:rsid w:val="00570ADD"/>
    <w:rsid w:val="005724F4"/>
    <w:rsid w:val="0057351B"/>
    <w:rsid w:val="00574D0D"/>
    <w:rsid w:val="00574EE7"/>
    <w:rsid w:val="00575269"/>
    <w:rsid w:val="005762DC"/>
    <w:rsid w:val="005762FE"/>
    <w:rsid w:val="00580CC2"/>
    <w:rsid w:val="0058114B"/>
    <w:rsid w:val="00581E94"/>
    <w:rsid w:val="00581EBD"/>
    <w:rsid w:val="0058396B"/>
    <w:rsid w:val="00584C6A"/>
    <w:rsid w:val="00584EEB"/>
    <w:rsid w:val="005852E3"/>
    <w:rsid w:val="005866EE"/>
    <w:rsid w:val="00587E84"/>
    <w:rsid w:val="0059193F"/>
    <w:rsid w:val="005931E4"/>
    <w:rsid w:val="0059350C"/>
    <w:rsid w:val="00593B0B"/>
    <w:rsid w:val="005941AC"/>
    <w:rsid w:val="005966D0"/>
    <w:rsid w:val="00596C82"/>
    <w:rsid w:val="00597B43"/>
    <w:rsid w:val="00597B79"/>
    <w:rsid w:val="00597D43"/>
    <w:rsid w:val="005A17AA"/>
    <w:rsid w:val="005A2BFF"/>
    <w:rsid w:val="005A4A29"/>
    <w:rsid w:val="005A601A"/>
    <w:rsid w:val="005A698A"/>
    <w:rsid w:val="005A7EC4"/>
    <w:rsid w:val="005B06C6"/>
    <w:rsid w:val="005B1BC8"/>
    <w:rsid w:val="005B1F84"/>
    <w:rsid w:val="005B2FBA"/>
    <w:rsid w:val="005B3016"/>
    <w:rsid w:val="005B3509"/>
    <w:rsid w:val="005B3EA0"/>
    <w:rsid w:val="005B5124"/>
    <w:rsid w:val="005B574A"/>
    <w:rsid w:val="005B7E04"/>
    <w:rsid w:val="005C00E8"/>
    <w:rsid w:val="005C0800"/>
    <w:rsid w:val="005C400E"/>
    <w:rsid w:val="005C6119"/>
    <w:rsid w:val="005C6BDD"/>
    <w:rsid w:val="005D1C4E"/>
    <w:rsid w:val="005D20A2"/>
    <w:rsid w:val="005D241A"/>
    <w:rsid w:val="005D48A6"/>
    <w:rsid w:val="005D5C64"/>
    <w:rsid w:val="005D73BF"/>
    <w:rsid w:val="005D78DB"/>
    <w:rsid w:val="005D7C29"/>
    <w:rsid w:val="005E11BA"/>
    <w:rsid w:val="005E1ACD"/>
    <w:rsid w:val="005E257D"/>
    <w:rsid w:val="005E55CA"/>
    <w:rsid w:val="005E5C4A"/>
    <w:rsid w:val="005F2824"/>
    <w:rsid w:val="005F375D"/>
    <w:rsid w:val="005F384B"/>
    <w:rsid w:val="005F3DC1"/>
    <w:rsid w:val="005F49DF"/>
    <w:rsid w:val="005F68FE"/>
    <w:rsid w:val="005F6D5F"/>
    <w:rsid w:val="005F71AF"/>
    <w:rsid w:val="005F7AD1"/>
    <w:rsid w:val="00601A87"/>
    <w:rsid w:val="006030AA"/>
    <w:rsid w:val="00603F85"/>
    <w:rsid w:val="00604771"/>
    <w:rsid w:val="00604901"/>
    <w:rsid w:val="00604E76"/>
    <w:rsid w:val="006050C9"/>
    <w:rsid w:val="00610614"/>
    <w:rsid w:val="006107DA"/>
    <w:rsid w:val="00612B55"/>
    <w:rsid w:val="00612DBE"/>
    <w:rsid w:val="00613646"/>
    <w:rsid w:val="00615249"/>
    <w:rsid w:val="00617C2B"/>
    <w:rsid w:val="00620BF0"/>
    <w:rsid w:val="00620FDF"/>
    <w:rsid w:val="00621956"/>
    <w:rsid w:val="0062207C"/>
    <w:rsid w:val="006223A7"/>
    <w:rsid w:val="00622A38"/>
    <w:rsid w:val="00622C82"/>
    <w:rsid w:val="00623714"/>
    <w:rsid w:val="00626AFD"/>
    <w:rsid w:val="00626BC4"/>
    <w:rsid w:val="00634F9E"/>
    <w:rsid w:val="0063528A"/>
    <w:rsid w:val="0063556F"/>
    <w:rsid w:val="0064033D"/>
    <w:rsid w:val="00640846"/>
    <w:rsid w:val="0064123B"/>
    <w:rsid w:val="00641257"/>
    <w:rsid w:val="00641A36"/>
    <w:rsid w:val="00642EC1"/>
    <w:rsid w:val="00643B7D"/>
    <w:rsid w:val="00644295"/>
    <w:rsid w:val="006447EE"/>
    <w:rsid w:val="00644CDD"/>
    <w:rsid w:val="006451CB"/>
    <w:rsid w:val="00645D79"/>
    <w:rsid w:val="00645DBD"/>
    <w:rsid w:val="006465A9"/>
    <w:rsid w:val="00646FDA"/>
    <w:rsid w:val="00650339"/>
    <w:rsid w:val="00650545"/>
    <w:rsid w:val="00650FD3"/>
    <w:rsid w:val="00654B5B"/>
    <w:rsid w:val="00656C7F"/>
    <w:rsid w:val="00657431"/>
    <w:rsid w:val="006579E5"/>
    <w:rsid w:val="006621FC"/>
    <w:rsid w:val="0066225A"/>
    <w:rsid w:val="00662921"/>
    <w:rsid w:val="006641EE"/>
    <w:rsid w:val="0066422C"/>
    <w:rsid w:val="006665FC"/>
    <w:rsid w:val="00666717"/>
    <w:rsid w:val="006669A7"/>
    <w:rsid w:val="00670727"/>
    <w:rsid w:val="006728FF"/>
    <w:rsid w:val="00672B82"/>
    <w:rsid w:val="00673430"/>
    <w:rsid w:val="00674914"/>
    <w:rsid w:val="00674FF1"/>
    <w:rsid w:val="00675403"/>
    <w:rsid w:val="0067546D"/>
    <w:rsid w:val="00675904"/>
    <w:rsid w:val="00677BF1"/>
    <w:rsid w:val="00677CFE"/>
    <w:rsid w:val="00682961"/>
    <w:rsid w:val="0068602E"/>
    <w:rsid w:val="00686F5C"/>
    <w:rsid w:val="00687AF6"/>
    <w:rsid w:val="006916F5"/>
    <w:rsid w:val="006930EB"/>
    <w:rsid w:val="00693269"/>
    <w:rsid w:val="00693AEB"/>
    <w:rsid w:val="00694795"/>
    <w:rsid w:val="0069735C"/>
    <w:rsid w:val="006A1872"/>
    <w:rsid w:val="006A26E8"/>
    <w:rsid w:val="006A2FB6"/>
    <w:rsid w:val="006A362E"/>
    <w:rsid w:val="006A4013"/>
    <w:rsid w:val="006A4182"/>
    <w:rsid w:val="006A45F7"/>
    <w:rsid w:val="006A4794"/>
    <w:rsid w:val="006A5D92"/>
    <w:rsid w:val="006B04B3"/>
    <w:rsid w:val="006B2444"/>
    <w:rsid w:val="006B3603"/>
    <w:rsid w:val="006B3D0B"/>
    <w:rsid w:val="006C0F84"/>
    <w:rsid w:val="006C14DE"/>
    <w:rsid w:val="006C15CC"/>
    <w:rsid w:val="006C1A12"/>
    <w:rsid w:val="006C3946"/>
    <w:rsid w:val="006C4D86"/>
    <w:rsid w:val="006C7BC5"/>
    <w:rsid w:val="006D24A8"/>
    <w:rsid w:val="006D4744"/>
    <w:rsid w:val="006D5166"/>
    <w:rsid w:val="006D64FD"/>
    <w:rsid w:val="006D6AB8"/>
    <w:rsid w:val="006E141F"/>
    <w:rsid w:val="006E16D5"/>
    <w:rsid w:val="006E1E62"/>
    <w:rsid w:val="006E2555"/>
    <w:rsid w:val="006E26A4"/>
    <w:rsid w:val="006E442F"/>
    <w:rsid w:val="006E4ACF"/>
    <w:rsid w:val="006E4CE9"/>
    <w:rsid w:val="006E5F36"/>
    <w:rsid w:val="006E7940"/>
    <w:rsid w:val="006E7CCA"/>
    <w:rsid w:val="006F006C"/>
    <w:rsid w:val="006F19D3"/>
    <w:rsid w:val="006F23BE"/>
    <w:rsid w:val="006F485B"/>
    <w:rsid w:val="006F4FF0"/>
    <w:rsid w:val="006F4FF8"/>
    <w:rsid w:val="006F5877"/>
    <w:rsid w:val="006F7895"/>
    <w:rsid w:val="0070046A"/>
    <w:rsid w:val="007008EC"/>
    <w:rsid w:val="00701B3C"/>
    <w:rsid w:val="00705AD6"/>
    <w:rsid w:val="00705DF7"/>
    <w:rsid w:val="00706A98"/>
    <w:rsid w:val="00706C4D"/>
    <w:rsid w:val="00706E56"/>
    <w:rsid w:val="00706E9B"/>
    <w:rsid w:val="00710147"/>
    <w:rsid w:val="0071082C"/>
    <w:rsid w:val="0071086F"/>
    <w:rsid w:val="00710B72"/>
    <w:rsid w:val="00714C47"/>
    <w:rsid w:val="0071608B"/>
    <w:rsid w:val="00717B4A"/>
    <w:rsid w:val="007201ED"/>
    <w:rsid w:val="00721D05"/>
    <w:rsid w:val="007227D5"/>
    <w:rsid w:val="00722881"/>
    <w:rsid w:val="00722A74"/>
    <w:rsid w:val="00724286"/>
    <w:rsid w:val="00725558"/>
    <w:rsid w:val="00726A60"/>
    <w:rsid w:val="0072718A"/>
    <w:rsid w:val="0073075D"/>
    <w:rsid w:val="00733403"/>
    <w:rsid w:val="00733DB6"/>
    <w:rsid w:val="00734345"/>
    <w:rsid w:val="00734C04"/>
    <w:rsid w:val="007356B6"/>
    <w:rsid w:val="00736AFA"/>
    <w:rsid w:val="00736DD8"/>
    <w:rsid w:val="007373FA"/>
    <w:rsid w:val="0073762B"/>
    <w:rsid w:val="00740335"/>
    <w:rsid w:val="0074258E"/>
    <w:rsid w:val="00742CB6"/>
    <w:rsid w:val="007434AE"/>
    <w:rsid w:val="00746A03"/>
    <w:rsid w:val="00751257"/>
    <w:rsid w:val="0075306B"/>
    <w:rsid w:val="00753125"/>
    <w:rsid w:val="00754E60"/>
    <w:rsid w:val="0075500F"/>
    <w:rsid w:val="00755797"/>
    <w:rsid w:val="00755EB5"/>
    <w:rsid w:val="007565F1"/>
    <w:rsid w:val="00757D8F"/>
    <w:rsid w:val="0076022B"/>
    <w:rsid w:val="007615FD"/>
    <w:rsid w:val="00761AF1"/>
    <w:rsid w:val="00762BF8"/>
    <w:rsid w:val="007635FC"/>
    <w:rsid w:val="007644BB"/>
    <w:rsid w:val="0076466B"/>
    <w:rsid w:val="007651FA"/>
    <w:rsid w:val="00766A57"/>
    <w:rsid w:val="00766BBC"/>
    <w:rsid w:val="0076711B"/>
    <w:rsid w:val="007679DB"/>
    <w:rsid w:val="0077308A"/>
    <w:rsid w:val="00775E78"/>
    <w:rsid w:val="00775F57"/>
    <w:rsid w:val="00776A74"/>
    <w:rsid w:val="00776C93"/>
    <w:rsid w:val="00776CAC"/>
    <w:rsid w:val="00782B4F"/>
    <w:rsid w:val="0078466D"/>
    <w:rsid w:val="00785D3F"/>
    <w:rsid w:val="00786174"/>
    <w:rsid w:val="00786A80"/>
    <w:rsid w:val="0078761D"/>
    <w:rsid w:val="00793EF3"/>
    <w:rsid w:val="0079412F"/>
    <w:rsid w:val="007949D6"/>
    <w:rsid w:val="0079609B"/>
    <w:rsid w:val="007963D7"/>
    <w:rsid w:val="00797BBD"/>
    <w:rsid w:val="00797E8B"/>
    <w:rsid w:val="007A0EED"/>
    <w:rsid w:val="007A29F8"/>
    <w:rsid w:val="007A369D"/>
    <w:rsid w:val="007A3931"/>
    <w:rsid w:val="007A46ED"/>
    <w:rsid w:val="007A6855"/>
    <w:rsid w:val="007A75AD"/>
    <w:rsid w:val="007B018B"/>
    <w:rsid w:val="007B095C"/>
    <w:rsid w:val="007B0C2A"/>
    <w:rsid w:val="007B1343"/>
    <w:rsid w:val="007B2D8B"/>
    <w:rsid w:val="007B3DA1"/>
    <w:rsid w:val="007B4A1F"/>
    <w:rsid w:val="007B4EA6"/>
    <w:rsid w:val="007B4F36"/>
    <w:rsid w:val="007B59FB"/>
    <w:rsid w:val="007B67BB"/>
    <w:rsid w:val="007C0692"/>
    <w:rsid w:val="007C23BC"/>
    <w:rsid w:val="007C469A"/>
    <w:rsid w:val="007C521E"/>
    <w:rsid w:val="007C633E"/>
    <w:rsid w:val="007D09EF"/>
    <w:rsid w:val="007D18F8"/>
    <w:rsid w:val="007D25AD"/>
    <w:rsid w:val="007D40EB"/>
    <w:rsid w:val="007D49E4"/>
    <w:rsid w:val="007D52D9"/>
    <w:rsid w:val="007D5358"/>
    <w:rsid w:val="007D74C9"/>
    <w:rsid w:val="007E1D60"/>
    <w:rsid w:val="007E3A67"/>
    <w:rsid w:val="007E5154"/>
    <w:rsid w:val="007E57DC"/>
    <w:rsid w:val="007E79D4"/>
    <w:rsid w:val="007E7C8C"/>
    <w:rsid w:val="007F19BF"/>
    <w:rsid w:val="007F1B6A"/>
    <w:rsid w:val="007F4DD1"/>
    <w:rsid w:val="007F51BD"/>
    <w:rsid w:val="007F7756"/>
    <w:rsid w:val="00800904"/>
    <w:rsid w:val="00801D0C"/>
    <w:rsid w:val="008041B6"/>
    <w:rsid w:val="00805D3A"/>
    <w:rsid w:val="00806D9D"/>
    <w:rsid w:val="00810DB8"/>
    <w:rsid w:val="00811E3C"/>
    <w:rsid w:val="00813025"/>
    <w:rsid w:val="00813ECA"/>
    <w:rsid w:val="0081460B"/>
    <w:rsid w:val="00815310"/>
    <w:rsid w:val="00815915"/>
    <w:rsid w:val="00816046"/>
    <w:rsid w:val="008209D0"/>
    <w:rsid w:val="0082225F"/>
    <w:rsid w:val="00822CA7"/>
    <w:rsid w:val="00824734"/>
    <w:rsid w:val="00824F5A"/>
    <w:rsid w:val="008251FF"/>
    <w:rsid w:val="008252CB"/>
    <w:rsid w:val="00825503"/>
    <w:rsid w:val="0082575F"/>
    <w:rsid w:val="00825974"/>
    <w:rsid w:val="008268A5"/>
    <w:rsid w:val="00827E1D"/>
    <w:rsid w:val="0083015C"/>
    <w:rsid w:val="008301C5"/>
    <w:rsid w:val="0083291B"/>
    <w:rsid w:val="00832D19"/>
    <w:rsid w:val="00833231"/>
    <w:rsid w:val="00835DDC"/>
    <w:rsid w:val="008369F5"/>
    <w:rsid w:val="0084001A"/>
    <w:rsid w:val="00842C17"/>
    <w:rsid w:val="008447D8"/>
    <w:rsid w:val="00845E3E"/>
    <w:rsid w:val="0085031C"/>
    <w:rsid w:val="00850609"/>
    <w:rsid w:val="008506A0"/>
    <w:rsid w:val="0085098A"/>
    <w:rsid w:val="0085251E"/>
    <w:rsid w:val="00852752"/>
    <w:rsid w:val="008529C5"/>
    <w:rsid w:val="00852F42"/>
    <w:rsid w:val="008534F9"/>
    <w:rsid w:val="008536E4"/>
    <w:rsid w:val="008560D8"/>
    <w:rsid w:val="00860712"/>
    <w:rsid w:val="00861790"/>
    <w:rsid w:val="00863373"/>
    <w:rsid w:val="008633E5"/>
    <w:rsid w:val="00863540"/>
    <w:rsid w:val="0086376A"/>
    <w:rsid w:val="0086445D"/>
    <w:rsid w:val="008655A8"/>
    <w:rsid w:val="00866A1D"/>
    <w:rsid w:val="00867CBD"/>
    <w:rsid w:val="00867E2E"/>
    <w:rsid w:val="0087034E"/>
    <w:rsid w:val="00870F35"/>
    <w:rsid w:val="008712FF"/>
    <w:rsid w:val="00871C50"/>
    <w:rsid w:val="008745EC"/>
    <w:rsid w:val="008770AF"/>
    <w:rsid w:val="00877A12"/>
    <w:rsid w:val="008800D6"/>
    <w:rsid w:val="00880134"/>
    <w:rsid w:val="008828CE"/>
    <w:rsid w:val="00883295"/>
    <w:rsid w:val="00884013"/>
    <w:rsid w:val="008846DB"/>
    <w:rsid w:val="0089082F"/>
    <w:rsid w:val="00891671"/>
    <w:rsid w:val="00893991"/>
    <w:rsid w:val="00896C2F"/>
    <w:rsid w:val="008974FD"/>
    <w:rsid w:val="008A0393"/>
    <w:rsid w:val="008A06A4"/>
    <w:rsid w:val="008A37AB"/>
    <w:rsid w:val="008A43F2"/>
    <w:rsid w:val="008A5F47"/>
    <w:rsid w:val="008A655B"/>
    <w:rsid w:val="008A6813"/>
    <w:rsid w:val="008A753F"/>
    <w:rsid w:val="008B05A6"/>
    <w:rsid w:val="008B08DB"/>
    <w:rsid w:val="008B15AF"/>
    <w:rsid w:val="008B1AFA"/>
    <w:rsid w:val="008B28CC"/>
    <w:rsid w:val="008B2968"/>
    <w:rsid w:val="008B4B2B"/>
    <w:rsid w:val="008B4E7A"/>
    <w:rsid w:val="008B7C04"/>
    <w:rsid w:val="008C18A5"/>
    <w:rsid w:val="008C2F23"/>
    <w:rsid w:val="008C31AF"/>
    <w:rsid w:val="008C521E"/>
    <w:rsid w:val="008C61E8"/>
    <w:rsid w:val="008C73CD"/>
    <w:rsid w:val="008C7AF9"/>
    <w:rsid w:val="008D0538"/>
    <w:rsid w:val="008D163C"/>
    <w:rsid w:val="008D30B9"/>
    <w:rsid w:val="008D3959"/>
    <w:rsid w:val="008D4221"/>
    <w:rsid w:val="008D4F88"/>
    <w:rsid w:val="008D59A7"/>
    <w:rsid w:val="008D6A75"/>
    <w:rsid w:val="008E013B"/>
    <w:rsid w:val="008E03D0"/>
    <w:rsid w:val="008E079A"/>
    <w:rsid w:val="008E15E2"/>
    <w:rsid w:val="008E1967"/>
    <w:rsid w:val="008E25FD"/>
    <w:rsid w:val="008E2E91"/>
    <w:rsid w:val="008E6A09"/>
    <w:rsid w:val="008E728F"/>
    <w:rsid w:val="008E7F4F"/>
    <w:rsid w:val="008F03DF"/>
    <w:rsid w:val="008F07DB"/>
    <w:rsid w:val="008F0A73"/>
    <w:rsid w:val="008F1279"/>
    <w:rsid w:val="008F2E71"/>
    <w:rsid w:val="008F48B7"/>
    <w:rsid w:val="008F4D64"/>
    <w:rsid w:val="008F6DE9"/>
    <w:rsid w:val="008F6FDF"/>
    <w:rsid w:val="008F7289"/>
    <w:rsid w:val="008F754F"/>
    <w:rsid w:val="00900E4B"/>
    <w:rsid w:val="0090206F"/>
    <w:rsid w:val="00902E35"/>
    <w:rsid w:val="00905C56"/>
    <w:rsid w:val="00907B53"/>
    <w:rsid w:val="009105F3"/>
    <w:rsid w:val="009111C4"/>
    <w:rsid w:val="00912B1F"/>
    <w:rsid w:val="009138A0"/>
    <w:rsid w:val="00913A7A"/>
    <w:rsid w:val="00913E93"/>
    <w:rsid w:val="00914A3E"/>
    <w:rsid w:val="009157A4"/>
    <w:rsid w:val="00915B72"/>
    <w:rsid w:val="009203D5"/>
    <w:rsid w:val="009223F8"/>
    <w:rsid w:val="009242A2"/>
    <w:rsid w:val="00925624"/>
    <w:rsid w:val="00925DC2"/>
    <w:rsid w:val="0092657C"/>
    <w:rsid w:val="00926D43"/>
    <w:rsid w:val="00927DA8"/>
    <w:rsid w:val="00931612"/>
    <w:rsid w:val="00931DE0"/>
    <w:rsid w:val="00933282"/>
    <w:rsid w:val="009335FC"/>
    <w:rsid w:val="00933704"/>
    <w:rsid w:val="00936B35"/>
    <w:rsid w:val="00941438"/>
    <w:rsid w:val="009414A8"/>
    <w:rsid w:val="009414ED"/>
    <w:rsid w:val="00941A17"/>
    <w:rsid w:val="00942C1A"/>
    <w:rsid w:val="00943352"/>
    <w:rsid w:val="0094475E"/>
    <w:rsid w:val="00945298"/>
    <w:rsid w:val="00945357"/>
    <w:rsid w:val="00945FEB"/>
    <w:rsid w:val="00946B84"/>
    <w:rsid w:val="00947B83"/>
    <w:rsid w:val="00952696"/>
    <w:rsid w:val="0095283F"/>
    <w:rsid w:val="00952A7F"/>
    <w:rsid w:val="00954B7B"/>
    <w:rsid w:val="00955F65"/>
    <w:rsid w:val="00956A24"/>
    <w:rsid w:val="00957AA5"/>
    <w:rsid w:val="00960353"/>
    <w:rsid w:val="00961D13"/>
    <w:rsid w:val="00962156"/>
    <w:rsid w:val="0096313B"/>
    <w:rsid w:val="0096441B"/>
    <w:rsid w:val="009652D7"/>
    <w:rsid w:val="00965F94"/>
    <w:rsid w:val="00966AA9"/>
    <w:rsid w:val="0096764F"/>
    <w:rsid w:val="009710B4"/>
    <w:rsid w:val="0097229C"/>
    <w:rsid w:val="009723D0"/>
    <w:rsid w:val="00972F18"/>
    <w:rsid w:val="009739F7"/>
    <w:rsid w:val="009758F8"/>
    <w:rsid w:val="0097614B"/>
    <w:rsid w:val="00976C31"/>
    <w:rsid w:val="00977094"/>
    <w:rsid w:val="00977DD5"/>
    <w:rsid w:val="0098043C"/>
    <w:rsid w:val="009805CF"/>
    <w:rsid w:val="00980AA1"/>
    <w:rsid w:val="00980B2C"/>
    <w:rsid w:val="00980F8F"/>
    <w:rsid w:val="00982760"/>
    <w:rsid w:val="0098282D"/>
    <w:rsid w:val="0098343F"/>
    <w:rsid w:val="009836D1"/>
    <w:rsid w:val="009844AA"/>
    <w:rsid w:val="00985640"/>
    <w:rsid w:val="00986870"/>
    <w:rsid w:val="00986E6F"/>
    <w:rsid w:val="009907D9"/>
    <w:rsid w:val="0099191E"/>
    <w:rsid w:val="00991E44"/>
    <w:rsid w:val="00992F2E"/>
    <w:rsid w:val="009932F5"/>
    <w:rsid w:val="00993B01"/>
    <w:rsid w:val="00995354"/>
    <w:rsid w:val="00995A6E"/>
    <w:rsid w:val="0099638D"/>
    <w:rsid w:val="009A0EDB"/>
    <w:rsid w:val="009A252E"/>
    <w:rsid w:val="009A3601"/>
    <w:rsid w:val="009A3B36"/>
    <w:rsid w:val="009A4736"/>
    <w:rsid w:val="009A4D07"/>
    <w:rsid w:val="009A5948"/>
    <w:rsid w:val="009A5DF8"/>
    <w:rsid w:val="009A6E95"/>
    <w:rsid w:val="009A79C1"/>
    <w:rsid w:val="009B1E43"/>
    <w:rsid w:val="009B4248"/>
    <w:rsid w:val="009B4F32"/>
    <w:rsid w:val="009B51A2"/>
    <w:rsid w:val="009B5F07"/>
    <w:rsid w:val="009B6CBD"/>
    <w:rsid w:val="009B7FD0"/>
    <w:rsid w:val="009C0F2F"/>
    <w:rsid w:val="009C1612"/>
    <w:rsid w:val="009C33E9"/>
    <w:rsid w:val="009C37FF"/>
    <w:rsid w:val="009C3A33"/>
    <w:rsid w:val="009C4FB6"/>
    <w:rsid w:val="009C5015"/>
    <w:rsid w:val="009C5982"/>
    <w:rsid w:val="009D129A"/>
    <w:rsid w:val="009D13E4"/>
    <w:rsid w:val="009D17A5"/>
    <w:rsid w:val="009D2566"/>
    <w:rsid w:val="009D4599"/>
    <w:rsid w:val="009D4B20"/>
    <w:rsid w:val="009D54F9"/>
    <w:rsid w:val="009D5FE2"/>
    <w:rsid w:val="009D6B5D"/>
    <w:rsid w:val="009D76DE"/>
    <w:rsid w:val="009D777D"/>
    <w:rsid w:val="009D7D47"/>
    <w:rsid w:val="009E4F91"/>
    <w:rsid w:val="009E512C"/>
    <w:rsid w:val="009E52A5"/>
    <w:rsid w:val="009E5300"/>
    <w:rsid w:val="009E6C51"/>
    <w:rsid w:val="009E7256"/>
    <w:rsid w:val="009F015F"/>
    <w:rsid w:val="009F363C"/>
    <w:rsid w:val="009F3F1D"/>
    <w:rsid w:val="009F5068"/>
    <w:rsid w:val="009F53DA"/>
    <w:rsid w:val="009F5A48"/>
    <w:rsid w:val="009F5CC1"/>
    <w:rsid w:val="009F6003"/>
    <w:rsid w:val="009F6937"/>
    <w:rsid w:val="009F6B24"/>
    <w:rsid w:val="00A00D41"/>
    <w:rsid w:val="00A03C6C"/>
    <w:rsid w:val="00A0524E"/>
    <w:rsid w:val="00A05299"/>
    <w:rsid w:val="00A073FD"/>
    <w:rsid w:val="00A07B10"/>
    <w:rsid w:val="00A10F6A"/>
    <w:rsid w:val="00A110CB"/>
    <w:rsid w:val="00A11662"/>
    <w:rsid w:val="00A1211F"/>
    <w:rsid w:val="00A1234B"/>
    <w:rsid w:val="00A156A3"/>
    <w:rsid w:val="00A174F3"/>
    <w:rsid w:val="00A2338D"/>
    <w:rsid w:val="00A23686"/>
    <w:rsid w:val="00A245CE"/>
    <w:rsid w:val="00A24674"/>
    <w:rsid w:val="00A24D40"/>
    <w:rsid w:val="00A25BED"/>
    <w:rsid w:val="00A25C9D"/>
    <w:rsid w:val="00A25E7B"/>
    <w:rsid w:val="00A303B8"/>
    <w:rsid w:val="00A30940"/>
    <w:rsid w:val="00A3097B"/>
    <w:rsid w:val="00A309AA"/>
    <w:rsid w:val="00A32C0D"/>
    <w:rsid w:val="00A357EB"/>
    <w:rsid w:val="00A35E54"/>
    <w:rsid w:val="00A40EBD"/>
    <w:rsid w:val="00A411EE"/>
    <w:rsid w:val="00A43CBF"/>
    <w:rsid w:val="00A516F0"/>
    <w:rsid w:val="00A518EB"/>
    <w:rsid w:val="00A52488"/>
    <w:rsid w:val="00A53629"/>
    <w:rsid w:val="00A546A7"/>
    <w:rsid w:val="00A54A0D"/>
    <w:rsid w:val="00A55F1D"/>
    <w:rsid w:val="00A5755E"/>
    <w:rsid w:val="00A577E7"/>
    <w:rsid w:val="00A61DFC"/>
    <w:rsid w:val="00A64635"/>
    <w:rsid w:val="00A64C6D"/>
    <w:rsid w:val="00A65113"/>
    <w:rsid w:val="00A657FF"/>
    <w:rsid w:val="00A6684A"/>
    <w:rsid w:val="00A7055A"/>
    <w:rsid w:val="00A70D0F"/>
    <w:rsid w:val="00A71499"/>
    <w:rsid w:val="00A71B28"/>
    <w:rsid w:val="00A73170"/>
    <w:rsid w:val="00A7362B"/>
    <w:rsid w:val="00A73855"/>
    <w:rsid w:val="00A74B5D"/>
    <w:rsid w:val="00A75498"/>
    <w:rsid w:val="00A76841"/>
    <w:rsid w:val="00A77F72"/>
    <w:rsid w:val="00A804ED"/>
    <w:rsid w:val="00A81706"/>
    <w:rsid w:val="00A81944"/>
    <w:rsid w:val="00A81E21"/>
    <w:rsid w:val="00A83F1F"/>
    <w:rsid w:val="00A84050"/>
    <w:rsid w:val="00A850E1"/>
    <w:rsid w:val="00A86D64"/>
    <w:rsid w:val="00A87546"/>
    <w:rsid w:val="00A920F2"/>
    <w:rsid w:val="00A9394D"/>
    <w:rsid w:val="00A93C8E"/>
    <w:rsid w:val="00A94F3F"/>
    <w:rsid w:val="00A95402"/>
    <w:rsid w:val="00A96B21"/>
    <w:rsid w:val="00AA3EA3"/>
    <w:rsid w:val="00AA5656"/>
    <w:rsid w:val="00AA6999"/>
    <w:rsid w:val="00AB0A55"/>
    <w:rsid w:val="00AB184D"/>
    <w:rsid w:val="00AB2DC2"/>
    <w:rsid w:val="00AB2F5F"/>
    <w:rsid w:val="00AC042A"/>
    <w:rsid w:val="00AC32A4"/>
    <w:rsid w:val="00AC331E"/>
    <w:rsid w:val="00AC4640"/>
    <w:rsid w:val="00AC530C"/>
    <w:rsid w:val="00AC5522"/>
    <w:rsid w:val="00AC5753"/>
    <w:rsid w:val="00AC6239"/>
    <w:rsid w:val="00AC7C2A"/>
    <w:rsid w:val="00AD097A"/>
    <w:rsid w:val="00AD1826"/>
    <w:rsid w:val="00AD1CC3"/>
    <w:rsid w:val="00AD26F8"/>
    <w:rsid w:val="00AD3B76"/>
    <w:rsid w:val="00AD4D72"/>
    <w:rsid w:val="00AD508A"/>
    <w:rsid w:val="00AD57B3"/>
    <w:rsid w:val="00AD687D"/>
    <w:rsid w:val="00AD7BD8"/>
    <w:rsid w:val="00AE22AB"/>
    <w:rsid w:val="00AE29BE"/>
    <w:rsid w:val="00AE31C4"/>
    <w:rsid w:val="00AE35DB"/>
    <w:rsid w:val="00AE4B3E"/>
    <w:rsid w:val="00AE6133"/>
    <w:rsid w:val="00AE7172"/>
    <w:rsid w:val="00AF0CED"/>
    <w:rsid w:val="00AF18AD"/>
    <w:rsid w:val="00AF1AC3"/>
    <w:rsid w:val="00AF1C3C"/>
    <w:rsid w:val="00AF2DC9"/>
    <w:rsid w:val="00AF309F"/>
    <w:rsid w:val="00AF44FE"/>
    <w:rsid w:val="00AF489C"/>
    <w:rsid w:val="00AF5E64"/>
    <w:rsid w:val="00AF627A"/>
    <w:rsid w:val="00B001C5"/>
    <w:rsid w:val="00B02A68"/>
    <w:rsid w:val="00B033A2"/>
    <w:rsid w:val="00B0343E"/>
    <w:rsid w:val="00B03A3D"/>
    <w:rsid w:val="00B03C38"/>
    <w:rsid w:val="00B050D7"/>
    <w:rsid w:val="00B07921"/>
    <w:rsid w:val="00B1240A"/>
    <w:rsid w:val="00B12D27"/>
    <w:rsid w:val="00B12ED5"/>
    <w:rsid w:val="00B133E0"/>
    <w:rsid w:val="00B13D65"/>
    <w:rsid w:val="00B148AA"/>
    <w:rsid w:val="00B14CC6"/>
    <w:rsid w:val="00B15017"/>
    <w:rsid w:val="00B167E1"/>
    <w:rsid w:val="00B208BE"/>
    <w:rsid w:val="00B20DBD"/>
    <w:rsid w:val="00B22435"/>
    <w:rsid w:val="00B22D58"/>
    <w:rsid w:val="00B23D94"/>
    <w:rsid w:val="00B2528D"/>
    <w:rsid w:val="00B2630D"/>
    <w:rsid w:val="00B30EB8"/>
    <w:rsid w:val="00B3169B"/>
    <w:rsid w:val="00B338A9"/>
    <w:rsid w:val="00B33BAE"/>
    <w:rsid w:val="00B3505B"/>
    <w:rsid w:val="00B370F7"/>
    <w:rsid w:val="00B40DFE"/>
    <w:rsid w:val="00B42DF4"/>
    <w:rsid w:val="00B43532"/>
    <w:rsid w:val="00B43B66"/>
    <w:rsid w:val="00B4485A"/>
    <w:rsid w:val="00B4522C"/>
    <w:rsid w:val="00B50972"/>
    <w:rsid w:val="00B50F66"/>
    <w:rsid w:val="00B51FDB"/>
    <w:rsid w:val="00B52835"/>
    <w:rsid w:val="00B52DFA"/>
    <w:rsid w:val="00B532D7"/>
    <w:rsid w:val="00B53395"/>
    <w:rsid w:val="00B55D66"/>
    <w:rsid w:val="00B567F0"/>
    <w:rsid w:val="00B56943"/>
    <w:rsid w:val="00B56E52"/>
    <w:rsid w:val="00B572B6"/>
    <w:rsid w:val="00B57EC6"/>
    <w:rsid w:val="00B57FA0"/>
    <w:rsid w:val="00B60748"/>
    <w:rsid w:val="00B62180"/>
    <w:rsid w:val="00B62847"/>
    <w:rsid w:val="00B62F0D"/>
    <w:rsid w:val="00B64E47"/>
    <w:rsid w:val="00B6537D"/>
    <w:rsid w:val="00B70E9C"/>
    <w:rsid w:val="00B7146D"/>
    <w:rsid w:val="00B728E5"/>
    <w:rsid w:val="00B735AB"/>
    <w:rsid w:val="00B7550E"/>
    <w:rsid w:val="00B8010C"/>
    <w:rsid w:val="00B804B6"/>
    <w:rsid w:val="00B808E9"/>
    <w:rsid w:val="00B80993"/>
    <w:rsid w:val="00B80BE5"/>
    <w:rsid w:val="00B80E6A"/>
    <w:rsid w:val="00B8132B"/>
    <w:rsid w:val="00B81CD9"/>
    <w:rsid w:val="00B82678"/>
    <w:rsid w:val="00B82E6F"/>
    <w:rsid w:val="00B83C78"/>
    <w:rsid w:val="00B84032"/>
    <w:rsid w:val="00B86D08"/>
    <w:rsid w:val="00B908BF"/>
    <w:rsid w:val="00B9174E"/>
    <w:rsid w:val="00B92CB8"/>
    <w:rsid w:val="00B94BE6"/>
    <w:rsid w:val="00B95EE4"/>
    <w:rsid w:val="00B96BAA"/>
    <w:rsid w:val="00BA01CF"/>
    <w:rsid w:val="00BA0C30"/>
    <w:rsid w:val="00BA0ECA"/>
    <w:rsid w:val="00BA1413"/>
    <w:rsid w:val="00BA1B7B"/>
    <w:rsid w:val="00BA4DF0"/>
    <w:rsid w:val="00BA60CC"/>
    <w:rsid w:val="00BA6C8E"/>
    <w:rsid w:val="00BA764F"/>
    <w:rsid w:val="00BA7716"/>
    <w:rsid w:val="00BA7825"/>
    <w:rsid w:val="00BA7D97"/>
    <w:rsid w:val="00BB17F8"/>
    <w:rsid w:val="00BB21C5"/>
    <w:rsid w:val="00BB27C2"/>
    <w:rsid w:val="00BB3710"/>
    <w:rsid w:val="00BB60DD"/>
    <w:rsid w:val="00BB7703"/>
    <w:rsid w:val="00BC1334"/>
    <w:rsid w:val="00BC6148"/>
    <w:rsid w:val="00BD0B9C"/>
    <w:rsid w:val="00BD1FDB"/>
    <w:rsid w:val="00BD3FDE"/>
    <w:rsid w:val="00BD48EE"/>
    <w:rsid w:val="00BD507F"/>
    <w:rsid w:val="00BD65F1"/>
    <w:rsid w:val="00BD6A8C"/>
    <w:rsid w:val="00BD7F62"/>
    <w:rsid w:val="00BE02DB"/>
    <w:rsid w:val="00BE0F28"/>
    <w:rsid w:val="00BE13B8"/>
    <w:rsid w:val="00BE1A2C"/>
    <w:rsid w:val="00BE31AF"/>
    <w:rsid w:val="00BE52C1"/>
    <w:rsid w:val="00BE59E8"/>
    <w:rsid w:val="00BE5F06"/>
    <w:rsid w:val="00BF09AA"/>
    <w:rsid w:val="00BF478F"/>
    <w:rsid w:val="00BF5B46"/>
    <w:rsid w:val="00BF5E8A"/>
    <w:rsid w:val="00BF61F1"/>
    <w:rsid w:val="00BF696F"/>
    <w:rsid w:val="00C00779"/>
    <w:rsid w:val="00C01C8D"/>
    <w:rsid w:val="00C04DC1"/>
    <w:rsid w:val="00C057C6"/>
    <w:rsid w:val="00C05D7E"/>
    <w:rsid w:val="00C072EA"/>
    <w:rsid w:val="00C07FED"/>
    <w:rsid w:val="00C10DE5"/>
    <w:rsid w:val="00C11327"/>
    <w:rsid w:val="00C11FBD"/>
    <w:rsid w:val="00C11FDA"/>
    <w:rsid w:val="00C12315"/>
    <w:rsid w:val="00C12363"/>
    <w:rsid w:val="00C12CE2"/>
    <w:rsid w:val="00C144AB"/>
    <w:rsid w:val="00C14889"/>
    <w:rsid w:val="00C20167"/>
    <w:rsid w:val="00C2199C"/>
    <w:rsid w:val="00C21F25"/>
    <w:rsid w:val="00C2240B"/>
    <w:rsid w:val="00C22EF2"/>
    <w:rsid w:val="00C233D6"/>
    <w:rsid w:val="00C247A2"/>
    <w:rsid w:val="00C24F1D"/>
    <w:rsid w:val="00C258A2"/>
    <w:rsid w:val="00C25A16"/>
    <w:rsid w:val="00C26158"/>
    <w:rsid w:val="00C264AC"/>
    <w:rsid w:val="00C27A52"/>
    <w:rsid w:val="00C32772"/>
    <w:rsid w:val="00C33583"/>
    <w:rsid w:val="00C33871"/>
    <w:rsid w:val="00C33CFE"/>
    <w:rsid w:val="00C36246"/>
    <w:rsid w:val="00C37ABD"/>
    <w:rsid w:val="00C42434"/>
    <w:rsid w:val="00C45B5C"/>
    <w:rsid w:val="00C45BF1"/>
    <w:rsid w:val="00C46874"/>
    <w:rsid w:val="00C46F58"/>
    <w:rsid w:val="00C47491"/>
    <w:rsid w:val="00C47C8B"/>
    <w:rsid w:val="00C5076F"/>
    <w:rsid w:val="00C50FF7"/>
    <w:rsid w:val="00C51A01"/>
    <w:rsid w:val="00C5253F"/>
    <w:rsid w:val="00C52588"/>
    <w:rsid w:val="00C53C25"/>
    <w:rsid w:val="00C5652B"/>
    <w:rsid w:val="00C61E74"/>
    <w:rsid w:val="00C63061"/>
    <w:rsid w:val="00C633FD"/>
    <w:rsid w:val="00C65314"/>
    <w:rsid w:val="00C658D9"/>
    <w:rsid w:val="00C66148"/>
    <w:rsid w:val="00C672C8"/>
    <w:rsid w:val="00C67A60"/>
    <w:rsid w:val="00C67F4D"/>
    <w:rsid w:val="00C7148E"/>
    <w:rsid w:val="00C71726"/>
    <w:rsid w:val="00C72E94"/>
    <w:rsid w:val="00C73746"/>
    <w:rsid w:val="00C75963"/>
    <w:rsid w:val="00C75BF0"/>
    <w:rsid w:val="00C76E53"/>
    <w:rsid w:val="00C810C0"/>
    <w:rsid w:val="00C812F1"/>
    <w:rsid w:val="00C81AD1"/>
    <w:rsid w:val="00C823E1"/>
    <w:rsid w:val="00C82B16"/>
    <w:rsid w:val="00C8459D"/>
    <w:rsid w:val="00C84A5D"/>
    <w:rsid w:val="00C85AFE"/>
    <w:rsid w:val="00C90396"/>
    <w:rsid w:val="00C91F7B"/>
    <w:rsid w:val="00C92922"/>
    <w:rsid w:val="00C9299A"/>
    <w:rsid w:val="00C92D81"/>
    <w:rsid w:val="00C95D4E"/>
    <w:rsid w:val="00C95FB5"/>
    <w:rsid w:val="00C96DB5"/>
    <w:rsid w:val="00C9739E"/>
    <w:rsid w:val="00C97848"/>
    <w:rsid w:val="00CA3527"/>
    <w:rsid w:val="00CA3B59"/>
    <w:rsid w:val="00CA4ACB"/>
    <w:rsid w:val="00CA5993"/>
    <w:rsid w:val="00CA6362"/>
    <w:rsid w:val="00CA641C"/>
    <w:rsid w:val="00CA6F90"/>
    <w:rsid w:val="00CA74A3"/>
    <w:rsid w:val="00CB0B94"/>
    <w:rsid w:val="00CB0C07"/>
    <w:rsid w:val="00CB1A8A"/>
    <w:rsid w:val="00CB26CC"/>
    <w:rsid w:val="00CB294A"/>
    <w:rsid w:val="00CB2B6B"/>
    <w:rsid w:val="00CB3F14"/>
    <w:rsid w:val="00CB40A9"/>
    <w:rsid w:val="00CB41CF"/>
    <w:rsid w:val="00CB465B"/>
    <w:rsid w:val="00CB5427"/>
    <w:rsid w:val="00CB72A5"/>
    <w:rsid w:val="00CB75F0"/>
    <w:rsid w:val="00CC0ECF"/>
    <w:rsid w:val="00CC1331"/>
    <w:rsid w:val="00CC1A39"/>
    <w:rsid w:val="00CC2DB0"/>
    <w:rsid w:val="00CC3D08"/>
    <w:rsid w:val="00CC4401"/>
    <w:rsid w:val="00CC44BB"/>
    <w:rsid w:val="00CC6606"/>
    <w:rsid w:val="00CC7FF7"/>
    <w:rsid w:val="00CD11AC"/>
    <w:rsid w:val="00CD15EB"/>
    <w:rsid w:val="00CD2237"/>
    <w:rsid w:val="00CD4584"/>
    <w:rsid w:val="00CD4749"/>
    <w:rsid w:val="00CD61FC"/>
    <w:rsid w:val="00CD6FA0"/>
    <w:rsid w:val="00CD731B"/>
    <w:rsid w:val="00CD7804"/>
    <w:rsid w:val="00CD7AEC"/>
    <w:rsid w:val="00CE099F"/>
    <w:rsid w:val="00CE1F4A"/>
    <w:rsid w:val="00CE37CC"/>
    <w:rsid w:val="00CE48ED"/>
    <w:rsid w:val="00CE69E2"/>
    <w:rsid w:val="00CE7428"/>
    <w:rsid w:val="00CE75F4"/>
    <w:rsid w:val="00CE790C"/>
    <w:rsid w:val="00CF087B"/>
    <w:rsid w:val="00CF107A"/>
    <w:rsid w:val="00CF18A8"/>
    <w:rsid w:val="00CF2F45"/>
    <w:rsid w:val="00CF4272"/>
    <w:rsid w:val="00CF4BB6"/>
    <w:rsid w:val="00CF5C90"/>
    <w:rsid w:val="00CF751C"/>
    <w:rsid w:val="00D0639D"/>
    <w:rsid w:val="00D0781F"/>
    <w:rsid w:val="00D102B9"/>
    <w:rsid w:val="00D129EE"/>
    <w:rsid w:val="00D1390F"/>
    <w:rsid w:val="00D13C21"/>
    <w:rsid w:val="00D16DED"/>
    <w:rsid w:val="00D17870"/>
    <w:rsid w:val="00D20281"/>
    <w:rsid w:val="00D209CC"/>
    <w:rsid w:val="00D21F06"/>
    <w:rsid w:val="00D259BF"/>
    <w:rsid w:val="00D25E6D"/>
    <w:rsid w:val="00D26ACE"/>
    <w:rsid w:val="00D27302"/>
    <w:rsid w:val="00D317C4"/>
    <w:rsid w:val="00D326EA"/>
    <w:rsid w:val="00D32D05"/>
    <w:rsid w:val="00D33068"/>
    <w:rsid w:val="00D333D3"/>
    <w:rsid w:val="00D342FA"/>
    <w:rsid w:val="00D353CB"/>
    <w:rsid w:val="00D35407"/>
    <w:rsid w:val="00D35707"/>
    <w:rsid w:val="00D36C41"/>
    <w:rsid w:val="00D376BC"/>
    <w:rsid w:val="00D37B83"/>
    <w:rsid w:val="00D403DE"/>
    <w:rsid w:val="00D416DE"/>
    <w:rsid w:val="00D43F40"/>
    <w:rsid w:val="00D4611E"/>
    <w:rsid w:val="00D47817"/>
    <w:rsid w:val="00D47F7B"/>
    <w:rsid w:val="00D47F9D"/>
    <w:rsid w:val="00D50B85"/>
    <w:rsid w:val="00D51CA4"/>
    <w:rsid w:val="00D52CAE"/>
    <w:rsid w:val="00D52F41"/>
    <w:rsid w:val="00D53603"/>
    <w:rsid w:val="00D53CC4"/>
    <w:rsid w:val="00D56E9E"/>
    <w:rsid w:val="00D5737A"/>
    <w:rsid w:val="00D57F9F"/>
    <w:rsid w:val="00D60197"/>
    <w:rsid w:val="00D61DBF"/>
    <w:rsid w:val="00D622D7"/>
    <w:rsid w:val="00D62BC6"/>
    <w:rsid w:val="00D63685"/>
    <w:rsid w:val="00D64101"/>
    <w:rsid w:val="00D70A2F"/>
    <w:rsid w:val="00D71281"/>
    <w:rsid w:val="00D71AEE"/>
    <w:rsid w:val="00D72565"/>
    <w:rsid w:val="00D72A53"/>
    <w:rsid w:val="00D73975"/>
    <w:rsid w:val="00D7407E"/>
    <w:rsid w:val="00D75E85"/>
    <w:rsid w:val="00D7785C"/>
    <w:rsid w:val="00D827D3"/>
    <w:rsid w:val="00D82D30"/>
    <w:rsid w:val="00D859C6"/>
    <w:rsid w:val="00D85B36"/>
    <w:rsid w:val="00D8662A"/>
    <w:rsid w:val="00D87B92"/>
    <w:rsid w:val="00D91D52"/>
    <w:rsid w:val="00D91F05"/>
    <w:rsid w:val="00D9401B"/>
    <w:rsid w:val="00D944F1"/>
    <w:rsid w:val="00D948BC"/>
    <w:rsid w:val="00D94CE2"/>
    <w:rsid w:val="00D95DEB"/>
    <w:rsid w:val="00D96A1C"/>
    <w:rsid w:val="00D97536"/>
    <w:rsid w:val="00DA14FC"/>
    <w:rsid w:val="00DA2889"/>
    <w:rsid w:val="00DA5DF5"/>
    <w:rsid w:val="00DA5FCF"/>
    <w:rsid w:val="00DA7FB6"/>
    <w:rsid w:val="00DB021D"/>
    <w:rsid w:val="00DB2836"/>
    <w:rsid w:val="00DB2C89"/>
    <w:rsid w:val="00DB3B0D"/>
    <w:rsid w:val="00DB42D8"/>
    <w:rsid w:val="00DB4FE0"/>
    <w:rsid w:val="00DB60BB"/>
    <w:rsid w:val="00DC06BD"/>
    <w:rsid w:val="00DC1569"/>
    <w:rsid w:val="00DC46F5"/>
    <w:rsid w:val="00DC4E4E"/>
    <w:rsid w:val="00DC6C39"/>
    <w:rsid w:val="00DD0374"/>
    <w:rsid w:val="00DD2120"/>
    <w:rsid w:val="00DD2DBB"/>
    <w:rsid w:val="00DD2EFF"/>
    <w:rsid w:val="00DD3FDE"/>
    <w:rsid w:val="00DD5B0C"/>
    <w:rsid w:val="00DD620A"/>
    <w:rsid w:val="00DD667D"/>
    <w:rsid w:val="00DE08D2"/>
    <w:rsid w:val="00DE0C3B"/>
    <w:rsid w:val="00DE17C7"/>
    <w:rsid w:val="00DE2037"/>
    <w:rsid w:val="00DE220F"/>
    <w:rsid w:val="00DE30DD"/>
    <w:rsid w:val="00DE37CA"/>
    <w:rsid w:val="00DE3C67"/>
    <w:rsid w:val="00DE4BDD"/>
    <w:rsid w:val="00DE565D"/>
    <w:rsid w:val="00DE5930"/>
    <w:rsid w:val="00DE7FD7"/>
    <w:rsid w:val="00DF032D"/>
    <w:rsid w:val="00DF37B3"/>
    <w:rsid w:val="00DF3C0F"/>
    <w:rsid w:val="00DF588A"/>
    <w:rsid w:val="00DF686C"/>
    <w:rsid w:val="00DF7D6A"/>
    <w:rsid w:val="00E040C1"/>
    <w:rsid w:val="00E042BD"/>
    <w:rsid w:val="00E05771"/>
    <w:rsid w:val="00E0703C"/>
    <w:rsid w:val="00E07355"/>
    <w:rsid w:val="00E12A62"/>
    <w:rsid w:val="00E13EBF"/>
    <w:rsid w:val="00E14944"/>
    <w:rsid w:val="00E158E5"/>
    <w:rsid w:val="00E15CF3"/>
    <w:rsid w:val="00E16898"/>
    <w:rsid w:val="00E2105B"/>
    <w:rsid w:val="00E21891"/>
    <w:rsid w:val="00E24F7D"/>
    <w:rsid w:val="00E25360"/>
    <w:rsid w:val="00E25509"/>
    <w:rsid w:val="00E25909"/>
    <w:rsid w:val="00E2631B"/>
    <w:rsid w:val="00E26676"/>
    <w:rsid w:val="00E26B83"/>
    <w:rsid w:val="00E27AAF"/>
    <w:rsid w:val="00E3174B"/>
    <w:rsid w:val="00E34C36"/>
    <w:rsid w:val="00E36567"/>
    <w:rsid w:val="00E40CD0"/>
    <w:rsid w:val="00E41681"/>
    <w:rsid w:val="00E41895"/>
    <w:rsid w:val="00E42DCA"/>
    <w:rsid w:val="00E432F7"/>
    <w:rsid w:val="00E440FA"/>
    <w:rsid w:val="00E4631A"/>
    <w:rsid w:val="00E47FA0"/>
    <w:rsid w:val="00E5315B"/>
    <w:rsid w:val="00E53E7C"/>
    <w:rsid w:val="00E6008A"/>
    <w:rsid w:val="00E63FC5"/>
    <w:rsid w:val="00E65AAB"/>
    <w:rsid w:val="00E663B3"/>
    <w:rsid w:val="00E6743E"/>
    <w:rsid w:val="00E70AF2"/>
    <w:rsid w:val="00E73173"/>
    <w:rsid w:val="00E73750"/>
    <w:rsid w:val="00E73A27"/>
    <w:rsid w:val="00E73A62"/>
    <w:rsid w:val="00E750DE"/>
    <w:rsid w:val="00E75E3A"/>
    <w:rsid w:val="00E75F2E"/>
    <w:rsid w:val="00E7637B"/>
    <w:rsid w:val="00E81B71"/>
    <w:rsid w:val="00E81CE6"/>
    <w:rsid w:val="00E82470"/>
    <w:rsid w:val="00E83AB7"/>
    <w:rsid w:val="00E83CB9"/>
    <w:rsid w:val="00E863EB"/>
    <w:rsid w:val="00E86D92"/>
    <w:rsid w:val="00E87F80"/>
    <w:rsid w:val="00E9083B"/>
    <w:rsid w:val="00E90953"/>
    <w:rsid w:val="00E92357"/>
    <w:rsid w:val="00E92FC1"/>
    <w:rsid w:val="00E948EF"/>
    <w:rsid w:val="00E95167"/>
    <w:rsid w:val="00E95DE7"/>
    <w:rsid w:val="00E96985"/>
    <w:rsid w:val="00E97015"/>
    <w:rsid w:val="00E971F3"/>
    <w:rsid w:val="00E97EF1"/>
    <w:rsid w:val="00EA054D"/>
    <w:rsid w:val="00EA082D"/>
    <w:rsid w:val="00EA36B0"/>
    <w:rsid w:val="00EA38F7"/>
    <w:rsid w:val="00EA3FDB"/>
    <w:rsid w:val="00EA64B7"/>
    <w:rsid w:val="00EA6DF8"/>
    <w:rsid w:val="00EB1B94"/>
    <w:rsid w:val="00EB1DA8"/>
    <w:rsid w:val="00EB2B7E"/>
    <w:rsid w:val="00EB3946"/>
    <w:rsid w:val="00EB5183"/>
    <w:rsid w:val="00EB6B95"/>
    <w:rsid w:val="00EC0815"/>
    <w:rsid w:val="00EC35B9"/>
    <w:rsid w:val="00EC3AE2"/>
    <w:rsid w:val="00EC3E20"/>
    <w:rsid w:val="00EC4790"/>
    <w:rsid w:val="00EC4D16"/>
    <w:rsid w:val="00EC73D1"/>
    <w:rsid w:val="00ED0235"/>
    <w:rsid w:val="00ED0956"/>
    <w:rsid w:val="00ED2292"/>
    <w:rsid w:val="00ED23AA"/>
    <w:rsid w:val="00ED3DCD"/>
    <w:rsid w:val="00ED5D96"/>
    <w:rsid w:val="00ED6CC1"/>
    <w:rsid w:val="00ED71E1"/>
    <w:rsid w:val="00EE2C73"/>
    <w:rsid w:val="00EE330C"/>
    <w:rsid w:val="00EE3ACB"/>
    <w:rsid w:val="00EE3DDA"/>
    <w:rsid w:val="00EE4E08"/>
    <w:rsid w:val="00EE62DD"/>
    <w:rsid w:val="00EE7055"/>
    <w:rsid w:val="00EF0612"/>
    <w:rsid w:val="00EF0627"/>
    <w:rsid w:val="00EF3025"/>
    <w:rsid w:val="00EF41C2"/>
    <w:rsid w:val="00EF65C9"/>
    <w:rsid w:val="00EF7605"/>
    <w:rsid w:val="00F001B8"/>
    <w:rsid w:val="00F01DDB"/>
    <w:rsid w:val="00F0266C"/>
    <w:rsid w:val="00F026E3"/>
    <w:rsid w:val="00F02B48"/>
    <w:rsid w:val="00F02DD3"/>
    <w:rsid w:val="00F0312D"/>
    <w:rsid w:val="00F03829"/>
    <w:rsid w:val="00F045E6"/>
    <w:rsid w:val="00F05CAE"/>
    <w:rsid w:val="00F06319"/>
    <w:rsid w:val="00F065BE"/>
    <w:rsid w:val="00F06690"/>
    <w:rsid w:val="00F0682F"/>
    <w:rsid w:val="00F11441"/>
    <w:rsid w:val="00F11EF2"/>
    <w:rsid w:val="00F11F72"/>
    <w:rsid w:val="00F12B21"/>
    <w:rsid w:val="00F14437"/>
    <w:rsid w:val="00F14771"/>
    <w:rsid w:val="00F14C01"/>
    <w:rsid w:val="00F15835"/>
    <w:rsid w:val="00F16B1B"/>
    <w:rsid w:val="00F20D6E"/>
    <w:rsid w:val="00F21894"/>
    <w:rsid w:val="00F2198D"/>
    <w:rsid w:val="00F2311A"/>
    <w:rsid w:val="00F26831"/>
    <w:rsid w:val="00F30004"/>
    <w:rsid w:val="00F3285A"/>
    <w:rsid w:val="00F32B65"/>
    <w:rsid w:val="00F33BD4"/>
    <w:rsid w:val="00F349FC"/>
    <w:rsid w:val="00F36897"/>
    <w:rsid w:val="00F37D69"/>
    <w:rsid w:val="00F40B11"/>
    <w:rsid w:val="00F415D3"/>
    <w:rsid w:val="00F42645"/>
    <w:rsid w:val="00F46BF5"/>
    <w:rsid w:val="00F47D35"/>
    <w:rsid w:val="00F50B89"/>
    <w:rsid w:val="00F51330"/>
    <w:rsid w:val="00F51559"/>
    <w:rsid w:val="00F51890"/>
    <w:rsid w:val="00F51B52"/>
    <w:rsid w:val="00F51DAC"/>
    <w:rsid w:val="00F527BC"/>
    <w:rsid w:val="00F53464"/>
    <w:rsid w:val="00F5370B"/>
    <w:rsid w:val="00F53735"/>
    <w:rsid w:val="00F54BB6"/>
    <w:rsid w:val="00F54D50"/>
    <w:rsid w:val="00F55261"/>
    <w:rsid w:val="00F552F6"/>
    <w:rsid w:val="00F561A3"/>
    <w:rsid w:val="00F56E23"/>
    <w:rsid w:val="00F61858"/>
    <w:rsid w:val="00F61A3B"/>
    <w:rsid w:val="00F649AB"/>
    <w:rsid w:val="00F65BC3"/>
    <w:rsid w:val="00F661FC"/>
    <w:rsid w:val="00F6634F"/>
    <w:rsid w:val="00F66710"/>
    <w:rsid w:val="00F7135C"/>
    <w:rsid w:val="00F735F2"/>
    <w:rsid w:val="00F74359"/>
    <w:rsid w:val="00F74562"/>
    <w:rsid w:val="00F75B6D"/>
    <w:rsid w:val="00F75D56"/>
    <w:rsid w:val="00F76AB0"/>
    <w:rsid w:val="00F826C9"/>
    <w:rsid w:val="00F82D79"/>
    <w:rsid w:val="00F8342C"/>
    <w:rsid w:val="00F84592"/>
    <w:rsid w:val="00F84A3C"/>
    <w:rsid w:val="00F84F34"/>
    <w:rsid w:val="00F8568F"/>
    <w:rsid w:val="00F862B3"/>
    <w:rsid w:val="00F8636B"/>
    <w:rsid w:val="00F868ED"/>
    <w:rsid w:val="00F90108"/>
    <w:rsid w:val="00F94336"/>
    <w:rsid w:val="00F94AF4"/>
    <w:rsid w:val="00F95E91"/>
    <w:rsid w:val="00F95F5E"/>
    <w:rsid w:val="00F96DEC"/>
    <w:rsid w:val="00F97634"/>
    <w:rsid w:val="00F97A41"/>
    <w:rsid w:val="00FA455C"/>
    <w:rsid w:val="00FA4915"/>
    <w:rsid w:val="00FA5D99"/>
    <w:rsid w:val="00FA6354"/>
    <w:rsid w:val="00FA655B"/>
    <w:rsid w:val="00FA73D5"/>
    <w:rsid w:val="00FB1F01"/>
    <w:rsid w:val="00FB2AE1"/>
    <w:rsid w:val="00FB34B0"/>
    <w:rsid w:val="00FB392F"/>
    <w:rsid w:val="00FB3A2C"/>
    <w:rsid w:val="00FB47DF"/>
    <w:rsid w:val="00FB4A3F"/>
    <w:rsid w:val="00FB4D80"/>
    <w:rsid w:val="00FB5493"/>
    <w:rsid w:val="00FB5E5F"/>
    <w:rsid w:val="00FB6D56"/>
    <w:rsid w:val="00FC1184"/>
    <w:rsid w:val="00FC209E"/>
    <w:rsid w:val="00FC21D2"/>
    <w:rsid w:val="00FC3D02"/>
    <w:rsid w:val="00FC430E"/>
    <w:rsid w:val="00FC5CDE"/>
    <w:rsid w:val="00FC5F52"/>
    <w:rsid w:val="00FC61A2"/>
    <w:rsid w:val="00FD1569"/>
    <w:rsid w:val="00FD2492"/>
    <w:rsid w:val="00FD2564"/>
    <w:rsid w:val="00FD2AE4"/>
    <w:rsid w:val="00FD2F79"/>
    <w:rsid w:val="00FD351B"/>
    <w:rsid w:val="00FD5C66"/>
    <w:rsid w:val="00FD721C"/>
    <w:rsid w:val="00FE0130"/>
    <w:rsid w:val="00FE36D9"/>
    <w:rsid w:val="00FE3A64"/>
    <w:rsid w:val="00FE494F"/>
    <w:rsid w:val="00FE4A38"/>
    <w:rsid w:val="00FE4E5D"/>
    <w:rsid w:val="00FE55E8"/>
    <w:rsid w:val="00FE599C"/>
    <w:rsid w:val="00FF1A2B"/>
    <w:rsid w:val="00FF1FB2"/>
    <w:rsid w:val="00FF4162"/>
    <w:rsid w:val="00FF4547"/>
    <w:rsid w:val="00FF4CC5"/>
    <w:rsid w:val="00FF4D8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AF6F"/>
  <w15:chartTrackingRefBased/>
  <w15:docId w15:val="{800A840A-2768-4769-B605-F6FDB29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5F"/>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1585F"/>
    <w:pPr>
      <w:spacing w:before="240" w:after="240"/>
      <w:outlineLvl w:val="1"/>
    </w:pPr>
    <w:rPr>
      <w:rFonts w:ascii="Arial Bold" w:hAnsi="Arial Bold"/>
      <w:b/>
      <w:sz w:val="26"/>
    </w:rPr>
  </w:style>
  <w:style w:type="paragraph" w:styleId="Heading3">
    <w:name w:val="heading 3"/>
    <w:basedOn w:val="HeadingBase"/>
    <w:next w:val="Normal"/>
    <w:link w:val="Heading3Char"/>
    <w:qFormat/>
    <w:rsid w:val="0031585F"/>
    <w:pPr>
      <w:spacing w:before="120" w:after="120"/>
      <w:outlineLvl w:val="2"/>
    </w:pPr>
    <w:rPr>
      <w:rFonts w:ascii="Arial Bold" w:hAnsi="Arial Bold"/>
      <w:b/>
      <w:sz w:val="22"/>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HeadingBase"/>
    <w:next w:val="Normal"/>
    <w:link w:val="Heading5Char"/>
    <w:qFormat/>
    <w:rsid w:val="0031585F"/>
    <w:pPr>
      <w:spacing w:after="120"/>
      <w:outlineLvl w:val="4"/>
    </w:pPr>
    <w:rPr>
      <w:bCs/>
      <w:i/>
      <w:iCs/>
      <w:sz w:val="20"/>
      <w:szCs w:val="26"/>
    </w:rPr>
  </w:style>
  <w:style w:type="paragraph" w:styleId="Heading6">
    <w:name w:val="heading 6"/>
    <w:basedOn w:val="HeadingBase"/>
    <w:next w:val="Normal"/>
    <w:link w:val="Heading6Char"/>
    <w:rsid w:val="0031585F"/>
    <w:pPr>
      <w:spacing w:after="120"/>
      <w:outlineLvl w:val="5"/>
    </w:pPr>
    <w:rPr>
      <w:bCs/>
      <w:sz w:val="20"/>
      <w:szCs w:val="22"/>
    </w:rPr>
  </w:style>
  <w:style w:type="paragraph" w:styleId="Heading7">
    <w:name w:val="heading 7"/>
    <w:basedOn w:val="HeadingBase"/>
    <w:next w:val="Normal"/>
    <w:link w:val="Heading7Char"/>
    <w:rsid w:val="0031585F"/>
    <w:pPr>
      <w:spacing w:before="120"/>
      <w:outlineLvl w:val="6"/>
    </w:pPr>
    <w:rPr>
      <w:sz w:val="20"/>
      <w:szCs w:val="24"/>
    </w:rPr>
  </w:style>
  <w:style w:type="paragraph" w:styleId="Heading8">
    <w:name w:val="heading 8"/>
    <w:basedOn w:val="HeadingBase"/>
    <w:next w:val="Normal"/>
    <w:link w:val="Heading8Char"/>
    <w:rsid w:val="003158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158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31585F"/>
    <w:pPr>
      <w:jc w:val="center"/>
    </w:pPr>
  </w:style>
  <w:style w:type="paragraph" w:customStyle="1" w:styleId="TableColumnHeadingLeft">
    <w:name w:val="Table Column Heading Left"/>
    <w:basedOn w:val="TableColumnHeadingBase"/>
    <w:next w:val="Normal"/>
    <w:rsid w:val="0031585F"/>
  </w:style>
  <w:style w:type="paragraph" w:customStyle="1" w:styleId="TableColumnHeadingRight">
    <w:name w:val="Table Column Heading Right"/>
    <w:basedOn w:val="TableColumnHeadingBase"/>
    <w:next w:val="Normal"/>
    <w:link w:val="TableColumnHeadingRightChar"/>
    <w:rsid w:val="0031585F"/>
    <w:pPr>
      <w:jc w:val="right"/>
    </w:pPr>
  </w:style>
  <w:style w:type="character" w:customStyle="1" w:styleId="TableColumnHeadingRightChar">
    <w:name w:val="Table Column Heading Right Char"/>
    <w:link w:val="TableColumnHeadingRight"/>
    <w:rsid w:val="00A64635"/>
    <w:rPr>
      <w:rFonts w:ascii="Arial Bold" w:hAnsi="Arial Bold"/>
      <w:b/>
      <w:sz w:val="16"/>
    </w:rPr>
  </w:style>
  <w:style w:type="paragraph" w:customStyle="1" w:styleId="Heading3ptafter">
    <w:name w:val="Heading 3 pt after"/>
    <w:basedOn w:val="Heading6"/>
    <w:rsid w:val="00A64635"/>
    <w:pPr>
      <w:spacing w:after="60"/>
    </w:pPr>
    <w:rPr>
      <w:bCs w:val="0"/>
      <w:i/>
      <w:iCs/>
    </w:rPr>
  </w:style>
  <w:style w:type="character" w:customStyle="1" w:styleId="Heading6Char">
    <w:name w:val="Heading 6 Char"/>
    <w:basedOn w:val="DefaultParagraphFont"/>
    <w:link w:val="Heading6"/>
    <w:rsid w:val="0031585F"/>
    <w:rPr>
      <w:rFonts w:ascii="Arial" w:hAnsi="Arial"/>
      <w:bCs/>
      <w:szCs w:val="22"/>
    </w:rPr>
  </w:style>
  <w:style w:type="paragraph" w:customStyle="1" w:styleId="ChartandTableFootnoteAlpha">
    <w:name w:val="Chart and Table Footnote Alpha"/>
    <w:basedOn w:val="HeadingBase"/>
    <w:next w:val="Normal"/>
    <w:rsid w:val="0031585F"/>
    <w:pPr>
      <w:keepNext w:val="0"/>
      <w:numPr>
        <w:numId w:val="16"/>
      </w:numPr>
      <w:spacing w:before="30"/>
    </w:pPr>
    <w:rPr>
      <w:color w:val="000000"/>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31585F"/>
    <w:pPr>
      <w:spacing w:after="0" w:line="240" w:lineRule="auto"/>
      <w:jc w:val="center"/>
    </w:pPr>
    <w:rPr>
      <w:rFonts w:ascii="Arial" w:hAnsi="Arial"/>
      <w:b/>
      <w:sz w:val="52"/>
    </w:rPr>
  </w:style>
  <w:style w:type="character" w:customStyle="1" w:styleId="Heading1Char">
    <w:name w:val="Heading 1 Char"/>
    <w:basedOn w:val="DefaultParagraphFont"/>
    <w:link w:val="Heading1"/>
    <w:rsid w:val="0031585F"/>
    <w:rPr>
      <w:rFonts w:ascii="Arial Bold" w:hAnsi="Arial Bold"/>
      <w:b/>
      <w:kern w:val="34"/>
      <w:sz w:val="36"/>
    </w:rPr>
  </w:style>
  <w:style w:type="character" w:customStyle="1" w:styleId="Heading2Char">
    <w:name w:val="Heading 2 Char"/>
    <w:basedOn w:val="DefaultParagraphFont"/>
    <w:link w:val="Heading2"/>
    <w:rsid w:val="0031585F"/>
    <w:rPr>
      <w:rFonts w:ascii="Arial Bold" w:hAnsi="Arial Bold"/>
      <w:b/>
      <w:sz w:val="26"/>
    </w:rPr>
  </w:style>
  <w:style w:type="character" w:customStyle="1" w:styleId="Heading3Char">
    <w:name w:val="Heading 3 Char"/>
    <w:basedOn w:val="DefaultParagraphFont"/>
    <w:link w:val="Heading3"/>
    <w:rsid w:val="0031585F"/>
    <w:rPr>
      <w:rFonts w:ascii="Arial Bold" w:hAnsi="Arial Bold"/>
      <w:b/>
      <w:sz w:val="22"/>
    </w:rPr>
  </w:style>
  <w:style w:type="character" w:customStyle="1" w:styleId="Heading4Char">
    <w:name w:val="Heading 4 Char"/>
    <w:basedOn w:val="DefaultParagraphFont"/>
    <w:link w:val="Heading4"/>
    <w:rsid w:val="0031585F"/>
    <w:rPr>
      <w:rFonts w:ascii="Arial Bold" w:hAnsi="Arial Bold"/>
      <w:b/>
    </w:rPr>
  </w:style>
  <w:style w:type="character" w:customStyle="1" w:styleId="Heading5Char">
    <w:name w:val="Heading 5 Char"/>
    <w:basedOn w:val="DefaultParagraphFont"/>
    <w:link w:val="Heading5"/>
    <w:rsid w:val="0031585F"/>
    <w:rPr>
      <w:rFonts w:ascii="Arial" w:hAnsi="Arial"/>
      <w:bCs/>
      <w:i/>
      <w:iCs/>
      <w:szCs w:val="26"/>
    </w:rPr>
  </w:style>
  <w:style w:type="paragraph" w:styleId="TOC2">
    <w:name w:val="toc 2"/>
    <w:basedOn w:val="HeadingBase"/>
    <w:next w:val="Normal"/>
    <w:uiPriority w:val="39"/>
    <w:rsid w:val="0031585F"/>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31585F"/>
    <w:pPr>
      <w:jc w:val="center"/>
    </w:pPr>
    <w:rPr>
      <w:sz w:val="20"/>
    </w:rPr>
  </w:style>
  <w:style w:type="paragraph" w:customStyle="1" w:styleId="TableHeading">
    <w:name w:val="Table Heading"/>
    <w:basedOn w:val="HeadingBase"/>
    <w:next w:val="TableGraphic"/>
    <w:link w:val="TableHeadingChar"/>
    <w:qFormat/>
    <w:rsid w:val="0031585F"/>
    <w:pPr>
      <w:spacing w:before="120" w:after="20"/>
    </w:pPr>
    <w:rPr>
      <w:b/>
      <w:sz w:val="20"/>
    </w:rPr>
  </w:style>
  <w:style w:type="paragraph" w:styleId="TOC1">
    <w:name w:val="toc 1"/>
    <w:basedOn w:val="HeaderBase"/>
    <w:next w:val="Normal"/>
    <w:uiPriority w:val="39"/>
    <w:rsid w:val="0031585F"/>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31585F"/>
    <w:pPr>
      <w:tabs>
        <w:tab w:val="center" w:pos="4153"/>
        <w:tab w:val="right" w:pos="8306"/>
      </w:tabs>
    </w:pPr>
    <w:rPr>
      <w:color w:val="auto"/>
    </w:rPr>
  </w:style>
  <w:style w:type="character" w:customStyle="1" w:styleId="HeaderChar">
    <w:name w:val="Header Char"/>
    <w:basedOn w:val="DefaultParagraphFont"/>
    <w:link w:val="Header"/>
    <w:rsid w:val="0031585F"/>
    <w:rPr>
      <w:rFonts w:ascii="Arial" w:hAnsi="Arial"/>
      <w:sz w:val="18"/>
    </w:rPr>
  </w:style>
  <w:style w:type="paragraph" w:styleId="Footer">
    <w:name w:val="footer"/>
    <w:basedOn w:val="FooterBase"/>
    <w:link w:val="FooterChar"/>
    <w:rsid w:val="0031585F"/>
    <w:pPr>
      <w:tabs>
        <w:tab w:val="center" w:pos="4153"/>
        <w:tab w:val="right" w:pos="8306"/>
      </w:tabs>
    </w:pPr>
  </w:style>
  <w:style w:type="character" w:customStyle="1" w:styleId="FooterChar">
    <w:name w:val="Footer Char"/>
    <w:basedOn w:val="DefaultParagraphFont"/>
    <w:link w:val="Footer"/>
    <w:rsid w:val="0031585F"/>
    <w:rPr>
      <w:rFonts w:ascii="Arial" w:hAnsi="Arial"/>
      <w:color w:val="000000" w:themeColor="text1"/>
    </w:rPr>
  </w:style>
  <w:style w:type="character" w:styleId="PageNumber">
    <w:name w:val="page number"/>
    <w:basedOn w:val="DefaultParagraphFont"/>
    <w:rsid w:val="0031585F"/>
    <w:rPr>
      <w:rFonts w:ascii="Arial" w:hAnsi="Arial" w:cs="Arial"/>
      <w:color w:val="auto"/>
    </w:rPr>
  </w:style>
  <w:style w:type="paragraph" w:customStyle="1" w:styleId="ContentsHeading">
    <w:name w:val="Contents Heading"/>
    <w:basedOn w:val="HeadingBase"/>
    <w:next w:val="Normal"/>
    <w:rsid w:val="0031585F"/>
    <w:pPr>
      <w:spacing w:after="720"/>
    </w:pPr>
    <w:rPr>
      <w:b/>
      <w:bCs/>
      <w:sz w:val="36"/>
    </w:rPr>
  </w:style>
  <w:style w:type="paragraph" w:customStyle="1" w:styleId="ExampleText">
    <w:name w:val="Example Text"/>
    <w:basedOn w:val="Normal"/>
    <w:rsid w:val="00A64635"/>
    <w:rPr>
      <w:i/>
      <w:color w:val="FF0000"/>
    </w:rPr>
  </w:style>
  <w:style w:type="paragraph" w:customStyle="1" w:styleId="HeaderEven">
    <w:name w:val="Header Even"/>
    <w:basedOn w:val="HeaderBase"/>
    <w:rsid w:val="0031585F"/>
    <w:rPr>
      <w:color w:val="auto"/>
    </w:rPr>
  </w:style>
  <w:style w:type="paragraph" w:customStyle="1" w:styleId="HeaderOdd">
    <w:name w:val="Header Odd"/>
    <w:basedOn w:val="HeaderBase"/>
    <w:rsid w:val="0031585F"/>
    <w:pPr>
      <w:jc w:val="right"/>
    </w:pPr>
    <w:rPr>
      <w:color w:val="000000" w:themeColor="text1"/>
    </w:rPr>
  </w:style>
  <w:style w:type="paragraph" w:customStyle="1" w:styleId="OverviewParagraph">
    <w:name w:val="Overview Paragraph"/>
    <w:basedOn w:val="Normal"/>
    <w:link w:val="OverviewParagraphChar"/>
    <w:rsid w:val="0031585F"/>
    <w:pPr>
      <w:spacing w:before="120" w:after="120" w:line="240" w:lineRule="auto"/>
    </w:pPr>
  </w:style>
  <w:style w:type="paragraph" w:customStyle="1" w:styleId="SingleParagraph">
    <w:name w:val="Single Paragraph"/>
    <w:basedOn w:val="Normal"/>
    <w:rsid w:val="0031585F"/>
    <w:pPr>
      <w:spacing w:before="0" w:after="0" w:line="240" w:lineRule="auto"/>
    </w:pPr>
  </w:style>
  <w:style w:type="paragraph" w:customStyle="1" w:styleId="PartHeading">
    <w:name w:val="Part Heading"/>
    <w:basedOn w:val="Title"/>
    <w:next w:val="Normal"/>
    <w:rsid w:val="0031585F"/>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rsid w:val="00A64635"/>
    <w:rPr>
      <w:rFonts w:asciiTheme="minorHAnsi" w:hAnsiTheme="minorHAnsi"/>
      <w:sz w:val="19"/>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8529C5"/>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31585F"/>
    <w:pPr>
      <w:spacing w:before="0" w:after="0" w:line="240" w:lineRule="auto"/>
      <w:ind w:right="-113"/>
    </w:p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31585F"/>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31585F"/>
    <w:pPr>
      <w:spacing w:before="120" w:after="20"/>
    </w:pPr>
    <w:rPr>
      <w:b/>
      <w:sz w:val="20"/>
    </w:rPr>
  </w:style>
  <w:style w:type="paragraph" w:customStyle="1" w:styleId="ChartandTableFootnote">
    <w:name w:val="Chart and Table Footnote"/>
    <w:basedOn w:val="HeadingBase"/>
    <w:next w:val="Normal"/>
    <w:link w:val="ChartandTableFootnoteChar"/>
    <w:rsid w:val="0031585F"/>
    <w:pPr>
      <w:keepNext w:val="0"/>
      <w:tabs>
        <w:tab w:val="left" w:pos="709"/>
      </w:tabs>
      <w:spacing w:before="30"/>
    </w:pPr>
    <w:rPr>
      <w:color w:val="000000"/>
      <w:sz w:val="16"/>
    </w:rPr>
  </w:style>
  <w:style w:type="character" w:customStyle="1" w:styleId="TableHeadingChar">
    <w:name w:val="Table Heading Char"/>
    <w:link w:val="TableHeading"/>
    <w:rsid w:val="0031585F"/>
    <w:rPr>
      <w:rFonts w:ascii="Arial" w:hAnsi="Arial"/>
      <w:b/>
    </w:rPr>
  </w:style>
  <w:style w:type="paragraph" w:customStyle="1" w:styleId="TPHeading1">
    <w:name w:val="TP Heading 1"/>
    <w:basedOn w:val="HeadingBase"/>
    <w:rsid w:val="00E92357"/>
    <w:pPr>
      <w:spacing w:before="60" w:after="600"/>
      <w:ind w:left="851"/>
    </w:pPr>
    <w:rPr>
      <w:caps/>
      <w:spacing w:val="-10"/>
      <w:sz w:val="28"/>
    </w:rPr>
  </w:style>
  <w:style w:type="paragraph" w:customStyle="1" w:styleId="TPHeading3">
    <w:name w:val="TP Heading 3"/>
    <w:basedOn w:val="HeadingBase"/>
    <w:rsid w:val="0031585F"/>
    <w:pPr>
      <w:ind w:left="851"/>
    </w:pPr>
    <w:rPr>
      <w:caps/>
      <w:spacing w:val="-10"/>
    </w:rPr>
  </w:style>
  <w:style w:type="paragraph" w:customStyle="1" w:styleId="TPHeading2">
    <w:name w:val="TP Heading 2"/>
    <w:basedOn w:val="HeadingBase"/>
    <w:rsid w:val="00E92357"/>
    <w:pPr>
      <w:spacing w:after="2040"/>
      <w:ind w:left="851"/>
    </w:pPr>
    <w:rPr>
      <w:b/>
      <w:caps/>
      <w:spacing w:val="-10"/>
      <w:sz w:val="28"/>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rsid w:val="00A64635"/>
    <w:rPr>
      <w:rFonts w:ascii="Tahoma" w:hAnsi="Tahoma" w:cs="Tahoma"/>
      <w:sz w:val="16"/>
      <w:szCs w:val="16"/>
      <w:lang w:eastAsia="en-AU"/>
    </w:rPr>
  </w:style>
  <w:style w:type="paragraph" w:styleId="TOC3">
    <w:name w:val="toc 3"/>
    <w:basedOn w:val="HeadingBase"/>
    <w:next w:val="Normal"/>
    <w:uiPriority w:val="39"/>
    <w:unhideWhenUsed/>
    <w:rsid w:val="0031585F"/>
    <w:pPr>
      <w:tabs>
        <w:tab w:val="right" w:leader="dot" w:pos="7700"/>
      </w:tabs>
      <w:spacing w:before="40"/>
      <w:ind w:right="851"/>
    </w:pPr>
    <w:rPr>
      <w:sz w:val="20"/>
    </w:rPr>
  </w:style>
  <w:style w:type="paragraph" w:customStyle="1" w:styleId="Outcomeheading">
    <w:name w:val="Outcome heading"/>
    <w:basedOn w:val="Heading3"/>
    <w:qFormat/>
    <w:rsid w:val="00E15CF3"/>
  </w:style>
  <w:style w:type="character" w:styleId="Hyperlink">
    <w:name w:val="Hyperlink"/>
    <w:uiPriority w:val="99"/>
    <w:unhideWhenUsed/>
    <w:rsid w:val="008529C5"/>
    <w:rPr>
      <w:b w:val="0"/>
      <w:color w:val="auto"/>
      <w:u w:val="single"/>
    </w:rPr>
  </w:style>
  <w:style w:type="character" w:customStyle="1" w:styleId="A5">
    <w:name w:val="A5"/>
    <w:uiPriority w:val="99"/>
    <w:rsid w:val="0031585F"/>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31585F"/>
    <w:pPr>
      <w:numPr>
        <w:numId w:val="18"/>
      </w:numPr>
      <w:spacing w:after="160"/>
    </w:pPr>
  </w:style>
  <w:style w:type="character" w:customStyle="1" w:styleId="BulletChar">
    <w:name w:val="Bullet Char"/>
    <w:link w:val="Bullet"/>
    <w:rsid w:val="0031585F"/>
    <w:rPr>
      <w:rFonts w:ascii="Book Antiqua" w:hAnsi="Book Antiqua"/>
      <w:sz w:val="19"/>
    </w:rPr>
  </w:style>
  <w:style w:type="paragraph" w:customStyle="1" w:styleId="Dash">
    <w:name w:val="Dash"/>
    <w:basedOn w:val="Normal"/>
    <w:link w:val="DashChar"/>
    <w:qFormat/>
    <w:rsid w:val="0031585F"/>
    <w:pPr>
      <w:numPr>
        <w:ilvl w:val="1"/>
        <w:numId w:val="18"/>
      </w:numPr>
      <w:tabs>
        <w:tab w:val="left" w:pos="567"/>
      </w:tabs>
    </w:pPr>
  </w:style>
  <w:style w:type="character" w:customStyle="1" w:styleId="DashChar">
    <w:name w:val="Dash Char"/>
    <w:link w:val="Dash"/>
    <w:rsid w:val="00A64635"/>
    <w:rPr>
      <w:rFonts w:ascii="Book Antiqua" w:hAnsi="Book Antiqua"/>
      <w:sz w:val="19"/>
    </w:rPr>
  </w:style>
  <w:style w:type="paragraph" w:customStyle="1" w:styleId="DoubleDot">
    <w:name w:val="Double Dot"/>
    <w:basedOn w:val="Normal"/>
    <w:link w:val="DoubleDotChar"/>
    <w:rsid w:val="00A64635"/>
    <w:pPr>
      <w:numPr>
        <w:ilvl w:val="2"/>
        <w:numId w:val="18"/>
      </w:numPr>
    </w:pPr>
    <w:rPr>
      <w:lang w:val="x-none"/>
    </w:rPr>
  </w:style>
  <w:style w:type="character" w:customStyle="1" w:styleId="DoubleDotChar">
    <w:name w:val="Double Dot Char"/>
    <w:link w:val="DoubleDot"/>
    <w:rsid w:val="00A64635"/>
    <w:rPr>
      <w:rFonts w:ascii="Book Antiqua" w:hAnsi="Book Antiqua"/>
      <w:sz w:val="19"/>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31585F"/>
    <w:rPr>
      <w:rFonts w:ascii="Book Antiqua" w:hAnsi="Book Antiqua"/>
      <w:sz w:val="19"/>
    </w:rPr>
  </w:style>
  <w:style w:type="character" w:customStyle="1" w:styleId="ChartandTableFootnoteChar">
    <w:name w:val="Chart and Table Footnote Char"/>
    <w:link w:val="ChartandTableFootnote"/>
    <w:rsid w:val="0031585F"/>
    <w:rPr>
      <w:rFonts w:ascii="Arial" w:hAnsi="Arial"/>
      <w:color w:val="000000"/>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Heading1-NoTOC">
    <w:name w:val="Heading 1 - No TOC"/>
    <w:basedOn w:val="Heading1"/>
    <w:rsid w:val="0020791D"/>
    <w:pPr>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8529C5"/>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31585F"/>
    <w:pPr>
      <w:pBdr>
        <w:top w:val="single" w:sz="4" w:space="10" w:color="000000" w:themeColor="text1"/>
      </w:pBdr>
      <w:jc w:val="right"/>
    </w:pPr>
    <w:rPr>
      <w:sz w:val="18"/>
    </w:rPr>
  </w:style>
  <w:style w:type="paragraph" w:customStyle="1" w:styleId="FooterEven">
    <w:name w:val="Footer Even"/>
    <w:basedOn w:val="Footer"/>
    <w:qFormat/>
    <w:rsid w:val="0031585F"/>
    <w:pPr>
      <w:pBdr>
        <w:top w:val="single" w:sz="4" w:space="10" w:color="000000" w:themeColor="text1"/>
      </w:pBdr>
      <w:jc w:val="left"/>
    </w:pPr>
    <w:rPr>
      <w:color w:val="auto"/>
      <w:sz w:val="18"/>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31585F"/>
    <w:pPr>
      <w:numPr>
        <w:numId w:val="13"/>
      </w:numPr>
      <w:tabs>
        <w:tab w:val="clear" w:pos="567"/>
        <w:tab w:val="num" w:pos="360"/>
      </w:tabs>
    </w:pPr>
  </w:style>
  <w:style w:type="paragraph" w:customStyle="1" w:styleId="HeadingBase">
    <w:name w:val="Heading Base"/>
    <w:link w:val="HeadingBaseChar"/>
    <w:rsid w:val="0031585F"/>
    <w:pPr>
      <w:keepNext/>
    </w:pPr>
    <w:rPr>
      <w:rFonts w:ascii="Arial" w:hAnsi="Arial"/>
      <w:sz w:val="24"/>
    </w:rPr>
  </w:style>
  <w:style w:type="character" w:customStyle="1" w:styleId="HeadingBaseChar">
    <w:name w:val="Heading Base Char"/>
    <w:link w:val="HeadingBase"/>
    <w:rsid w:val="0031585F"/>
    <w:rPr>
      <w:rFonts w:ascii="Arial" w:hAnsi="Arial"/>
      <w:sz w:val="24"/>
    </w:rPr>
  </w:style>
  <w:style w:type="paragraph" w:customStyle="1" w:styleId="AppendixHeading">
    <w:name w:val="Appendix Heading"/>
    <w:basedOn w:val="HeadingBase"/>
    <w:semiHidden/>
    <w:rsid w:val="0031585F"/>
    <w:pPr>
      <w:spacing w:after="240"/>
      <w:jc w:val="center"/>
      <w:outlineLvl w:val="3"/>
    </w:pPr>
    <w:rPr>
      <w:b/>
      <w:smallCaps/>
      <w:sz w:val="30"/>
    </w:rPr>
  </w:style>
  <w:style w:type="paragraph" w:customStyle="1" w:styleId="BoxText">
    <w:name w:val="Box Text"/>
    <w:basedOn w:val="Normal"/>
    <w:qFormat/>
    <w:rsid w:val="0031585F"/>
    <w:pPr>
      <w:spacing w:before="120" w:after="120" w:line="240" w:lineRule="auto"/>
    </w:pPr>
  </w:style>
  <w:style w:type="paragraph" w:customStyle="1" w:styleId="BoxBullet">
    <w:name w:val="Box Bullet"/>
    <w:basedOn w:val="BoxText"/>
    <w:rsid w:val="0031585F"/>
    <w:pPr>
      <w:numPr>
        <w:numId w:val="14"/>
      </w:numPr>
    </w:pPr>
  </w:style>
  <w:style w:type="paragraph" w:customStyle="1" w:styleId="BoxDash">
    <w:name w:val="Box Dash"/>
    <w:basedOn w:val="Normal"/>
    <w:rsid w:val="0031585F"/>
    <w:pPr>
      <w:numPr>
        <w:ilvl w:val="1"/>
        <w:numId w:val="15"/>
      </w:numPr>
    </w:pPr>
    <w:rPr>
      <w:color w:val="000000"/>
    </w:rPr>
  </w:style>
  <w:style w:type="paragraph" w:customStyle="1" w:styleId="BoxTextBase">
    <w:name w:val="Box Text Base"/>
    <w:basedOn w:val="Normal"/>
    <w:rsid w:val="0031585F"/>
    <w:pPr>
      <w:spacing w:after="120"/>
    </w:pPr>
    <w:rPr>
      <w:color w:val="000000"/>
    </w:rPr>
  </w:style>
  <w:style w:type="paragraph" w:customStyle="1" w:styleId="BoxDoubleDot">
    <w:name w:val="Box Double Dot"/>
    <w:basedOn w:val="BoxTextBase"/>
    <w:rsid w:val="0031585F"/>
    <w:pPr>
      <w:numPr>
        <w:ilvl w:val="2"/>
        <w:numId w:val="15"/>
      </w:numPr>
    </w:pPr>
  </w:style>
  <w:style w:type="paragraph" w:customStyle="1" w:styleId="BoxHeading">
    <w:name w:val="Box Heading"/>
    <w:basedOn w:val="HeadingBase"/>
    <w:next w:val="BoxText"/>
    <w:rsid w:val="0031585F"/>
    <w:pPr>
      <w:spacing w:before="120" w:after="120"/>
    </w:pPr>
    <w:rPr>
      <w:b/>
      <w:sz w:val="20"/>
    </w:rPr>
  </w:style>
  <w:style w:type="character" w:customStyle="1" w:styleId="BoxHeading-Continued">
    <w:name w:val="Box Heading - Continued"/>
    <w:uiPriority w:val="1"/>
    <w:qFormat/>
    <w:rsid w:val="0031585F"/>
    <w:rPr>
      <w:sz w:val="22"/>
    </w:rPr>
  </w:style>
  <w:style w:type="paragraph" w:customStyle="1" w:styleId="BoxSubHeading">
    <w:name w:val="Box Sub Heading"/>
    <w:basedOn w:val="Heading6"/>
    <w:rsid w:val="0031585F"/>
    <w:pPr>
      <w:spacing w:before="120" w:after="40"/>
    </w:pPr>
  </w:style>
  <w:style w:type="paragraph" w:customStyle="1" w:styleId="ChartandTableFootnoteAlpha-Bullet">
    <w:name w:val="Chart and Table Footnote Alpha - Bullet"/>
    <w:basedOn w:val="ChartandTableFootnoteAlpha"/>
    <w:rsid w:val="0031585F"/>
    <w:pPr>
      <w:numPr>
        <w:numId w:val="17"/>
      </w:numPr>
      <w:tabs>
        <w:tab w:val="left" w:pos="454"/>
      </w:tabs>
    </w:pPr>
    <w:rPr>
      <w:rFonts w:cs="Arial"/>
      <w:szCs w:val="16"/>
    </w:rPr>
  </w:style>
  <w:style w:type="paragraph" w:customStyle="1" w:styleId="ChartHeading">
    <w:name w:val="Chart Heading"/>
    <w:basedOn w:val="HeadingBase"/>
    <w:next w:val="ChartGraphic"/>
    <w:qFormat/>
    <w:rsid w:val="0031585F"/>
    <w:pPr>
      <w:spacing w:before="120" w:after="20"/>
    </w:pPr>
    <w:rPr>
      <w:b/>
      <w:sz w:val="20"/>
    </w:rPr>
  </w:style>
  <w:style w:type="paragraph" w:customStyle="1" w:styleId="ChartLine">
    <w:name w:val="Chart Line"/>
    <w:basedOn w:val="NoSpacing"/>
    <w:autoRedefine/>
    <w:qFormat/>
    <w:rsid w:val="0031585F"/>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31585F"/>
  </w:style>
  <w:style w:type="paragraph" w:customStyle="1" w:styleId="ChartSecondHeading">
    <w:name w:val="Chart Second Heading"/>
    <w:basedOn w:val="HeadingBase"/>
    <w:next w:val="ChartGraphic"/>
    <w:rsid w:val="0031585F"/>
    <w:pPr>
      <w:spacing w:after="60"/>
    </w:pPr>
    <w:rPr>
      <w:sz w:val="19"/>
    </w:rPr>
  </w:style>
  <w:style w:type="paragraph" w:customStyle="1" w:styleId="DepartmentSubtitle">
    <w:name w:val="Department Subtitle"/>
    <w:basedOn w:val="Department"/>
    <w:rsid w:val="0031585F"/>
    <w:rPr>
      <w:sz w:val="44"/>
    </w:rPr>
  </w:style>
  <w:style w:type="paragraph" w:customStyle="1" w:styleId="FileProperties">
    <w:name w:val="File Properties"/>
    <w:basedOn w:val="Normal"/>
    <w:rsid w:val="0031585F"/>
    <w:pPr>
      <w:spacing w:before="0"/>
    </w:pPr>
    <w:rPr>
      <w:i/>
    </w:rPr>
  </w:style>
  <w:style w:type="paragraph" w:customStyle="1" w:styleId="FooterBase">
    <w:name w:val="Footer Base"/>
    <w:rsid w:val="0031585F"/>
    <w:pPr>
      <w:jc w:val="center"/>
    </w:pPr>
    <w:rPr>
      <w:rFonts w:ascii="Arial" w:hAnsi="Arial"/>
      <w:color w:val="000000" w:themeColor="text1"/>
    </w:rPr>
  </w:style>
  <w:style w:type="paragraph" w:styleId="FootnoteText">
    <w:name w:val="footnote text"/>
    <w:aliases w:val="(NECG) Footnote Text"/>
    <w:basedOn w:val="Normal"/>
    <w:link w:val="FootnoteTextChar"/>
    <w:qFormat/>
    <w:rsid w:val="00F349FC"/>
    <w:pPr>
      <w:tabs>
        <w:tab w:val="left" w:pos="284"/>
      </w:tabs>
      <w:spacing w:before="80" w:after="0" w:line="240" w:lineRule="auto"/>
      <w:ind w:left="284" w:hanging="284"/>
      <w:contextualSpacing/>
    </w:pPr>
    <w:rPr>
      <w:rFonts w:ascii="Arial" w:hAnsi="Arial"/>
      <w:sz w:val="16"/>
    </w:rPr>
  </w:style>
  <w:style w:type="character" w:customStyle="1" w:styleId="FootnoteTextChar">
    <w:name w:val="Footnote Text Char"/>
    <w:aliases w:val="(NECG) Footnote Text Char"/>
    <w:basedOn w:val="DefaultParagraphFont"/>
    <w:link w:val="FootnoteText"/>
    <w:rsid w:val="00F349FC"/>
    <w:rPr>
      <w:rFonts w:ascii="Arial" w:hAnsi="Arial"/>
      <w:sz w:val="16"/>
    </w:rPr>
  </w:style>
  <w:style w:type="character" w:customStyle="1" w:styleId="FramedHeader">
    <w:name w:val="Framed Header"/>
    <w:basedOn w:val="DefaultParagraphFont"/>
    <w:rsid w:val="0031585F"/>
    <w:rPr>
      <w:rFonts w:ascii="Book Antiqua" w:hAnsi="Book Antiqua"/>
      <w:i/>
      <w:dstrike w:val="0"/>
      <w:color w:val="auto"/>
      <w:sz w:val="20"/>
      <w:vertAlign w:val="baseline"/>
    </w:rPr>
  </w:style>
  <w:style w:type="paragraph" w:customStyle="1" w:styleId="HeaderBase">
    <w:name w:val="Header Base"/>
    <w:rsid w:val="0031585F"/>
    <w:rPr>
      <w:rFonts w:ascii="Arial" w:hAnsi="Arial"/>
      <w:color w:val="44546A" w:themeColor="text2"/>
      <w:sz w:val="18"/>
    </w:rPr>
  </w:style>
  <w:style w:type="paragraph" w:customStyle="1" w:styleId="Heading3noTOC">
    <w:name w:val="Heading 3 no TOC"/>
    <w:basedOn w:val="Heading3"/>
    <w:rsid w:val="0031585F"/>
    <w:pPr>
      <w:outlineLvl w:val="9"/>
    </w:pPr>
  </w:style>
  <w:style w:type="character" w:customStyle="1" w:styleId="Heading7Char">
    <w:name w:val="Heading 7 Char"/>
    <w:basedOn w:val="DefaultParagraphFont"/>
    <w:link w:val="Heading7"/>
    <w:rsid w:val="0031585F"/>
    <w:rPr>
      <w:rFonts w:ascii="Arial" w:hAnsi="Arial"/>
      <w:szCs w:val="24"/>
    </w:rPr>
  </w:style>
  <w:style w:type="character" w:customStyle="1" w:styleId="Heading8Char">
    <w:name w:val="Heading 8 Char"/>
    <w:basedOn w:val="DefaultParagraphFont"/>
    <w:link w:val="Heading8"/>
    <w:rsid w:val="0031585F"/>
    <w:rPr>
      <w:rFonts w:ascii="Times New Roman" w:hAnsi="Times New Roman"/>
      <w:i/>
      <w:iCs/>
      <w:sz w:val="16"/>
      <w:szCs w:val="24"/>
    </w:rPr>
  </w:style>
  <w:style w:type="character" w:customStyle="1" w:styleId="Heading9Char">
    <w:name w:val="Heading 9 Char"/>
    <w:basedOn w:val="DefaultParagraphFont"/>
    <w:link w:val="Heading9"/>
    <w:uiPriority w:val="9"/>
    <w:rsid w:val="0031585F"/>
    <w:rPr>
      <w:rFonts w:ascii="Cambria" w:hAnsi="Cambria"/>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1585F"/>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31585F"/>
    <w:pPr>
      <w:ind w:left="567"/>
    </w:pPr>
  </w:style>
  <w:style w:type="paragraph" w:styleId="NoteHeading">
    <w:name w:val="Note Heading"/>
    <w:basedOn w:val="Normal"/>
    <w:next w:val="Normal"/>
    <w:link w:val="NoteHeadingChar"/>
    <w:rsid w:val="0031585F"/>
  </w:style>
  <w:style w:type="character" w:customStyle="1" w:styleId="NoteHeadingChar">
    <w:name w:val="Note Heading Char"/>
    <w:basedOn w:val="DefaultParagraphFont"/>
    <w:link w:val="NoteHeading"/>
    <w:rsid w:val="0031585F"/>
    <w:rPr>
      <w:rFonts w:asciiTheme="minorHAnsi" w:hAnsiTheme="minorHAnsi"/>
      <w:sz w:val="19"/>
    </w:rPr>
  </w:style>
  <w:style w:type="paragraph" w:customStyle="1" w:styleId="NoteTableHeading">
    <w:name w:val="Note Table Heading"/>
    <w:basedOn w:val="HeadingBase"/>
    <w:next w:val="Normal"/>
    <w:rsid w:val="0031585F"/>
    <w:pPr>
      <w:spacing w:before="240"/>
    </w:pPr>
    <w:rPr>
      <w:b/>
      <w:sz w:val="20"/>
    </w:rPr>
  </w:style>
  <w:style w:type="paragraph" w:customStyle="1" w:styleId="Outcome">
    <w:name w:val="Outcome"/>
    <w:basedOn w:val="Normal"/>
    <w:rsid w:val="0031585F"/>
    <w:pPr>
      <w:spacing w:before="120" w:after="120" w:line="280" w:lineRule="exact"/>
    </w:pPr>
    <w:rPr>
      <w:rFonts w:ascii="Arial" w:hAnsi="Arial" w:cs="Arial"/>
      <w:b/>
    </w:rPr>
  </w:style>
  <w:style w:type="paragraph" w:customStyle="1" w:styleId="ProgramHeading">
    <w:name w:val="Program Heading"/>
    <w:basedOn w:val="HeadingBase"/>
    <w:rsid w:val="003158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1585F"/>
  </w:style>
  <w:style w:type="paragraph" w:customStyle="1" w:styleId="Statement">
    <w:name w:val="Statement"/>
    <w:basedOn w:val="Normal"/>
    <w:autoRedefine/>
    <w:qFormat/>
    <w:rsid w:val="0031585F"/>
    <w:pPr>
      <w:textboxTightWrap w:val="firstAndLastLine"/>
    </w:pPr>
    <w:rPr>
      <w:rFonts w:cstheme="minorHAnsi"/>
      <w:kern w:val="18"/>
      <w:sz w:val="18"/>
    </w:rPr>
  </w:style>
  <w:style w:type="paragraph" w:customStyle="1" w:styleId="Statement-Bullet">
    <w:name w:val="Statement - Bullet"/>
    <w:basedOn w:val="Bullet"/>
    <w:qFormat/>
    <w:rsid w:val="0031585F"/>
    <w:pPr>
      <w:ind w:left="284" w:hanging="284"/>
    </w:pPr>
  </w:style>
  <w:style w:type="paragraph" w:customStyle="1" w:styleId="TableColumnHeadingBase">
    <w:name w:val="Table Column Heading Base"/>
    <w:basedOn w:val="Normal"/>
    <w:rsid w:val="0031585F"/>
    <w:pPr>
      <w:spacing w:before="40" w:after="40" w:line="240" w:lineRule="auto"/>
    </w:pPr>
    <w:rPr>
      <w:rFonts w:ascii="Arial Bold" w:hAnsi="Arial Bold"/>
      <w:b/>
      <w:sz w:val="16"/>
    </w:rPr>
  </w:style>
  <w:style w:type="paragraph" w:customStyle="1" w:styleId="TableColumnOutgroupHeading">
    <w:name w:val="Table Column Outgroup Heading"/>
    <w:basedOn w:val="Normal"/>
    <w:rsid w:val="0031585F"/>
    <w:pPr>
      <w:spacing w:before="60" w:after="120" w:line="240" w:lineRule="auto"/>
    </w:pPr>
    <w:rPr>
      <w:b/>
      <w:sz w:val="22"/>
    </w:rPr>
  </w:style>
  <w:style w:type="paragraph" w:customStyle="1" w:styleId="TableColumnOutgroupSubheading">
    <w:name w:val="Table Column Outgroup Subheading"/>
    <w:basedOn w:val="Normal"/>
    <w:rsid w:val="0031585F"/>
    <w:pPr>
      <w:spacing w:before="60" w:after="120" w:line="240" w:lineRule="auto"/>
      <w:jc w:val="center"/>
    </w:pPr>
  </w:style>
  <w:style w:type="paragraph" w:customStyle="1" w:styleId="TableHeadingNoTable">
    <w:name w:val="Table Heading No Table"/>
    <w:basedOn w:val="TableHeading"/>
    <w:next w:val="Normal"/>
    <w:rsid w:val="0031585F"/>
    <w:pPr>
      <w:spacing w:after="240"/>
    </w:pPr>
  </w:style>
  <w:style w:type="paragraph" w:customStyle="1" w:styleId="TableLine">
    <w:name w:val="Table Line"/>
    <w:basedOn w:val="Normal"/>
    <w:next w:val="Normal"/>
    <w:autoRedefine/>
    <w:rsid w:val="0031585F"/>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31585F"/>
    <w:pPr>
      <w:spacing w:before="20" w:after="20" w:line="240" w:lineRule="auto"/>
    </w:pPr>
    <w:rPr>
      <w:rFonts w:ascii="Arial" w:hAnsi="Arial"/>
      <w:sz w:val="16"/>
    </w:rPr>
  </w:style>
  <w:style w:type="character" w:customStyle="1" w:styleId="TableTextBaseChar">
    <w:name w:val="Table Text Base Char"/>
    <w:link w:val="TableTextBase"/>
    <w:rsid w:val="0031585F"/>
    <w:rPr>
      <w:rFonts w:ascii="Arial" w:hAnsi="Arial"/>
      <w:sz w:val="16"/>
    </w:rPr>
  </w:style>
  <w:style w:type="paragraph" w:customStyle="1" w:styleId="TableTextBullet">
    <w:name w:val="Table Text Bullet"/>
    <w:basedOn w:val="TableTextBase"/>
    <w:rsid w:val="0031585F"/>
    <w:pPr>
      <w:numPr>
        <w:numId w:val="19"/>
      </w:numPr>
    </w:pPr>
  </w:style>
  <w:style w:type="paragraph" w:customStyle="1" w:styleId="TableTextCentred">
    <w:name w:val="Table Text Centred"/>
    <w:basedOn w:val="TableTextBase"/>
    <w:rsid w:val="0031585F"/>
    <w:pPr>
      <w:jc w:val="center"/>
    </w:pPr>
  </w:style>
  <w:style w:type="paragraph" w:customStyle="1" w:styleId="TableTextDash">
    <w:name w:val="Table Text Dash"/>
    <w:basedOn w:val="TableTextBase"/>
    <w:rsid w:val="0031585F"/>
    <w:pPr>
      <w:numPr>
        <w:ilvl w:val="1"/>
        <w:numId w:val="19"/>
      </w:numPr>
    </w:pPr>
  </w:style>
  <w:style w:type="paragraph" w:customStyle="1" w:styleId="TableTextIndented">
    <w:name w:val="Table Text Indented"/>
    <w:basedOn w:val="TableTextBase"/>
    <w:rsid w:val="0031585F"/>
    <w:pPr>
      <w:ind w:left="284"/>
    </w:pPr>
  </w:style>
  <w:style w:type="paragraph" w:customStyle="1" w:styleId="TableTextJustified0">
    <w:name w:val="Table Text Justified"/>
    <w:basedOn w:val="TableTextBase"/>
    <w:rsid w:val="0031585F"/>
    <w:pPr>
      <w:jc w:val="both"/>
    </w:pPr>
  </w:style>
  <w:style w:type="paragraph" w:customStyle="1" w:styleId="TableTextLeft">
    <w:name w:val="Table Text Left"/>
    <w:basedOn w:val="TableTextBase"/>
    <w:link w:val="TableTextLeftChar"/>
    <w:rsid w:val="0031585F"/>
  </w:style>
  <w:style w:type="character" w:customStyle="1" w:styleId="TableTextLeftChar">
    <w:name w:val="Table Text Left Char"/>
    <w:link w:val="TableTextLeft"/>
    <w:rsid w:val="0031585F"/>
    <w:rPr>
      <w:rFonts w:ascii="Arial" w:hAnsi="Arial"/>
      <w:sz w:val="16"/>
    </w:rPr>
  </w:style>
  <w:style w:type="paragraph" w:customStyle="1" w:styleId="TableTextRight">
    <w:name w:val="Table Text Right"/>
    <w:basedOn w:val="TableTextBase"/>
    <w:rsid w:val="0031585F"/>
    <w:pPr>
      <w:jc w:val="right"/>
    </w:pPr>
  </w:style>
  <w:style w:type="paragraph" w:styleId="TOC4">
    <w:name w:val="toc 4"/>
    <w:basedOn w:val="HeadingBase"/>
    <w:next w:val="Normal"/>
    <w:uiPriority w:val="2"/>
    <w:unhideWhenUsed/>
    <w:rsid w:val="0031585F"/>
    <w:pPr>
      <w:tabs>
        <w:tab w:val="right" w:leader="dot" w:pos="7700"/>
      </w:tabs>
      <w:spacing w:before="40"/>
      <w:ind w:right="851"/>
    </w:pPr>
    <w:rPr>
      <w:sz w:val="20"/>
    </w:rPr>
  </w:style>
  <w:style w:type="paragraph" w:customStyle="1" w:styleId="TPHeading3bold">
    <w:name w:val="TP Heading 3 bold"/>
    <w:basedOn w:val="TPHeading3"/>
    <w:semiHidden/>
    <w:rsid w:val="0031585F"/>
    <w:rPr>
      <w:rFonts w:cs="Arial"/>
      <w:b/>
      <w:sz w:val="22"/>
      <w:szCs w:val="22"/>
    </w:rPr>
  </w:style>
  <w:style w:type="paragraph" w:customStyle="1" w:styleId="TPHEADING3boldspace">
    <w:name w:val="TP HEADING 3 bold space"/>
    <w:basedOn w:val="TPHeading3bold"/>
    <w:semiHidden/>
    <w:rsid w:val="0031585F"/>
    <w:pPr>
      <w:spacing w:after="120"/>
    </w:pPr>
  </w:style>
  <w:style w:type="paragraph" w:customStyle="1" w:styleId="TPHEADING3space">
    <w:name w:val="TP HEADING 3 space"/>
    <w:basedOn w:val="TPHeading3"/>
    <w:semiHidden/>
    <w:rsid w:val="0031585F"/>
    <w:pPr>
      <w:spacing w:before="120" w:after="120"/>
    </w:pPr>
    <w:rPr>
      <w:rFonts w:cs="Arial"/>
      <w:sz w:val="22"/>
      <w:szCs w:val="22"/>
    </w:rPr>
  </w:style>
  <w:style w:type="paragraph" w:customStyle="1" w:styleId="TPHeading4">
    <w:name w:val="TP Heading 4"/>
    <w:basedOn w:val="TPHeading3"/>
    <w:semiHidden/>
    <w:rsid w:val="0031585F"/>
    <w:rPr>
      <w:sz w:val="20"/>
    </w:rPr>
  </w:style>
  <w:style w:type="character" w:customStyle="1" w:styleId="UnresolvedMention1">
    <w:name w:val="Unresolved Mention1"/>
    <w:basedOn w:val="DefaultParagraphFont"/>
    <w:uiPriority w:val="99"/>
    <w:semiHidden/>
    <w:unhideWhenUsed/>
    <w:rsid w:val="0031585F"/>
    <w:rPr>
      <w:color w:val="605E5C"/>
      <w:shd w:val="clear" w:color="auto" w:fill="E1DFDD"/>
    </w:rPr>
  </w:style>
  <w:style w:type="paragraph" w:customStyle="1" w:styleId="SinglePara">
    <w:name w:val="Single Para"/>
    <w:basedOn w:val="Normal"/>
    <w:rsid w:val="00DB42D8"/>
    <w:pPr>
      <w:spacing w:before="0" w:after="0"/>
    </w:pPr>
  </w:style>
  <w:style w:type="paragraph" w:customStyle="1" w:styleId="ChartandTableFootnote-Dash">
    <w:name w:val="Chart and Table Footnote - Dash"/>
    <w:basedOn w:val="Source"/>
    <w:rsid w:val="00DB42D8"/>
    <w:pPr>
      <w:tabs>
        <w:tab w:val="left" w:pos="680"/>
      </w:tabs>
      <w:ind w:left="681" w:hanging="284"/>
    </w:pPr>
  </w:style>
  <w:style w:type="paragraph" w:customStyle="1" w:styleId="Heading1-LVL2">
    <w:name w:val="Heading 1 - LVL2"/>
    <w:basedOn w:val="Heading1"/>
    <w:rsid w:val="00DB42D8"/>
  </w:style>
  <w:style w:type="paragraph" w:customStyle="1" w:styleId="Heading2-TOC">
    <w:name w:val="Heading 2 - TOC"/>
    <w:rsid w:val="00DB42D8"/>
    <w:pPr>
      <w:spacing w:before="360" w:after="360"/>
      <w:outlineLvl w:val="1"/>
    </w:pPr>
    <w:rPr>
      <w:rFonts w:ascii="Arial" w:hAnsi="Arial"/>
      <w:b/>
      <w:sz w:val="30"/>
    </w:rPr>
  </w:style>
  <w:style w:type="paragraph" w:customStyle="1" w:styleId="Tabletext8pt">
    <w:name w:val="Table text 8pt"/>
    <w:basedOn w:val="Normal"/>
    <w:qFormat/>
    <w:rsid w:val="006D64FD"/>
    <w:pPr>
      <w:spacing w:before="0" w:after="180" w:line="240" w:lineRule="auto"/>
    </w:pPr>
    <w:rPr>
      <w:rFonts w:ascii="Arial" w:hAnsi="Arial" w:cs="Arial"/>
      <w:sz w:val="16"/>
      <w:szCs w:val="16"/>
      <w:lang w:eastAsia="en-US"/>
    </w:rPr>
  </w:style>
  <w:style w:type="paragraph" w:customStyle="1" w:styleId="Tablenumberandreference">
    <w:name w:val="Table number and reference"/>
    <w:basedOn w:val="Normal"/>
    <w:qFormat/>
    <w:rsid w:val="006D64FD"/>
    <w:pPr>
      <w:spacing w:before="0" w:after="0" w:line="240" w:lineRule="auto"/>
    </w:pPr>
    <w:rPr>
      <w:rFonts w:ascii="Arial" w:hAnsi="Arial" w:cs="Arial"/>
      <w:b/>
      <w:szCs w:val="18"/>
      <w:lang w:eastAsia="en-US"/>
    </w:rPr>
  </w:style>
  <w:style w:type="character" w:styleId="FootnoteReference">
    <w:name w:val="footnote reference"/>
    <w:aliases w:val="(NECG) Footnote Reference"/>
    <w:basedOn w:val="DefaultParagraphFont"/>
    <w:unhideWhenUsed/>
    <w:rsid w:val="006D64FD"/>
    <w:rPr>
      <w:vertAlign w:val="superscript"/>
    </w:rPr>
  </w:style>
  <w:style w:type="table" w:customStyle="1" w:styleId="TableGrid1">
    <w:name w:val="Table Grid1"/>
    <w:basedOn w:val="TableNormal"/>
    <w:next w:val="TableGrid"/>
    <w:rsid w:val="006D64FD"/>
    <w:pPr>
      <w:spacing w:after="240" w:line="260" w:lineRule="exact"/>
      <w:jc w:val="both"/>
    </w:pPr>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0004"/>
    <w:pPr>
      <w:keepNext/>
      <w:spacing w:before="40" w:after="40" w:line="240" w:lineRule="auto"/>
    </w:pPr>
    <w:rPr>
      <w:color w:val="000000" w:themeColor="text1"/>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E02DB"/>
    <w:rPr>
      <w:rFonts w:eastAsia="Calibri"/>
      <w:sz w:val="22"/>
      <w:szCs w:val="22"/>
      <w:lang w:val="en-US" w:eastAsia="en-US"/>
    </w:rPr>
  </w:style>
  <w:style w:type="paragraph" w:customStyle="1" w:styleId="Tableheadingrow9pt">
    <w:name w:val="Table heading row 9pt"/>
    <w:link w:val="Tableheadingrow9ptChar"/>
    <w:qFormat/>
    <w:locked/>
    <w:rsid w:val="003F1CF7"/>
    <w:pPr>
      <w:spacing w:before="40" w:after="40"/>
    </w:pPr>
    <w:rPr>
      <w:rFonts w:ascii="Arial" w:hAnsi="Arial" w:cs="Arial"/>
      <w:b/>
      <w:color w:val="000000"/>
      <w:sz w:val="18"/>
      <w:szCs w:val="18"/>
    </w:rPr>
  </w:style>
  <w:style w:type="character" w:customStyle="1" w:styleId="Tableheadingrow9ptChar">
    <w:name w:val="Table heading row 9pt Char"/>
    <w:basedOn w:val="DefaultParagraphFont"/>
    <w:link w:val="Tableheadingrow9pt"/>
    <w:rsid w:val="003F1CF7"/>
    <w:rPr>
      <w:rFonts w:ascii="Arial" w:hAnsi="Arial" w:cs="Arial"/>
      <w:b/>
      <w:color w:val="000000"/>
      <w:sz w:val="18"/>
      <w:szCs w:val="18"/>
    </w:rPr>
  </w:style>
  <w:style w:type="paragraph" w:customStyle="1" w:styleId="Tabletextnormal9pt">
    <w:name w:val="Table text (normal) 9pt"/>
    <w:qFormat/>
    <w:locked/>
    <w:rsid w:val="003F1CF7"/>
    <w:pPr>
      <w:spacing w:before="40" w:after="40"/>
    </w:pPr>
    <w:rPr>
      <w:rFonts w:ascii="Arial" w:hAnsi="Arial" w:cs="Arial"/>
      <w:color w:val="000000"/>
      <w:sz w:val="18"/>
      <w:szCs w:val="18"/>
    </w:rPr>
  </w:style>
  <w:style w:type="paragraph" w:customStyle="1" w:styleId="TableBullet">
    <w:name w:val="Table Bullet"/>
    <w:basedOn w:val="Tabletextnormal9pt"/>
    <w:qFormat/>
    <w:rsid w:val="003F1CF7"/>
    <w:pPr>
      <w:tabs>
        <w:tab w:val="left" w:pos="357"/>
      </w:tabs>
      <w:contextualSpacing/>
    </w:pPr>
  </w:style>
  <w:style w:type="paragraph" w:customStyle="1" w:styleId="TableContents1Main">
    <w:name w:val="TableContents1_Main"/>
    <w:basedOn w:val="Heading1"/>
    <w:link w:val="TableContents1MainChar"/>
    <w:qFormat/>
    <w:rsid w:val="002226FB"/>
    <w:rPr>
      <w:sz w:val="52"/>
    </w:rPr>
  </w:style>
  <w:style w:type="character" w:customStyle="1" w:styleId="TableContents1MainChar">
    <w:name w:val="TableContents1_Main Char"/>
    <w:basedOn w:val="Heading1Char"/>
    <w:link w:val="TableContents1Main"/>
    <w:rsid w:val="002226FB"/>
    <w:rPr>
      <w:rFonts w:ascii="Arial Bold" w:hAnsi="Arial Bold"/>
      <w:b/>
      <w:kern w:val="34"/>
      <w:sz w:val="52"/>
    </w:rPr>
  </w:style>
  <w:style w:type="paragraph" w:customStyle="1" w:styleId="Table-bullet10pt">
    <w:name w:val="Table-bullet(10pt)"/>
    <w:basedOn w:val="Normal"/>
    <w:qFormat/>
    <w:rsid w:val="00766A57"/>
    <w:pPr>
      <w:spacing w:before="60" w:after="60" w:line="240" w:lineRule="auto"/>
      <w:ind w:left="720" w:hanging="360"/>
      <w:jc w:val="both"/>
    </w:pPr>
    <w:rPr>
      <w:sz w:val="20"/>
    </w:rPr>
  </w:style>
  <w:style w:type="character" w:styleId="FollowedHyperlink">
    <w:name w:val="FollowedHyperlink"/>
    <w:basedOn w:val="DefaultParagraphFont"/>
    <w:uiPriority w:val="99"/>
    <w:semiHidden/>
    <w:unhideWhenUsed/>
    <w:rsid w:val="00D71281"/>
    <w:rPr>
      <w:color w:val="954F72" w:themeColor="followedHyperlink"/>
      <w:u w:val="single"/>
    </w:rPr>
  </w:style>
  <w:style w:type="character" w:styleId="Strong">
    <w:name w:val="Strong"/>
    <w:basedOn w:val="DefaultParagraphFont"/>
    <w:uiPriority w:val="22"/>
    <w:qFormat/>
    <w:rsid w:val="00DF3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7222390">
      <w:bodyDiv w:val="1"/>
      <w:marLeft w:val="0"/>
      <w:marRight w:val="0"/>
      <w:marTop w:val="0"/>
      <w:marBottom w:val="0"/>
      <w:divBdr>
        <w:top w:val="none" w:sz="0" w:space="0" w:color="auto"/>
        <w:left w:val="none" w:sz="0" w:space="0" w:color="auto"/>
        <w:bottom w:val="none" w:sz="0" w:space="0" w:color="auto"/>
        <w:right w:val="none" w:sz="0" w:space="0" w:color="auto"/>
      </w:divBdr>
    </w:div>
    <w:div w:id="10036711">
      <w:bodyDiv w:val="1"/>
      <w:marLeft w:val="0"/>
      <w:marRight w:val="0"/>
      <w:marTop w:val="0"/>
      <w:marBottom w:val="0"/>
      <w:divBdr>
        <w:top w:val="none" w:sz="0" w:space="0" w:color="auto"/>
        <w:left w:val="none" w:sz="0" w:space="0" w:color="auto"/>
        <w:bottom w:val="none" w:sz="0" w:space="0" w:color="auto"/>
        <w:right w:val="none" w:sz="0" w:space="0" w:color="auto"/>
      </w:divBdr>
    </w:div>
    <w:div w:id="26028858">
      <w:bodyDiv w:val="1"/>
      <w:marLeft w:val="0"/>
      <w:marRight w:val="0"/>
      <w:marTop w:val="0"/>
      <w:marBottom w:val="0"/>
      <w:divBdr>
        <w:top w:val="none" w:sz="0" w:space="0" w:color="auto"/>
        <w:left w:val="none" w:sz="0" w:space="0" w:color="auto"/>
        <w:bottom w:val="none" w:sz="0" w:space="0" w:color="auto"/>
        <w:right w:val="none" w:sz="0" w:space="0" w:color="auto"/>
      </w:divBdr>
    </w:div>
    <w:div w:id="26878799">
      <w:bodyDiv w:val="1"/>
      <w:marLeft w:val="0"/>
      <w:marRight w:val="0"/>
      <w:marTop w:val="0"/>
      <w:marBottom w:val="0"/>
      <w:divBdr>
        <w:top w:val="none" w:sz="0" w:space="0" w:color="auto"/>
        <w:left w:val="none" w:sz="0" w:space="0" w:color="auto"/>
        <w:bottom w:val="none" w:sz="0" w:space="0" w:color="auto"/>
        <w:right w:val="none" w:sz="0" w:space="0" w:color="auto"/>
      </w:divBdr>
    </w:div>
    <w:div w:id="30807463">
      <w:bodyDiv w:val="1"/>
      <w:marLeft w:val="0"/>
      <w:marRight w:val="0"/>
      <w:marTop w:val="0"/>
      <w:marBottom w:val="0"/>
      <w:divBdr>
        <w:top w:val="none" w:sz="0" w:space="0" w:color="auto"/>
        <w:left w:val="none" w:sz="0" w:space="0" w:color="auto"/>
        <w:bottom w:val="none" w:sz="0" w:space="0" w:color="auto"/>
        <w:right w:val="none" w:sz="0" w:space="0" w:color="auto"/>
      </w:divBdr>
    </w:div>
    <w:div w:id="63113664">
      <w:bodyDiv w:val="1"/>
      <w:marLeft w:val="0"/>
      <w:marRight w:val="0"/>
      <w:marTop w:val="0"/>
      <w:marBottom w:val="0"/>
      <w:divBdr>
        <w:top w:val="none" w:sz="0" w:space="0" w:color="auto"/>
        <w:left w:val="none" w:sz="0" w:space="0" w:color="auto"/>
        <w:bottom w:val="none" w:sz="0" w:space="0" w:color="auto"/>
        <w:right w:val="none" w:sz="0" w:space="0" w:color="auto"/>
      </w:divBdr>
    </w:div>
    <w:div w:id="71589927">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80034714">
      <w:bodyDiv w:val="1"/>
      <w:marLeft w:val="0"/>
      <w:marRight w:val="0"/>
      <w:marTop w:val="0"/>
      <w:marBottom w:val="0"/>
      <w:divBdr>
        <w:top w:val="none" w:sz="0" w:space="0" w:color="auto"/>
        <w:left w:val="none" w:sz="0" w:space="0" w:color="auto"/>
        <w:bottom w:val="none" w:sz="0" w:space="0" w:color="auto"/>
        <w:right w:val="none" w:sz="0" w:space="0" w:color="auto"/>
      </w:divBdr>
    </w:div>
    <w:div w:id="93089980">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21964379">
      <w:bodyDiv w:val="1"/>
      <w:marLeft w:val="0"/>
      <w:marRight w:val="0"/>
      <w:marTop w:val="0"/>
      <w:marBottom w:val="0"/>
      <w:divBdr>
        <w:top w:val="none" w:sz="0" w:space="0" w:color="auto"/>
        <w:left w:val="none" w:sz="0" w:space="0" w:color="auto"/>
        <w:bottom w:val="none" w:sz="0" w:space="0" w:color="auto"/>
        <w:right w:val="none" w:sz="0" w:space="0" w:color="auto"/>
      </w:divBdr>
    </w:div>
    <w:div w:id="140192458">
      <w:bodyDiv w:val="1"/>
      <w:marLeft w:val="0"/>
      <w:marRight w:val="0"/>
      <w:marTop w:val="0"/>
      <w:marBottom w:val="0"/>
      <w:divBdr>
        <w:top w:val="none" w:sz="0" w:space="0" w:color="auto"/>
        <w:left w:val="none" w:sz="0" w:space="0" w:color="auto"/>
        <w:bottom w:val="none" w:sz="0" w:space="0" w:color="auto"/>
        <w:right w:val="none" w:sz="0" w:space="0" w:color="auto"/>
      </w:divBdr>
    </w:div>
    <w:div w:id="140274211">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2132000">
      <w:bodyDiv w:val="1"/>
      <w:marLeft w:val="0"/>
      <w:marRight w:val="0"/>
      <w:marTop w:val="0"/>
      <w:marBottom w:val="0"/>
      <w:divBdr>
        <w:top w:val="none" w:sz="0" w:space="0" w:color="auto"/>
        <w:left w:val="none" w:sz="0" w:space="0" w:color="auto"/>
        <w:bottom w:val="none" w:sz="0" w:space="0" w:color="auto"/>
        <w:right w:val="none" w:sz="0" w:space="0" w:color="auto"/>
      </w:divBdr>
    </w:div>
    <w:div w:id="182474665">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4950097">
      <w:bodyDiv w:val="1"/>
      <w:marLeft w:val="0"/>
      <w:marRight w:val="0"/>
      <w:marTop w:val="0"/>
      <w:marBottom w:val="0"/>
      <w:divBdr>
        <w:top w:val="none" w:sz="0" w:space="0" w:color="auto"/>
        <w:left w:val="none" w:sz="0" w:space="0" w:color="auto"/>
        <w:bottom w:val="none" w:sz="0" w:space="0" w:color="auto"/>
        <w:right w:val="none" w:sz="0" w:space="0" w:color="auto"/>
      </w:divBdr>
    </w:div>
    <w:div w:id="185221451">
      <w:bodyDiv w:val="1"/>
      <w:marLeft w:val="0"/>
      <w:marRight w:val="0"/>
      <w:marTop w:val="0"/>
      <w:marBottom w:val="0"/>
      <w:divBdr>
        <w:top w:val="none" w:sz="0" w:space="0" w:color="auto"/>
        <w:left w:val="none" w:sz="0" w:space="0" w:color="auto"/>
        <w:bottom w:val="none" w:sz="0" w:space="0" w:color="auto"/>
        <w:right w:val="none" w:sz="0" w:space="0" w:color="auto"/>
      </w:divBdr>
    </w:div>
    <w:div w:id="191849830">
      <w:bodyDiv w:val="1"/>
      <w:marLeft w:val="0"/>
      <w:marRight w:val="0"/>
      <w:marTop w:val="0"/>
      <w:marBottom w:val="0"/>
      <w:divBdr>
        <w:top w:val="none" w:sz="0" w:space="0" w:color="auto"/>
        <w:left w:val="none" w:sz="0" w:space="0" w:color="auto"/>
        <w:bottom w:val="none" w:sz="0" w:space="0" w:color="auto"/>
        <w:right w:val="none" w:sz="0" w:space="0" w:color="auto"/>
      </w:divBdr>
    </w:div>
    <w:div w:id="208612965">
      <w:bodyDiv w:val="1"/>
      <w:marLeft w:val="0"/>
      <w:marRight w:val="0"/>
      <w:marTop w:val="0"/>
      <w:marBottom w:val="0"/>
      <w:divBdr>
        <w:top w:val="none" w:sz="0" w:space="0" w:color="auto"/>
        <w:left w:val="none" w:sz="0" w:space="0" w:color="auto"/>
        <w:bottom w:val="none" w:sz="0" w:space="0" w:color="auto"/>
        <w:right w:val="none" w:sz="0" w:space="0" w:color="auto"/>
      </w:divBdr>
    </w:div>
    <w:div w:id="213078016">
      <w:bodyDiv w:val="1"/>
      <w:marLeft w:val="0"/>
      <w:marRight w:val="0"/>
      <w:marTop w:val="0"/>
      <w:marBottom w:val="0"/>
      <w:divBdr>
        <w:top w:val="none" w:sz="0" w:space="0" w:color="auto"/>
        <w:left w:val="none" w:sz="0" w:space="0" w:color="auto"/>
        <w:bottom w:val="none" w:sz="0" w:space="0" w:color="auto"/>
        <w:right w:val="none" w:sz="0" w:space="0" w:color="auto"/>
      </w:divBdr>
    </w:div>
    <w:div w:id="217010448">
      <w:bodyDiv w:val="1"/>
      <w:marLeft w:val="0"/>
      <w:marRight w:val="0"/>
      <w:marTop w:val="0"/>
      <w:marBottom w:val="0"/>
      <w:divBdr>
        <w:top w:val="none" w:sz="0" w:space="0" w:color="auto"/>
        <w:left w:val="none" w:sz="0" w:space="0" w:color="auto"/>
        <w:bottom w:val="none" w:sz="0" w:space="0" w:color="auto"/>
        <w:right w:val="none" w:sz="0" w:space="0" w:color="auto"/>
      </w:divBdr>
    </w:div>
    <w:div w:id="222103116">
      <w:bodyDiv w:val="1"/>
      <w:marLeft w:val="0"/>
      <w:marRight w:val="0"/>
      <w:marTop w:val="0"/>
      <w:marBottom w:val="0"/>
      <w:divBdr>
        <w:top w:val="none" w:sz="0" w:space="0" w:color="auto"/>
        <w:left w:val="none" w:sz="0" w:space="0" w:color="auto"/>
        <w:bottom w:val="none" w:sz="0" w:space="0" w:color="auto"/>
        <w:right w:val="none" w:sz="0" w:space="0" w:color="auto"/>
      </w:divBdr>
    </w:div>
    <w:div w:id="241066974">
      <w:bodyDiv w:val="1"/>
      <w:marLeft w:val="0"/>
      <w:marRight w:val="0"/>
      <w:marTop w:val="0"/>
      <w:marBottom w:val="0"/>
      <w:divBdr>
        <w:top w:val="none" w:sz="0" w:space="0" w:color="auto"/>
        <w:left w:val="none" w:sz="0" w:space="0" w:color="auto"/>
        <w:bottom w:val="none" w:sz="0" w:space="0" w:color="auto"/>
        <w:right w:val="none" w:sz="0" w:space="0" w:color="auto"/>
      </w:divBdr>
    </w:div>
    <w:div w:id="251472833">
      <w:bodyDiv w:val="1"/>
      <w:marLeft w:val="0"/>
      <w:marRight w:val="0"/>
      <w:marTop w:val="0"/>
      <w:marBottom w:val="0"/>
      <w:divBdr>
        <w:top w:val="none" w:sz="0" w:space="0" w:color="auto"/>
        <w:left w:val="none" w:sz="0" w:space="0" w:color="auto"/>
        <w:bottom w:val="none" w:sz="0" w:space="0" w:color="auto"/>
        <w:right w:val="none" w:sz="0" w:space="0" w:color="auto"/>
      </w:divBdr>
    </w:div>
    <w:div w:id="271786126">
      <w:bodyDiv w:val="1"/>
      <w:marLeft w:val="0"/>
      <w:marRight w:val="0"/>
      <w:marTop w:val="0"/>
      <w:marBottom w:val="0"/>
      <w:divBdr>
        <w:top w:val="none" w:sz="0" w:space="0" w:color="auto"/>
        <w:left w:val="none" w:sz="0" w:space="0" w:color="auto"/>
        <w:bottom w:val="none" w:sz="0" w:space="0" w:color="auto"/>
        <w:right w:val="none" w:sz="0" w:space="0" w:color="auto"/>
      </w:divBdr>
    </w:div>
    <w:div w:id="274795721">
      <w:bodyDiv w:val="1"/>
      <w:marLeft w:val="0"/>
      <w:marRight w:val="0"/>
      <w:marTop w:val="0"/>
      <w:marBottom w:val="0"/>
      <w:divBdr>
        <w:top w:val="none" w:sz="0" w:space="0" w:color="auto"/>
        <w:left w:val="none" w:sz="0" w:space="0" w:color="auto"/>
        <w:bottom w:val="none" w:sz="0" w:space="0" w:color="auto"/>
        <w:right w:val="none" w:sz="0" w:space="0" w:color="auto"/>
      </w:divBdr>
    </w:div>
    <w:div w:id="278418628">
      <w:bodyDiv w:val="1"/>
      <w:marLeft w:val="0"/>
      <w:marRight w:val="0"/>
      <w:marTop w:val="0"/>
      <w:marBottom w:val="0"/>
      <w:divBdr>
        <w:top w:val="none" w:sz="0" w:space="0" w:color="auto"/>
        <w:left w:val="none" w:sz="0" w:space="0" w:color="auto"/>
        <w:bottom w:val="none" w:sz="0" w:space="0" w:color="auto"/>
        <w:right w:val="none" w:sz="0" w:space="0" w:color="auto"/>
      </w:divBdr>
    </w:div>
    <w:div w:id="281419487">
      <w:bodyDiv w:val="1"/>
      <w:marLeft w:val="0"/>
      <w:marRight w:val="0"/>
      <w:marTop w:val="0"/>
      <w:marBottom w:val="0"/>
      <w:divBdr>
        <w:top w:val="none" w:sz="0" w:space="0" w:color="auto"/>
        <w:left w:val="none" w:sz="0" w:space="0" w:color="auto"/>
        <w:bottom w:val="none" w:sz="0" w:space="0" w:color="auto"/>
        <w:right w:val="none" w:sz="0" w:space="0" w:color="auto"/>
      </w:divBdr>
    </w:div>
    <w:div w:id="288317108">
      <w:bodyDiv w:val="1"/>
      <w:marLeft w:val="0"/>
      <w:marRight w:val="0"/>
      <w:marTop w:val="0"/>
      <w:marBottom w:val="0"/>
      <w:divBdr>
        <w:top w:val="none" w:sz="0" w:space="0" w:color="auto"/>
        <w:left w:val="none" w:sz="0" w:space="0" w:color="auto"/>
        <w:bottom w:val="none" w:sz="0" w:space="0" w:color="auto"/>
        <w:right w:val="none" w:sz="0" w:space="0" w:color="auto"/>
      </w:divBdr>
    </w:div>
    <w:div w:id="302973126">
      <w:bodyDiv w:val="1"/>
      <w:marLeft w:val="0"/>
      <w:marRight w:val="0"/>
      <w:marTop w:val="0"/>
      <w:marBottom w:val="0"/>
      <w:divBdr>
        <w:top w:val="none" w:sz="0" w:space="0" w:color="auto"/>
        <w:left w:val="none" w:sz="0" w:space="0" w:color="auto"/>
        <w:bottom w:val="none" w:sz="0" w:space="0" w:color="auto"/>
        <w:right w:val="none" w:sz="0" w:space="0" w:color="auto"/>
      </w:divBdr>
    </w:div>
    <w:div w:id="309940713">
      <w:bodyDiv w:val="1"/>
      <w:marLeft w:val="0"/>
      <w:marRight w:val="0"/>
      <w:marTop w:val="0"/>
      <w:marBottom w:val="0"/>
      <w:divBdr>
        <w:top w:val="none" w:sz="0" w:space="0" w:color="auto"/>
        <w:left w:val="none" w:sz="0" w:space="0" w:color="auto"/>
        <w:bottom w:val="none" w:sz="0" w:space="0" w:color="auto"/>
        <w:right w:val="none" w:sz="0" w:space="0" w:color="auto"/>
      </w:divBdr>
    </w:div>
    <w:div w:id="309941876">
      <w:bodyDiv w:val="1"/>
      <w:marLeft w:val="0"/>
      <w:marRight w:val="0"/>
      <w:marTop w:val="0"/>
      <w:marBottom w:val="0"/>
      <w:divBdr>
        <w:top w:val="none" w:sz="0" w:space="0" w:color="auto"/>
        <w:left w:val="none" w:sz="0" w:space="0" w:color="auto"/>
        <w:bottom w:val="none" w:sz="0" w:space="0" w:color="auto"/>
        <w:right w:val="none" w:sz="0" w:space="0" w:color="auto"/>
      </w:divBdr>
    </w:div>
    <w:div w:id="313798922">
      <w:bodyDiv w:val="1"/>
      <w:marLeft w:val="0"/>
      <w:marRight w:val="0"/>
      <w:marTop w:val="0"/>
      <w:marBottom w:val="0"/>
      <w:divBdr>
        <w:top w:val="none" w:sz="0" w:space="0" w:color="auto"/>
        <w:left w:val="none" w:sz="0" w:space="0" w:color="auto"/>
        <w:bottom w:val="none" w:sz="0" w:space="0" w:color="auto"/>
        <w:right w:val="none" w:sz="0" w:space="0" w:color="auto"/>
      </w:divBdr>
    </w:div>
    <w:div w:id="337005638">
      <w:bodyDiv w:val="1"/>
      <w:marLeft w:val="0"/>
      <w:marRight w:val="0"/>
      <w:marTop w:val="0"/>
      <w:marBottom w:val="0"/>
      <w:divBdr>
        <w:top w:val="none" w:sz="0" w:space="0" w:color="auto"/>
        <w:left w:val="none" w:sz="0" w:space="0" w:color="auto"/>
        <w:bottom w:val="none" w:sz="0" w:space="0" w:color="auto"/>
        <w:right w:val="none" w:sz="0" w:space="0" w:color="auto"/>
      </w:divBdr>
    </w:div>
    <w:div w:id="343629514">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3940804">
      <w:bodyDiv w:val="1"/>
      <w:marLeft w:val="0"/>
      <w:marRight w:val="0"/>
      <w:marTop w:val="0"/>
      <w:marBottom w:val="0"/>
      <w:divBdr>
        <w:top w:val="none" w:sz="0" w:space="0" w:color="auto"/>
        <w:left w:val="none" w:sz="0" w:space="0" w:color="auto"/>
        <w:bottom w:val="none" w:sz="0" w:space="0" w:color="auto"/>
        <w:right w:val="none" w:sz="0" w:space="0" w:color="auto"/>
      </w:divBdr>
    </w:div>
    <w:div w:id="399912061">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10545383">
      <w:bodyDiv w:val="1"/>
      <w:marLeft w:val="0"/>
      <w:marRight w:val="0"/>
      <w:marTop w:val="0"/>
      <w:marBottom w:val="0"/>
      <w:divBdr>
        <w:top w:val="none" w:sz="0" w:space="0" w:color="auto"/>
        <w:left w:val="none" w:sz="0" w:space="0" w:color="auto"/>
        <w:bottom w:val="none" w:sz="0" w:space="0" w:color="auto"/>
        <w:right w:val="none" w:sz="0" w:space="0" w:color="auto"/>
      </w:divBdr>
    </w:div>
    <w:div w:id="413010833">
      <w:bodyDiv w:val="1"/>
      <w:marLeft w:val="0"/>
      <w:marRight w:val="0"/>
      <w:marTop w:val="0"/>
      <w:marBottom w:val="0"/>
      <w:divBdr>
        <w:top w:val="none" w:sz="0" w:space="0" w:color="auto"/>
        <w:left w:val="none" w:sz="0" w:space="0" w:color="auto"/>
        <w:bottom w:val="none" w:sz="0" w:space="0" w:color="auto"/>
        <w:right w:val="none" w:sz="0" w:space="0" w:color="auto"/>
      </w:divBdr>
    </w:div>
    <w:div w:id="425002519">
      <w:bodyDiv w:val="1"/>
      <w:marLeft w:val="0"/>
      <w:marRight w:val="0"/>
      <w:marTop w:val="0"/>
      <w:marBottom w:val="0"/>
      <w:divBdr>
        <w:top w:val="none" w:sz="0" w:space="0" w:color="auto"/>
        <w:left w:val="none" w:sz="0" w:space="0" w:color="auto"/>
        <w:bottom w:val="none" w:sz="0" w:space="0" w:color="auto"/>
        <w:right w:val="none" w:sz="0" w:space="0" w:color="auto"/>
      </w:divBdr>
    </w:div>
    <w:div w:id="426389312">
      <w:bodyDiv w:val="1"/>
      <w:marLeft w:val="0"/>
      <w:marRight w:val="0"/>
      <w:marTop w:val="0"/>
      <w:marBottom w:val="0"/>
      <w:divBdr>
        <w:top w:val="none" w:sz="0" w:space="0" w:color="auto"/>
        <w:left w:val="none" w:sz="0" w:space="0" w:color="auto"/>
        <w:bottom w:val="none" w:sz="0" w:space="0" w:color="auto"/>
        <w:right w:val="none" w:sz="0" w:space="0" w:color="auto"/>
      </w:divBdr>
    </w:div>
    <w:div w:id="427576941">
      <w:bodyDiv w:val="1"/>
      <w:marLeft w:val="0"/>
      <w:marRight w:val="0"/>
      <w:marTop w:val="0"/>
      <w:marBottom w:val="0"/>
      <w:divBdr>
        <w:top w:val="none" w:sz="0" w:space="0" w:color="auto"/>
        <w:left w:val="none" w:sz="0" w:space="0" w:color="auto"/>
        <w:bottom w:val="none" w:sz="0" w:space="0" w:color="auto"/>
        <w:right w:val="none" w:sz="0" w:space="0" w:color="auto"/>
      </w:divBdr>
    </w:div>
    <w:div w:id="433061913">
      <w:bodyDiv w:val="1"/>
      <w:marLeft w:val="0"/>
      <w:marRight w:val="0"/>
      <w:marTop w:val="0"/>
      <w:marBottom w:val="0"/>
      <w:divBdr>
        <w:top w:val="none" w:sz="0" w:space="0" w:color="auto"/>
        <w:left w:val="none" w:sz="0" w:space="0" w:color="auto"/>
        <w:bottom w:val="none" w:sz="0" w:space="0" w:color="auto"/>
        <w:right w:val="none" w:sz="0" w:space="0" w:color="auto"/>
      </w:divBdr>
    </w:div>
    <w:div w:id="463695671">
      <w:bodyDiv w:val="1"/>
      <w:marLeft w:val="0"/>
      <w:marRight w:val="0"/>
      <w:marTop w:val="0"/>
      <w:marBottom w:val="0"/>
      <w:divBdr>
        <w:top w:val="none" w:sz="0" w:space="0" w:color="auto"/>
        <w:left w:val="none" w:sz="0" w:space="0" w:color="auto"/>
        <w:bottom w:val="none" w:sz="0" w:space="0" w:color="auto"/>
        <w:right w:val="none" w:sz="0" w:space="0" w:color="auto"/>
      </w:divBdr>
    </w:div>
    <w:div w:id="468400412">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2494167">
      <w:bodyDiv w:val="1"/>
      <w:marLeft w:val="0"/>
      <w:marRight w:val="0"/>
      <w:marTop w:val="0"/>
      <w:marBottom w:val="0"/>
      <w:divBdr>
        <w:top w:val="none" w:sz="0" w:space="0" w:color="auto"/>
        <w:left w:val="none" w:sz="0" w:space="0" w:color="auto"/>
        <w:bottom w:val="none" w:sz="0" w:space="0" w:color="auto"/>
        <w:right w:val="none" w:sz="0" w:space="0" w:color="auto"/>
      </w:divBdr>
    </w:div>
    <w:div w:id="515920796">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50728728">
      <w:bodyDiv w:val="1"/>
      <w:marLeft w:val="0"/>
      <w:marRight w:val="0"/>
      <w:marTop w:val="0"/>
      <w:marBottom w:val="0"/>
      <w:divBdr>
        <w:top w:val="none" w:sz="0" w:space="0" w:color="auto"/>
        <w:left w:val="none" w:sz="0" w:space="0" w:color="auto"/>
        <w:bottom w:val="none" w:sz="0" w:space="0" w:color="auto"/>
        <w:right w:val="none" w:sz="0" w:space="0" w:color="auto"/>
      </w:divBdr>
    </w:div>
    <w:div w:id="552934136">
      <w:bodyDiv w:val="1"/>
      <w:marLeft w:val="0"/>
      <w:marRight w:val="0"/>
      <w:marTop w:val="0"/>
      <w:marBottom w:val="0"/>
      <w:divBdr>
        <w:top w:val="none" w:sz="0" w:space="0" w:color="auto"/>
        <w:left w:val="none" w:sz="0" w:space="0" w:color="auto"/>
        <w:bottom w:val="none" w:sz="0" w:space="0" w:color="auto"/>
        <w:right w:val="none" w:sz="0" w:space="0" w:color="auto"/>
      </w:divBdr>
    </w:div>
    <w:div w:id="596136299">
      <w:bodyDiv w:val="1"/>
      <w:marLeft w:val="0"/>
      <w:marRight w:val="0"/>
      <w:marTop w:val="0"/>
      <w:marBottom w:val="0"/>
      <w:divBdr>
        <w:top w:val="none" w:sz="0" w:space="0" w:color="auto"/>
        <w:left w:val="none" w:sz="0" w:space="0" w:color="auto"/>
        <w:bottom w:val="none" w:sz="0" w:space="0" w:color="auto"/>
        <w:right w:val="none" w:sz="0" w:space="0" w:color="auto"/>
      </w:divBdr>
    </w:div>
    <w:div w:id="604730350">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7183093">
      <w:bodyDiv w:val="1"/>
      <w:marLeft w:val="0"/>
      <w:marRight w:val="0"/>
      <w:marTop w:val="0"/>
      <w:marBottom w:val="0"/>
      <w:divBdr>
        <w:top w:val="none" w:sz="0" w:space="0" w:color="auto"/>
        <w:left w:val="none" w:sz="0" w:space="0" w:color="auto"/>
        <w:bottom w:val="none" w:sz="0" w:space="0" w:color="auto"/>
        <w:right w:val="none" w:sz="0" w:space="0" w:color="auto"/>
      </w:divBdr>
    </w:div>
    <w:div w:id="624846109">
      <w:bodyDiv w:val="1"/>
      <w:marLeft w:val="0"/>
      <w:marRight w:val="0"/>
      <w:marTop w:val="0"/>
      <w:marBottom w:val="0"/>
      <w:divBdr>
        <w:top w:val="none" w:sz="0" w:space="0" w:color="auto"/>
        <w:left w:val="none" w:sz="0" w:space="0" w:color="auto"/>
        <w:bottom w:val="none" w:sz="0" w:space="0" w:color="auto"/>
        <w:right w:val="none" w:sz="0" w:space="0" w:color="auto"/>
      </w:divBdr>
    </w:div>
    <w:div w:id="630281180">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0768214">
      <w:bodyDiv w:val="1"/>
      <w:marLeft w:val="0"/>
      <w:marRight w:val="0"/>
      <w:marTop w:val="0"/>
      <w:marBottom w:val="0"/>
      <w:divBdr>
        <w:top w:val="none" w:sz="0" w:space="0" w:color="auto"/>
        <w:left w:val="none" w:sz="0" w:space="0" w:color="auto"/>
        <w:bottom w:val="none" w:sz="0" w:space="0" w:color="auto"/>
        <w:right w:val="none" w:sz="0" w:space="0" w:color="auto"/>
      </w:divBdr>
    </w:div>
    <w:div w:id="642125841">
      <w:bodyDiv w:val="1"/>
      <w:marLeft w:val="0"/>
      <w:marRight w:val="0"/>
      <w:marTop w:val="0"/>
      <w:marBottom w:val="0"/>
      <w:divBdr>
        <w:top w:val="none" w:sz="0" w:space="0" w:color="auto"/>
        <w:left w:val="none" w:sz="0" w:space="0" w:color="auto"/>
        <w:bottom w:val="none" w:sz="0" w:space="0" w:color="auto"/>
        <w:right w:val="none" w:sz="0" w:space="0" w:color="auto"/>
      </w:divBdr>
    </w:div>
    <w:div w:id="655375146">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8098003">
      <w:bodyDiv w:val="1"/>
      <w:marLeft w:val="0"/>
      <w:marRight w:val="0"/>
      <w:marTop w:val="0"/>
      <w:marBottom w:val="0"/>
      <w:divBdr>
        <w:top w:val="none" w:sz="0" w:space="0" w:color="auto"/>
        <w:left w:val="none" w:sz="0" w:space="0" w:color="auto"/>
        <w:bottom w:val="none" w:sz="0" w:space="0" w:color="auto"/>
        <w:right w:val="none" w:sz="0" w:space="0" w:color="auto"/>
      </w:divBdr>
    </w:div>
    <w:div w:id="69797466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2096714">
      <w:bodyDiv w:val="1"/>
      <w:marLeft w:val="0"/>
      <w:marRight w:val="0"/>
      <w:marTop w:val="0"/>
      <w:marBottom w:val="0"/>
      <w:divBdr>
        <w:top w:val="none" w:sz="0" w:space="0" w:color="auto"/>
        <w:left w:val="none" w:sz="0" w:space="0" w:color="auto"/>
        <w:bottom w:val="none" w:sz="0" w:space="0" w:color="auto"/>
        <w:right w:val="none" w:sz="0" w:space="0" w:color="auto"/>
      </w:divBdr>
    </w:div>
    <w:div w:id="707146172">
      <w:bodyDiv w:val="1"/>
      <w:marLeft w:val="0"/>
      <w:marRight w:val="0"/>
      <w:marTop w:val="0"/>
      <w:marBottom w:val="0"/>
      <w:divBdr>
        <w:top w:val="none" w:sz="0" w:space="0" w:color="auto"/>
        <w:left w:val="none" w:sz="0" w:space="0" w:color="auto"/>
        <w:bottom w:val="none" w:sz="0" w:space="0" w:color="auto"/>
        <w:right w:val="none" w:sz="0" w:space="0" w:color="auto"/>
      </w:divBdr>
    </w:div>
    <w:div w:id="707795818">
      <w:bodyDiv w:val="1"/>
      <w:marLeft w:val="0"/>
      <w:marRight w:val="0"/>
      <w:marTop w:val="0"/>
      <w:marBottom w:val="0"/>
      <w:divBdr>
        <w:top w:val="none" w:sz="0" w:space="0" w:color="auto"/>
        <w:left w:val="none" w:sz="0" w:space="0" w:color="auto"/>
        <w:bottom w:val="none" w:sz="0" w:space="0" w:color="auto"/>
        <w:right w:val="none" w:sz="0" w:space="0" w:color="auto"/>
      </w:divBdr>
    </w:div>
    <w:div w:id="709184659">
      <w:bodyDiv w:val="1"/>
      <w:marLeft w:val="0"/>
      <w:marRight w:val="0"/>
      <w:marTop w:val="0"/>
      <w:marBottom w:val="0"/>
      <w:divBdr>
        <w:top w:val="none" w:sz="0" w:space="0" w:color="auto"/>
        <w:left w:val="none" w:sz="0" w:space="0" w:color="auto"/>
        <w:bottom w:val="none" w:sz="0" w:space="0" w:color="auto"/>
        <w:right w:val="none" w:sz="0" w:space="0" w:color="auto"/>
      </w:divBdr>
    </w:div>
    <w:div w:id="709695473">
      <w:bodyDiv w:val="1"/>
      <w:marLeft w:val="0"/>
      <w:marRight w:val="0"/>
      <w:marTop w:val="0"/>
      <w:marBottom w:val="0"/>
      <w:divBdr>
        <w:top w:val="none" w:sz="0" w:space="0" w:color="auto"/>
        <w:left w:val="none" w:sz="0" w:space="0" w:color="auto"/>
        <w:bottom w:val="none" w:sz="0" w:space="0" w:color="auto"/>
        <w:right w:val="none" w:sz="0" w:space="0" w:color="auto"/>
      </w:divBdr>
    </w:div>
    <w:div w:id="718163835">
      <w:bodyDiv w:val="1"/>
      <w:marLeft w:val="0"/>
      <w:marRight w:val="0"/>
      <w:marTop w:val="0"/>
      <w:marBottom w:val="0"/>
      <w:divBdr>
        <w:top w:val="none" w:sz="0" w:space="0" w:color="auto"/>
        <w:left w:val="none" w:sz="0" w:space="0" w:color="auto"/>
        <w:bottom w:val="none" w:sz="0" w:space="0" w:color="auto"/>
        <w:right w:val="none" w:sz="0" w:space="0" w:color="auto"/>
      </w:divBdr>
    </w:div>
    <w:div w:id="738868171">
      <w:bodyDiv w:val="1"/>
      <w:marLeft w:val="0"/>
      <w:marRight w:val="0"/>
      <w:marTop w:val="0"/>
      <w:marBottom w:val="0"/>
      <w:divBdr>
        <w:top w:val="none" w:sz="0" w:space="0" w:color="auto"/>
        <w:left w:val="none" w:sz="0" w:space="0" w:color="auto"/>
        <w:bottom w:val="none" w:sz="0" w:space="0" w:color="auto"/>
        <w:right w:val="none" w:sz="0" w:space="0" w:color="auto"/>
      </w:divBdr>
    </w:div>
    <w:div w:id="753550900">
      <w:bodyDiv w:val="1"/>
      <w:marLeft w:val="0"/>
      <w:marRight w:val="0"/>
      <w:marTop w:val="0"/>
      <w:marBottom w:val="0"/>
      <w:divBdr>
        <w:top w:val="none" w:sz="0" w:space="0" w:color="auto"/>
        <w:left w:val="none" w:sz="0" w:space="0" w:color="auto"/>
        <w:bottom w:val="none" w:sz="0" w:space="0" w:color="auto"/>
        <w:right w:val="none" w:sz="0" w:space="0" w:color="auto"/>
      </w:divBdr>
    </w:div>
    <w:div w:id="780537859">
      <w:bodyDiv w:val="1"/>
      <w:marLeft w:val="0"/>
      <w:marRight w:val="0"/>
      <w:marTop w:val="0"/>
      <w:marBottom w:val="0"/>
      <w:divBdr>
        <w:top w:val="none" w:sz="0" w:space="0" w:color="auto"/>
        <w:left w:val="none" w:sz="0" w:space="0" w:color="auto"/>
        <w:bottom w:val="none" w:sz="0" w:space="0" w:color="auto"/>
        <w:right w:val="none" w:sz="0" w:space="0" w:color="auto"/>
      </w:divBdr>
    </w:div>
    <w:div w:id="789275304">
      <w:bodyDiv w:val="1"/>
      <w:marLeft w:val="0"/>
      <w:marRight w:val="0"/>
      <w:marTop w:val="0"/>
      <w:marBottom w:val="0"/>
      <w:divBdr>
        <w:top w:val="none" w:sz="0" w:space="0" w:color="auto"/>
        <w:left w:val="none" w:sz="0" w:space="0" w:color="auto"/>
        <w:bottom w:val="none" w:sz="0" w:space="0" w:color="auto"/>
        <w:right w:val="none" w:sz="0" w:space="0" w:color="auto"/>
      </w:divBdr>
    </w:div>
    <w:div w:id="792556567">
      <w:bodyDiv w:val="1"/>
      <w:marLeft w:val="0"/>
      <w:marRight w:val="0"/>
      <w:marTop w:val="0"/>
      <w:marBottom w:val="0"/>
      <w:divBdr>
        <w:top w:val="none" w:sz="0" w:space="0" w:color="auto"/>
        <w:left w:val="none" w:sz="0" w:space="0" w:color="auto"/>
        <w:bottom w:val="none" w:sz="0" w:space="0" w:color="auto"/>
        <w:right w:val="none" w:sz="0" w:space="0" w:color="auto"/>
      </w:divBdr>
    </w:div>
    <w:div w:id="796413964">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02580040">
      <w:bodyDiv w:val="1"/>
      <w:marLeft w:val="0"/>
      <w:marRight w:val="0"/>
      <w:marTop w:val="0"/>
      <w:marBottom w:val="0"/>
      <w:divBdr>
        <w:top w:val="none" w:sz="0" w:space="0" w:color="auto"/>
        <w:left w:val="none" w:sz="0" w:space="0" w:color="auto"/>
        <w:bottom w:val="none" w:sz="0" w:space="0" w:color="auto"/>
        <w:right w:val="none" w:sz="0" w:space="0" w:color="auto"/>
      </w:divBdr>
    </w:div>
    <w:div w:id="804930774">
      <w:bodyDiv w:val="1"/>
      <w:marLeft w:val="0"/>
      <w:marRight w:val="0"/>
      <w:marTop w:val="0"/>
      <w:marBottom w:val="0"/>
      <w:divBdr>
        <w:top w:val="none" w:sz="0" w:space="0" w:color="auto"/>
        <w:left w:val="none" w:sz="0" w:space="0" w:color="auto"/>
        <w:bottom w:val="none" w:sz="0" w:space="0" w:color="auto"/>
        <w:right w:val="none" w:sz="0" w:space="0" w:color="auto"/>
      </w:divBdr>
    </w:div>
    <w:div w:id="844170655">
      <w:bodyDiv w:val="1"/>
      <w:marLeft w:val="0"/>
      <w:marRight w:val="0"/>
      <w:marTop w:val="0"/>
      <w:marBottom w:val="0"/>
      <w:divBdr>
        <w:top w:val="none" w:sz="0" w:space="0" w:color="auto"/>
        <w:left w:val="none" w:sz="0" w:space="0" w:color="auto"/>
        <w:bottom w:val="none" w:sz="0" w:space="0" w:color="auto"/>
        <w:right w:val="none" w:sz="0" w:space="0" w:color="auto"/>
      </w:divBdr>
    </w:div>
    <w:div w:id="844629309">
      <w:bodyDiv w:val="1"/>
      <w:marLeft w:val="0"/>
      <w:marRight w:val="0"/>
      <w:marTop w:val="0"/>
      <w:marBottom w:val="0"/>
      <w:divBdr>
        <w:top w:val="none" w:sz="0" w:space="0" w:color="auto"/>
        <w:left w:val="none" w:sz="0" w:space="0" w:color="auto"/>
        <w:bottom w:val="none" w:sz="0" w:space="0" w:color="auto"/>
        <w:right w:val="none" w:sz="0" w:space="0" w:color="auto"/>
      </w:divBdr>
    </w:div>
    <w:div w:id="861358843">
      <w:bodyDiv w:val="1"/>
      <w:marLeft w:val="0"/>
      <w:marRight w:val="0"/>
      <w:marTop w:val="0"/>
      <w:marBottom w:val="0"/>
      <w:divBdr>
        <w:top w:val="none" w:sz="0" w:space="0" w:color="auto"/>
        <w:left w:val="none" w:sz="0" w:space="0" w:color="auto"/>
        <w:bottom w:val="none" w:sz="0" w:space="0" w:color="auto"/>
        <w:right w:val="none" w:sz="0" w:space="0" w:color="auto"/>
      </w:divBdr>
    </w:div>
    <w:div w:id="865364358">
      <w:bodyDiv w:val="1"/>
      <w:marLeft w:val="0"/>
      <w:marRight w:val="0"/>
      <w:marTop w:val="0"/>
      <w:marBottom w:val="0"/>
      <w:divBdr>
        <w:top w:val="none" w:sz="0" w:space="0" w:color="auto"/>
        <w:left w:val="none" w:sz="0" w:space="0" w:color="auto"/>
        <w:bottom w:val="none" w:sz="0" w:space="0" w:color="auto"/>
        <w:right w:val="none" w:sz="0" w:space="0" w:color="auto"/>
      </w:divBdr>
    </w:div>
    <w:div w:id="890068809">
      <w:bodyDiv w:val="1"/>
      <w:marLeft w:val="0"/>
      <w:marRight w:val="0"/>
      <w:marTop w:val="0"/>
      <w:marBottom w:val="0"/>
      <w:divBdr>
        <w:top w:val="none" w:sz="0" w:space="0" w:color="auto"/>
        <w:left w:val="none" w:sz="0" w:space="0" w:color="auto"/>
        <w:bottom w:val="none" w:sz="0" w:space="0" w:color="auto"/>
        <w:right w:val="none" w:sz="0" w:space="0" w:color="auto"/>
      </w:divBdr>
    </w:div>
    <w:div w:id="890842146">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51591510">
      <w:bodyDiv w:val="1"/>
      <w:marLeft w:val="0"/>
      <w:marRight w:val="0"/>
      <w:marTop w:val="0"/>
      <w:marBottom w:val="0"/>
      <w:divBdr>
        <w:top w:val="none" w:sz="0" w:space="0" w:color="auto"/>
        <w:left w:val="none" w:sz="0" w:space="0" w:color="auto"/>
        <w:bottom w:val="none" w:sz="0" w:space="0" w:color="auto"/>
        <w:right w:val="none" w:sz="0" w:space="0" w:color="auto"/>
      </w:divBdr>
    </w:div>
    <w:div w:id="962812854">
      <w:bodyDiv w:val="1"/>
      <w:marLeft w:val="0"/>
      <w:marRight w:val="0"/>
      <w:marTop w:val="0"/>
      <w:marBottom w:val="0"/>
      <w:divBdr>
        <w:top w:val="none" w:sz="0" w:space="0" w:color="auto"/>
        <w:left w:val="none" w:sz="0" w:space="0" w:color="auto"/>
        <w:bottom w:val="none" w:sz="0" w:space="0" w:color="auto"/>
        <w:right w:val="none" w:sz="0" w:space="0" w:color="auto"/>
      </w:divBdr>
    </w:div>
    <w:div w:id="990325938">
      <w:bodyDiv w:val="1"/>
      <w:marLeft w:val="0"/>
      <w:marRight w:val="0"/>
      <w:marTop w:val="0"/>
      <w:marBottom w:val="0"/>
      <w:divBdr>
        <w:top w:val="none" w:sz="0" w:space="0" w:color="auto"/>
        <w:left w:val="none" w:sz="0" w:space="0" w:color="auto"/>
        <w:bottom w:val="none" w:sz="0" w:space="0" w:color="auto"/>
        <w:right w:val="none" w:sz="0" w:space="0" w:color="auto"/>
      </w:divBdr>
    </w:div>
    <w:div w:id="1013452570">
      <w:bodyDiv w:val="1"/>
      <w:marLeft w:val="0"/>
      <w:marRight w:val="0"/>
      <w:marTop w:val="0"/>
      <w:marBottom w:val="0"/>
      <w:divBdr>
        <w:top w:val="none" w:sz="0" w:space="0" w:color="auto"/>
        <w:left w:val="none" w:sz="0" w:space="0" w:color="auto"/>
        <w:bottom w:val="none" w:sz="0" w:space="0" w:color="auto"/>
        <w:right w:val="none" w:sz="0" w:space="0" w:color="auto"/>
      </w:divBdr>
    </w:div>
    <w:div w:id="1025014556">
      <w:bodyDiv w:val="1"/>
      <w:marLeft w:val="0"/>
      <w:marRight w:val="0"/>
      <w:marTop w:val="0"/>
      <w:marBottom w:val="0"/>
      <w:divBdr>
        <w:top w:val="none" w:sz="0" w:space="0" w:color="auto"/>
        <w:left w:val="none" w:sz="0" w:space="0" w:color="auto"/>
        <w:bottom w:val="none" w:sz="0" w:space="0" w:color="auto"/>
        <w:right w:val="none" w:sz="0" w:space="0" w:color="auto"/>
      </w:divBdr>
    </w:div>
    <w:div w:id="1031414345">
      <w:bodyDiv w:val="1"/>
      <w:marLeft w:val="0"/>
      <w:marRight w:val="0"/>
      <w:marTop w:val="0"/>
      <w:marBottom w:val="0"/>
      <w:divBdr>
        <w:top w:val="none" w:sz="0" w:space="0" w:color="auto"/>
        <w:left w:val="none" w:sz="0" w:space="0" w:color="auto"/>
        <w:bottom w:val="none" w:sz="0" w:space="0" w:color="auto"/>
        <w:right w:val="none" w:sz="0" w:space="0" w:color="auto"/>
      </w:divBdr>
    </w:div>
    <w:div w:id="1032727740">
      <w:bodyDiv w:val="1"/>
      <w:marLeft w:val="0"/>
      <w:marRight w:val="0"/>
      <w:marTop w:val="0"/>
      <w:marBottom w:val="0"/>
      <w:divBdr>
        <w:top w:val="none" w:sz="0" w:space="0" w:color="auto"/>
        <w:left w:val="none" w:sz="0" w:space="0" w:color="auto"/>
        <w:bottom w:val="none" w:sz="0" w:space="0" w:color="auto"/>
        <w:right w:val="none" w:sz="0" w:space="0" w:color="auto"/>
      </w:divBdr>
    </w:div>
    <w:div w:id="1047218920">
      <w:bodyDiv w:val="1"/>
      <w:marLeft w:val="0"/>
      <w:marRight w:val="0"/>
      <w:marTop w:val="0"/>
      <w:marBottom w:val="0"/>
      <w:divBdr>
        <w:top w:val="none" w:sz="0" w:space="0" w:color="auto"/>
        <w:left w:val="none" w:sz="0" w:space="0" w:color="auto"/>
        <w:bottom w:val="none" w:sz="0" w:space="0" w:color="auto"/>
        <w:right w:val="none" w:sz="0" w:space="0" w:color="auto"/>
      </w:divBdr>
    </w:div>
    <w:div w:id="1077627125">
      <w:bodyDiv w:val="1"/>
      <w:marLeft w:val="0"/>
      <w:marRight w:val="0"/>
      <w:marTop w:val="0"/>
      <w:marBottom w:val="0"/>
      <w:divBdr>
        <w:top w:val="none" w:sz="0" w:space="0" w:color="auto"/>
        <w:left w:val="none" w:sz="0" w:space="0" w:color="auto"/>
        <w:bottom w:val="none" w:sz="0" w:space="0" w:color="auto"/>
        <w:right w:val="none" w:sz="0" w:space="0" w:color="auto"/>
      </w:divBdr>
    </w:div>
    <w:div w:id="1096053272">
      <w:bodyDiv w:val="1"/>
      <w:marLeft w:val="0"/>
      <w:marRight w:val="0"/>
      <w:marTop w:val="0"/>
      <w:marBottom w:val="0"/>
      <w:divBdr>
        <w:top w:val="none" w:sz="0" w:space="0" w:color="auto"/>
        <w:left w:val="none" w:sz="0" w:space="0" w:color="auto"/>
        <w:bottom w:val="none" w:sz="0" w:space="0" w:color="auto"/>
        <w:right w:val="none" w:sz="0" w:space="0" w:color="auto"/>
      </w:divBdr>
    </w:div>
    <w:div w:id="1106119099">
      <w:bodyDiv w:val="1"/>
      <w:marLeft w:val="0"/>
      <w:marRight w:val="0"/>
      <w:marTop w:val="0"/>
      <w:marBottom w:val="0"/>
      <w:divBdr>
        <w:top w:val="none" w:sz="0" w:space="0" w:color="auto"/>
        <w:left w:val="none" w:sz="0" w:space="0" w:color="auto"/>
        <w:bottom w:val="none" w:sz="0" w:space="0" w:color="auto"/>
        <w:right w:val="none" w:sz="0" w:space="0" w:color="auto"/>
      </w:divBdr>
    </w:div>
    <w:div w:id="1127047272">
      <w:bodyDiv w:val="1"/>
      <w:marLeft w:val="0"/>
      <w:marRight w:val="0"/>
      <w:marTop w:val="0"/>
      <w:marBottom w:val="0"/>
      <w:divBdr>
        <w:top w:val="none" w:sz="0" w:space="0" w:color="auto"/>
        <w:left w:val="none" w:sz="0" w:space="0" w:color="auto"/>
        <w:bottom w:val="none" w:sz="0" w:space="0" w:color="auto"/>
        <w:right w:val="none" w:sz="0" w:space="0" w:color="auto"/>
      </w:divBdr>
    </w:div>
    <w:div w:id="1136533978">
      <w:bodyDiv w:val="1"/>
      <w:marLeft w:val="0"/>
      <w:marRight w:val="0"/>
      <w:marTop w:val="0"/>
      <w:marBottom w:val="0"/>
      <w:divBdr>
        <w:top w:val="none" w:sz="0" w:space="0" w:color="auto"/>
        <w:left w:val="none" w:sz="0" w:space="0" w:color="auto"/>
        <w:bottom w:val="none" w:sz="0" w:space="0" w:color="auto"/>
        <w:right w:val="none" w:sz="0" w:space="0" w:color="auto"/>
      </w:divBdr>
    </w:div>
    <w:div w:id="1139497973">
      <w:bodyDiv w:val="1"/>
      <w:marLeft w:val="0"/>
      <w:marRight w:val="0"/>
      <w:marTop w:val="0"/>
      <w:marBottom w:val="0"/>
      <w:divBdr>
        <w:top w:val="none" w:sz="0" w:space="0" w:color="auto"/>
        <w:left w:val="none" w:sz="0" w:space="0" w:color="auto"/>
        <w:bottom w:val="none" w:sz="0" w:space="0" w:color="auto"/>
        <w:right w:val="none" w:sz="0" w:space="0" w:color="auto"/>
      </w:divBdr>
    </w:div>
    <w:div w:id="1147671389">
      <w:bodyDiv w:val="1"/>
      <w:marLeft w:val="0"/>
      <w:marRight w:val="0"/>
      <w:marTop w:val="0"/>
      <w:marBottom w:val="0"/>
      <w:divBdr>
        <w:top w:val="none" w:sz="0" w:space="0" w:color="auto"/>
        <w:left w:val="none" w:sz="0" w:space="0" w:color="auto"/>
        <w:bottom w:val="none" w:sz="0" w:space="0" w:color="auto"/>
        <w:right w:val="none" w:sz="0" w:space="0" w:color="auto"/>
      </w:divBdr>
    </w:div>
    <w:div w:id="1157262037">
      <w:bodyDiv w:val="1"/>
      <w:marLeft w:val="0"/>
      <w:marRight w:val="0"/>
      <w:marTop w:val="0"/>
      <w:marBottom w:val="0"/>
      <w:divBdr>
        <w:top w:val="none" w:sz="0" w:space="0" w:color="auto"/>
        <w:left w:val="none" w:sz="0" w:space="0" w:color="auto"/>
        <w:bottom w:val="none" w:sz="0" w:space="0" w:color="auto"/>
        <w:right w:val="none" w:sz="0" w:space="0" w:color="auto"/>
      </w:divBdr>
    </w:div>
    <w:div w:id="1172380208">
      <w:bodyDiv w:val="1"/>
      <w:marLeft w:val="0"/>
      <w:marRight w:val="0"/>
      <w:marTop w:val="0"/>
      <w:marBottom w:val="0"/>
      <w:divBdr>
        <w:top w:val="none" w:sz="0" w:space="0" w:color="auto"/>
        <w:left w:val="none" w:sz="0" w:space="0" w:color="auto"/>
        <w:bottom w:val="none" w:sz="0" w:space="0" w:color="auto"/>
        <w:right w:val="none" w:sz="0" w:space="0" w:color="auto"/>
      </w:divBdr>
    </w:div>
    <w:div w:id="1177845361">
      <w:bodyDiv w:val="1"/>
      <w:marLeft w:val="0"/>
      <w:marRight w:val="0"/>
      <w:marTop w:val="0"/>
      <w:marBottom w:val="0"/>
      <w:divBdr>
        <w:top w:val="none" w:sz="0" w:space="0" w:color="auto"/>
        <w:left w:val="none" w:sz="0" w:space="0" w:color="auto"/>
        <w:bottom w:val="none" w:sz="0" w:space="0" w:color="auto"/>
        <w:right w:val="none" w:sz="0" w:space="0" w:color="auto"/>
      </w:divBdr>
    </w:div>
    <w:div w:id="1186671855">
      <w:bodyDiv w:val="1"/>
      <w:marLeft w:val="0"/>
      <w:marRight w:val="0"/>
      <w:marTop w:val="0"/>
      <w:marBottom w:val="0"/>
      <w:divBdr>
        <w:top w:val="none" w:sz="0" w:space="0" w:color="auto"/>
        <w:left w:val="none" w:sz="0" w:space="0" w:color="auto"/>
        <w:bottom w:val="none" w:sz="0" w:space="0" w:color="auto"/>
        <w:right w:val="none" w:sz="0" w:space="0" w:color="auto"/>
      </w:divBdr>
    </w:div>
    <w:div w:id="1188905380">
      <w:bodyDiv w:val="1"/>
      <w:marLeft w:val="0"/>
      <w:marRight w:val="0"/>
      <w:marTop w:val="0"/>
      <w:marBottom w:val="0"/>
      <w:divBdr>
        <w:top w:val="none" w:sz="0" w:space="0" w:color="auto"/>
        <w:left w:val="none" w:sz="0" w:space="0" w:color="auto"/>
        <w:bottom w:val="none" w:sz="0" w:space="0" w:color="auto"/>
        <w:right w:val="none" w:sz="0" w:space="0" w:color="auto"/>
      </w:divBdr>
    </w:div>
    <w:div w:id="1190333015">
      <w:bodyDiv w:val="1"/>
      <w:marLeft w:val="0"/>
      <w:marRight w:val="0"/>
      <w:marTop w:val="0"/>
      <w:marBottom w:val="0"/>
      <w:divBdr>
        <w:top w:val="none" w:sz="0" w:space="0" w:color="auto"/>
        <w:left w:val="none" w:sz="0" w:space="0" w:color="auto"/>
        <w:bottom w:val="none" w:sz="0" w:space="0" w:color="auto"/>
        <w:right w:val="none" w:sz="0" w:space="0" w:color="auto"/>
      </w:divBdr>
    </w:div>
    <w:div w:id="1202788819">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4638238">
      <w:bodyDiv w:val="1"/>
      <w:marLeft w:val="0"/>
      <w:marRight w:val="0"/>
      <w:marTop w:val="0"/>
      <w:marBottom w:val="0"/>
      <w:divBdr>
        <w:top w:val="none" w:sz="0" w:space="0" w:color="auto"/>
        <w:left w:val="none" w:sz="0" w:space="0" w:color="auto"/>
        <w:bottom w:val="none" w:sz="0" w:space="0" w:color="auto"/>
        <w:right w:val="none" w:sz="0" w:space="0" w:color="auto"/>
      </w:divBdr>
    </w:div>
    <w:div w:id="1242831098">
      <w:bodyDiv w:val="1"/>
      <w:marLeft w:val="0"/>
      <w:marRight w:val="0"/>
      <w:marTop w:val="0"/>
      <w:marBottom w:val="0"/>
      <w:divBdr>
        <w:top w:val="none" w:sz="0" w:space="0" w:color="auto"/>
        <w:left w:val="none" w:sz="0" w:space="0" w:color="auto"/>
        <w:bottom w:val="none" w:sz="0" w:space="0" w:color="auto"/>
        <w:right w:val="none" w:sz="0" w:space="0" w:color="auto"/>
      </w:divBdr>
    </w:div>
    <w:div w:id="1249652288">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66882743">
      <w:bodyDiv w:val="1"/>
      <w:marLeft w:val="0"/>
      <w:marRight w:val="0"/>
      <w:marTop w:val="0"/>
      <w:marBottom w:val="0"/>
      <w:divBdr>
        <w:top w:val="none" w:sz="0" w:space="0" w:color="auto"/>
        <w:left w:val="none" w:sz="0" w:space="0" w:color="auto"/>
        <w:bottom w:val="none" w:sz="0" w:space="0" w:color="auto"/>
        <w:right w:val="none" w:sz="0" w:space="0" w:color="auto"/>
      </w:divBdr>
    </w:div>
    <w:div w:id="1296325782">
      <w:bodyDiv w:val="1"/>
      <w:marLeft w:val="0"/>
      <w:marRight w:val="0"/>
      <w:marTop w:val="0"/>
      <w:marBottom w:val="0"/>
      <w:divBdr>
        <w:top w:val="none" w:sz="0" w:space="0" w:color="auto"/>
        <w:left w:val="none" w:sz="0" w:space="0" w:color="auto"/>
        <w:bottom w:val="none" w:sz="0" w:space="0" w:color="auto"/>
        <w:right w:val="none" w:sz="0" w:space="0" w:color="auto"/>
      </w:divBdr>
    </w:div>
    <w:div w:id="1310356723">
      <w:bodyDiv w:val="1"/>
      <w:marLeft w:val="0"/>
      <w:marRight w:val="0"/>
      <w:marTop w:val="0"/>
      <w:marBottom w:val="0"/>
      <w:divBdr>
        <w:top w:val="none" w:sz="0" w:space="0" w:color="auto"/>
        <w:left w:val="none" w:sz="0" w:space="0" w:color="auto"/>
        <w:bottom w:val="none" w:sz="0" w:space="0" w:color="auto"/>
        <w:right w:val="none" w:sz="0" w:space="0" w:color="auto"/>
      </w:divBdr>
    </w:div>
    <w:div w:id="1312296125">
      <w:bodyDiv w:val="1"/>
      <w:marLeft w:val="0"/>
      <w:marRight w:val="0"/>
      <w:marTop w:val="0"/>
      <w:marBottom w:val="0"/>
      <w:divBdr>
        <w:top w:val="none" w:sz="0" w:space="0" w:color="auto"/>
        <w:left w:val="none" w:sz="0" w:space="0" w:color="auto"/>
        <w:bottom w:val="none" w:sz="0" w:space="0" w:color="auto"/>
        <w:right w:val="none" w:sz="0" w:space="0" w:color="auto"/>
      </w:divBdr>
    </w:div>
    <w:div w:id="1317613949">
      <w:bodyDiv w:val="1"/>
      <w:marLeft w:val="0"/>
      <w:marRight w:val="0"/>
      <w:marTop w:val="0"/>
      <w:marBottom w:val="0"/>
      <w:divBdr>
        <w:top w:val="none" w:sz="0" w:space="0" w:color="auto"/>
        <w:left w:val="none" w:sz="0" w:space="0" w:color="auto"/>
        <w:bottom w:val="none" w:sz="0" w:space="0" w:color="auto"/>
        <w:right w:val="none" w:sz="0" w:space="0" w:color="auto"/>
      </w:divBdr>
    </w:div>
    <w:div w:id="1319924454">
      <w:bodyDiv w:val="1"/>
      <w:marLeft w:val="0"/>
      <w:marRight w:val="0"/>
      <w:marTop w:val="0"/>
      <w:marBottom w:val="0"/>
      <w:divBdr>
        <w:top w:val="none" w:sz="0" w:space="0" w:color="auto"/>
        <w:left w:val="none" w:sz="0" w:space="0" w:color="auto"/>
        <w:bottom w:val="none" w:sz="0" w:space="0" w:color="auto"/>
        <w:right w:val="none" w:sz="0" w:space="0" w:color="auto"/>
      </w:divBdr>
    </w:div>
    <w:div w:id="1323269846">
      <w:bodyDiv w:val="1"/>
      <w:marLeft w:val="0"/>
      <w:marRight w:val="0"/>
      <w:marTop w:val="0"/>
      <w:marBottom w:val="0"/>
      <w:divBdr>
        <w:top w:val="none" w:sz="0" w:space="0" w:color="auto"/>
        <w:left w:val="none" w:sz="0" w:space="0" w:color="auto"/>
        <w:bottom w:val="none" w:sz="0" w:space="0" w:color="auto"/>
        <w:right w:val="none" w:sz="0" w:space="0" w:color="auto"/>
      </w:divBdr>
    </w:div>
    <w:div w:id="1324628326">
      <w:bodyDiv w:val="1"/>
      <w:marLeft w:val="0"/>
      <w:marRight w:val="0"/>
      <w:marTop w:val="0"/>
      <w:marBottom w:val="0"/>
      <w:divBdr>
        <w:top w:val="none" w:sz="0" w:space="0" w:color="auto"/>
        <w:left w:val="none" w:sz="0" w:space="0" w:color="auto"/>
        <w:bottom w:val="none" w:sz="0" w:space="0" w:color="auto"/>
        <w:right w:val="none" w:sz="0" w:space="0" w:color="auto"/>
      </w:divBdr>
    </w:div>
    <w:div w:id="1327632135">
      <w:bodyDiv w:val="1"/>
      <w:marLeft w:val="0"/>
      <w:marRight w:val="0"/>
      <w:marTop w:val="0"/>
      <w:marBottom w:val="0"/>
      <w:divBdr>
        <w:top w:val="none" w:sz="0" w:space="0" w:color="auto"/>
        <w:left w:val="none" w:sz="0" w:space="0" w:color="auto"/>
        <w:bottom w:val="none" w:sz="0" w:space="0" w:color="auto"/>
        <w:right w:val="none" w:sz="0" w:space="0" w:color="auto"/>
      </w:divBdr>
    </w:div>
    <w:div w:id="1328753320">
      <w:bodyDiv w:val="1"/>
      <w:marLeft w:val="0"/>
      <w:marRight w:val="0"/>
      <w:marTop w:val="0"/>
      <w:marBottom w:val="0"/>
      <w:divBdr>
        <w:top w:val="none" w:sz="0" w:space="0" w:color="auto"/>
        <w:left w:val="none" w:sz="0" w:space="0" w:color="auto"/>
        <w:bottom w:val="none" w:sz="0" w:space="0" w:color="auto"/>
        <w:right w:val="none" w:sz="0" w:space="0" w:color="auto"/>
      </w:divBdr>
    </w:div>
    <w:div w:id="1347443063">
      <w:bodyDiv w:val="1"/>
      <w:marLeft w:val="0"/>
      <w:marRight w:val="0"/>
      <w:marTop w:val="0"/>
      <w:marBottom w:val="0"/>
      <w:divBdr>
        <w:top w:val="none" w:sz="0" w:space="0" w:color="auto"/>
        <w:left w:val="none" w:sz="0" w:space="0" w:color="auto"/>
        <w:bottom w:val="none" w:sz="0" w:space="0" w:color="auto"/>
        <w:right w:val="none" w:sz="0" w:space="0" w:color="auto"/>
      </w:divBdr>
    </w:div>
    <w:div w:id="1350567496">
      <w:bodyDiv w:val="1"/>
      <w:marLeft w:val="0"/>
      <w:marRight w:val="0"/>
      <w:marTop w:val="0"/>
      <w:marBottom w:val="0"/>
      <w:divBdr>
        <w:top w:val="none" w:sz="0" w:space="0" w:color="auto"/>
        <w:left w:val="none" w:sz="0" w:space="0" w:color="auto"/>
        <w:bottom w:val="none" w:sz="0" w:space="0" w:color="auto"/>
        <w:right w:val="none" w:sz="0" w:space="0" w:color="auto"/>
      </w:divBdr>
    </w:div>
    <w:div w:id="1355035698">
      <w:bodyDiv w:val="1"/>
      <w:marLeft w:val="0"/>
      <w:marRight w:val="0"/>
      <w:marTop w:val="0"/>
      <w:marBottom w:val="0"/>
      <w:divBdr>
        <w:top w:val="none" w:sz="0" w:space="0" w:color="auto"/>
        <w:left w:val="none" w:sz="0" w:space="0" w:color="auto"/>
        <w:bottom w:val="none" w:sz="0" w:space="0" w:color="auto"/>
        <w:right w:val="none" w:sz="0" w:space="0" w:color="auto"/>
      </w:divBdr>
    </w:div>
    <w:div w:id="1359431727">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65328408">
      <w:bodyDiv w:val="1"/>
      <w:marLeft w:val="0"/>
      <w:marRight w:val="0"/>
      <w:marTop w:val="0"/>
      <w:marBottom w:val="0"/>
      <w:divBdr>
        <w:top w:val="none" w:sz="0" w:space="0" w:color="auto"/>
        <w:left w:val="none" w:sz="0" w:space="0" w:color="auto"/>
        <w:bottom w:val="none" w:sz="0" w:space="0" w:color="auto"/>
        <w:right w:val="none" w:sz="0" w:space="0" w:color="auto"/>
      </w:divBdr>
    </w:div>
    <w:div w:id="1366977613">
      <w:bodyDiv w:val="1"/>
      <w:marLeft w:val="0"/>
      <w:marRight w:val="0"/>
      <w:marTop w:val="0"/>
      <w:marBottom w:val="0"/>
      <w:divBdr>
        <w:top w:val="none" w:sz="0" w:space="0" w:color="auto"/>
        <w:left w:val="none" w:sz="0" w:space="0" w:color="auto"/>
        <w:bottom w:val="none" w:sz="0" w:space="0" w:color="auto"/>
        <w:right w:val="none" w:sz="0" w:space="0" w:color="auto"/>
      </w:divBdr>
    </w:div>
    <w:div w:id="1367439127">
      <w:bodyDiv w:val="1"/>
      <w:marLeft w:val="0"/>
      <w:marRight w:val="0"/>
      <w:marTop w:val="0"/>
      <w:marBottom w:val="0"/>
      <w:divBdr>
        <w:top w:val="none" w:sz="0" w:space="0" w:color="auto"/>
        <w:left w:val="none" w:sz="0" w:space="0" w:color="auto"/>
        <w:bottom w:val="none" w:sz="0" w:space="0" w:color="auto"/>
        <w:right w:val="none" w:sz="0" w:space="0" w:color="auto"/>
      </w:divBdr>
    </w:div>
    <w:div w:id="1387337856">
      <w:bodyDiv w:val="1"/>
      <w:marLeft w:val="0"/>
      <w:marRight w:val="0"/>
      <w:marTop w:val="0"/>
      <w:marBottom w:val="0"/>
      <w:divBdr>
        <w:top w:val="none" w:sz="0" w:space="0" w:color="auto"/>
        <w:left w:val="none" w:sz="0" w:space="0" w:color="auto"/>
        <w:bottom w:val="none" w:sz="0" w:space="0" w:color="auto"/>
        <w:right w:val="none" w:sz="0" w:space="0" w:color="auto"/>
      </w:divBdr>
    </w:div>
    <w:div w:id="1390222976">
      <w:bodyDiv w:val="1"/>
      <w:marLeft w:val="0"/>
      <w:marRight w:val="0"/>
      <w:marTop w:val="0"/>
      <w:marBottom w:val="0"/>
      <w:divBdr>
        <w:top w:val="none" w:sz="0" w:space="0" w:color="auto"/>
        <w:left w:val="none" w:sz="0" w:space="0" w:color="auto"/>
        <w:bottom w:val="none" w:sz="0" w:space="0" w:color="auto"/>
        <w:right w:val="none" w:sz="0" w:space="0" w:color="auto"/>
      </w:divBdr>
    </w:div>
    <w:div w:id="1404794176">
      <w:bodyDiv w:val="1"/>
      <w:marLeft w:val="0"/>
      <w:marRight w:val="0"/>
      <w:marTop w:val="0"/>
      <w:marBottom w:val="0"/>
      <w:divBdr>
        <w:top w:val="none" w:sz="0" w:space="0" w:color="auto"/>
        <w:left w:val="none" w:sz="0" w:space="0" w:color="auto"/>
        <w:bottom w:val="none" w:sz="0" w:space="0" w:color="auto"/>
        <w:right w:val="none" w:sz="0" w:space="0" w:color="auto"/>
      </w:divBdr>
    </w:div>
    <w:div w:id="1414620596">
      <w:bodyDiv w:val="1"/>
      <w:marLeft w:val="0"/>
      <w:marRight w:val="0"/>
      <w:marTop w:val="0"/>
      <w:marBottom w:val="0"/>
      <w:divBdr>
        <w:top w:val="none" w:sz="0" w:space="0" w:color="auto"/>
        <w:left w:val="none" w:sz="0" w:space="0" w:color="auto"/>
        <w:bottom w:val="none" w:sz="0" w:space="0" w:color="auto"/>
        <w:right w:val="none" w:sz="0" w:space="0" w:color="auto"/>
      </w:divBdr>
    </w:div>
    <w:div w:id="1415972259">
      <w:bodyDiv w:val="1"/>
      <w:marLeft w:val="0"/>
      <w:marRight w:val="0"/>
      <w:marTop w:val="0"/>
      <w:marBottom w:val="0"/>
      <w:divBdr>
        <w:top w:val="none" w:sz="0" w:space="0" w:color="auto"/>
        <w:left w:val="none" w:sz="0" w:space="0" w:color="auto"/>
        <w:bottom w:val="none" w:sz="0" w:space="0" w:color="auto"/>
        <w:right w:val="none" w:sz="0" w:space="0" w:color="auto"/>
      </w:divBdr>
    </w:div>
    <w:div w:id="1416316581">
      <w:bodyDiv w:val="1"/>
      <w:marLeft w:val="0"/>
      <w:marRight w:val="0"/>
      <w:marTop w:val="0"/>
      <w:marBottom w:val="0"/>
      <w:divBdr>
        <w:top w:val="none" w:sz="0" w:space="0" w:color="auto"/>
        <w:left w:val="none" w:sz="0" w:space="0" w:color="auto"/>
        <w:bottom w:val="none" w:sz="0" w:space="0" w:color="auto"/>
        <w:right w:val="none" w:sz="0" w:space="0" w:color="auto"/>
      </w:divBdr>
    </w:div>
    <w:div w:id="1417480548">
      <w:bodyDiv w:val="1"/>
      <w:marLeft w:val="0"/>
      <w:marRight w:val="0"/>
      <w:marTop w:val="0"/>
      <w:marBottom w:val="0"/>
      <w:divBdr>
        <w:top w:val="none" w:sz="0" w:space="0" w:color="auto"/>
        <w:left w:val="none" w:sz="0" w:space="0" w:color="auto"/>
        <w:bottom w:val="none" w:sz="0" w:space="0" w:color="auto"/>
        <w:right w:val="none" w:sz="0" w:space="0" w:color="auto"/>
      </w:divBdr>
    </w:div>
    <w:div w:id="1422142730">
      <w:bodyDiv w:val="1"/>
      <w:marLeft w:val="0"/>
      <w:marRight w:val="0"/>
      <w:marTop w:val="0"/>
      <w:marBottom w:val="0"/>
      <w:divBdr>
        <w:top w:val="none" w:sz="0" w:space="0" w:color="auto"/>
        <w:left w:val="none" w:sz="0" w:space="0" w:color="auto"/>
        <w:bottom w:val="none" w:sz="0" w:space="0" w:color="auto"/>
        <w:right w:val="none" w:sz="0" w:space="0" w:color="auto"/>
      </w:divBdr>
    </w:div>
    <w:div w:id="1434666026">
      <w:bodyDiv w:val="1"/>
      <w:marLeft w:val="0"/>
      <w:marRight w:val="0"/>
      <w:marTop w:val="0"/>
      <w:marBottom w:val="0"/>
      <w:divBdr>
        <w:top w:val="none" w:sz="0" w:space="0" w:color="auto"/>
        <w:left w:val="none" w:sz="0" w:space="0" w:color="auto"/>
        <w:bottom w:val="none" w:sz="0" w:space="0" w:color="auto"/>
        <w:right w:val="none" w:sz="0" w:space="0" w:color="auto"/>
      </w:divBdr>
    </w:div>
    <w:div w:id="1446189547">
      <w:bodyDiv w:val="1"/>
      <w:marLeft w:val="0"/>
      <w:marRight w:val="0"/>
      <w:marTop w:val="0"/>
      <w:marBottom w:val="0"/>
      <w:divBdr>
        <w:top w:val="none" w:sz="0" w:space="0" w:color="auto"/>
        <w:left w:val="none" w:sz="0" w:space="0" w:color="auto"/>
        <w:bottom w:val="none" w:sz="0" w:space="0" w:color="auto"/>
        <w:right w:val="none" w:sz="0" w:space="0" w:color="auto"/>
      </w:divBdr>
    </w:div>
    <w:div w:id="1459642264">
      <w:bodyDiv w:val="1"/>
      <w:marLeft w:val="0"/>
      <w:marRight w:val="0"/>
      <w:marTop w:val="0"/>
      <w:marBottom w:val="0"/>
      <w:divBdr>
        <w:top w:val="none" w:sz="0" w:space="0" w:color="auto"/>
        <w:left w:val="none" w:sz="0" w:space="0" w:color="auto"/>
        <w:bottom w:val="none" w:sz="0" w:space="0" w:color="auto"/>
        <w:right w:val="none" w:sz="0" w:space="0" w:color="auto"/>
      </w:divBdr>
    </w:div>
    <w:div w:id="146237883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17504211">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110936">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68111316">
      <w:bodyDiv w:val="1"/>
      <w:marLeft w:val="0"/>
      <w:marRight w:val="0"/>
      <w:marTop w:val="0"/>
      <w:marBottom w:val="0"/>
      <w:divBdr>
        <w:top w:val="none" w:sz="0" w:space="0" w:color="auto"/>
        <w:left w:val="none" w:sz="0" w:space="0" w:color="auto"/>
        <w:bottom w:val="none" w:sz="0" w:space="0" w:color="auto"/>
        <w:right w:val="none" w:sz="0" w:space="0" w:color="auto"/>
      </w:divBdr>
    </w:div>
    <w:div w:id="1595672229">
      <w:bodyDiv w:val="1"/>
      <w:marLeft w:val="0"/>
      <w:marRight w:val="0"/>
      <w:marTop w:val="0"/>
      <w:marBottom w:val="0"/>
      <w:divBdr>
        <w:top w:val="none" w:sz="0" w:space="0" w:color="auto"/>
        <w:left w:val="none" w:sz="0" w:space="0" w:color="auto"/>
        <w:bottom w:val="none" w:sz="0" w:space="0" w:color="auto"/>
        <w:right w:val="none" w:sz="0" w:space="0" w:color="auto"/>
      </w:divBdr>
    </w:div>
    <w:div w:id="1596400506">
      <w:bodyDiv w:val="1"/>
      <w:marLeft w:val="0"/>
      <w:marRight w:val="0"/>
      <w:marTop w:val="0"/>
      <w:marBottom w:val="0"/>
      <w:divBdr>
        <w:top w:val="none" w:sz="0" w:space="0" w:color="auto"/>
        <w:left w:val="none" w:sz="0" w:space="0" w:color="auto"/>
        <w:bottom w:val="none" w:sz="0" w:space="0" w:color="auto"/>
        <w:right w:val="none" w:sz="0" w:space="0" w:color="auto"/>
      </w:divBdr>
    </w:div>
    <w:div w:id="1597977933">
      <w:bodyDiv w:val="1"/>
      <w:marLeft w:val="0"/>
      <w:marRight w:val="0"/>
      <w:marTop w:val="0"/>
      <w:marBottom w:val="0"/>
      <w:divBdr>
        <w:top w:val="none" w:sz="0" w:space="0" w:color="auto"/>
        <w:left w:val="none" w:sz="0" w:space="0" w:color="auto"/>
        <w:bottom w:val="none" w:sz="0" w:space="0" w:color="auto"/>
        <w:right w:val="none" w:sz="0" w:space="0" w:color="auto"/>
      </w:divBdr>
    </w:div>
    <w:div w:id="1607075162">
      <w:bodyDiv w:val="1"/>
      <w:marLeft w:val="0"/>
      <w:marRight w:val="0"/>
      <w:marTop w:val="0"/>
      <w:marBottom w:val="0"/>
      <w:divBdr>
        <w:top w:val="none" w:sz="0" w:space="0" w:color="auto"/>
        <w:left w:val="none" w:sz="0" w:space="0" w:color="auto"/>
        <w:bottom w:val="none" w:sz="0" w:space="0" w:color="auto"/>
        <w:right w:val="none" w:sz="0" w:space="0" w:color="auto"/>
      </w:divBdr>
    </w:div>
    <w:div w:id="1636792862">
      <w:bodyDiv w:val="1"/>
      <w:marLeft w:val="0"/>
      <w:marRight w:val="0"/>
      <w:marTop w:val="0"/>
      <w:marBottom w:val="0"/>
      <w:divBdr>
        <w:top w:val="none" w:sz="0" w:space="0" w:color="auto"/>
        <w:left w:val="none" w:sz="0" w:space="0" w:color="auto"/>
        <w:bottom w:val="none" w:sz="0" w:space="0" w:color="auto"/>
        <w:right w:val="none" w:sz="0" w:space="0" w:color="auto"/>
      </w:divBdr>
    </w:div>
    <w:div w:id="1666661818">
      <w:bodyDiv w:val="1"/>
      <w:marLeft w:val="0"/>
      <w:marRight w:val="0"/>
      <w:marTop w:val="0"/>
      <w:marBottom w:val="0"/>
      <w:divBdr>
        <w:top w:val="none" w:sz="0" w:space="0" w:color="auto"/>
        <w:left w:val="none" w:sz="0" w:space="0" w:color="auto"/>
        <w:bottom w:val="none" w:sz="0" w:space="0" w:color="auto"/>
        <w:right w:val="none" w:sz="0" w:space="0" w:color="auto"/>
      </w:divBdr>
    </w:div>
    <w:div w:id="1675690095">
      <w:bodyDiv w:val="1"/>
      <w:marLeft w:val="0"/>
      <w:marRight w:val="0"/>
      <w:marTop w:val="0"/>
      <w:marBottom w:val="0"/>
      <w:divBdr>
        <w:top w:val="none" w:sz="0" w:space="0" w:color="auto"/>
        <w:left w:val="none" w:sz="0" w:space="0" w:color="auto"/>
        <w:bottom w:val="none" w:sz="0" w:space="0" w:color="auto"/>
        <w:right w:val="none" w:sz="0" w:space="0" w:color="auto"/>
      </w:divBdr>
    </w:div>
    <w:div w:id="1687563281">
      <w:bodyDiv w:val="1"/>
      <w:marLeft w:val="0"/>
      <w:marRight w:val="0"/>
      <w:marTop w:val="0"/>
      <w:marBottom w:val="0"/>
      <w:divBdr>
        <w:top w:val="none" w:sz="0" w:space="0" w:color="auto"/>
        <w:left w:val="none" w:sz="0" w:space="0" w:color="auto"/>
        <w:bottom w:val="none" w:sz="0" w:space="0" w:color="auto"/>
        <w:right w:val="none" w:sz="0" w:space="0" w:color="auto"/>
      </w:divBdr>
    </w:div>
    <w:div w:id="1693607956">
      <w:bodyDiv w:val="1"/>
      <w:marLeft w:val="0"/>
      <w:marRight w:val="0"/>
      <w:marTop w:val="0"/>
      <w:marBottom w:val="0"/>
      <w:divBdr>
        <w:top w:val="none" w:sz="0" w:space="0" w:color="auto"/>
        <w:left w:val="none" w:sz="0" w:space="0" w:color="auto"/>
        <w:bottom w:val="none" w:sz="0" w:space="0" w:color="auto"/>
        <w:right w:val="none" w:sz="0" w:space="0" w:color="auto"/>
      </w:divBdr>
    </w:div>
    <w:div w:id="1714816014">
      <w:bodyDiv w:val="1"/>
      <w:marLeft w:val="0"/>
      <w:marRight w:val="0"/>
      <w:marTop w:val="0"/>
      <w:marBottom w:val="0"/>
      <w:divBdr>
        <w:top w:val="none" w:sz="0" w:space="0" w:color="auto"/>
        <w:left w:val="none" w:sz="0" w:space="0" w:color="auto"/>
        <w:bottom w:val="none" w:sz="0" w:space="0" w:color="auto"/>
        <w:right w:val="none" w:sz="0" w:space="0" w:color="auto"/>
      </w:divBdr>
    </w:div>
    <w:div w:id="1730037504">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6271092">
      <w:bodyDiv w:val="1"/>
      <w:marLeft w:val="0"/>
      <w:marRight w:val="0"/>
      <w:marTop w:val="0"/>
      <w:marBottom w:val="0"/>
      <w:divBdr>
        <w:top w:val="none" w:sz="0" w:space="0" w:color="auto"/>
        <w:left w:val="none" w:sz="0" w:space="0" w:color="auto"/>
        <w:bottom w:val="none" w:sz="0" w:space="0" w:color="auto"/>
        <w:right w:val="none" w:sz="0" w:space="0" w:color="auto"/>
      </w:divBdr>
    </w:div>
    <w:div w:id="1753308711">
      <w:bodyDiv w:val="1"/>
      <w:marLeft w:val="0"/>
      <w:marRight w:val="0"/>
      <w:marTop w:val="0"/>
      <w:marBottom w:val="0"/>
      <w:divBdr>
        <w:top w:val="none" w:sz="0" w:space="0" w:color="auto"/>
        <w:left w:val="none" w:sz="0" w:space="0" w:color="auto"/>
        <w:bottom w:val="none" w:sz="0" w:space="0" w:color="auto"/>
        <w:right w:val="none" w:sz="0" w:space="0" w:color="auto"/>
      </w:divBdr>
    </w:div>
    <w:div w:id="1778672192">
      <w:bodyDiv w:val="1"/>
      <w:marLeft w:val="0"/>
      <w:marRight w:val="0"/>
      <w:marTop w:val="0"/>
      <w:marBottom w:val="0"/>
      <w:divBdr>
        <w:top w:val="none" w:sz="0" w:space="0" w:color="auto"/>
        <w:left w:val="none" w:sz="0" w:space="0" w:color="auto"/>
        <w:bottom w:val="none" w:sz="0" w:space="0" w:color="auto"/>
        <w:right w:val="none" w:sz="0" w:space="0" w:color="auto"/>
      </w:divBdr>
    </w:div>
    <w:div w:id="1778792496">
      <w:bodyDiv w:val="1"/>
      <w:marLeft w:val="0"/>
      <w:marRight w:val="0"/>
      <w:marTop w:val="0"/>
      <w:marBottom w:val="0"/>
      <w:divBdr>
        <w:top w:val="none" w:sz="0" w:space="0" w:color="auto"/>
        <w:left w:val="none" w:sz="0" w:space="0" w:color="auto"/>
        <w:bottom w:val="none" w:sz="0" w:space="0" w:color="auto"/>
        <w:right w:val="none" w:sz="0" w:space="0" w:color="auto"/>
      </w:divBdr>
    </w:div>
    <w:div w:id="1779174856">
      <w:bodyDiv w:val="1"/>
      <w:marLeft w:val="0"/>
      <w:marRight w:val="0"/>
      <w:marTop w:val="0"/>
      <w:marBottom w:val="0"/>
      <w:divBdr>
        <w:top w:val="none" w:sz="0" w:space="0" w:color="auto"/>
        <w:left w:val="none" w:sz="0" w:space="0" w:color="auto"/>
        <w:bottom w:val="none" w:sz="0" w:space="0" w:color="auto"/>
        <w:right w:val="none" w:sz="0" w:space="0" w:color="auto"/>
      </w:divBdr>
    </w:div>
    <w:div w:id="1791240648">
      <w:bodyDiv w:val="1"/>
      <w:marLeft w:val="0"/>
      <w:marRight w:val="0"/>
      <w:marTop w:val="0"/>
      <w:marBottom w:val="0"/>
      <w:divBdr>
        <w:top w:val="none" w:sz="0" w:space="0" w:color="auto"/>
        <w:left w:val="none" w:sz="0" w:space="0" w:color="auto"/>
        <w:bottom w:val="none" w:sz="0" w:space="0" w:color="auto"/>
        <w:right w:val="none" w:sz="0" w:space="0" w:color="auto"/>
      </w:divBdr>
    </w:div>
    <w:div w:id="1803108133">
      <w:bodyDiv w:val="1"/>
      <w:marLeft w:val="0"/>
      <w:marRight w:val="0"/>
      <w:marTop w:val="0"/>
      <w:marBottom w:val="0"/>
      <w:divBdr>
        <w:top w:val="none" w:sz="0" w:space="0" w:color="auto"/>
        <w:left w:val="none" w:sz="0" w:space="0" w:color="auto"/>
        <w:bottom w:val="none" w:sz="0" w:space="0" w:color="auto"/>
        <w:right w:val="none" w:sz="0" w:space="0" w:color="auto"/>
      </w:divBdr>
    </w:div>
    <w:div w:id="1811048787">
      <w:bodyDiv w:val="1"/>
      <w:marLeft w:val="0"/>
      <w:marRight w:val="0"/>
      <w:marTop w:val="0"/>
      <w:marBottom w:val="0"/>
      <w:divBdr>
        <w:top w:val="none" w:sz="0" w:space="0" w:color="auto"/>
        <w:left w:val="none" w:sz="0" w:space="0" w:color="auto"/>
        <w:bottom w:val="none" w:sz="0" w:space="0" w:color="auto"/>
        <w:right w:val="none" w:sz="0" w:space="0" w:color="auto"/>
      </w:divBdr>
    </w:div>
    <w:div w:id="1838230827">
      <w:bodyDiv w:val="1"/>
      <w:marLeft w:val="0"/>
      <w:marRight w:val="0"/>
      <w:marTop w:val="0"/>
      <w:marBottom w:val="0"/>
      <w:divBdr>
        <w:top w:val="none" w:sz="0" w:space="0" w:color="auto"/>
        <w:left w:val="none" w:sz="0" w:space="0" w:color="auto"/>
        <w:bottom w:val="none" w:sz="0" w:space="0" w:color="auto"/>
        <w:right w:val="none" w:sz="0" w:space="0" w:color="auto"/>
      </w:divBdr>
    </w:div>
    <w:div w:id="1844005881">
      <w:bodyDiv w:val="1"/>
      <w:marLeft w:val="0"/>
      <w:marRight w:val="0"/>
      <w:marTop w:val="0"/>
      <w:marBottom w:val="0"/>
      <w:divBdr>
        <w:top w:val="none" w:sz="0" w:space="0" w:color="auto"/>
        <w:left w:val="none" w:sz="0" w:space="0" w:color="auto"/>
        <w:bottom w:val="none" w:sz="0" w:space="0" w:color="auto"/>
        <w:right w:val="none" w:sz="0" w:space="0" w:color="auto"/>
      </w:divBdr>
    </w:div>
    <w:div w:id="1847016194">
      <w:bodyDiv w:val="1"/>
      <w:marLeft w:val="0"/>
      <w:marRight w:val="0"/>
      <w:marTop w:val="0"/>
      <w:marBottom w:val="0"/>
      <w:divBdr>
        <w:top w:val="none" w:sz="0" w:space="0" w:color="auto"/>
        <w:left w:val="none" w:sz="0" w:space="0" w:color="auto"/>
        <w:bottom w:val="none" w:sz="0" w:space="0" w:color="auto"/>
        <w:right w:val="none" w:sz="0" w:space="0" w:color="auto"/>
      </w:divBdr>
    </w:div>
    <w:div w:id="1849826759">
      <w:bodyDiv w:val="1"/>
      <w:marLeft w:val="0"/>
      <w:marRight w:val="0"/>
      <w:marTop w:val="0"/>
      <w:marBottom w:val="0"/>
      <w:divBdr>
        <w:top w:val="none" w:sz="0" w:space="0" w:color="auto"/>
        <w:left w:val="none" w:sz="0" w:space="0" w:color="auto"/>
        <w:bottom w:val="none" w:sz="0" w:space="0" w:color="auto"/>
        <w:right w:val="none" w:sz="0" w:space="0" w:color="auto"/>
      </w:divBdr>
    </w:div>
    <w:div w:id="1852406417">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5748738">
      <w:bodyDiv w:val="1"/>
      <w:marLeft w:val="0"/>
      <w:marRight w:val="0"/>
      <w:marTop w:val="0"/>
      <w:marBottom w:val="0"/>
      <w:divBdr>
        <w:top w:val="none" w:sz="0" w:space="0" w:color="auto"/>
        <w:left w:val="none" w:sz="0" w:space="0" w:color="auto"/>
        <w:bottom w:val="none" w:sz="0" w:space="0" w:color="auto"/>
        <w:right w:val="none" w:sz="0" w:space="0" w:color="auto"/>
      </w:divBdr>
    </w:div>
    <w:div w:id="1872526555">
      <w:bodyDiv w:val="1"/>
      <w:marLeft w:val="0"/>
      <w:marRight w:val="0"/>
      <w:marTop w:val="0"/>
      <w:marBottom w:val="0"/>
      <w:divBdr>
        <w:top w:val="none" w:sz="0" w:space="0" w:color="auto"/>
        <w:left w:val="none" w:sz="0" w:space="0" w:color="auto"/>
        <w:bottom w:val="none" w:sz="0" w:space="0" w:color="auto"/>
        <w:right w:val="none" w:sz="0" w:space="0" w:color="auto"/>
      </w:divBdr>
    </w:div>
    <w:div w:id="1890797399">
      <w:bodyDiv w:val="1"/>
      <w:marLeft w:val="0"/>
      <w:marRight w:val="0"/>
      <w:marTop w:val="0"/>
      <w:marBottom w:val="0"/>
      <w:divBdr>
        <w:top w:val="none" w:sz="0" w:space="0" w:color="auto"/>
        <w:left w:val="none" w:sz="0" w:space="0" w:color="auto"/>
        <w:bottom w:val="none" w:sz="0" w:space="0" w:color="auto"/>
        <w:right w:val="none" w:sz="0" w:space="0" w:color="auto"/>
      </w:divBdr>
    </w:div>
    <w:div w:id="1925843865">
      <w:bodyDiv w:val="1"/>
      <w:marLeft w:val="0"/>
      <w:marRight w:val="0"/>
      <w:marTop w:val="0"/>
      <w:marBottom w:val="0"/>
      <w:divBdr>
        <w:top w:val="none" w:sz="0" w:space="0" w:color="auto"/>
        <w:left w:val="none" w:sz="0" w:space="0" w:color="auto"/>
        <w:bottom w:val="none" w:sz="0" w:space="0" w:color="auto"/>
        <w:right w:val="none" w:sz="0" w:space="0" w:color="auto"/>
      </w:divBdr>
    </w:div>
    <w:div w:id="1955356186">
      <w:bodyDiv w:val="1"/>
      <w:marLeft w:val="0"/>
      <w:marRight w:val="0"/>
      <w:marTop w:val="0"/>
      <w:marBottom w:val="0"/>
      <w:divBdr>
        <w:top w:val="none" w:sz="0" w:space="0" w:color="auto"/>
        <w:left w:val="none" w:sz="0" w:space="0" w:color="auto"/>
        <w:bottom w:val="none" w:sz="0" w:space="0" w:color="auto"/>
        <w:right w:val="none" w:sz="0" w:space="0" w:color="auto"/>
      </w:divBdr>
    </w:div>
    <w:div w:id="1956282360">
      <w:bodyDiv w:val="1"/>
      <w:marLeft w:val="0"/>
      <w:marRight w:val="0"/>
      <w:marTop w:val="0"/>
      <w:marBottom w:val="0"/>
      <w:divBdr>
        <w:top w:val="none" w:sz="0" w:space="0" w:color="auto"/>
        <w:left w:val="none" w:sz="0" w:space="0" w:color="auto"/>
        <w:bottom w:val="none" w:sz="0" w:space="0" w:color="auto"/>
        <w:right w:val="none" w:sz="0" w:space="0" w:color="auto"/>
      </w:divBdr>
    </w:div>
    <w:div w:id="1959022970">
      <w:bodyDiv w:val="1"/>
      <w:marLeft w:val="0"/>
      <w:marRight w:val="0"/>
      <w:marTop w:val="0"/>
      <w:marBottom w:val="0"/>
      <w:divBdr>
        <w:top w:val="none" w:sz="0" w:space="0" w:color="auto"/>
        <w:left w:val="none" w:sz="0" w:space="0" w:color="auto"/>
        <w:bottom w:val="none" w:sz="0" w:space="0" w:color="auto"/>
        <w:right w:val="none" w:sz="0" w:space="0" w:color="auto"/>
      </w:divBdr>
    </w:div>
    <w:div w:id="1960722545">
      <w:bodyDiv w:val="1"/>
      <w:marLeft w:val="0"/>
      <w:marRight w:val="0"/>
      <w:marTop w:val="0"/>
      <w:marBottom w:val="0"/>
      <w:divBdr>
        <w:top w:val="none" w:sz="0" w:space="0" w:color="auto"/>
        <w:left w:val="none" w:sz="0" w:space="0" w:color="auto"/>
        <w:bottom w:val="none" w:sz="0" w:space="0" w:color="auto"/>
        <w:right w:val="none" w:sz="0" w:space="0" w:color="auto"/>
      </w:divBdr>
    </w:div>
    <w:div w:id="1983584300">
      <w:bodyDiv w:val="1"/>
      <w:marLeft w:val="0"/>
      <w:marRight w:val="0"/>
      <w:marTop w:val="0"/>
      <w:marBottom w:val="0"/>
      <w:divBdr>
        <w:top w:val="none" w:sz="0" w:space="0" w:color="auto"/>
        <w:left w:val="none" w:sz="0" w:space="0" w:color="auto"/>
        <w:bottom w:val="none" w:sz="0" w:space="0" w:color="auto"/>
        <w:right w:val="none" w:sz="0" w:space="0" w:color="auto"/>
      </w:divBdr>
    </w:div>
    <w:div w:id="1987200755">
      <w:bodyDiv w:val="1"/>
      <w:marLeft w:val="0"/>
      <w:marRight w:val="0"/>
      <w:marTop w:val="0"/>
      <w:marBottom w:val="0"/>
      <w:divBdr>
        <w:top w:val="none" w:sz="0" w:space="0" w:color="auto"/>
        <w:left w:val="none" w:sz="0" w:space="0" w:color="auto"/>
        <w:bottom w:val="none" w:sz="0" w:space="0" w:color="auto"/>
        <w:right w:val="none" w:sz="0" w:space="0" w:color="auto"/>
      </w:divBdr>
    </w:div>
    <w:div w:id="2002584898">
      <w:bodyDiv w:val="1"/>
      <w:marLeft w:val="0"/>
      <w:marRight w:val="0"/>
      <w:marTop w:val="0"/>
      <w:marBottom w:val="0"/>
      <w:divBdr>
        <w:top w:val="none" w:sz="0" w:space="0" w:color="auto"/>
        <w:left w:val="none" w:sz="0" w:space="0" w:color="auto"/>
        <w:bottom w:val="none" w:sz="0" w:space="0" w:color="auto"/>
        <w:right w:val="none" w:sz="0" w:space="0" w:color="auto"/>
      </w:divBdr>
    </w:div>
    <w:div w:id="2038115271">
      <w:bodyDiv w:val="1"/>
      <w:marLeft w:val="0"/>
      <w:marRight w:val="0"/>
      <w:marTop w:val="0"/>
      <w:marBottom w:val="0"/>
      <w:divBdr>
        <w:top w:val="none" w:sz="0" w:space="0" w:color="auto"/>
        <w:left w:val="none" w:sz="0" w:space="0" w:color="auto"/>
        <w:bottom w:val="none" w:sz="0" w:space="0" w:color="auto"/>
        <w:right w:val="none" w:sz="0" w:space="0" w:color="auto"/>
      </w:divBdr>
    </w:div>
    <w:div w:id="2045252797">
      <w:bodyDiv w:val="1"/>
      <w:marLeft w:val="0"/>
      <w:marRight w:val="0"/>
      <w:marTop w:val="0"/>
      <w:marBottom w:val="0"/>
      <w:divBdr>
        <w:top w:val="none" w:sz="0" w:space="0" w:color="auto"/>
        <w:left w:val="none" w:sz="0" w:space="0" w:color="auto"/>
        <w:bottom w:val="none" w:sz="0" w:space="0" w:color="auto"/>
        <w:right w:val="none" w:sz="0" w:space="0" w:color="auto"/>
      </w:divBdr>
    </w:div>
    <w:div w:id="2046056256">
      <w:bodyDiv w:val="1"/>
      <w:marLeft w:val="0"/>
      <w:marRight w:val="0"/>
      <w:marTop w:val="0"/>
      <w:marBottom w:val="0"/>
      <w:divBdr>
        <w:top w:val="none" w:sz="0" w:space="0" w:color="auto"/>
        <w:left w:val="none" w:sz="0" w:space="0" w:color="auto"/>
        <w:bottom w:val="none" w:sz="0" w:space="0" w:color="auto"/>
        <w:right w:val="none" w:sz="0" w:space="0" w:color="auto"/>
      </w:divBdr>
    </w:div>
    <w:div w:id="2050763882">
      <w:bodyDiv w:val="1"/>
      <w:marLeft w:val="0"/>
      <w:marRight w:val="0"/>
      <w:marTop w:val="0"/>
      <w:marBottom w:val="0"/>
      <w:divBdr>
        <w:top w:val="none" w:sz="0" w:space="0" w:color="auto"/>
        <w:left w:val="none" w:sz="0" w:space="0" w:color="auto"/>
        <w:bottom w:val="none" w:sz="0" w:space="0" w:color="auto"/>
        <w:right w:val="none" w:sz="0" w:space="0" w:color="auto"/>
      </w:divBdr>
    </w:div>
    <w:div w:id="2058358063">
      <w:bodyDiv w:val="1"/>
      <w:marLeft w:val="0"/>
      <w:marRight w:val="0"/>
      <w:marTop w:val="0"/>
      <w:marBottom w:val="0"/>
      <w:divBdr>
        <w:top w:val="none" w:sz="0" w:space="0" w:color="auto"/>
        <w:left w:val="none" w:sz="0" w:space="0" w:color="auto"/>
        <w:bottom w:val="none" w:sz="0" w:space="0" w:color="auto"/>
        <w:right w:val="none" w:sz="0" w:space="0" w:color="auto"/>
      </w:divBdr>
    </w:div>
    <w:div w:id="2074044529">
      <w:bodyDiv w:val="1"/>
      <w:marLeft w:val="0"/>
      <w:marRight w:val="0"/>
      <w:marTop w:val="0"/>
      <w:marBottom w:val="0"/>
      <w:divBdr>
        <w:top w:val="none" w:sz="0" w:space="0" w:color="auto"/>
        <w:left w:val="none" w:sz="0" w:space="0" w:color="auto"/>
        <w:bottom w:val="none" w:sz="0" w:space="0" w:color="auto"/>
        <w:right w:val="none" w:sz="0" w:space="0" w:color="auto"/>
      </w:divBdr>
    </w:div>
    <w:div w:id="2075157653">
      <w:bodyDiv w:val="1"/>
      <w:marLeft w:val="0"/>
      <w:marRight w:val="0"/>
      <w:marTop w:val="0"/>
      <w:marBottom w:val="0"/>
      <w:divBdr>
        <w:top w:val="none" w:sz="0" w:space="0" w:color="auto"/>
        <w:left w:val="none" w:sz="0" w:space="0" w:color="auto"/>
        <w:bottom w:val="none" w:sz="0" w:space="0" w:color="auto"/>
        <w:right w:val="none" w:sz="0" w:space="0" w:color="auto"/>
      </w:divBdr>
    </w:div>
    <w:div w:id="2135588840">
      <w:bodyDiv w:val="1"/>
      <w:marLeft w:val="0"/>
      <w:marRight w:val="0"/>
      <w:marTop w:val="0"/>
      <w:marBottom w:val="0"/>
      <w:divBdr>
        <w:top w:val="none" w:sz="0" w:space="0" w:color="auto"/>
        <w:left w:val="none" w:sz="0" w:space="0" w:color="auto"/>
        <w:bottom w:val="none" w:sz="0" w:space="0" w:color="auto"/>
        <w:right w:val="none" w:sz="0" w:space="0" w:color="auto"/>
      </w:divBdr>
    </w:div>
    <w:div w:id="21418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image" Target="media/image1.jpeg"/><Relationship Id="rId34" Type="http://schemas.openxmlformats.org/officeDocument/2006/relationships/header" Target="header8.xml"/><Relationship Id="rId42" Type="http://schemas.openxmlformats.org/officeDocument/2006/relationships/footer" Target="footer10.xml"/><Relationship Id="rId47" Type="http://schemas.openxmlformats.org/officeDocument/2006/relationships/header" Target="header14.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footer" Target="footer28.xml"/><Relationship Id="rId76" Type="http://schemas.openxmlformats.org/officeDocument/2006/relationships/footer" Target="footer36.xml"/><Relationship Id="rId7" Type="http://schemas.openxmlformats.org/officeDocument/2006/relationships/customXml" Target="../customXml/item6.xml"/><Relationship Id="rId71" Type="http://schemas.openxmlformats.org/officeDocument/2006/relationships/footer" Target="footer31.xm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hyperlink" Target="file://mercury.network/dfs/groups/FMG/FRACM/Reporting%20and%20Resourcing/BRF/Reporting/BdgPap/2.%20PAES/3.5%20PAES%202019-20/www.budget.gov.au" TargetMode="Externa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1.xml"/><Relationship Id="rId53" Type="http://schemas.openxmlformats.org/officeDocument/2006/relationships/footer" Target="footer16.xml"/><Relationship Id="rId58" Type="http://schemas.openxmlformats.org/officeDocument/2006/relationships/header" Target="header18.xml"/><Relationship Id="rId66"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footer" Target="footer39.xml"/><Relationship Id="rId5" Type="http://schemas.openxmlformats.org/officeDocument/2006/relationships/customXml" Target="../customXml/item4.xml"/><Relationship Id="rId61" Type="http://schemas.openxmlformats.org/officeDocument/2006/relationships/footer" Target="footer22.xml"/><Relationship Id="rId82"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creativecommons.org/licenses/by/3.0/au/deed.en" TargetMode="External"/><Relationship Id="rId31" Type="http://schemas.openxmlformats.org/officeDocument/2006/relationships/header" Target="header7.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footer" Target="footer21.xml"/><Relationship Id="rId65" Type="http://schemas.openxmlformats.org/officeDocument/2006/relationships/footer" Target="footer25.xml"/><Relationship Id="rId73" Type="http://schemas.openxmlformats.org/officeDocument/2006/relationships/footer" Target="footer33.xml"/><Relationship Id="rId78" Type="http://schemas.openxmlformats.org/officeDocument/2006/relationships/footer" Target="footer38.xml"/><Relationship Id="rId8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creativecommons.org/licenses/by/3.0/au/deed.en" TargetMode="Externa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header" Target="header19.xml"/><Relationship Id="rId69" Type="http://schemas.openxmlformats.org/officeDocument/2006/relationships/footer" Target="footer29.xml"/><Relationship Id="rId77" Type="http://schemas.openxmlformats.org/officeDocument/2006/relationships/footer" Target="footer37.xml"/><Relationship Id="rId8" Type="http://schemas.openxmlformats.org/officeDocument/2006/relationships/customXml" Target="../customXml/item7.xml"/><Relationship Id="rId51" Type="http://schemas.openxmlformats.org/officeDocument/2006/relationships/footer" Target="footer15.xml"/><Relationship Id="rId72" Type="http://schemas.openxmlformats.org/officeDocument/2006/relationships/footer" Target="footer32.xml"/><Relationship Id="rId80" Type="http://schemas.openxmlformats.org/officeDocument/2006/relationships/footer" Target="footer40.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footer" Target="footer12.xml"/><Relationship Id="rId59" Type="http://schemas.openxmlformats.org/officeDocument/2006/relationships/footer" Target="footer20.xml"/><Relationship Id="rId67" Type="http://schemas.openxmlformats.org/officeDocument/2006/relationships/footer" Target="footer27.xml"/><Relationship Id="rId20" Type="http://schemas.openxmlformats.org/officeDocument/2006/relationships/hyperlink" Target="http://creativecommons.org/licenses/by/3.0/au/legalcode" TargetMode="External"/><Relationship Id="rId41" Type="http://schemas.openxmlformats.org/officeDocument/2006/relationships/header" Target="header11.xml"/><Relationship Id="rId54" Type="http://schemas.openxmlformats.org/officeDocument/2006/relationships/header" Target="header17.xml"/><Relationship Id="rId62" Type="http://schemas.openxmlformats.org/officeDocument/2006/relationships/footer" Target="footer23.xml"/><Relationship Id="rId70" Type="http://schemas.openxmlformats.org/officeDocument/2006/relationships/footer" Target="footer30.xml"/><Relationship Id="rId75" Type="http://schemas.openxmlformats.org/officeDocument/2006/relationships/footer" Target="footer35.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financegovau.sharepoint.com/sites/M365_DoF_50033506/BRF1/Reporting/BdgPap/2.%20PAES/3.9%20PAES%202023-24/www.pmc.gov.au/honours-and-symbols/commonwealth-coat-arms" TargetMode="External"/><Relationship Id="rId28" Type="http://schemas.openxmlformats.org/officeDocument/2006/relationships/image" Target="media/image3.png"/><Relationship Id="rId36" Type="http://schemas.openxmlformats.org/officeDocument/2006/relationships/footer" Target="footer7.xml"/><Relationship Id="rId49" Type="http://schemas.openxmlformats.org/officeDocument/2006/relationships/header" Target="header15.xml"/><Relationship Id="rId57" Type="http://schemas.openxmlformats.org/officeDocument/2006/relationships/footer" Target="footer19.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mel\AppData\Local\Microsoft\Windows\INetCache\Content.Outlook\MMNTA1OY\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xsi:nil="true"/>
    <_dlc_DocId xmlns="6a7e9632-768a-49bf-85ac-c69233ab2a52">FIN33749-922497614-289779</_dlc_DocId>
    <_dlc_DocIdUrl xmlns="6a7e9632-768a-49bf-85ac-c69233ab2a52">
      <Url>https://financegovau.sharepoint.com/sites/M365_DoF_50033749/_layouts/15/DocIdRedir.aspx?ID=FIN33749-922497614-289779</Url>
      <Description>FIN33749-922497614-289779</Description>
    </_dlc_DocIdUrl>
    <ReviewDate xmlns="fbf7d680-a72a-44ba-9eda-d7d662f85f37"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bf7d680-a72a-44ba-9eda-d7d662f85f37">
      <Terms xmlns="http://schemas.microsoft.com/office/infopath/2007/PartnerControls"/>
    </lcf76f155ced4ddcb4097134ff3c332f>
    <Original_x0020_Date_x0020_Created xmlns="a334ba3b-e131-42d3-95f3-2728f5a41884" xsi:nil="true"/>
    <_Flow_SignoffStatus xmlns="fbf7d680-a72a-44ba-9eda-d7d662f85f37"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CBMS</TermName>
          <TermId xmlns="http://schemas.microsoft.com/office/infopath/2007/PartnerControls">dbcc8989-87ee-4992-93dd-5b74a4c0543e</TermId>
        </TermInfo>
      </Terms>
    </e0fcb3f570964638902a63147cd98219>
    <_ip_UnifiedCompliancePolicyProperties xmlns="http://schemas.microsoft.com/sharepoint/v3" xsi:nil="true"/>
    <TaxKeywordTaxHTField xmlns="a334ba3b-e131-42d3-95f3-2728f5a41884">
      <Terms xmlns="http://schemas.microsoft.com/office/infopath/2007/PartnerControl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tatus xmlns="fbf7d680-a72a-44ba-9eda-d7d662f85f37" xsi:nil="true"/>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3E768A6D0ABCB40A6C154183BC70566" ma:contentTypeVersion="38" ma:contentTypeDescription="Create a new document." ma:contentTypeScope="" ma:versionID="7368bb94c4f2a722bdff14696dbc138f">
  <xsd:schema xmlns:xsd="http://www.w3.org/2001/XMLSchema" xmlns:xs="http://www.w3.org/2001/XMLSchema" xmlns:p="http://schemas.microsoft.com/office/2006/metadata/properties" xmlns:ns1="http://schemas.microsoft.com/sharepoint/v3" xmlns:ns2="a334ba3b-e131-42d3-95f3-2728f5a41884" xmlns:ns3="6a7e9632-768a-49bf-85ac-c69233ab2a52" xmlns:ns4="fbf7d680-a72a-44ba-9eda-d7d662f85f37" targetNamespace="http://schemas.microsoft.com/office/2006/metadata/properties" ma:root="true" ma:fieldsID="4816479da1097788d444f758d4eaccb6" ns1:_="" ns2:_="" ns3:_="" ns4:_="">
    <xsd:import namespace="http://schemas.microsoft.com/sharepoint/v3"/>
    <xsd:import namespace="a334ba3b-e131-42d3-95f3-2728f5a41884"/>
    <xsd:import namespace="6a7e9632-768a-49bf-85ac-c69233ab2a52"/>
    <xsd:import namespace="fbf7d680-a72a-44ba-9eda-d7d662f85f3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Status" minOccurs="0"/>
                <xsd:element ref="ns4:MediaServiceObjectDetectorVersions" minOccurs="0"/>
                <xsd:element ref="ns4:_Flow_SignoffStatus" minOccurs="0"/>
                <xsd:element ref="ns1:_ip_UnifiedCompliancePolicyProperties" minOccurs="0"/>
                <xsd:element ref="ns1:_ip_UnifiedCompliancePolicyUIAction" minOccurs="0"/>
                <xsd:element ref="ns4:ReviewDat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38b907d-b390-44b9-a2bc-59471525473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CBMS|dbcc8989-87ee-4992-93dd-5b74a4c0543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38b907d-b390-44b9-a2bc-59471525473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f7d680-a72a-44ba-9eda-d7d662f85f3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Status" ma:index="36" nillable="true" ma:displayName="Status" ma:format="Dropdown" ma:internalName="Status">
      <xsd:simpleType>
        <xsd:restriction base="dms:Choice">
          <xsd:enumeration value="DXC Review"/>
          <xsd:enumeration value="SME Review"/>
          <xsd:enumeration value="Director Approval"/>
          <xsd:enumeration value="Completed"/>
          <xsd:enumeration value="In Draft"/>
          <xsd:enumeration value="In Progress"/>
          <xsd:enumeration value="In Peer Review"/>
          <xsd:enumeration value="Archived"/>
        </xsd:restrictio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_Flow_SignoffStatus" ma:index="38" nillable="true" ma:displayName="Sign-off status" ma:internalName="Sign_x002d_off_x0020_status">
      <xsd:simpleType>
        <xsd:restriction base="dms:Text"/>
      </xsd:simpleType>
    </xsd:element>
    <xsd:element name="ReviewDate" ma:index="41" nillable="true" ma:displayName="Next Review Date" ma:description="Next Scheduled Review Date" ma:format="DateOnly" ma:internalName="ReviewDate">
      <xsd:simpleType>
        <xsd:restriction base="dms:DateTime"/>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62D3BDC0-36EB-42D2-9686-F6C6E998D50F}">
  <ds:schemaRefs>
    <ds:schemaRef ds:uri="http://schemas.microsoft.com/office/2006/metadata/properties"/>
    <ds:schemaRef ds:uri="http://schemas.microsoft.com/office/infopath/2007/PartnerControls"/>
    <ds:schemaRef ds:uri="a334ba3b-e131-42d3-95f3-2728f5a41884"/>
    <ds:schemaRef ds:uri="6a7e9632-768a-49bf-85ac-c69233ab2a52"/>
    <ds:schemaRef ds:uri="fbf7d680-a72a-44ba-9eda-d7d662f85f37"/>
    <ds:schemaRef ds:uri="http://schemas.microsoft.com/sharepoint/v3"/>
  </ds:schemaRefs>
</ds:datastoreItem>
</file>

<file path=customXml/itemProps3.xml><?xml version="1.0" encoding="utf-8"?>
<ds:datastoreItem xmlns:ds="http://schemas.openxmlformats.org/officeDocument/2006/customXml" ds:itemID="{2C47A509-31EC-4B4C-B349-67D1585C6CF6}">
  <ds:schemaRefs>
    <ds:schemaRef ds:uri="Microsoft.SharePoint.Taxonomy.ContentTypeSync"/>
  </ds:schemaRefs>
</ds:datastoreItem>
</file>

<file path=customXml/itemProps4.xml><?xml version="1.0" encoding="utf-8"?>
<ds:datastoreItem xmlns:ds="http://schemas.openxmlformats.org/officeDocument/2006/customXml" ds:itemID="{09E336E9-6179-4992-AEEE-8CF28BF6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fbf7d680-a72a-44ba-9eda-d7d662f85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6.xml><?xml version="1.0" encoding="utf-8"?>
<ds:datastoreItem xmlns:ds="http://schemas.openxmlformats.org/officeDocument/2006/customXml" ds:itemID="{570CD459-FB4E-46E2-8CF0-82FAE25DA0DB}">
  <ds:schemaRefs>
    <ds:schemaRef ds:uri="http://schemas.microsoft.com/sharepoint/events"/>
  </ds:schemaRefs>
</ds:datastoreItem>
</file>

<file path=customXml/itemProps7.xml><?xml version="1.0" encoding="utf-8"?>
<ds:datastoreItem xmlns:ds="http://schemas.openxmlformats.org/officeDocument/2006/customXml" ds:itemID="{AA2B9F6F-0185-4231-88FA-386B31C0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14</TotalTime>
  <Pages>69</Pages>
  <Words>35490</Words>
  <Characters>200878</Characters>
  <Application>Microsoft Office Word</Application>
  <DocSecurity>0</DocSecurity>
  <Lines>18261</Lines>
  <Paragraphs>13131</Paragraphs>
  <ScaleCrop>false</ScaleCrop>
  <HeadingPairs>
    <vt:vector size="2" baseType="variant">
      <vt:variant>
        <vt:lpstr>Title</vt:lpstr>
      </vt:variant>
      <vt:variant>
        <vt:i4>1</vt:i4>
      </vt:variant>
    </vt:vector>
  </HeadingPairs>
  <TitlesOfParts>
    <vt:vector size="1" baseType="lpstr">
      <vt:lpstr>Portfolio Additional Estimates Statement</vt:lpstr>
    </vt:vector>
  </TitlesOfParts>
  <Company/>
  <LinksUpToDate>false</LinksUpToDate>
  <CharactersWithSpaces>223237</CharactersWithSpaces>
  <SharedDoc>false</SharedDoc>
  <HLinks>
    <vt:vector size="144" baseType="variant">
      <vt:variant>
        <vt:i4>1376306</vt:i4>
      </vt:variant>
      <vt:variant>
        <vt:i4>146</vt:i4>
      </vt:variant>
      <vt:variant>
        <vt:i4>0</vt:i4>
      </vt:variant>
      <vt:variant>
        <vt:i4>5</vt:i4>
      </vt:variant>
      <vt:variant>
        <vt:lpwstr/>
      </vt:variant>
      <vt:variant>
        <vt:lpwstr>_Toc152600116</vt:lpwstr>
      </vt:variant>
      <vt:variant>
        <vt:i4>1376306</vt:i4>
      </vt:variant>
      <vt:variant>
        <vt:i4>140</vt:i4>
      </vt:variant>
      <vt:variant>
        <vt:i4>0</vt:i4>
      </vt:variant>
      <vt:variant>
        <vt:i4>5</vt:i4>
      </vt:variant>
      <vt:variant>
        <vt:lpwstr/>
      </vt:variant>
      <vt:variant>
        <vt:lpwstr>_Toc152600115</vt:lpwstr>
      </vt:variant>
      <vt:variant>
        <vt:i4>1376306</vt:i4>
      </vt:variant>
      <vt:variant>
        <vt:i4>134</vt:i4>
      </vt:variant>
      <vt:variant>
        <vt:i4>0</vt:i4>
      </vt:variant>
      <vt:variant>
        <vt:i4>5</vt:i4>
      </vt:variant>
      <vt:variant>
        <vt:lpwstr/>
      </vt:variant>
      <vt:variant>
        <vt:lpwstr>_Toc152600114</vt:lpwstr>
      </vt:variant>
      <vt:variant>
        <vt:i4>1376306</vt:i4>
      </vt:variant>
      <vt:variant>
        <vt:i4>128</vt:i4>
      </vt:variant>
      <vt:variant>
        <vt:i4>0</vt:i4>
      </vt:variant>
      <vt:variant>
        <vt:i4>5</vt:i4>
      </vt:variant>
      <vt:variant>
        <vt:lpwstr/>
      </vt:variant>
      <vt:variant>
        <vt:lpwstr>_Toc152600113</vt:lpwstr>
      </vt:variant>
      <vt:variant>
        <vt:i4>1376306</vt:i4>
      </vt:variant>
      <vt:variant>
        <vt:i4>122</vt:i4>
      </vt:variant>
      <vt:variant>
        <vt:i4>0</vt:i4>
      </vt:variant>
      <vt:variant>
        <vt:i4>5</vt:i4>
      </vt:variant>
      <vt:variant>
        <vt:lpwstr/>
      </vt:variant>
      <vt:variant>
        <vt:lpwstr>_Toc152600112</vt:lpwstr>
      </vt:variant>
      <vt:variant>
        <vt:i4>1376306</vt:i4>
      </vt:variant>
      <vt:variant>
        <vt:i4>116</vt:i4>
      </vt:variant>
      <vt:variant>
        <vt:i4>0</vt:i4>
      </vt:variant>
      <vt:variant>
        <vt:i4>5</vt:i4>
      </vt:variant>
      <vt:variant>
        <vt:lpwstr/>
      </vt:variant>
      <vt:variant>
        <vt:lpwstr>_Toc152600111</vt:lpwstr>
      </vt:variant>
      <vt:variant>
        <vt:i4>1376306</vt:i4>
      </vt:variant>
      <vt:variant>
        <vt:i4>110</vt:i4>
      </vt:variant>
      <vt:variant>
        <vt:i4>0</vt:i4>
      </vt:variant>
      <vt:variant>
        <vt:i4>5</vt:i4>
      </vt:variant>
      <vt:variant>
        <vt:lpwstr/>
      </vt:variant>
      <vt:variant>
        <vt:lpwstr>_Toc152600110</vt:lpwstr>
      </vt:variant>
      <vt:variant>
        <vt:i4>1310770</vt:i4>
      </vt:variant>
      <vt:variant>
        <vt:i4>104</vt:i4>
      </vt:variant>
      <vt:variant>
        <vt:i4>0</vt:i4>
      </vt:variant>
      <vt:variant>
        <vt:i4>5</vt:i4>
      </vt:variant>
      <vt:variant>
        <vt:lpwstr/>
      </vt:variant>
      <vt:variant>
        <vt:lpwstr>_Toc152600109</vt:lpwstr>
      </vt:variant>
      <vt:variant>
        <vt:i4>1310770</vt:i4>
      </vt:variant>
      <vt:variant>
        <vt:i4>98</vt:i4>
      </vt:variant>
      <vt:variant>
        <vt:i4>0</vt:i4>
      </vt:variant>
      <vt:variant>
        <vt:i4>5</vt:i4>
      </vt:variant>
      <vt:variant>
        <vt:lpwstr/>
      </vt:variant>
      <vt:variant>
        <vt:lpwstr>_Toc152600108</vt:lpwstr>
      </vt:variant>
      <vt:variant>
        <vt:i4>1310770</vt:i4>
      </vt:variant>
      <vt:variant>
        <vt:i4>92</vt:i4>
      </vt:variant>
      <vt:variant>
        <vt:i4>0</vt:i4>
      </vt:variant>
      <vt:variant>
        <vt:i4>5</vt:i4>
      </vt:variant>
      <vt:variant>
        <vt:lpwstr/>
      </vt:variant>
      <vt:variant>
        <vt:lpwstr>_Toc152600107</vt:lpwstr>
      </vt:variant>
      <vt:variant>
        <vt:i4>1310770</vt:i4>
      </vt:variant>
      <vt:variant>
        <vt:i4>86</vt:i4>
      </vt:variant>
      <vt:variant>
        <vt:i4>0</vt:i4>
      </vt:variant>
      <vt:variant>
        <vt:i4>5</vt:i4>
      </vt:variant>
      <vt:variant>
        <vt:lpwstr/>
      </vt:variant>
      <vt:variant>
        <vt:lpwstr>_Toc152600106</vt:lpwstr>
      </vt:variant>
      <vt:variant>
        <vt:i4>1310770</vt:i4>
      </vt:variant>
      <vt:variant>
        <vt:i4>80</vt:i4>
      </vt:variant>
      <vt:variant>
        <vt:i4>0</vt:i4>
      </vt:variant>
      <vt:variant>
        <vt:i4>5</vt:i4>
      </vt:variant>
      <vt:variant>
        <vt:lpwstr/>
      </vt:variant>
      <vt:variant>
        <vt:lpwstr>_Toc152600105</vt:lpwstr>
      </vt:variant>
      <vt:variant>
        <vt:i4>1310770</vt:i4>
      </vt:variant>
      <vt:variant>
        <vt:i4>74</vt:i4>
      </vt:variant>
      <vt:variant>
        <vt:i4>0</vt:i4>
      </vt:variant>
      <vt:variant>
        <vt:i4>5</vt:i4>
      </vt:variant>
      <vt:variant>
        <vt:lpwstr/>
      </vt:variant>
      <vt:variant>
        <vt:lpwstr>_Toc152600104</vt:lpwstr>
      </vt:variant>
      <vt:variant>
        <vt:i4>1310770</vt:i4>
      </vt:variant>
      <vt:variant>
        <vt:i4>68</vt:i4>
      </vt:variant>
      <vt:variant>
        <vt:i4>0</vt:i4>
      </vt:variant>
      <vt:variant>
        <vt:i4>5</vt:i4>
      </vt:variant>
      <vt:variant>
        <vt:lpwstr/>
      </vt:variant>
      <vt:variant>
        <vt:lpwstr>_Toc152600103</vt:lpwstr>
      </vt:variant>
      <vt:variant>
        <vt:i4>1507391</vt:i4>
      </vt:variant>
      <vt:variant>
        <vt:i4>59</vt:i4>
      </vt:variant>
      <vt:variant>
        <vt:i4>0</vt:i4>
      </vt:variant>
      <vt:variant>
        <vt:i4>5</vt:i4>
      </vt:variant>
      <vt:variant>
        <vt:lpwstr/>
      </vt:variant>
      <vt:variant>
        <vt:lpwstr>_Toc531095264</vt:lpwstr>
      </vt:variant>
      <vt:variant>
        <vt:i4>1507391</vt:i4>
      </vt:variant>
      <vt:variant>
        <vt:i4>53</vt:i4>
      </vt:variant>
      <vt:variant>
        <vt:i4>0</vt:i4>
      </vt:variant>
      <vt:variant>
        <vt:i4>5</vt:i4>
      </vt:variant>
      <vt:variant>
        <vt:lpwstr/>
      </vt:variant>
      <vt:variant>
        <vt:lpwstr>_Toc531095263</vt:lpwstr>
      </vt:variant>
      <vt:variant>
        <vt:i4>1507391</vt:i4>
      </vt:variant>
      <vt:variant>
        <vt:i4>47</vt:i4>
      </vt:variant>
      <vt:variant>
        <vt:i4>0</vt:i4>
      </vt:variant>
      <vt:variant>
        <vt:i4>5</vt:i4>
      </vt:variant>
      <vt:variant>
        <vt:lpwstr/>
      </vt:variant>
      <vt:variant>
        <vt:lpwstr>_Toc531095262</vt:lpwstr>
      </vt:variant>
      <vt:variant>
        <vt:i4>1507391</vt:i4>
      </vt:variant>
      <vt:variant>
        <vt:i4>41</vt:i4>
      </vt:variant>
      <vt:variant>
        <vt:i4>0</vt:i4>
      </vt:variant>
      <vt:variant>
        <vt:i4>5</vt:i4>
      </vt:variant>
      <vt:variant>
        <vt:lpwstr/>
      </vt:variant>
      <vt:variant>
        <vt:lpwstr>_Toc531095261</vt:lpwstr>
      </vt:variant>
      <vt:variant>
        <vt:i4>1507391</vt:i4>
      </vt:variant>
      <vt:variant>
        <vt:i4>35</vt:i4>
      </vt:variant>
      <vt:variant>
        <vt:i4>0</vt:i4>
      </vt:variant>
      <vt:variant>
        <vt:i4>5</vt:i4>
      </vt:variant>
      <vt:variant>
        <vt:lpwstr/>
      </vt:variant>
      <vt:variant>
        <vt:lpwstr>_Toc531095260</vt:lpwstr>
      </vt:variant>
      <vt:variant>
        <vt:i4>6029373</vt:i4>
      </vt:variant>
      <vt:variant>
        <vt:i4>30</vt:i4>
      </vt:variant>
      <vt:variant>
        <vt:i4>0</vt:i4>
      </vt:variant>
      <vt:variant>
        <vt:i4>5</vt:i4>
      </vt:variant>
      <vt:variant>
        <vt:lpwstr>\\mercury.network\dfs\groups\FMG\FRACM\Reporting and Resourcing\BRF\Reporting\BdgPap\2. PAES\3.5 PAES 2019-20\www.budget.gov.au</vt:lpwstr>
      </vt:variant>
      <vt:variant>
        <vt:lpwstr/>
      </vt:variant>
      <vt:variant>
        <vt:i4>4456475</vt:i4>
      </vt:variant>
      <vt:variant>
        <vt:i4>25</vt:i4>
      </vt:variant>
      <vt:variant>
        <vt:i4>0</vt:i4>
      </vt:variant>
      <vt:variant>
        <vt:i4>5</vt:i4>
      </vt:variant>
      <vt:variant>
        <vt:lpwstr>https://financegovau.sharepoint.com/sites/M365_DoF_50033506/BRF1/Reporting/BdgPap/2. PAES/3.9 PAES 2023-24/www.pmc.gov.au/honours-and-symbols/commonwealth-coat-arms</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dc:title>
  <dc:subject>Budget</dc:subject>
  <dc:creator>Australian Government Department of Health and Aged Care</dc:creator>
  <cp:keywords/>
  <cp:lastModifiedBy>MASCHKE, Elvia</cp:lastModifiedBy>
  <cp:revision>8</cp:revision>
  <cp:lastPrinted>2024-01-24T02:53:00Z</cp:lastPrinted>
  <dcterms:created xsi:type="dcterms:W3CDTF">2024-02-07T22:22:00Z</dcterms:created>
  <dcterms:modified xsi:type="dcterms:W3CDTF">2024-02-07T22:36:00Z</dcterms:modified>
  <cp:category/>
</cp:coreProperties>
</file>